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8A" w:rsidRPr="00565FB1" w:rsidRDefault="00ED2298" w:rsidP="00ED5E55">
      <w:pPr>
        <w:tabs>
          <w:tab w:val="left" w:pos="6030"/>
        </w:tabs>
        <w:rPr>
          <w:sz w:val="20"/>
        </w:rPr>
      </w:pPr>
      <w:r>
        <w:rPr>
          <w:rFonts w:ascii="Book Antiqua" w:hAnsi="Book Antiqua"/>
          <w:noProof/>
          <w:sz w:val="20"/>
        </w:rPr>
        <w:pict>
          <v:shapetype id="_x0000_t202" coordsize="21600,21600" o:spt="202" path="m,l,21600r21600,l21600,xe">
            <v:stroke joinstyle="miter"/>
            <v:path gradientshapeok="t" o:connecttype="rect"/>
          </v:shapetype>
          <v:shape id="_x0000_s1080" type="#_x0000_t202" style="position:absolute;left:0;text-align:left;margin-left:0;margin-top:-21.75pt;width:506.9pt;height:694.8pt;z-index:-251662848;mso-position-horizontal:center" filled="f" strokecolor="gray" strokeweight="4.5pt">
            <v:stroke linestyle="thickThin"/>
            <v:textbox style="mso-next-textbox:#_x0000_s1080">
              <w:txbxContent>
                <w:p w:rsidR="009A0E60" w:rsidRDefault="009A0E60">
                  <w:pPr>
                    <w:rPr>
                      <w:rFonts w:ascii="Book Antiqua" w:hAnsi="Book Antiqua"/>
                    </w:rPr>
                  </w:pPr>
                </w:p>
                <w:p w:rsidR="009A0E60" w:rsidRPr="00CE2EFB" w:rsidRDefault="009A0E60" w:rsidP="007505E1">
                  <w:pPr>
                    <w:pStyle w:val="BodyText"/>
                    <w:spacing w:before="720"/>
                    <w:ind w:firstLine="720"/>
                    <w:rPr>
                      <w:rFonts w:ascii="Book Antiqua" w:hAnsi="Book Antiqua"/>
                      <w:sz w:val="60"/>
                      <w:szCs w:val="60"/>
                    </w:rPr>
                  </w:pPr>
                  <w:r w:rsidRPr="00CE2EFB">
                    <w:rPr>
                      <w:rFonts w:ascii="Book Antiqua" w:hAnsi="Book Antiqua"/>
                      <w:sz w:val="60"/>
                      <w:szCs w:val="60"/>
                    </w:rPr>
                    <w:t>Checking the Net Contents</w:t>
                  </w:r>
                </w:p>
                <w:p w:rsidR="009A0E60" w:rsidRPr="00CE2EFB" w:rsidRDefault="009A0E60" w:rsidP="00447951">
                  <w:pPr>
                    <w:pStyle w:val="BodyText"/>
                    <w:spacing w:after="0"/>
                    <w:ind w:firstLine="720"/>
                    <w:rPr>
                      <w:rFonts w:ascii="Book Antiqua" w:hAnsi="Book Antiqua"/>
                      <w:sz w:val="60"/>
                      <w:szCs w:val="60"/>
                    </w:rPr>
                  </w:pPr>
                  <w:r w:rsidRPr="00CE2EFB">
                    <w:rPr>
                      <w:rFonts w:ascii="Book Antiqua" w:hAnsi="Book Antiqua"/>
                      <w:sz w:val="60"/>
                      <w:szCs w:val="60"/>
                    </w:rPr>
                    <w:t>of Packaged Goods</w:t>
                  </w:r>
                </w:p>
                <w:p w:rsidR="009A0E60" w:rsidRDefault="009A0E60" w:rsidP="00CE2EFB">
                  <w:pPr>
                    <w:spacing w:before="240" w:after="720"/>
                    <w:rPr>
                      <w:rFonts w:ascii="Bookman Old Style" w:hAnsi="Bookman Old Style"/>
                      <w:i/>
                      <w:iCs/>
                      <w:sz w:val="26"/>
                    </w:rPr>
                  </w:pPr>
                  <w:r>
                    <w:rPr>
                      <w:rFonts w:ascii="Book Antiqua" w:hAnsi="Book Antiqua"/>
                      <w:i/>
                      <w:iCs/>
                      <w:sz w:val="28"/>
                    </w:rPr>
                    <w:tab/>
                  </w:r>
                  <w:proofErr w:type="gramStart"/>
                  <w:r w:rsidRPr="00D4166A">
                    <w:rPr>
                      <w:rFonts w:ascii="Book Antiqua" w:hAnsi="Book Antiqua"/>
                      <w:i/>
                      <w:iCs/>
                      <w:sz w:val="26"/>
                    </w:rPr>
                    <w:t>as</w:t>
                  </w:r>
                  <w:proofErr w:type="gramEnd"/>
                  <w:r w:rsidRPr="00D4166A">
                    <w:rPr>
                      <w:rFonts w:ascii="Book Antiqua" w:hAnsi="Book Antiqua"/>
                      <w:i/>
                      <w:iCs/>
                      <w:sz w:val="26"/>
                    </w:rPr>
                    <w:t xml:space="preserve"> adopted by the </w:t>
                  </w:r>
                  <w:r w:rsidRPr="00D4166A">
                    <w:rPr>
                      <w:rFonts w:ascii="Book Antiqua" w:hAnsi="Book Antiqua"/>
                      <w:i/>
                      <w:sz w:val="26"/>
                    </w:rPr>
                    <w:t>9</w:t>
                  </w:r>
                  <w:r>
                    <w:rPr>
                      <w:rFonts w:ascii="Book Antiqua" w:hAnsi="Book Antiqua"/>
                      <w:i/>
                      <w:sz w:val="26"/>
                    </w:rPr>
                    <w:t>9</w:t>
                  </w:r>
                  <w:r w:rsidRPr="00D4166A">
                    <w:rPr>
                      <w:rFonts w:ascii="Book Antiqua" w:hAnsi="Book Antiqua"/>
                      <w:i/>
                      <w:iCs/>
                      <w:sz w:val="26"/>
                      <w:vertAlign w:val="superscript"/>
                    </w:rPr>
                    <w:t>th</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4</w:t>
                  </w:r>
                </w:p>
                <w:p w:rsidR="009A0E60" w:rsidRPr="00447951" w:rsidRDefault="009A0E60" w:rsidP="004B3D6D">
                  <w:pPr>
                    <w:tabs>
                      <w:tab w:val="left" w:pos="5400"/>
                      <w:tab w:val="left" w:pos="6480"/>
                    </w:tabs>
                    <w:spacing w:before="720" w:after="240"/>
                    <w:jc w:val="center"/>
                    <w:rPr>
                      <w:rFonts w:ascii="Bookman Old Style" w:hAnsi="Bookman Old Style"/>
                      <w:i/>
                      <w:iCs/>
                      <w:sz w:val="20"/>
                    </w:rPr>
                  </w:pPr>
                  <w:r>
                    <w:rPr>
                      <w:rFonts w:ascii="Bookman Old Style" w:hAnsi="Bookman Old Style"/>
                      <w:i/>
                      <w:iCs/>
                    </w:rPr>
                    <w:tab/>
                  </w:r>
                  <w:r w:rsidRPr="00447951">
                    <w:rPr>
                      <w:rFonts w:ascii="Bookman Old Style" w:hAnsi="Bookman Old Style"/>
                      <w:i/>
                      <w:iCs/>
                      <w:sz w:val="20"/>
                    </w:rPr>
                    <w:t>Editors:</w:t>
                  </w:r>
                </w:p>
                <w:p w:rsidR="009A0E60" w:rsidRDefault="009A0E60" w:rsidP="00447951">
                  <w:pPr>
                    <w:ind w:left="1710" w:right="390" w:firstLine="720"/>
                    <w:jc w:val="right"/>
                    <w:rPr>
                      <w:rFonts w:ascii="Book Antiqua" w:hAnsi="Book Antiqua"/>
                    </w:rPr>
                  </w:pPr>
                  <w:r>
                    <w:rPr>
                      <w:rFonts w:ascii="Book Antiqua" w:hAnsi="Book Antiqua"/>
                    </w:rPr>
                    <w:t>Linda Crown</w:t>
                  </w:r>
                </w:p>
                <w:p w:rsidR="009A0E60" w:rsidRDefault="009A0E60" w:rsidP="00447951">
                  <w:pPr>
                    <w:ind w:left="1710" w:right="390" w:firstLine="720"/>
                    <w:jc w:val="right"/>
                    <w:rPr>
                      <w:rFonts w:ascii="Book Antiqua" w:hAnsi="Book Antiqua"/>
                    </w:rPr>
                  </w:pPr>
                  <w:r>
                    <w:rPr>
                      <w:rFonts w:ascii="Book Antiqua" w:hAnsi="Book Antiqua"/>
                    </w:rPr>
                    <w:t>David Sefcik</w:t>
                  </w:r>
                </w:p>
                <w:p w:rsidR="009A0E60" w:rsidRDefault="009A0E60" w:rsidP="00C63E88">
                  <w:pPr>
                    <w:spacing w:after="240"/>
                    <w:ind w:left="1710" w:right="390" w:firstLine="720"/>
                    <w:jc w:val="right"/>
                    <w:rPr>
                      <w:rFonts w:ascii="Book Antiqua" w:hAnsi="Book Antiqua"/>
                    </w:rPr>
                  </w:pPr>
                  <w:r>
                    <w:rPr>
                      <w:rFonts w:ascii="Book Antiqua" w:hAnsi="Book Antiqua"/>
                    </w:rPr>
                    <w:t>Lisa Warfield</w:t>
                  </w:r>
                </w:p>
                <w:p w:rsidR="009A0E60" w:rsidRDefault="009A0E60" w:rsidP="00447951">
                  <w:pPr>
                    <w:ind w:right="390"/>
                    <w:jc w:val="right"/>
                    <w:rPr>
                      <w:rFonts w:ascii="Book Antiqua" w:hAnsi="Book Antiqua"/>
                    </w:rPr>
                  </w:pPr>
                  <w:r>
                    <w:rPr>
                      <w:rFonts w:ascii="Book Antiqua" w:hAnsi="Book Antiqua"/>
                    </w:rPr>
                    <w:t xml:space="preserve">Carol </w:t>
                  </w:r>
                  <w:proofErr w:type="spellStart"/>
                  <w:r>
                    <w:rPr>
                      <w:rFonts w:ascii="Book Antiqua" w:hAnsi="Book Antiqua"/>
                    </w:rPr>
                    <w:t>Hockert</w:t>
                  </w:r>
                  <w:proofErr w:type="spellEnd"/>
                  <w:r>
                    <w:rPr>
                      <w:rFonts w:ascii="Book Antiqua" w:hAnsi="Book Antiqua"/>
                    </w:rPr>
                    <w:t>, Chief</w:t>
                  </w:r>
                </w:p>
                <w:p w:rsidR="009A0E60" w:rsidRPr="00E03DFC" w:rsidRDefault="009A0E60" w:rsidP="00447951">
                  <w:pPr>
                    <w:ind w:right="390"/>
                    <w:jc w:val="right"/>
                    <w:rPr>
                      <w:rFonts w:ascii="Book Antiqua" w:hAnsi="Book Antiqua"/>
                      <w:i/>
                    </w:rPr>
                  </w:pPr>
                  <w:r w:rsidRPr="00E03DFC">
                    <w:rPr>
                      <w:rFonts w:ascii="Book Antiqua" w:hAnsi="Book Antiqua"/>
                      <w:i/>
                    </w:rPr>
                    <w:t>Office of Weights and Measures</w:t>
                  </w:r>
                </w:p>
                <w:p w:rsidR="009A0E60" w:rsidRDefault="009A0E60" w:rsidP="00C63E88">
                  <w:pPr>
                    <w:spacing w:after="240"/>
                    <w:ind w:right="390"/>
                    <w:jc w:val="right"/>
                    <w:rPr>
                      <w:rFonts w:ascii="Book Antiqua" w:hAnsi="Book Antiqua"/>
                      <w:i/>
                    </w:rPr>
                  </w:pPr>
                  <w:r w:rsidRPr="00E03DFC">
                    <w:rPr>
                      <w:rFonts w:ascii="Book Antiqua" w:hAnsi="Book Antiqua"/>
                      <w:i/>
                    </w:rPr>
                    <w:t>Physical Measurement Laboratory</w:t>
                  </w:r>
                </w:p>
                <w:p w:rsidR="009A0E60" w:rsidRPr="00C63E88" w:rsidRDefault="00ED2298" w:rsidP="00C63E88">
                  <w:pPr>
                    <w:spacing w:before="360" w:after="480"/>
                    <w:ind w:right="389"/>
                    <w:jc w:val="right"/>
                    <w:rPr>
                      <w:rFonts w:ascii="Book Antiqua" w:hAnsi="Book Antiqua"/>
                      <w:b/>
                    </w:rPr>
                  </w:pPr>
                  <w:hyperlink r:id="rId10" w:history="1">
                    <w:r w:rsidR="009A0E60" w:rsidRPr="00C63E88">
                      <w:rPr>
                        <w:rStyle w:val="Hyperlink"/>
                        <w:rFonts w:ascii="Book Antiqua" w:hAnsi="Book Antiqua"/>
                        <w:b w:val="0"/>
                        <w:sz w:val="22"/>
                      </w:rPr>
                      <w:t>http://dx.doi.org/10.6028.NIST.HB.133</w:t>
                    </w:r>
                  </w:hyperlink>
                </w:p>
                <w:p w:rsidR="009A0E60" w:rsidRPr="00447951" w:rsidRDefault="009A0E60" w:rsidP="00C63E88">
                  <w:pPr>
                    <w:spacing w:after="360"/>
                    <w:ind w:right="389"/>
                    <w:jc w:val="right"/>
                    <w:rPr>
                      <w:rFonts w:ascii="Book Antiqua" w:hAnsi="Book Antiqua"/>
                      <w:b/>
                      <w:sz w:val="24"/>
                      <w:szCs w:val="24"/>
                    </w:rPr>
                  </w:pPr>
                  <w:r w:rsidRPr="00447951">
                    <w:rPr>
                      <w:rFonts w:ascii="Book Antiqua" w:hAnsi="Book Antiqua"/>
                      <w:b/>
                      <w:sz w:val="24"/>
                      <w:szCs w:val="24"/>
                    </w:rPr>
                    <w:t>November 2014</w:t>
                  </w:r>
                </w:p>
                <w:p w:rsidR="009A0E60" w:rsidRDefault="009A0E60" w:rsidP="00C63E88">
                  <w:pPr>
                    <w:spacing w:after="240"/>
                    <w:ind w:right="228"/>
                    <w:jc w:val="right"/>
                    <w:rPr>
                      <w:rFonts w:ascii="Book Antiqua" w:hAnsi="Book Antiqua"/>
                    </w:rPr>
                  </w:pPr>
                  <w:r>
                    <w:rPr>
                      <w:rFonts w:ascii="Book Antiqua" w:hAnsi="Book Antiqua"/>
                      <w:noProof/>
                    </w:rPr>
                    <w:drawing>
                      <wp:inline distT="0" distB="0" distL="0" distR="0" wp14:anchorId="463E7690" wp14:editId="65575584">
                        <wp:extent cx="1143000" cy="1130300"/>
                        <wp:effectExtent l="19050" t="0" r="0" b="0"/>
                        <wp:docPr id="8" name="Picture 8"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11"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9A0E60" w:rsidRPr="00447951" w:rsidRDefault="009A0E60" w:rsidP="00C63E88">
                  <w:pPr>
                    <w:spacing w:before="360"/>
                    <w:ind w:right="403"/>
                    <w:jc w:val="right"/>
                    <w:rPr>
                      <w:rFonts w:ascii="Book Antiqua" w:hAnsi="Book Antiqua"/>
                      <w:b/>
                      <w:szCs w:val="22"/>
                    </w:rPr>
                  </w:pPr>
                  <w:r w:rsidRPr="00447951">
                    <w:rPr>
                      <w:rFonts w:ascii="Book Antiqua" w:hAnsi="Book Antiqua"/>
                      <w:b/>
                      <w:szCs w:val="22"/>
                    </w:rPr>
                    <w:t>U.S. Department of Commerce</w:t>
                  </w:r>
                </w:p>
                <w:p w:rsidR="009A0E60" w:rsidRPr="00447951" w:rsidRDefault="009A0E60" w:rsidP="00C63E88">
                  <w:pPr>
                    <w:spacing w:after="360"/>
                    <w:ind w:right="403"/>
                    <w:jc w:val="right"/>
                    <w:rPr>
                      <w:rFonts w:ascii="Book Antiqua" w:hAnsi="Book Antiqua"/>
                      <w:i/>
                      <w:sz w:val="20"/>
                    </w:rPr>
                  </w:pPr>
                  <w:r w:rsidRPr="00447951">
                    <w:rPr>
                      <w:rFonts w:ascii="Book Antiqua" w:hAnsi="Book Antiqua"/>
                      <w:i/>
                      <w:sz w:val="20"/>
                    </w:rPr>
                    <w:t xml:space="preserve">Penny </w:t>
                  </w:r>
                  <w:proofErr w:type="spellStart"/>
                  <w:r w:rsidRPr="00447951">
                    <w:rPr>
                      <w:rFonts w:ascii="Book Antiqua" w:hAnsi="Book Antiqua"/>
                      <w:i/>
                      <w:sz w:val="20"/>
                    </w:rPr>
                    <w:t>Pritzker</w:t>
                  </w:r>
                  <w:proofErr w:type="spellEnd"/>
                  <w:r w:rsidRPr="00447951">
                    <w:rPr>
                      <w:rFonts w:ascii="Book Antiqua" w:hAnsi="Book Antiqua"/>
                      <w:i/>
                      <w:sz w:val="20"/>
                    </w:rPr>
                    <w:t>, Secretary</w:t>
                  </w:r>
                </w:p>
                <w:p w:rsidR="009A0E60" w:rsidRPr="00447951" w:rsidRDefault="009A0E60" w:rsidP="00447951">
                  <w:pPr>
                    <w:ind w:right="408"/>
                    <w:jc w:val="right"/>
                    <w:rPr>
                      <w:rFonts w:ascii="Book Antiqua" w:hAnsi="Book Antiqua"/>
                      <w:b/>
                      <w:bCs/>
                    </w:rPr>
                  </w:pPr>
                  <w:r w:rsidRPr="00447951">
                    <w:rPr>
                      <w:rFonts w:ascii="Book Antiqua" w:hAnsi="Book Antiqua"/>
                      <w:b/>
                    </w:rPr>
                    <w:t>National Institute of</w:t>
                  </w:r>
                  <w:r>
                    <w:rPr>
                      <w:rFonts w:ascii="Book Antiqua" w:hAnsi="Book Antiqua"/>
                      <w:b/>
                    </w:rPr>
                    <w:t xml:space="preserve"> </w:t>
                  </w:r>
                  <w:r w:rsidRPr="00447951">
                    <w:rPr>
                      <w:rFonts w:ascii="Book Antiqua" w:hAnsi="Book Antiqua"/>
                      <w:b/>
                      <w:bCs/>
                    </w:rPr>
                    <w:t>Standards and Technology</w:t>
                  </w:r>
                </w:p>
                <w:p w:rsidR="009A0E60" w:rsidRPr="00447951" w:rsidRDefault="009A0E60" w:rsidP="00447951">
                  <w:pPr>
                    <w:ind w:right="408"/>
                    <w:jc w:val="right"/>
                    <w:rPr>
                      <w:rFonts w:ascii="Book Antiqua" w:hAnsi="Book Antiqua"/>
                      <w:i/>
                      <w:sz w:val="20"/>
                    </w:rPr>
                  </w:pPr>
                  <w:r w:rsidRPr="00447951">
                    <w:rPr>
                      <w:rFonts w:ascii="Book Antiqua" w:hAnsi="Book Antiqua"/>
                      <w:i/>
                      <w:sz w:val="20"/>
                    </w:rPr>
                    <w:t>Willie May, Acting Under Secretary of Commerce for Standards and Technology and Acting Director</w:t>
                  </w:r>
                </w:p>
                <w:p w:rsidR="009A0E60" w:rsidRDefault="009A0E60" w:rsidP="00447951">
                  <w:pPr>
                    <w:ind w:right="408"/>
                    <w:rPr>
                      <w:rFonts w:ascii="Book Antiqua" w:hAnsi="Book Antiqua"/>
                    </w:rPr>
                  </w:pPr>
                </w:p>
                <w:tbl>
                  <w:tblPr>
                    <w:tblW w:w="0" w:type="auto"/>
                    <w:tblInd w:w="5868" w:type="dxa"/>
                    <w:tblLook w:val="0000" w:firstRow="0" w:lastRow="0" w:firstColumn="0" w:lastColumn="0" w:noHBand="0" w:noVBand="0"/>
                  </w:tblPr>
                  <w:tblGrid>
                    <w:gridCol w:w="2430"/>
                    <w:gridCol w:w="1260"/>
                  </w:tblGrid>
                  <w:tr w:rsidR="009A0E60" w:rsidRPr="00C63E88" w:rsidTr="00C63E88">
                    <w:tc>
                      <w:tcPr>
                        <w:tcW w:w="2430" w:type="dxa"/>
                        <w:vAlign w:val="center"/>
                      </w:tcPr>
                      <w:p w:rsidR="009A0E60" w:rsidRPr="00C63E88" w:rsidRDefault="009A0E60" w:rsidP="00C63E88">
                        <w:pPr>
                          <w:tabs>
                            <w:tab w:val="left" w:pos="0"/>
                          </w:tabs>
                          <w:autoSpaceDE w:val="0"/>
                          <w:autoSpaceDN w:val="0"/>
                          <w:adjustRightInd w:val="0"/>
                          <w:ind w:left="-246"/>
                          <w:jc w:val="center"/>
                          <w:rPr>
                            <w:color w:val="auto"/>
                            <w:sz w:val="20"/>
                            <w:szCs w:val="24"/>
                          </w:rPr>
                        </w:pPr>
                        <w:r w:rsidRPr="00C63E88">
                          <w:rPr>
                            <w:rFonts w:ascii="Book Antiqua" w:hAnsi="Book Antiqua"/>
                            <w:color w:val="auto"/>
                            <w:sz w:val="28"/>
                            <w:szCs w:val="24"/>
                          </w:rPr>
                          <w:t>NIST Handbook</w:t>
                        </w:r>
                      </w:p>
                    </w:tc>
                    <w:tc>
                      <w:tcPr>
                        <w:tcW w:w="1260" w:type="dxa"/>
                        <w:vAlign w:val="bottom"/>
                      </w:tcPr>
                      <w:p w:rsidR="009A0E60" w:rsidRPr="00C63E88" w:rsidRDefault="009A0E60" w:rsidP="00C63E88">
                        <w:pPr>
                          <w:autoSpaceDE w:val="0"/>
                          <w:autoSpaceDN w:val="0"/>
                          <w:adjustRightInd w:val="0"/>
                          <w:jc w:val="left"/>
                          <w:rPr>
                            <w:rFonts w:ascii="Book Antiqua" w:hAnsi="Book Antiqua"/>
                            <w:color w:val="auto"/>
                            <w:sz w:val="64"/>
                            <w:szCs w:val="24"/>
                          </w:rPr>
                        </w:pPr>
                        <w:r>
                          <w:rPr>
                            <w:rFonts w:ascii="Book Antiqua" w:hAnsi="Book Antiqua"/>
                            <w:color w:val="auto"/>
                            <w:sz w:val="64"/>
                            <w:szCs w:val="24"/>
                          </w:rPr>
                          <w:t>133</w:t>
                        </w:r>
                      </w:p>
                    </w:tc>
                  </w:tr>
                </w:tbl>
                <w:p w:rsidR="009A0E60" w:rsidRDefault="009A0E60">
                  <w:pPr>
                    <w:rPr>
                      <w:rFonts w:ascii="Book Antiqua" w:hAnsi="Book Antiqua"/>
                    </w:rPr>
                  </w:pPr>
                </w:p>
                <w:p w:rsidR="009A0E60" w:rsidRPr="00C63E88" w:rsidRDefault="009A0E60" w:rsidP="00C63E88">
                  <w:pPr>
                    <w:ind w:right="318"/>
                    <w:jc w:val="right"/>
                    <w:rPr>
                      <w:rFonts w:ascii="Book Antiqua" w:hAnsi="Book Antiqua"/>
                      <w:sz w:val="24"/>
                      <w:szCs w:val="24"/>
                    </w:rPr>
                  </w:pPr>
                  <w:r w:rsidRPr="00C63E88">
                    <w:rPr>
                      <w:rFonts w:ascii="Book Antiqua" w:hAnsi="Book Antiqua"/>
                      <w:sz w:val="24"/>
                      <w:szCs w:val="24"/>
                    </w:rPr>
                    <w:t>2015 Edition</w:t>
                  </w:r>
                </w:p>
                <w:p w:rsidR="009A0E60" w:rsidRDefault="009A0E60" w:rsidP="00C63E88">
                  <w:pPr>
                    <w:ind w:right="318"/>
                    <w:jc w:val="right"/>
                    <w:rPr>
                      <w:rFonts w:ascii="Book Antiqua" w:hAnsi="Book Antiqua"/>
                    </w:rPr>
                  </w:pPr>
                  <w:r>
                    <w:rPr>
                      <w:rFonts w:ascii="Book Antiqua" w:hAnsi="Book Antiqua"/>
                    </w:rPr>
                    <w:t>Supersedes NIST Handbook 133, 2014 Edition</w:t>
                  </w:r>
                </w:p>
                <w:p w:rsidR="009A0E60" w:rsidRDefault="009A0E60">
                  <w:pPr>
                    <w:rPr>
                      <w:rFonts w:ascii="Book Antiqua" w:hAnsi="Book Antiqua"/>
                    </w:rPr>
                  </w:pPr>
                </w:p>
                <w:p w:rsidR="009A0E60" w:rsidRDefault="009A0E60">
                  <w:pPr>
                    <w:rPr>
                      <w:rFonts w:ascii="Book Antiqua" w:hAnsi="Book Antiqua"/>
                    </w:rPr>
                  </w:pPr>
                </w:p>
                <w:p w:rsidR="009A0E60" w:rsidRDefault="009A0E60">
                  <w:pPr>
                    <w:rPr>
                      <w:rFonts w:ascii="Book Antiqua" w:hAnsi="Book Antiqua"/>
                    </w:rPr>
                  </w:pPr>
                </w:p>
                <w:p w:rsidR="009A0E60" w:rsidRDefault="009A0E60">
                  <w:pPr>
                    <w:rPr>
                      <w:rFonts w:ascii="Book Antiqua" w:hAnsi="Book Antiqua"/>
                    </w:rPr>
                  </w:pPr>
                </w:p>
                <w:p w:rsidR="009A0E60" w:rsidRDefault="009A0E60">
                  <w:pPr>
                    <w:rPr>
                      <w:rFonts w:ascii="Book Antiqua" w:hAnsi="Book Antiqua"/>
                    </w:rPr>
                  </w:pPr>
                </w:p>
                <w:p w:rsidR="009A0E60" w:rsidRDefault="009A0E60">
                  <w:pPr>
                    <w:rPr>
                      <w:rFonts w:ascii="Book Antiqua" w:hAnsi="Book Antiqua"/>
                    </w:rPr>
                  </w:pPr>
                </w:p>
                <w:p w:rsidR="009A0E60" w:rsidRDefault="009A0E60">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9A0E60" w:rsidTr="00C279FA">
                    <w:trPr>
                      <w:trHeight w:val="507"/>
                    </w:trPr>
                    <w:tc>
                      <w:tcPr>
                        <w:tcW w:w="2790" w:type="dxa"/>
                        <w:vAlign w:val="center"/>
                      </w:tcPr>
                      <w:p w:rsidR="009A0E60" w:rsidRPr="00346401" w:rsidRDefault="009A0E60" w:rsidP="00346401">
                        <w:pPr>
                          <w:jc w:val="right"/>
                          <w:rPr>
                            <w:b/>
                            <w:sz w:val="36"/>
                            <w:szCs w:val="36"/>
                          </w:rPr>
                        </w:pPr>
                        <w:r w:rsidRPr="00346401">
                          <w:rPr>
                            <w:b/>
                            <w:sz w:val="36"/>
                            <w:szCs w:val="36"/>
                          </w:rPr>
                          <w:t>NIST Handbook</w:t>
                        </w:r>
                      </w:p>
                    </w:tc>
                    <w:tc>
                      <w:tcPr>
                        <w:tcW w:w="1440" w:type="dxa"/>
                        <w:vAlign w:val="bottom"/>
                      </w:tcPr>
                      <w:p w:rsidR="009A0E60" w:rsidRPr="002A0652" w:rsidRDefault="009A0E60" w:rsidP="00C279FA">
                        <w:pPr>
                          <w:jc w:val="right"/>
                          <w:rPr>
                            <w:rFonts w:ascii="Book Antiqua" w:hAnsi="Book Antiqua"/>
                            <w:sz w:val="68"/>
                            <w:szCs w:val="68"/>
                          </w:rPr>
                        </w:pPr>
                        <w:r w:rsidRPr="002A0652">
                          <w:rPr>
                            <w:rFonts w:ascii="Book Antiqua" w:hAnsi="Book Antiqua"/>
                            <w:sz w:val="68"/>
                            <w:szCs w:val="68"/>
                          </w:rPr>
                          <w:t>133</w:t>
                        </w:r>
                      </w:p>
                    </w:tc>
                  </w:tr>
                </w:tbl>
                <w:p w:rsidR="009A0E60" w:rsidRDefault="009A0E60"/>
              </w:txbxContent>
            </v:textbox>
          </v:shape>
        </w:pict>
      </w:r>
      <w:r w:rsidR="00FF558A">
        <w:rPr>
          <w:rFonts w:ascii="Book Antiqua" w:hAnsi="Book Antiqua"/>
        </w:rPr>
        <w:br w:type="page"/>
      </w:r>
      <w:r w:rsidR="00FF558A" w:rsidRPr="00565FB1">
        <w:rPr>
          <w:sz w:val="20"/>
        </w:rP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FF558A" w:rsidRPr="00D4166A" w:rsidRDefault="00FF558A" w:rsidP="00C63E88">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r w:rsidRPr="00D4166A">
        <w:rPr>
          <w:rFonts w:ascii="Book Antiqua" w:hAnsi="Book Antiqua"/>
        </w:rPr>
        <w:t xml:space="preserve">National Institute of Standards and Technology Handbook 133, </w:t>
      </w:r>
      <w:r w:rsidR="006944ED" w:rsidRPr="00D4166A">
        <w:rPr>
          <w:rFonts w:ascii="Book Antiqua" w:hAnsi="Book Antiqua"/>
        </w:rPr>
        <w:t>201</w:t>
      </w:r>
      <w:r w:rsidR="00BA6948">
        <w:rPr>
          <w:rFonts w:ascii="Book Antiqua" w:hAnsi="Book Antiqua"/>
        </w:rPr>
        <w:t>5</w:t>
      </w:r>
      <w:r w:rsidR="006944ED" w:rsidRPr="00D4166A">
        <w:rPr>
          <w:rFonts w:ascii="Book Antiqua" w:hAnsi="Book Antiqua"/>
        </w:rPr>
        <w:t xml:space="preserve"> </w:t>
      </w:r>
      <w:r w:rsidRPr="00D4166A">
        <w:rPr>
          <w:rFonts w:ascii="Book Antiqua" w:hAnsi="Book Antiqua"/>
        </w:rPr>
        <w:t>Edition Natl. Inst. Stand</w:t>
      </w:r>
      <w:proofErr w:type="gramStart"/>
      <w:r w:rsidRPr="00D4166A">
        <w:rPr>
          <w:rFonts w:ascii="Book Antiqua" w:hAnsi="Book Antiqua"/>
        </w:rPr>
        <w:t xml:space="preserve">. </w:t>
      </w:r>
      <w:proofErr w:type="gramEnd"/>
      <w:r w:rsidRPr="00D4166A">
        <w:rPr>
          <w:rFonts w:ascii="Book Antiqua" w:hAnsi="Book Antiqua"/>
        </w:rPr>
        <w:t xml:space="preserve">Technol. </w:t>
      </w:r>
      <w:proofErr w:type="spellStart"/>
      <w:r w:rsidRPr="00D4166A">
        <w:rPr>
          <w:rFonts w:ascii="Book Antiqua" w:hAnsi="Book Antiqua"/>
        </w:rPr>
        <w:t>Handb</w:t>
      </w:r>
      <w:proofErr w:type="spellEnd"/>
      <w:proofErr w:type="gramStart"/>
      <w:r w:rsidRPr="00D4166A">
        <w:rPr>
          <w:rFonts w:ascii="Book Antiqua" w:hAnsi="Book Antiqua"/>
        </w:rPr>
        <w:t xml:space="preserve">. </w:t>
      </w:r>
      <w:proofErr w:type="gramEnd"/>
      <w:r w:rsidRPr="00D4166A">
        <w:rPr>
          <w:rFonts w:ascii="Book Antiqua" w:hAnsi="Book Antiqua"/>
        </w:rPr>
        <w:t xml:space="preserve">133, </w:t>
      </w:r>
      <w:r w:rsidR="00812C10" w:rsidRPr="00D4166A">
        <w:rPr>
          <w:rFonts w:ascii="Book Antiqua" w:hAnsi="Book Antiqua"/>
        </w:rPr>
        <w:t>201</w:t>
      </w:r>
      <w:r w:rsidR="00BA6948">
        <w:rPr>
          <w:rFonts w:ascii="Book Antiqua" w:hAnsi="Book Antiqua"/>
        </w:rPr>
        <w:t>5</w:t>
      </w:r>
      <w:r w:rsidR="00812C10" w:rsidRPr="00D4166A">
        <w:rPr>
          <w:rFonts w:ascii="Book Antiqua" w:hAnsi="Book Antiqua"/>
        </w:rPr>
        <w:t xml:space="preserve"> </w:t>
      </w:r>
      <w:r w:rsidRPr="00D4166A">
        <w:rPr>
          <w:rFonts w:ascii="Book Antiqua" w:hAnsi="Book Antiqua"/>
        </w:rPr>
        <w:t xml:space="preserve">Ed. </w:t>
      </w:r>
      <w:r w:rsidR="00EF30D8">
        <w:rPr>
          <w:rFonts w:ascii="Book Antiqua" w:hAnsi="Book Antiqua"/>
        </w:rPr>
        <w:t>190</w:t>
      </w:r>
      <w:r w:rsidR="00744B5E">
        <w:rPr>
          <w:rFonts w:ascii="Book Antiqua" w:hAnsi="Book Antiqua"/>
        </w:rPr>
        <w:t xml:space="preserve"> </w:t>
      </w:r>
      <w:r w:rsidRPr="00D4166A">
        <w:rPr>
          <w:rFonts w:ascii="Book Antiqua" w:hAnsi="Book Antiqua"/>
        </w:rPr>
        <w:t>Pages (</w:t>
      </w:r>
      <w:r w:rsidR="00D4166A" w:rsidRPr="00D4166A">
        <w:rPr>
          <w:rFonts w:ascii="Book Antiqua" w:hAnsi="Book Antiqua"/>
        </w:rPr>
        <w:t>Nov.</w:t>
      </w:r>
      <w:r w:rsidRPr="00D4166A">
        <w:rPr>
          <w:rFonts w:ascii="Book Antiqua" w:hAnsi="Book Antiqua"/>
        </w:rPr>
        <w:t xml:space="preserve"> </w:t>
      </w:r>
      <w:r w:rsidR="00812C10" w:rsidRPr="00D4166A">
        <w:rPr>
          <w:rFonts w:ascii="Book Antiqua" w:hAnsi="Book Antiqua"/>
        </w:rPr>
        <w:t>201</w:t>
      </w:r>
      <w:r w:rsidR="00BA6948">
        <w:rPr>
          <w:rFonts w:ascii="Book Antiqua" w:hAnsi="Book Antiqua"/>
        </w:rPr>
        <w:t>4</w:t>
      </w:r>
      <w:r w:rsidRPr="00D4166A">
        <w:rPr>
          <w:rFonts w:ascii="Book Antiqua" w:hAnsi="Book Antiqua"/>
        </w:rPr>
        <w:t>)</w:t>
      </w:r>
    </w:p>
    <w:p w:rsidR="00FF558A" w:rsidRPr="00D4166A" w:rsidRDefault="00FF558A" w:rsidP="00C279FA">
      <w:pPr>
        <w:jc w:val="center"/>
        <w:rPr>
          <w:rFonts w:ascii="Book Antiqua" w:hAnsi="Book Antiqua"/>
        </w:rPr>
      </w:pPr>
      <w:r w:rsidRPr="00D4166A">
        <w:rPr>
          <w:rFonts w:ascii="Book Antiqua" w:hAnsi="Book Antiqua"/>
        </w:rPr>
        <w:t>CODEN:  NIHAE2</w:t>
      </w: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9D1929" w:rsidRDefault="009D1929" w:rsidP="00C279FA">
      <w:pPr>
        <w:jc w:val="center"/>
      </w:pPr>
    </w:p>
    <w:p w:rsidR="00790125" w:rsidRDefault="00790125" w:rsidP="00C279FA">
      <w:pPr>
        <w:jc w:val="center"/>
      </w:pPr>
    </w:p>
    <w:p w:rsidR="00790125" w:rsidRDefault="00790125" w:rsidP="00C279FA">
      <w:pPr>
        <w:jc w:val="center"/>
      </w:pPr>
    </w:p>
    <w:p w:rsidR="00790125" w:rsidRPr="00D4166A" w:rsidRDefault="00790125" w:rsidP="00790125"/>
    <w:p w:rsidR="009D1929" w:rsidRPr="00D4166A" w:rsidRDefault="009D1929" w:rsidP="00C279FA">
      <w:pPr>
        <w:jc w:val="center"/>
      </w:pPr>
    </w:p>
    <w:p w:rsidR="009D1929" w:rsidRPr="00D4166A" w:rsidRDefault="009D1929" w:rsidP="00C279FA">
      <w:pPr>
        <w:jc w:val="center"/>
      </w:pPr>
    </w:p>
    <w:p w:rsidR="009D1929" w:rsidRPr="00D4166A" w:rsidRDefault="009D1929"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881474">
      <w:pPr>
        <w:jc w:val="center"/>
      </w:pPr>
      <w:r w:rsidRPr="00D4166A">
        <w:t>U.S. GOVERNMENT PRINTING OFFICE</w:t>
      </w:r>
    </w:p>
    <w:p w:rsidR="00FF558A" w:rsidRDefault="00FF558A" w:rsidP="006C2C32">
      <w:pPr>
        <w:pStyle w:val="Normal1"/>
        <w:jc w:val="center"/>
        <w:rPr>
          <w:rFonts w:ascii="Book Antiqua" w:hAnsi="Book Antiqua" w:cs="Book Antiqua"/>
          <w:b/>
          <w:bCs/>
          <w:color w:val="000000"/>
          <w:sz w:val="22"/>
          <w:szCs w:val="22"/>
        </w:rPr>
      </w:pPr>
      <w:r w:rsidRPr="00D4166A">
        <w:rPr>
          <w:rFonts w:ascii="Book Antiqua" w:hAnsi="Book Antiqua" w:cs="Book Antiqua"/>
          <w:b/>
          <w:bCs/>
          <w:color w:val="000000"/>
          <w:sz w:val="22"/>
          <w:szCs w:val="22"/>
        </w:rPr>
        <w:t xml:space="preserve">WASHINGTON: </w:t>
      </w:r>
      <w:r w:rsidR="00812C10" w:rsidRPr="00D4166A">
        <w:rPr>
          <w:rFonts w:ascii="Book Antiqua" w:hAnsi="Book Antiqua"/>
          <w:b/>
          <w:color w:val="000000"/>
          <w:sz w:val="22"/>
        </w:rPr>
        <w:t>201</w:t>
      </w:r>
      <w:r w:rsidR="009B1C40">
        <w:rPr>
          <w:rFonts w:ascii="Book Antiqua" w:hAnsi="Book Antiqua"/>
          <w:b/>
          <w:color w:val="000000"/>
          <w:sz w:val="22"/>
        </w:rPr>
        <w:t>4</w:t>
      </w:r>
    </w:p>
    <w:p w:rsidR="00FF558A" w:rsidRPr="00B847B1" w:rsidRDefault="00ED2298" w:rsidP="00C279FA">
      <w:r>
        <w:rPr>
          <w:rFonts w:ascii="Book Antiqua" w:hAnsi="Book Antiqua" w:cs="Book Antiqua"/>
          <w:b/>
          <w:bCs/>
          <w:noProof/>
          <w:szCs w:val="22"/>
        </w:rPr>
        <w:pict>
          <v:shapetype id="_x0000_t32" coordsize="21600,21600" o:spt="32" o:oned="t" path="m,l21600,21600e" filled="f">
            <v:path arrowok="t" fillok="f" o:connecttype="none"/>
            <o:lock v:ext="edit" shapetype="t"/>
          </v:shapetype>
          <v:shape id="_x0000_s1083" type="#_x0000_t32" style="position:absolute;left:0;text-align:left;margin-left:.75pt;margin-top:5.25pt;width:477.75pt;height:2.25pt;flip:y;z-index:251656704" o:connectortype="straight" strokeweight="1pt"/>
        </w:pict>
      </w:r>
    </w:p>
    <w:p w:rsidR="000F39BC" w:rsidRDefault="00FF558A" w:rsidP="00ED2298">
      <w:pPr>
        <w:jc w:val="center"/>
        <w:rPr>
          <w:rStyle w:val="Hyperlink"/>
          <w:b w:val="0"/>
          <w:sz w:val="22"/>
          <w:szCs w:val="22"/>
        </w:rPr>
      </w:pPr>
      <w:r>
        <w:rPr>
          <w:sz w:val="18"/>
          <w:szCs w:val="18"/>
        </w:rPr>
        <w:t xml:space="preserve">Internet: bookstore.gpo.gov Phone: toll free (866) 512-1800; DC area (202) 512-1800 Fax: (202) 512-2250 Mail: Stop SSOP, Washington, DC 20402-0001 </w:t>
      </w:r>
      <w:r w:rsidRPr="004617ED">
        <w:rPr>
          <w:sz w:val="18"/>
          <w:szCs w:val="18"/>
        </w:rPr>
        <w:t>ISBN 0-16-051249-2</w:t>
      </w:r>
      <w:r w:rsidR="00D5772A">
        <w:rPr>
          <w:rStyle w:val="Hyperlink"/>
          <w:b w:val="0"/>
          <w:sz w:val="22"/>
          <w:szCs w:val="22"/>
        </w:rPr>
        <w:t xml:space="preserve"> </w:t>
      </w:r>
      <w:bookmarkStart w:id="0" w:name="_GoBack"/>
      <w:bookmarkEnd w:id="0"/>
    </w:p>
    <w:sectPr w:rsidR="000F39BC" w:rsidSect="00D5772A">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161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2B73"/>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5772A"/>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298"/>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v:shadow color="#868686"/>
    </o:shapedefaults>
    <o:shapelayout v:ext="edit">
      <o:idmap v:ext="edit" data="1"/>
      <o:rules v:ext="edit">
        <o:r id="V:Rule2"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http://dx.doi.org/10.6028.NIST.HB.133"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6579-F633-4481-9060-559F2B7F5A75}">
  <ds:schemaRefs>
    <ds:schemaRef ds:uri="http://schemas.openxmlformats.org/officeDocument/2006/bibliography"/>
  </ds:schemaRefs>
</ds:datastoreItem>
</file>

<file path=customXml/itemProps2.xml><?xml version="1.0" encoding="utf-8"?>
<ds:datastoreItem xmlns:ds="http://schemas.openxmlformats.org/officeDocument/2006/customXml" ds:itemID="{6E980058-05F0-4C0C-AC33-7426D43A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829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3</cp:revision>
  <cp:lastPrinted>2014-09-24T13:05:00Z</cp:lastPrinted>
  <dcterms:created xsi:type="dcterms:W3CDTF">2014-10-28T18:30:00Z</dcterms:created>
  <dcterms:modified xsi:type="dcterms:W3CDTF">2014-10-29T13:48:00Z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