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532"/>
      </w:tblGrid>
      <w:tr w:rsidR="00A109BC" w:rsidTr="005A6CD8">
        <w:trPr>
          <w:jc w:val="center"/>
        </w:trPr>
        <w:tc>
          <w:tcPr>
            <w:tcW w:w="9532" w:type="dxa"/>
          </w:tcPr>
          <w:p w:rsidR="00A109BC" w:rsidRPr="009357A0" w:rsidRDefault="00A109BC" w:rsidP="000B10DF">
            <w:pPr>
              <w:pStyle w:val="Heading1"/>
            </w:pPr>
            <w:bookmarkStart w:id="0" w:name="_GoBack"/>
            <w:bookmarkEnd w:id="0"/>
            <w:r w:rsidRPr="009357A0">
              <w:t>20</w:t>
            </w:r>
            <w:bookmarkStart w:id="1" w:name="Amendments"/>
            <w:bookmarkEnd w:id="1"/>
            <w:r w:rsidR="000B10DF">
              <w:t>1</w:t>
            </w:r>
            <w:r w:rsidR="000823BC">
              <w:t>8</w:t>
            </w:r>
            <w:r w:rsidRPr="009357A0">
              <w:t xml:space="preserve"> Amendments</w:t>
            </w:r>
          </w:p>
        </w:tc>
      </w:tr>
      <w:tr w:rsidR="00B47817" w:rsidTr="005A6CD8">
        <w:trPr>
          <w:jc w:val="center"/>
        </w:trPr>
        <w:tc>
          <w:tcPr>
            <w:tcW w:w="9532" w:type="dxa"/>
          </w:tcPr>
          <w:p w:rsidR="00B47817" w:rsidRPr="0087382D" w:rsidRDefault="00B47817" w:rsidP="00BF1771">
            <w:pPr>
              <w:jc w:val="both"/>
              <w:rPr>
                <w:b/>
              </w:rPr>
            </w:pPr>
            <w:r w:rsidRPr="000E175E">
              <w:rPr>
                <w:spacing w:val="-2"/>
              </w:rPr>
              <w:t xml:space="preserve">The following table lists the codes, paragraphs, and pages in which the </w:t>
            </w:r>
            <w:r>
              <w:rPr>
                <w:spacing w:val="-2"/>
              </w:rPr>
              <w:t>10</w:t>
            </w:r>
            <w:r w:rsidR="00901466">
              <w:rPr>
                <w:spacing w:val="-2"/>
              </w:rPr>
              <w:t>3</w:t>
            </w:r>
            <w:r w:rsidR="00901466">
              <w:rPr>
                <w:spacing w:val="-2"/>
                <w:vertAlign w:val="superscript"/>
              </w:rPr>
              <w:t>rd</w:t>
            </w:r>
            <w:r w:rsidRPr="000E175E">
              <w:rPr>
                <w:spacing w:val="-2"/>
              </w:rPr>
              <w:t> National Conference on Weights and Measures made amendments.  In the column headed “Action,” changes are noted as “added,” “amended,” “deleted,” or “</w:t>
            </w:r>
            <w:r w:rsidRPr="00841736">
              <w:rPr>
                <w:spacing w:val="-2"/>
                <w:u w:val="dottedHeavy" w:color="82C42A"/>
              </w:rPr>
              <w:t>renumbered</w:t>
            </w:r>
            <w:r w:rsidRPr="00841736">
              <w:rPr>
                <w:spacing w:val="-2"/>
              </w:rPr>
              <w:t>.</w:t>
            </w:r>
            <w:r w:rsidRPr="000E175E">
              <w:rPr>
                <w:spacing w:val="-2"/>
              </w:rPr>
              <w:t>”  Each code, section, or paragraph that has been changed will be noted as “Added 201</w:t>
            </w:r>
            <w:r w:rsidR="00901466">
              <w:rPr>
                <w:spacing w:val="-2"/>
              </w:rPr>
              <w:t>8</w:t>
            </w:r>
            <w:r w:rsidRPr="000E175E">
              <w:rPr>
                <w:spacing w:val="-2"/>
              </w:rPr>
              <w:t>” or “Amended</w:t>
            </w:r>
            <w:r>
              <w:rPr>
                <w:spacing w:val="-2"/>
              </w:rPr>
              <w:t> </w:t>
            </w:r>
            <w:r w:rsidRPr="000E175E">
              <w:rPr>
                <w:spacing w:val="-2"/>
              </w:rPr>
              <w:t>201</w:t>
            </w:r>
            <w:r w:rsidR="00901466">
              <w:rPr>
                <w:spacing w:val="-2"/>
              </w:rPr>
              <w:t>8</w:t>
            </w:r>
            <w:r w:rsidRPr="000E175E">
              <w:rPr>
                <w:spacing w:val="-2"/>
              </w:rPr>
              <w:t>.”</w:t>
            </w:r>
          </w:p>
        </w:tc>
      </w:tr>
    </w:tbl>
    <w:p w:rsidR="005A6CD8" w:rsidRDefault="005A6CD8"/>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of Amendments"/>
        <w:tblDescription w:val="Table of changes to the NIST Handbook 44 for the 2019 edition."/>
      </w:tblPr>
      <w:tblGrid>
        <w:gridCol w:w="1335"/>
        <w:gridCol w:w="2160"/>
        <w:gridCol w:w="1317"/>
        <w:gridCol w:w="2193"/>
        <w:gridCol w:w="1532"/>
        <w:gridCol w:w="793"/>
      </w:tblGrid>
      <w:tr w:rsidR="0053423F" w:rsidRPr="00CD0B05" w:rsidTr="00490042">
        <w:trPr>
          <w:trHeight w:val="620"/>
          <w:tblHeader/>
        </w:trPr>
        <w:tc>
          <w:tcPr>
            <w:tcW w:w="1335" w:type="dxa"/>
            <w:tcBorders>
              <w:top w:val="double" w:sz="4" w:space="0" w:color="auto"/>
              <w:bottom w:val="double" w:sz="4" w:space="0" w:color="auto"/>
            </w:tcBorders>
          </w:tcPr>
          <w:p w:rsidR="0053423F" w:rsidRPr="00CD0B05" w:rsidRDefault="0053423F" w:rsidP="005531BA">
            <w:pPr>
              <w:jc w:val="center"/>
              <w:rPr>
                <w:b/>
              </w:rPr>
            </w:pPr>
            <w:r w:rsidRPr="00CD0B05">
              <w:rPr>
                <w:b/>
              </w:rPr>
              <w:t>SECTION</w:t>
            </w:r>
          </w:p>
        </w:tc>
        <w:tc>
          <w:tcPr>
            <w:tcW w:w="2160" w:type="dxa"/>
            <w:tcBorders>
              <w:top w:val="double" w:sz="4" w:space="0" w:color="auto"/>
              <w:bottom w:val="double" w:sz="4" w:space="0" w:color="auto"/>
            </w:tcBorders>
          </w:tcPr>
          <w:p w:rsidR="0053423F" w:rsidRPr="00CD0B05" w:rsidRDefault="0053423F" w:rsidP="005531BA">
            <w:pPr>
              <w:jc w:val="center"/>
              <w:rPr>
                <w:b/>
              </w:rPr>
            </w:pPr>
            <w:r w:rsidRPr="00CD0B05">
              <w:rPr>
                <w:b/>
              </w:rPr>
              <w:t>CODE</w:t>
            </w:r>
          </w:p>
        </w:tc>
        <w:tc>
          <w:tcPr>
            <w:tcW w:w="1317" w:type="dxa"/>
            <w:tcBorders>
              <w:top w:val="double" w:sz="4" w:space="0" w:color="auto"/>
              <w:bottom w:val="double" w:sz="4" w:space="0" w:color="auto"/>
            </w:tcBorders>
          </w:tcPr>
          <w:p w:rsidR="0053423F" w:rsidRPr="00CD0B05" w:rsidRDefault="0053423F" w:rsidP="005531BA">
            <w:pPr>
              <w:jc w:val="center"/>
              <w:rPr>
                <w:b/>
              </w:rPr>
            </w:pPr>
            <w:r w:rsidRPr="00CD0B05">
              <w:rPr>
                <w:b/>
              </w:rPr>
              <w:t>S&amp;T</w:t>
            </w:r>
            <w:r>
              <w:rPr>
                <w:b/>
              </w:rPr>
              <w:br/>
              <w:t>ITEM NO.</w:t>
            </w:r>
          </w:p>
        </w:tc>
        <w:tc>
          <w:tcPr>
            <w:tcW w:w="2193" w:type="dxa"/>
            <w:tcBorders>
              <w:top w:val="double" w:sz="4" w:space="0" w:color="auto"/>
              <w:bottom w:val="double" w:sz="4" w:space="0" w:color="auto"/>
            </w:tcBorders>
          </w:tcPr>
          <w:p w:rsidR="0053423F" w:rsidRPr="00CD0B05" w:rsidRDefault="0053423F" w:rsidP="005531BA">
            <w:pPr>
              <w:jc w:val="center"/>
              <w:rPr>
                <w:b/>
              </w:rPr>
            </w:pPr>
            <w:r>
              <w:rPr>
                <w:b/>
              </w:rPr>
              <w:t>PARAGRAPH</w:t>
            </w:r>
          </w:p>
        </w:tc>
        <w:tc>
          <w:tcPr>
            <w:tcW w:w="1532" w:type="dxa"/>
            <w:tcBorders>
              <w:top w:val="double" w:sz="4" w:space="0" w:color="auto"/>
              <w:bottom w:val="double" w:sz="4" w:space="0" w:color="auto"/>
            </w:tcBorders>
          </w:tcPr>
          <w:p w:rsidR="0053423F" w:rsidRPr="00CD0B05" w:rsidRDefault="0053423F" w:rsidP="005531BA">
            <w:pPr>
              <w:jc w:val="center"/>
              <w:rPr>
                <w:b/>
              </w:rPr>
            </w:pPr>
            <w:r>
              <w:rPr>
                <w:b/>
              </w:rPr>
              <w:t>ACTION</w:t>
            </w:r>
          </w:p>
        </w:tc>
        <w:tc>
          <w:tcPr>
            <w:tcW w:w="793" w:type="dxa"/>
            <w:tcBorders>
              <w:top w:val="double" w:sz="4" w:space="0" w:color="auto"/>
              <w:bottom w:val="double" w:sz="4" w:space="0" w:color="auto"/>
            </w:tcBorders>
          </w:tcPr>
          <w:p w:rsidR="0053423F" w:rsidRPr="00CD0B05" w:rsidRDefault="0053423F" w:rsidP="005531BA">
            <w:pPr>
              <w:jc w:val="center"/>
              <w:rPr>
                <w:b/>
              </w:rPr>
            </w:pPr>
            <w:r>
              <w:rPr>
                <w:b/>
              </w:rPr>
              <w:t>PAGE</w:t>
            </w:r>
          </w:p>
        </w:tc>
      </w:tr>
      <w:tr w:rsidR="00F82887" w:rsidTr="006C3AD7">
        <w:tc>
          <w:tcPr>
            <w:tcW w:w="1335" w:type="dxa"/>
            <w:tcBorders>
              <w:top w:val="double" w:sz="4" w:space="0" w:color="auto"/>
              <w:bottom w:val="thinThickSmallGap" w:sz="24" w:space="0" w:color="auto"/>
            </w:tcBorders>
          </w:tcPr>
          <w:p w:rsidR="00F82887" w:rsidRDefault="00F82887" w:rsidP="005531BA">
            <w:r>
              <w:t>2.20.</w:t>
            </w:r>
          </w:p>
        </w:tc>
        <w:tc>
          <w:tcPr>
            <w:tcW w:w="2160" w:type="dxa"/>
            <w:tcBorders>
              <w:top w:val="double" w:sz="4" w:space="0" w:color="auto"/>
              <w:bottom w:val="thinThickSmallGap" w:sz="24" w:space="0" w:color="auto"/>
            </w:tcBorders>
          </w:tcPr>
          <w:p w:rsidR="00F82887" w:rsidRDefault="00F82887" w:rsidP="005531BA">
            <w:r>
              <w:t xml:space="preserve">Scales </w:t>
            </w:r>
          </w:p>
        </w:tc>
        <w:tc>
          <w:tcPr>
            <w:tcW w:w="1317" w:type="dxa"/>
            <w:tcBorders>
              <w:top w:val="double" w:sz="4" w:space="0" w:color="auto"/>
              <w:bottom w:val="thinThickSmallGap" w:sz="24" w:space="0" w:color="auto"/>
            </w:tcBorders>
          </w:tcPr>
          <w:p w:rsidR="00F82887" w:rsidRDefault="00F82887" w:rsidP="005531BA">
            <w:r>
              <w:t>SCL-6</w:t>
            </w:r>
          </w:p>
        </w:tc>
        <w:tc>
          <w:tcPr>
            <w:tcW w:w="2193" w:type="dxa"/>
            <w:tcBorders>
              <w:top w:val="double" w:sz="4" w:space="0" w:color="auto"/>
              <w:bottom w:val="thinThickSmallGap" w:sz="24" w:space="0" w:color="auto"/>
            </w:tcBorders>
          </w:tcPr>
          <w:p w:rsidR="00F82887" w:rsidRDefault="00F82887" w:rsidP="00A13A36">
            <w:pPr>
              <w:spacing w:after="120"/>
            </w:pPr>
            <w:r>
              <w:t>S.1.2.2.3.</w:t>
            </w:r>
            <w:r w:rsidR="001E6669">
              <w:t xml:space="preserve"> Deactivation of “d” Resolution.</w:t>
            </w:r>
          </w:p>
        </w:tc>
        <w:tc>
          <w:tcPr>
            <w:tcW w:w="1532" w:type="dxa"/>
            <w:tcBorders>
              <w:top w:val="double" w:sz="4" w:space="0" w:color="auto"/>
              <w:bottom w:val="thinThickSmallGap" w:sz="24" w:space="0" w:color="auto"/>
            </w:tcBorders>
          </w:tcPr>
          <w:p w:rsidR="00F82887" w:rsidRDefault="00F82887" w:rsidP="00A13A36">
            <w:pPr>
              <w:spacing w:after="120"/>
            </w:pPr>
            <w:r>
              <w:t>Added</w:t>
            </w:r>
            <w:r w:rsidR="00490042">
              <w:t xml:space="preserve"> and renumber</w:t>
            </w:r>
            <w:r w:rsidR="00602E8E">
              <w:t>ed</w:t>
            </w:r>
            <w:r w:rsidR="00490042">
              <w:t xml:space="preserve"> subsequent paragraphs</w:t>
            </w:r>
          </w:p>
        </w:tc>
        <w:tc>
          <w:tcPr>
            <w:tcW w:w="793" w:type="dxa"/>
            <w:tcBorders>
              <w:top w:val="double" w:sz="4" w:space="0" w:color="auto"/>
              <w:bottom w:val="thinThickSmallGap" w:sz="24" w:space="0" w:color="auto"/>
            </w:tcBorders>
          </w:tcPr>
          <w:p w:rsidR="00F82887" w:rsidRDefault="00F82887" w:rsidP="005531BA">
            <w:r>
              <w:t>2-9</w:t>
            </w:r>
          </w:p>
        </w:tc>
      </w:tr>
      <w:tr w:rsidR="00F82887" w:rsidTr="006C3AD7">
        <w:tc>
          <w:tcPr>
            <w:tcW w:w="1335" w:type="dxa"/>
            <w:tcBorders>
              <w:top w:val="single" w:sz="6" w:space="0" w:color="auto"/>
              <w:bottom w:val="thinThickSmallGap" w:sz="24" w:space="0" w:color="auto"/>
            </w:tcBorders>
          </w:tcPr>
          <w:p w:rsidR="00F82887" w:rsidRDefault="00132205" w:rsidP="005531BA">
            <w:r>
              <w:t>2.22</w:t>
            </w:r>
            <w:r w:rsidR="00F82887">
              <w:t>.</w:t>
            </w:r>
          </w:p>
        </w:tc>
        <w:tc>
          <w:tcPr>
            <w:tcW w:w="2160" w:type="dxa"/>
            <w:tcBorders>
              <w:top w:val="single" w:sz="6" w:space="0" w:color="auto"/>
              <w:bottom w:val="thinThickSmallGap" w:sz="24" w:space="0" w:color="auto"/>
            </w:tcBorders>
          </w:tcPr>
          <w:p w:rsidR="00F82887" w:rsidRDefault="00F82887" w:rsidP="005531BA">
            <w:r>
              <w:t xml:space="preserve">Automatic Bulk Weighing Systems </w:t>
            </w:r>
          </w:p>
        </w:tc>
        <w:tc>
          <w:tcPr>
            <w:tcW w:w="1317" w:type="dxa"/>
            <w:tcBorders>
              <w:top w:val="single" w:sz="6" w:space="0" w:color="auto"/>
              <w:bottom w:val="thinThickSmallGap" w:sz="24" w:space="0" w:color="auto"/>
            </w:tcBorders>
          </w:tcPr>
          <w:p w:rsidR="00F82887" w:rsidRDefault="00F82887" w:rsidP="005531BA">
            <w:r>
              <w:t>ABW-4</w:t>
            </w:r>
          </w:p>
        </w:tc>
        <w:tc>
          <w:tcPr>
            <w:tcW w:w="2193" w:type="dxa"/>
            <w:tcBorders>
              <w:top w:val="thinThickSmallGap" w:sz="24" w:space="0" w:color="auto"/>
              <w:bottom w:val="thinThickSmallGap" w:sz="24" w:space="0" w:color="auto"/>
            </w:tcBorders>
          </w:tcPr>
          <w:p w:rsidR="00F82887" w:rsidRDefault="00F82887" w:rsidP="00A13A36">
            <w:pPr>
              <w:spacing w:after="120"/>
            </w:pPr>
            <w:r>
              <w:t xml:space="preserve">A.2. </w:t>
            </w:r>
            <w:r w:rsidR="002E5FA8">
              <w:t>Exceptions.</w:t>
            </w:r>
          </w:p>
        </w:tc>
        <w:tc>
          <w:tcPr>
            <w:tcW w:w="1532" w:type="dxa"/>
            <w:tcBorders>
              <w:top w:val="thinThickSmallGap" w:sz="24" w:space="0" w:color="auto"/>
              <w:bottom w:val="thinThickSmallGap" w:sz="24" w:space="0" w:color="auto"/>
            </w:tcBorders>
          </w:tcPr>
          <w:p w:rsidR="00602E8E" w:rsidRDefault="00F82887" w:rsidP="00602E8E">
            <w:r>
              <w:t>Added</w:t>
            </w:r>
            <w:r w:rsidR="00602E8E">
              <w:t xml:space="preserve"> and renumbered</w:t>
            </w:r>
          </w:p>
          <w:p w:rsidR="00F82887" w:rsidRDefault="006C3AD7" w:rsidP="00A13A36">
            <w:pPr>
              <w:spacing w:after="120"/>
            </w:pPr>
            <w:r>
              <w:t>subsequent paragraphs</w:t>
            </w:r>
          </w:p>
        </w:tc>
        <w:tc>
          <w:tcPr>
            <w:tcW w:w="793" w:type="dxa"/>
            <w:tcBorders>
              <w:top w:val="thinThickSmallGap" w:sz="24" w:space="0" w:color="auto"/>
              <w:bottom w:val="thinThickSmallGap" w:sz="24" w:space="0" w:color="auto"/>
            </w:tcBorders>
          </w:tcPr>
          <w:p w:rsidR="00F82887" w:rsidRDefault="00F82887" w:rsidP="005531BA">
            <w:r>
              <w:t>2-75</w:t>
            </w:r>
          </w:p>
        </w:tc>
      </w:tr>
      <w:tr w:rsidR="00F82887" w:rsidTr="006C3AD7">
        <w:tc>
          <w:tcPr>
            <w:tcW w:w="1335" w:type="dxa"/>
            <w:vMerge w:val="restart"/>
          </w:tcPr>
          <w:p w:rsidR="00F82887" w:rsidRDefault="00F82887" w:rsidP="005531BA">
            <w:r>
              <w:t>3.30.</w:t>
            </w:r>
          </w:p>
        </w:tc>
        <w:tc>
          <w:tcPr>
            <w:tcW w:w="2160" w:type="dxa"/>
            <w:vMerge w:val="restart"/>
          </w:tcPr>
          <w:p w:rsidR="00F82887" w:rsidRDefault="00F82887" w:rsidP="005531BA">
            <w:r>
              <w:t xml:space="preserve">Liquid-Measuring Devices </w:t>
            </w:r>
          </w:p>
        </w:tc>
        <w:tc>
          <w:tcPr>
            <w:tcW w:w="1317" w:type="dxa"/>
            <w:vMerge w:val="restart"/>
          </w:tcPr>
          <w:p w:rsidR="00F82887" w:rsidRDefault="00F82887" w:rsidP="005531BA">
            <w:r>
              <w:t>LMD-2</w:t>
            </w:r>
          </w:p>
        </w:tc>
        <w:tc>
          <w:tcPr>
            <w:tcW w:w="2193" w:type="dxa"/>
            <w:tcBorders>
              <w:top w:val="thinThickSmallGap" w:sz="24" w:space="0" w:color="auto"/>
            </w:tcBorders>
          </w:tcPr>
          <w:p w:rsidR="00F82887" w:rsidRDefault="00F82887" w:rsidP="00A13A36">
            <w:pPr>
              <w:spacing w:after="120"/>
            </w:pPr>
            <w:r>
              <w:t>S.1.6.7.</w:t>
            </w:r>
            <w:r w:rsidR="00006DAC">
              <w:t xml:space="preserve"> Recorded Representation</w:t>
            </w:r>
            <w:r w:rsidR="006C3AD7">
              <w:t>s</w:t>
            </w:r>
          </w:p>
        </w:tc>
        <w:tc>
          <w:tcPr>
            <w:tcW w:w="1532" w:type="dxa"/>
            <w:tcBorders>
              <w:top w:val="thinThickSmallGap" w:sz="24" w:space="0" w:color="auto"/>
            </w:tcBorders>
          </w:tcPr>
          <w:p w:rsidR="00F82887" w:rsidRDefault="00F82887" w:rsidP="00A13A36">
            <w:pPr>
              <w:spacing w:after="120"/>
            </w:pPr>
            <w:r>
              <w:t>Amended</w:t>
            </w:r>
          </w:p>
        </w:tc>
        <w:tc>
          <w:tcPr>
            <w:tcW w:w="793" w:type="dxa"/>
            <w:tcBorders>
              <w:top w:val="thinThickSmallGap" w:sz="24" w:space="0" w:color="auto"/>
            </w:tcBorders>
          </w:tcPr>
          <w:p w:rsidR="00F82887" w:rsidRDefault="00F82887" w:rsidP="005531BA">
            <w:r>
              <w:t>3-11</w:t>
            </w:r>
          </w:p>
        </w:tc>
      </w:tr>
      <w:tr w:rsidR="00F82887" w:rsidTr="00006DAC">
        <w:tc>
          <w:tcPr>
            <w:tcW w:w="1335" w:type="dxa"/>
            <w:vMerge/>
          </w:tcPr>
          <w:p w:rsidR="00F82887" w:rsidRDefault="00F82887" w:rsidP="005531BA"/>
        </w:tc>
        <w:tc>
          <w:tcPr>
            <w:tcW w:w="2160" w:type="dxa"/>
            <w:vMerge/>
          </w:tcPr>
          <w:p w:rsidR="00F82887" w:rsidRDefault="00F82887" w:rsidP="005531BA"/>
        </w:tc>
        <w:tc>
          <w:tcPr>
            <w:tcW w:w="1317" w:type="dxa"/>
            <w:vMerge/>
          </w:tcPr>
          <w:p w:rsidR="00F82887" w:rsidRDefault="00F82887" w:rsidP="005531BA"/>
        </w:tc>
        <w:tc>
          <w:tcPr>
            <w:tcW w:w="2193" w:type="dxa"/>
          </w:tcPr>
          <w:p w:rsidR="00F82887" w:rsidRDefault="00F82887" w:rsidP="00A13A36">
            <w:pPr>
              <w:spacing w:after="120"/>
            </w:pPr>
            <w:r>
              <w:t>S.1.6.8.</w:t>
            </w:r>
            <w:r w:rsidR="00006DAC">
              <w:t xml:space="preserve"> Recorded Representation</w:t>
            </w:r>
            <w:r w:rsidR="006C3AD7">
              <w:t>s</w:t>
            </w:r>
            <w:r w:rsidR="00006DAC">
              <w:t xml:space="preserve"> for Transactions Where a Post-Delivery Discount(s) is Provided.</w:t>
            </w:r>
          </w:p>
        </w:tc>
        <w:tc>
          <w:tcPr>
            <w:tcW w:w="1532" w:type="dxa"/>
          </w:tcPr>
          <w:p w:rsidR="00F82887" w:rsidRDefault="00F82887" w:rsidP="00A13A36">
            <w:pPr>
              <w:spacing w:after="120"/>
            </w:pPr>
            <w:r>
              <w:t>Amended</w:t>
            </w:r>
          </w:p>
        </w:tc>
        <w:tc>
          <w:tcPr>
            <w:tcW w:w="793" w:type="dxa"/>
          </w:tcPr>
          <w:p w:rsidR="00F82887" w:rsidRDefault="00F82887" w:rsidP="005531BA">
            <w:r>
              <w:t>3-11</w:t>
            </w:r>
          </w:p>
        </w:tc>
      </w:tr>
      <w:tr w:rsidR="00F82887" w:rsidTr="00D83F39">
        <w:tc>
          <w:tcPr>
            <w:tcW w:w="1335" w:type="dxa"/>
            <w:vMerge/>
            <w:tcBorders>
              <w:bottom w:val="thinThickSmallGap" w:sz="24" w:space="0" w:color="auto"/>
            </w:tcBorders>
          </w:tcPr>
          <w:p w:rsidR="00F82887" w:rsidRDefault="00F82887" w:rsidP="005531BA"/>
        </w:tc>
        <w:tc>
          <w:tcPr>
            <w:tcW w:w="2160" w:type="dxa"/>
            <w:vMerge/>
            <w:tcBorders>
              <w:bottom w:val="thinThickSmallGap" w:sz="24" w:space="0" w:color="auto"/>
            </w:tcBorders>
          </w:tcPr>
          <w:p w:rsidR="00F82887" w:rsidRDefault="00F82887" w:rsidP="005531BA"/>
        </w:tc>
        <w:tc>
          <w:tcPr>
            <w:tcW w:w="1317" w:type="dxa"/>
            <w:vMerge/>
            <w:tcBorders>
              <w:bottom w:val="thinThickSmallGap" w:sz="24" w:space="0" w:color="auto"/>
            </w:tcBorders>
          </w:tcPr>
          <w:p w:rsidR="00F82887" w:rsidRDefault="00F82887" w:rsidP="005531BA"/>
        </w:tc>
        <w:tc>
          <w:tcPr>
            <w:tcW w:w="2193" w:type="dxa"/>
            <w:tcBorders>
              <w:bottom w:val="thinThickSmallGap" w:sz="24" w:space="0" w:color="auto"/>
            </w:tcBorders>
          </w:tcPr>
          <w:p w:rsidR="00F82887" w:rsidRDefault="00F82887" w:rsidP="00A13A36">
            <w:pPr>
              <w:spacing w:after="120"/>
            </w:pPr>
            <w:r>
              <w:t>UR.3.4.</w:t>
            </w:r>
            <w:r w:rsidR="00D83F39">
              <w:t xml:space="preserve"> Printed Ticket.</w:t>
            </w:r>
          </w:p>
        </w:tc>
        <w:tc>
          <w:tcPr>
            <w:tcW w:w="1532" w:type="dxa"/>
            <w:tcBorders>
              <w:bottom w:val="thinThickSmallGap" w:sz="24" w:space="0" w:color="auto"/>
            </w:tcBorders>
          </w:tcPr>
          <w:p w:rsidR="00F82887" w:rsidRDefault="00F82887" w:rsidP="00A13A36">
            <w:pPr>
              <w:spacing w:after="120"/>
            </w:pPr>
            <w:r>
              <w:t>Amended</w:t>
            </w:r>
          </w:p>
        </w:tc>
        <w:tc>
          <w:tcPr>
            <w:tcW w:w="793" w:type="dxa"/>
            <w:tcBorders>
              <w:bottom w:val="thinThickSmallGap" w:sz="24" w:space="0" w:color="auto"/>
            </w:tcBorders>
          </w:tcPr>
          <w:p w:rsidR="00F82887" w:rsidRDefault="00F82887" w:rsidP="005531BA">
            <w:r>
              <w:t>3-2</w:t>
            </w:r>
            <w:r w:rsidR="00D83F39">
              <w:t>4</w:t>
            </w:r>
          </w:p>
        </w:tc>
      </w:tr>
      <w:tr w:rsidR="00A615F2" w:rsidTr="00D83F39">
        <w:tc>
          <w:tcPr>
            <w:tcW w:w="1335" w:type="dxa"/>
            <w:vMerge w:val="restart"/>
            <w:tcBorders>
              <w:top w:val="single" w:sz="6" w:space="0" w:color="auto"/>
            </w:tcBorders>
          </w:tcPr>
          <w:p w:rsidR="00A615F2" w:rsidRDefault="00A615F2" w:rsidP="005531BA">
            <w:r>
              <w:t xml:space="preserve">3.31. </w:t>
            </w:r>
          </w:p>
        </w:tc>
        <w:tc>
          <w:tcPr>
            <w:tcW w:w="2160" w:type="dxa"/>
            <w:vMerge w:val="restart"/>
            <w:tcBorders>
              <w:top w:val="single" w:sz="6" w:space="0" w:color="auto"/>
            </w:tcBorders>
          </w:tcPr>
          <w:p w:rsidR="00A615F2" w:rsidRDefault="00A615F2" w:rsidP="005531BA">
            <w:r>
              <w:t xml:space="preserve">Vehicle-Tank Meters </w:t>
            </w:r>
          </w:p>
        </w:tc>
        <w:tc>
          <w:tcPr>
            <w:tcW w:w="1317" w:type="dxa"/>
            <w:vMerge w:val="restart"/>
            <w:tcBorders>
              <w:top w:val="single" w:sz="6" w:space="0" w:color="auto"/>
            </w:tcBorders>
          </w:tcPr>
          <w:p w:rsidR="00A615F2" w:rsidRDefault="00A615F2" w:rsidP="005531BA">
            <w:r>
              <w:t>VTM-1</w:t>
            </w:r>
          </w:p>
        </w:tc>
        <w:tc>
          <w:tcPr>
            <w:tcW w:w="2193" w:type="dxa"/>
            <w:tcBorders>
              <w:top w:val="single" w:sz="6" w:space="0" w:color="auto"/>
            </w:tcBorders>
          </w:tcPr>
          <w:p w:rsidR="00A615F2" w:rsidRDefault="00A615F2" w:rsidP="00A13A36">
            <w:pPr>
              <w:spacing w:after="120"/>
            </w:pPr>
            <w:r>
              <w:t>S.3.1. Diversion of Measured Liquid.</w:t>
            </w:r>
          </w:p>
        </w:tc>
        <w:tc>
          <w:tcPr>
            <w:tcW w:w="1532" w:type="dxa"/>
            <w:tcBorders>
              <w:top w:val="single" w:sz="6" w:space="0" w:color="auto"/>
            </w:tcBorders>
          </w:tcPr>
          <w:p w:rsidR="00A615F2" w:rsidRDefault="00A615F2" w:rsidP="00A13A36">
            <w:pPr>
              <w:spacing w:after="120"/>
            </w:pPr>
            <w:r>
              <w:t>Amended</w:t>
            </w:r>
          </w:p>
        </w:tc>
        <w:tc>
          <w:tcPr>
            <w:tcW w:w="793" w:type="dxa"/>
            <w:tcBorders>
              <w:top w:val="single" w:sz="6" w:space="0" w:color="auto"/>
            </w:tcBorders>
          </w:tcPr>
          <w:p w:rsidR="00A615F2" w:rsidRDefault="00A615F2" w:rsidP="005531BA">
            <w:r>
              <w:t>3-36</w:t>
            </w:r>
          </w:p>
        </w:tc>
      </w:tr>
      <w:tr w:rsidR="00A615F2" w:rsidTr="00006DAC">
        <w:tc>
          <w:tcPr>
            <w:tcW w:w="1335" w:type="dxa"/>
            <w:vMerge/>
          </w:tcPr>
          <w:p w:rsidR="00A615F2" w:rsidRDefault="00A615F2" w:rsidP="005531BA"/>
        </w:tc>
        <w:tc>
          <w:tcPr>
            <w:tcW w:w="2160" w:type="dxa"/>
            <w:vMerge/>
          </w:tcPr>
          <w:p w:rsidR="00A615F2" w:rsidRDefault="00A615F2" w:rsidP="005531BA"/>
        </w:tc>
        <w:tc>
          <w:tcPr>
            <w:tcW w:w="1317" w:type="dxa"/>
            <w:vMerge/>
          </w:tcPr>
          <w:p w:rsidR="00A615F2" w:rsidRDefault="00A615F2" w:rsidP="005531BA"/>
        </w:tc>
        <w:tc>
          <w:tcPr>
            <w:tcW w:w="2193" w:type="dxa"/>
          </w:tcPr>
          <w:p w:rsidR="00A615F2" w:rsidRDefault="00A615F2" w:rsidP="00A13A36">
            <w:pPr>
              <w:spacing w:after="120"/>
            </w:pPr>
            <w:r>
              <w:t>S.3.1.1. Means for Clearing the Discharge Hose.</w:t>
            </w:r>
          </w:p>
        </w:tc>
        <w:tc>
          <w:tcPr>
            <w:tcW w:w="1532" w:type="dxa"/>
          </w:tcPr>
          <w:p w:rsidR="00A615F2" w:rsidRDefault="00A615F2" w:rsidP="00A13A36">
            <w:pPr>
              <w:spacing w:after="120"/>
            </w:pPr>
            <w:r>
              <w:t>Added</w:t>
            </w:r>
          </w:p>
        </w:tc>
        <w:tc>
          <w:tcPr>
            <w:tcW w:w="793" w:type="dxa"/>
          </w:tcPr>
          <w:p w:rsidR="00A615F2" w:rsidRDefault="00A615F2" w:rsidP="005531BA">
            <w:r>
              <w:t>3-37</w:t>
            </w:r>
          </w:p>
        </w:tc>
      </w:tr>
      <w:tr w:rsidR="00A615F2" w:rsidTr="00892093">
        <w:tc>
          <w:tcPr>
            <w:tcW w:w="1335" w:type="dxa"/>
            <w:vMerge/>
          </w:tcPr>
          <w:p w:rsidR="00A615F2" w:rsidRDefault="00A615F2" w:rsidP="005531BA"/>
        </w:tc>
        <w:tc>
          <w:tcPr>
            <w:tcW w:w="2160" w:type="dxa"/>
            <w:vMerge/>
          </w:tcPr>
          <w:p w:rsidR="00A615F2" w:rsidRDefault="00A615F2" w:rsidP="005531BA"/>
        </w:tc>
        <w:tc>
          <w:tcPr>
            <w:tcW w:w="1317" w:type="dxa"/>
            <w:vMerge/>
          </w:tcPr>
          <w:p w:rsidR="00A615F2" w:rsidRDefault="00A615F2" w:rsidP="005531BA"/>
        </w:tc>
        <w:tc>
          <w:tcPr>
            <w:tcW w:w="2193" w:type="dxa"/>
            <w:tcBorders>
              <w:bottom w:val="single" w:sz="6" w:space="0" w:color="auto"/>
            </w:tcBorders>
          </w:tcPr>
          <w:p w:rsidR="00A615F2" w:rsidRDefault="00A615F2" w:rsidP="00A13A36">
            <w:pPr>
              <w:spacing w:after="120"/>
            </w:pPr>
            <w:r>
              <w:t>UR.2.6. Clearing the Discharge Hose</w:t>
            </w:r>
            <w:r w:rsidR="00085B2B">
              <w:t>.</w:t>
            </w:r>
          </w:p>
        </w:tc>
        <w:tc>
          <w:tcPr>
            <w:tcW w:w="1532" w:type="dxa"/>
            <w:tcBorders>
              <w:bottom w:val="single" w:sz="6" w:space="0" w:color="auto"/>
            </w:tcBorders>
          </w:tcPr>
          <w:p w:rsidR="00A615F2" w:rsidRDefault="00A615F2" w:rsidP="00A13A36">
            <w:pPr>
              <w:spacing w:after="120"/>
            </w:pPr>
            <w:r>
              <w:t>Added</w:t>
            </w:r>
          </w:p>
        </w:tc>
        <w:tc>
          <w:tcPr>
            <w:tcW w:w="793" w:type="dxa"/>
            <w:tcBorders>
              <w:bottom w:val="single" w:sz="6" w:space="0" w:color="auto"/>
            </w:tcBorders>
          </w:tcPr>
          <w:p w:rsidR="00A615F2" w:rsidRDefault="00A615F2" w:rsidP="005531BA">
            <w:r>
              <w:t>3-43</w:t>
            </w:r>
          </w:p>
        </w:tc>
      </w:tr>
      <w:tr w:rsidR="00A615F2" w:rsidTr="001E3588">
        <w:tc>
          <w:tcPr>
            <w:tcW w:w="1335" w:type="dxa"/>
            <w:vMerge/>
            <w:tcBorders>
              <w:bottom w:val="thinThickSmallGap" w:sz="24" w:space="0" w:color="auto"/>
            </w:tcBorders>
          </w:tcPr>
          <w:p w:rsidR="00A615F2" w:rsidRDefault="00A615F2" w:rsidP="005531BA"/>
        </w:tc>
        <w:tc>
          <w:tcPr>
            <w:tcW w:w="2160" w:type="dxa"/>
            <w:vMerge/>
            <w:tcBorders>
              <w:bottom w:val="thinThickSmallGap" w:sz="24" w:space="0" w:color="auto"/>
            </w:tcBorders>
          </w:tcPr>
          <w:p w:rsidR="00A615F2" w:rsidRDefault="00A615F2" w:rsidP="005531BA"/>
        </w:tc>
        <w:tc>
          <w:tcPr>
            <w:tcW w:w="1317" w:type="dxa"/>
            <w:vMerge/>
            <w:tcBorders>
              <w:bottom w:val="thinThickSmallGap" w:sz="24" w:space="0" w:color="auto"/>
            </w:tcBorders>
          </w:tcPr>
          <w:p w:rsidR="00A615F2" w:rsidRDefault="00A615F2" w:rsidP="005531BA"/>
        </w:tc>
        <w:tc>
          <w:tcPr>
            <w:tcW w:w="2193" w:type="dxa"/>
            <w:tcBorders>
              <w:top w:val="single" w:sz="6" w:space="0" w:color="auto"/>
              <w:bottom w:val="thinThickSmallGap" w:sz="24" w:space="0" w:color="auto"/>
            </w:tcBorders>
          </w:tcPr>
          <w:p w:rsidR="00A615F2" w:rsidRDefault="00A615F2" w:rsidP="00A13A36">
            <w:pPr>
              <w:spacing w:after="120"/>
            </w:pPr>
            <w:r>
              <w:t>UR.2.6.1. Records</w:t>
            </w:r>
            <w:r w:rsidR="00085B2B">
              <w:t>.</w:t>
            </w:r>
          </w:p>
        </w:tc>
        <w:tc>
          <w:tcPr>
            <w:tcW w:w="1532" w:type="dxa"/>
            <w:tcBorders>
              <w:top w:val="single" w:sz="6" w:space="0" w:color="auto"/>
              <w:bottom w:val="thinThickSmallGap" w:sz="24" w:space="0" w:color="auto"/>
            </w:tcBorders>
          </w:tcPr>
          <w:p w:rsidR="00A615F2" w:rsidRDefault="00A615F2" w:rsidP="00A13A36">
            <w:pPr>
              <w:spacing w:after="120"/>
            </w:pPr>
            <w:r>
              <w:t>Added</w:t>
            </w:r>
          </w:p>
        </w:tc>
        <w:tc>
          <w:tcPr>
            <w:tcW w:w="793" w:type="dxa"/>
            <w:tcBorders>
              <w:top w:val="single" w:sz="6" w:space="0" w:color="auto"/>
              <w:bottom w:val="thinThickSmallGap" w:sz="24" w:space="0" w:color="auto"/>
            </w:tcBorders>
          </w:tcPr>
          <w:p w:rsidR="00A615F2" w:rsidRDefault="00A615F2" w:rsidP="005531BA">
            <w:r>
              <w:t>3-43</w:t>
            </w:r>
          </w:p>
        </w:tc>
      </w:tr>
      <w:tr w:rsidR="00BE5E56" w:rsidTr="001E3588">
        <w:tc>
          <w:tcPr>
            <w:tcW w:w="1335" w:type="dxa"/>
            <w:tcBorders>
              <w:top w:val="thinThickSmallGap" w:sz="24" w:space="0" w:color="auto"/>
              <w:bottom w:val="thinThickSmallGap" w:sz="24" w:space="0" w:color="auto"/>
            </w:tcBorders>
          </w:tcPr>
          <w:p w:rsidR="00BE5E56" w:rsidRDefault="00932AEF" w:rsidP="005531BA">
            <w:r>
              <w:t>3.32.</w:t>
            </w:r>
          </w:p>
        </w:tc>
        <w:tc>
          <w:tcPr>
            <w:tcW w:w="2160" w:type="dxa"/>
            <w:tcBorders>
              <w:top w:val="thinThickSmallGap" w:sz="24" w:space="0" w:color="auto"/>
              <w:bottom w:val="thinThickSmallGap" w:sz="24" w:space="0" w:color="auto"/>
            </w:tcBorders>
          </w:tcPr>
          <w:p w:rsidR="00BE5E56" w:rsidRDefault="00243514" w:rsidP="005531BA">
            <w:r>
              <w:t xml:space="preserve">LPG and Anhydrous Ammonia Liquid-Measuring Devices </w:t>
            </w:r>
          </w:p>
        </w:tc>
        <w:tc>
          <w:tcPr>
            <w:tcW w:w="1317" w:type="dxa"/>
            <w:tcBorders>
              <w:top w:val="thinThickSmallGap" w:sz="24" w:space="0" w:color="auto"/>
              <w:bottom w:val="thinThickSmallGap" w:sz="24" w:space="0" w:color="auto"/>
            </w:tcBorders>
          </w:tcPr>
          <w:p w:rsidR="00BE5E56" w:rsidRDefault="00243514" w:rsidP="005531BA">
            <w:r>
              <w:t>LPG-1</w:t>
            </w:r>
          </w:p>
        </w:tc>
        <w:tc>
          <w:tcPr>
            <w:tcW w:w="2193" w:type="dxa"/>
            <w:tcBorders>
              <w:top w:val="thinThickSmallGap" w:sz="24" w:space="0" w:color="auto"/>
              <w:bottom w:val="thinThickSmallGap" w:sz="24" w:space="0" w:color="auto"/>
            </w:tcBorders>
          </w:tcPr>
          <w:p w:rsidR="00BE5E56" w:rsidRDefault="00243514" w:rsidP="00A13A36">
            <w:pPr>
              <w:spacing w:after="120"/>
            </w:pPr>
            <w:r>
              <w:t>S.2.1.</w:t>
            </w:r>
            <w:r w:rsidR="00857438">
              <w:t xml:space="preserve"> Air/Vapor Elimination.</w:t>
            </w:r>
          </w:p>
        </w:tc>
        <w:tc>
          <w:tcPr>
            <w:tcW w:w="1532" w:type="dxa"/>
            <w:tcBorders>
              <w:top w:val="thinThickSmallGap" w:sz="24" w:space="0" w:color="auto"/>
              <w:bottom w:val="thinThickSmallGap" w:sz="24" w:space="0" w:color="auto"/>
            </w:tcBorders>
          </w:tcPr>
          <w:p w:rsidR="00BE5E56" w:rsidRDefault="00243514" w:rsidP="00A13A36">
            <w:pPr>
              <w:spacing w:after="120"/>
            </w:pPr>
            <w:r>
              <w:t>Amended</w:t>
            </w:r>
          </w:p>
        </w:tc>
        <w:tc>
          <w:tcPr>
            <w:tcW w:w="793" w:type="dxa"/>
            <w:tcBorders>
              <w:top w:val="thinThickSmallGap" w:sz="24" w:space="0" w:color="auto"/>
              <w:bottom w:val="thinThickSmallGap" w:sz="24" w:space="0" w:color="auto"/>
            </w:tcBorders>
          </w:tcPr>
          <w:p w:rsidR="00BE5E56" w:rsidRDefault="00243514" w:rsidP="005531BA">
            <w:r>
              <w:t>3-52</w:t>
            </w:r>
          </w:p>
        </w:tc>
      </w:tr>
      <w:tr w:rsidR="00BE5E56" w:rsidTr="00844F7F">
        <w:tc>
          <w:tcPr>
            <w:tcW w:w="1335" w:type="dxa"/>
            <w:tcBorders>
              <w:top w:val="single" w:sz="6" w:space="0" w:color="auto"/>
              <w:bottom w:val="thinThickSmallGap" w:sz="24" w:space="0" w:color="auto"/>
            </w:tcBorders>
          </w:tcPr>
          <w:p w:rsidR="00BE5E56" w:rsidRDefault="00974F4A" w:rsidP="00844F7F">
            <w:r>
              <w:t>3.34.</w:t>
            </w:r>
          </w:p>
        </w:tc>
        <w:tc>
          <w:tcPr>
            <w:tcW w:w="2160" w:type="dxa"/>
            <w:tcBorders>
              <w:top w:val="single" w:sz="6" w:space="0" w:color="auto"/>
              <w:bottom w:val="thinThickSmallGap" w:sz="24" w:space="0" w:color="auto"/>
            </w:tcBorders>
          </w:tcPr>
          <w:p w:rsidR="00BE5E56" w:rsidRDefault="00974F4A" w:rsidP="005531BA">
            <w:r>
              <w:t xml:space="preserve">Cryogenic Liquid-Measuring Devices </w:t>
            </w:r>
          </w:p>
        </w:tc>
        <w:tc>
          <w:tcPr>
            <w:tcW w:w="1317" w:type="dxa"/>
            <w:tcBorders>
              <w:top w:val="single" w:sz="6" w:space="0" w:color="auto"/>
              <w:bottom w:val="thinThickSmallGap" w:sz="24" w:space="0" w:color="auto"/>
            </w:tcBorders>
          </w:tcPr>
          <w:p w:rsidR="00BE5E56" w:rsidRDefault="00974F4A" w:rsidP="005531BA">
            <w:r>
              <w:t>CLM-3</w:t>
            </w:r>
          </w:p>
        </w:tc>
        <w:tc>
          <w:tcPr>
            <w:tcW w:w="2193" w:type="dxa"/>
            <w:tcBorders>
              <w:top w:val="single" w:sz="6" w:space="0" w:color="auto"/>
              <w:bottom w:val="thinThickSmallGap" w:sz="24" w:space="0" w:color="auto"/>
            </w:tcBorders>
          </w:tcPr>
          <w:p w:rsidR="00BE5E56" w:rsidRDefault="00974F4A" w:rsidP="00A13A36">
            <w:pPr>
              <w:spacing w:after="120"/>
            </w:pPr>
            <w:r>
              <w:t>S.2.1.</w:t>
            </w:r>
            <w:r w:rsidR="0070455E">
              <w:t xml:space="preserve"> Air/Vapor Elimination.</w:t>
            </w:r>
          </w:p>
        </w:tc>
        <w:tc>
          <w:tcPr>
            <w:tcW w:w="1532" w:type="dxa"/>
            <w:tcBorders>
              <w:top w:val="single" w:sz="6" w:space="0" w:color="auto"/>
              <w:bottom w:val="thinThickSmallGap" w:sz="24" w:space="0" w:color="auto"/>
            </w:tcBorders>
          </w:tcPr>
          <w:p w:rsidR="00BE5E56" w:rsidRDefault="00974F4A" w:rsidP="00A13A36">
            <w:pPr>
              <w:spacing w:after="120"/>
            </w:pPr>
            <w:r>
              <w:t>Amended</w:t>
            </w:r>
          </w:p>
        </w:tc>
        <w:tc>
          <w:tcPr>
            <w:tcW w:w="793" w:type="dxa"/>
            <w:tcBorders>
              <w:top w:val="single" w:sz="6" w:space="0" w:color="auto"/>
              <w:bottom w:val="thinThickSmallGap" w:sz="24" w:space="0" w:color="auto"/>
            </w:tcBorders>
          </w:tcPr>
          <w:p w:rsidR="00BE5E56" w:rsidRDefault="00974F4A" w:rsidP="005531BA">
            <w:r>
              <w:t>3-77</w:t>
            </w:r>
          </w:p>
        </w:tc>
      </w:tr>
      <w:tr w:rsidR="004D7020" w:rsidTr="00006DAC">
        <w:tc>
          <w:tcPr>
            <w:tcW w:w="1335" w:type="dxa"/>
            <w:vMerge w:val="restart"/>
          </w:tcPr>
          <w:p w:rsidR="004D7020" w:rsidRDefault="004D7020" w:rsidP="005531BA">
            <w:r>
              <w:t>3.36.</w:t>
            </w:r>
          </w:p>
        </w:tc>
        <w:tc>
          <w:tcPr>
            <w:tcW w:w="2160" w:type="dxa"/>
            <w:vMerge w:val="restart"/>
          </w:tcPr>
          <w:p w:rsidR="004D7020" w:rsidRDefault="004D7020" w:rsidP="005531BA">
            <w:r>
              <w:t>Water Meters</w:t>
            </w:r>
          </w:p>
        </w:tc>
        <w:tc>
          <w:tcPr>
            <w:tcW w:w="1317" w:type="dxa"/>
            <w:vMerge w:val="restart"/>
          </w:tcPr>
          <w:p w:rsidR="004D7020" w:rsidRDefault="004D7020" w:rsidP="005531BA">
            <w:r>
              <w:t>WTR-2</w:t>
            </w:r>
          </w:p>
        </w:tc>
        <w:tc>
          <w:tcPr>
            <w:tcW w:w="2193" w:type="dxa"/>
          </w:tcPr>
          <w:p w:rsidR="004D7020" w:rsidRDefault="004D7020" w:rsidP="00A13A36">
            <w:pPr>
              <w:spacing w:after="120"/>
            </w:pPr>
            <w:r>
              <w:t>S.2.1.</w:t>
            </w:r>
            <w:r w:rsidR="00A45015">
              <w:t xml:space="preserve"> </w:t>
            </w:r>
            <w:r w:rsidR="00844F7F">
              <w:t>Provisions for Sealing</w:t>
            </w:r>
            <w:r w:rsidR="00314226">
              <w:t>.</w:t>
            </w:r>
          </w:p>
        </w:tc>
        <w:tc>
          <w:tcPr>
            <w:tcW w:w="1532" w:type="dxa"/>
          </w:tcPr>
          <w:p w:rsidR="004D7020" w:rsidRDefault="004D7020" w:rsidP="00A13A36">
            <w:pPr>
              <w:spacing w:after="120"/>
            </w:pPr>
            <w:r>
              <w:t>Amended</w:t>
            </w:r>
          </w:p>
        </w:tc>
        <w:tc>
          <w:tcPr>
            <w:tcW w:w="793" w:type="dxa"/>
          </w:tcPr>
          <w:p w:rsidR="004D7020" w:rsidRDefault="004D7020" w:rsidP="005531BA">
            <w:r>
              <w:t>3-</w:t>
            </w:r>
            <w:r w:rsidR="00B57844">
              <w:t>99</w:t>
            </w:r>
          </w:p>
        </w:tc>
      </w:tr>
      <w:tr w:rsidR="004D7020" w:rsidTr="00314226">
        <w:tc>
          <w:tcPr>
            <w:tcW w:w="1335" w:type="dxa"/>
            <w:vMerge/>
            <w:tcBorders>
              <w:bottom w:val="thinThickSmallGap" w:sz="24" w:space="0" w:color="auto"/>
            </w:tcBorders>
          </w:tcPr>
          <w:p w:rsidR="004D7020" w:rsidRDefault="004D7020" w:rsidP="005531BA"/>
        </w:tc>
        <w:tc>
          <w:tcPr>
            <w:tcW w:w="2160" w:type="dxa"/>
            <w:vMerge/>
            <w:tcBorders>
              <w:bottom w:val="thinThickSmallGap" w:sz="24" w:space="0" w:color="auto"/>
            </w:tcBorders>
          </w:tcPr>
          <w:p w:rsidR="004D7020" w:rsidRDefault="004D7020" w:rsidP="005531BA"/>
        </w:tc>
        <w:tc>
          <w:tcPr>
            <w:tcW w:w="1317" w:type="dxa"/>
            <w:vMerge/>
            <w:tcBorders>
              <w:bottom w:val="thinThickSmallGap" w:sz="24" w:space="0" w:color="auto"/>
            </w:tcBorders>
          </w:tcPr>
          <w:p w:rsidR="004D7020" w:rsidRDefault="004D7020" w:rsidP="005531BA"/>
        </w:tc>
        <w:tc>
          <w:tcPr>
            <w:tcW w:w="2193" w:type="dxa"/>
            <w:tcBorders>
              <w:bottom w:val="thinThickSmallGap" w:sz="24" w:space="0" w:color="auto"/>
            </w:tcBorders>
          </w:tcPr>
          <w:p w:rsidR="004D7020" w:rsidRDefault="004D7020" w:rsidP="00A13A36">
            <w:pPr>
              <w:tabs>
                <w:tab w:val="right" w:pos="1977"/>
              </w:tabs>
              <w:spacing w:after="120"/>
            </w:pPr>
            <w:r>
              <w:t>Table S.2.1.</w:t>
            </w:r>
            <w:r w:rsidR="00B57844">
              <w:t xml:space="preserve"> Categories of Device and Methods of Sealing</w:t>
            </w:r>
            <w:r w:rsidR="00314226">
              <w:t>.</w:t>
            </w:r>
            <w:r w:rsidR="00B57844">
              <w:tab/>
            </w:r>
          </w:p>
        </w:tc>
        <w:tc>
          <w:tcPr>
            <w:tcW w:w="1532" w:type="dxa"/>
            <w:tcBorders>
              <w:bottom w:val="thinThickSmallGap" w:sz="24" w:space="0" w:color="auto"/>
            </w:tcBorders>
          </w:tcPr>
          <w:p w:rsidR="004D7020" w:rsidRDefault="004D7020" w:rsidP="00A13A36">
            <w:pPr>
              <w:spacing w:after="120"/>
            </w:pPr>
            <w:r>
              <w:t>Added</w:t>
            </w:r>
          </w:p>
        </w:tc>
        <w:tc>
          <w:tcPr>
            <w:tcW w:w="793" w:type="dxa"/>
            <w:tcBorders>
              <w:bottom w:val="thinThickSmallGap" w:sz="24" w:space="0" w:color="auto"/>
            </w:tcBorders>
          </w:tcPr>
          <w:p w:rsidR="004D7020" w:rsidRDefault="004D7020" w:rsidP="005531BA">
            <w:r>
              <w:t>3-99</w:t>
            </w:r>
          </w:p>
        </w:tc>
      </w:tr>
      <w:tr w:rsidR="004D7020" w:rsidTr="00844F7F">
        <w:tc>
          <w:tcPr>
            <w:tcW w:w="1335" w:type="dxa"/>
            <w:tcBorders>
              <w:top w:val="single" w:sz="6" w:space="0" w:color="auto"/>
              <w:bottom w:val="thinThickSmallGap" w:sz="24" w:space="0" w:color="auto"/>
            </w:tcBorders>
          </w:tcPr>
          <w:p w:rsidR="004D7020" w:rsidRDefault="00876E29" w:rsidP="005531BA">
            <w:r>
              <w:lastRenderedPageBreak/>
              <w:t>3.38.</w:t>
            </w:r>
          </w:p>
        </w:tc>
        <w:tc>
          <w:tcPr>
            <w:tcW w:w="2160" w:type="dxa"/>
            <w:tcBorders>
              <w:top w:val="single" w:sz="6" w:space="0" w:color="auto"/>
              <w:bottom w:val="thinThickSmallGap" w:sz="24" w:space="0" w:color="auto"/>
            </w:tcBorders>
          </w:tcPr>
          <w:p w:rsidR="004D7020" w:rsidRDefault="00876E29" w:rsidP="005531BA">
            <w:r>
              <w:t xml:space="preserve">Carbon Dioxide Liquid-Measuring Devices </w:t>
            </w:r>
          </w:p>
        </w:tc>
        <w:tc>
          <w:tcPr>
            <w:tcW w:w="1317" w:type="dxa"/>
            <w:tcBorders>
              <w:top w:val="single" w:sz="6" w:space="0" w:color="auto"/>
              <w:bottom w:val="thinThickSmallGap" w:sz="24" w:space="0" w:color="auto"/>
            </w:tcBorders>
          </w:tcPr>
          <w:p w:rsidR="004D7020" w:rsidRDefault="00876E29" w:rsidP="005531BA">
            <w:r>
              <w:t>CDL-3</w:t>
            </w:r>
          </w:p>
        </w:tc>
        <w:tc>
          <w:tcPr>
            <w:tcW w:w="2193" w:type="dxa"/>
            <w:tcBorders>
              <w:top w:val="single" w:sz="6" w:space="0" w:color="auto"/>
              <w:bottom w:val="thinThickSmallGap" w:sz="24" w:space="0" w:color="auto"/>
            </w:tcBorders>
          </w:tcPr>
          <w:p w:rsidR="004D7020" w:rsidRDefault="00876E29" w:rsidP="00A13A36">
            <w:pPr>
              <w:spacing w:after="120"/>
            </w:pPr>
            <w:r>
              <w:t xml:space="preserve">S.2.1. </w:t>
            </w:r>
            <w:r w:rsidR="00314226">
              <w:t>Air/Vapor Elimination.</w:t>
            </w:r>
          </w:p>
        </w:tc>
        <w:tc>
          <w:tcPr>
            <w:tcW w:w="1532" w:type="dxa"/>
            <w:tcBorders>
              <w:top w:val="single" w:sz="6" w:space="0" w:color="auto"/>
              <w:bottom w:val="thinThickSmallGap" w:sz="24" w:space="0" w:color="auto"/>
            </w:tcBorders>
          </w:tcPr>
          <w:p w:rsidR="004D7020" w:rsidRDefault="00876E29" w:rsidP="00A13A36">
            <w:pPr>
              <w:spacing w:after="120"/>
            </w:pPr>
            <w:r>
              <w:t>Amended</w:t>
            </w:r>
          </w:p>
        </w:tc>
        <w:tc>
          <w:tcPr>
            <w:tcW w:w="793" w:type="dxa"/>
            <w:tcBorders>
              <w:top w:val="single" w:sz="6" w:space="0" w:color="auto"/>
              <w:bottom w:val="thinThickSmallGap" w:sz="24" w:space="0" w:color="auto"/>
            </w:tcBorders>
          </w:tcPr>
          <w:p w:rsidR="004D7020" w:rsidRDefault="00876E29" w:rsidP="005531BA">
            <w:r>
              <w:t>3-125</w:t>
            </w:r>
          </w:p>
        </w:tc>
      </w:tr>
      <w:tr w:rsidR="00844F7F" w:rsidTr="00A269A1">
        <w:tc>
          <w:tcPr>
            <w:tcW w:w="1335" w:type="dxa"/>
            <w:vMerge w:val="restart"/>
            <w:tcBorders>
              <w:top w:val="thinThickSmallGap" w:sz="24" w:space="0" w:color="auto"/>
            </w:tcBorders>
          </w:tcPr>
          <w:p w:rsidR="00844F7F" w:rsidRDefault="00844F7F" w:rsidP="00284C62">
            <w:pPr>
              <w:keepNext/>
            </w:pPr>
            <w:r>
              <w:t>5.54.</w:t>
            </w:r>
          </w:p>
        </w:tc>
        <w:tc>
          <w:tcPr>
            <w:tcW w:w="2160" w:type="dxa"/>
            <w:vMerge w:val="restart"/>
            <w:tcBorders>
              <w:top w:val="thinThickSmallGap" w:sz="24" w:space="0" w:color="auto"/>
            </w:tcBorders>
          </w:tcPr>
          <w:p w:rsidR="00844F7F" w:rsidRDefault="00844F7F" w:rsidP="00284C62">
            <w:pPr>
              <w:keepNext/>
            </w:pPr>
            <w:r>
              <w:t xml:space="preserve">Taximeters </w:t>
            </w:r>
          </w:p>
        </w:tc>
        <w:tc>
          <w:tcPr>
            <w:tcW w:w="1317" w:type="dxa"/>
            <w:vMerge w:val="restart"/>
            <w:tcBorders>
              <w:top w:val="thinThickSmallGap" w:sz="24" w:space="0" w:color="auto"/>
            </w:tcBorders>
          </w:tcPr>
          <w:p w:rsidR="00844F7F" w:rsidRDefault="00844F7F" w:rsidP="00A269A1">
            <w:pPr>
              <w:keepNext/>
            </w:pPr>
            <w:r>
              <w:t>TXI-1</w:t>
            </w:r>
          </w:p>
        </w:tc>
        <w:tc>
          <w:tcPr>
            <w:tcW w:w="2193" w:type="dxa"/>
            <w:tcBorders>
              <w:top w:val="thinThickSmallGap" w:sz="24" w:space="0" w:color="auto"/>
              <w:bottom w:val="single" w:sz="4" w:space="0" w:color="auto"/>
            </w:tcBorders>
          </w:tcPr>
          <w:p w:rsidR="00844F7F" w:rsidRDefault="00844F7F" w:rsidP="00A13A36">
            <w:pPr>
              <w:keepNext/>
              <w:spacing w:after="120"/>
            </w:pPr>
            <w:r>
              <w:t>S.1.2.2. Distance Mechanism.</w:t>
            </w:r>
          </w:p>
        </w:tc>
        <w:tc>
          <w:tcPr>
            <w:tcW w:w="1532" w:type="dxa"/>
            <w:tcBorders>
              <w:top w:val="thinThickSmallGap" w:sz="24" w:space="0" w:color="auto"/>
              <w:bottom w:val="single" w:sz="4" w:space="0" w:color="auto"/>
            </w:tcBorders>
          </w:tcPr>
          <w:p w:rsidR="00844F7F" w:rsidRDefault="00844F7F" w:rsidP="00A13A36">
            <w:pPr>
              <w:keepNext/>
              <w:spacing w:after="120"/>
            </w:pPr>
            <w:r>
              <w:t>Amended</w:t>
            </w:r>
          </w:p>
        </w:tc>
        <w:tc>
          <w:tcPr>
            <w:tcW w:w="793" w:type="dxa"/>
            <w:tcBorders>
              <w:top w:val="thinThickSmallGap" w:sz="24" w:space="0" w:color="auto"/>
              <w:bottom w:val="single" w:sz="4" w:space="0" w:color="auto"/>
            </w:tcBorders>
          </w:tcPr>
          <w:p w:rsidR="00844F7F" w:rsidRDefault="00844F7F" w:rsidP="00844F7F">
            <w:pPr>
              <w:keepNext/>
            </w:pPr>
            <w:r>
              <w:t>5-28</w:t>
            </w:r>
          </w:p>
        </w:tc>
      </w:tr>
      <w:tr w:rsidR="00844F7F" w:rsidTr="00EB3E76">
        <w:tc>
          <w:tcPr>
            <w:tcW w:w="1335" w:type="dxa"/>
            <w:vMerge/>
            <w:tcBorders>
              <w:bottom w:val="thinThickSmallGap" w:sz="24" w:space="0" w:color="auto"/>
            </w:tcBorders>
          </w:tcPr>
          <w:p w:rsidR="00844F7F" w:rsidRDefault="00844F7F" w:rsidP="00844F7F">
            <w:pPr>
              <w:keepNext/>
            </w:pPr>
          </w:p>
        </w:tc>
        <w:tc>
          <w:tcPr>
            <w:tcW w:w="2160" w:type="dxa"/>
            <w:vMerge/>
            <w:tcBorders>
              <w:bottom w:val="thinThickSmallGap" w:sz="24" w:space="0" w:color="auto"/>
            </w:tcBorders>
          </w:tcPr>
          <w:p w:rsidR="00844F7F" w:rsidRDefault="00844F7F" w:rsidP="00844F7F">
            <w:pPr>
              <w:keepNext/>
            </w:pPr>
          </w:p>
        </w:tc>
        <w:tc>
          <w:tcPr>
            <w:tcW w:w="1317" w:type="dxa"/>
            <w:vMerge/>
            <w:tcBorders>
              <w:bottom w:val="thinThickSmallGap" w:sz="24" w:space="0" w:color="auto"/>
            </w:tcBorders>
          </w:tcPr>
          <w:p w:rsidR="00844F7F" w:rsidRDefault="00844F7F" w:rsidP="00844F7F">
            <w:pPr>
              <w:keepNext/>
            </w:pPr>
          </w:p>
        </w:tc>
        <w:tc>
          <w:tcPr>
            <w:tcW w:w="2193" w:type="dxa"/>
            <w:tcBorders>
              <w:top w:val="single" w:sz="4" w:space="0" w:color="auto"/>
              <w:bottom w:val="thinThickSmallGap" w:sz="24" w:space="0" w:color="auto"/>
            </w:tcBorders>
          </w:tcPr>
          <w:p w:rsidR="00844F7F" w:rsidRDefault="00844F7F" w:rsidP="00A13A36">
            <w:pPr>
              <w:keepNext/>
              <w:spacing w:after="120"/>
            </w:pPr>
            <w:r>
              <w:t>S.1.5.3. Distance Not Recording.</w:t>
            </w:r>
          </w:p>
        </w:tc>
        <w:tc>
          <w:tcPr>
            <w:tcW w:w="1532" w:type="dxa"/>
            <w:tcBorders>
              <w:top w:val="single" w:sz="4" w:space="0" w:color="auto"/>
              <w:bottom w:val="thinThickSmallGap" w:sz="24" w:space="0" w:color="auto"/>
            </w:tcBorders>
          </w:tcPr>
          <w:p w:rsidR="00844F7F" w:rsidRDefault="00844F7F" w:rsidP="00A13A36">
            <w:pPr>
              <w:keepNext/>
              <w:spacing w:after="120"/>
            </w:pPr>
            <w:r>
              <w:t>Amended</w:t>
            </w:r>
          </w:p>
        </w:tc>
        <w:tc>
          <w:tcPr>
            <w:tcW w:w="793" w:type="dxa"/>
            <w:tcBorders>
              <w:top w:val="single" w:sz="4" w:space="0" w:color="auto"/>
              <w:bottom w:val="thinThickSmallGap" w:sz="24" w:space="0" w:color="auto"/>
            </w:tcBorders>
          </w:tcPr>
          <w:p w:rsidR="00844F7F" w:rsidRDefault="00844F7F" w:rsidP="00844F7F">
            <w:pPr>
              <w:keepNext/>
            </w:pPr>
            <w:r>
              <w:t>5-29</w:t>
            </w:r>
          </w:p>
        </w:tc>
      </w:tr>
      <w:tr w:rsidR="00876E29" w:rsidTr="00CD1CF9">
        <w:trPr>
          <w:trHeight w:val="333"/>
        </w:trPr>
        <w:tc>
          <w:tcPr>
            <w:tcW w:w="1335" w:type="dxa"/>
          </w:tcPr>
          <w:p w:rsidR="00876E29" w:rsidRDefault="00876E29" w:rsidP="005531BA">
            <w:r>
              <w:t>Appendix D</w:t>
            </w:r>
          </w:p>
        </w:tc>
        <w:tc>
          <w:tcPr>
            <w:tcW w:w="2160" w:type="dxa"/>
          </w:tcPr>
          <w:p w:rsidR="00876E29" w:rsidRDefault="00876E29" w:rsidP="005531BA">
            <w:r>
              <w:t>Definitions</w:t>
            </w:r>
          </w:p>
        </w:tc>
        <w:tc>
          <w:tcPr>
            <w:tcW w:w="1317" w:type="dxa"/>
          </w:tcPr>
          <w:p w:rsidR="00876E29" w:rsidRDefault="00876E29" w:rsidP="005531BA">
            <w:r>
              <w:t>ABW-4</w:t>
            </w:r>
          </w:p>
        </w:tc>
        <w:tc>
          <w:tcPr>
            <w:tcW w:w="2193" w:type="dxa"/>
          </w:tcPr>
          <w:p w:rsidR="00876E29" w:rsidRDefault="00876E29" w:rsidP="005531BA">
            <w:r>
              <w:t>batching systems</w:t>
            </w:r>
          </w:p>
        </w:tc>
        <w:tc>
          <w:tcPr>
            <w:tcW w:w="1532" w:type="dxa"/>
          </w:tcPr>
          <w:p w:rsidR="00876E29" w:rsidRDefault="00876E29" w:rsidP="00A13A36">
            <w:pPr>
              <w:spacing w:after="120"/>
            </w:pPr>
            <w:r>
              <w:t>Added</w:t>
            </w:r>
          </w:p>
        </w:tc>
        <w:tc>
          <w:tcPr>
            <w:tcW w:w="793" w:type="dxa"/>
          </w:tcPr>
          <w:p w:rsidR="00876E29" w:rsidRDefault="00876E29" w:rsidP="005531BA">
            <w:r>
              <w:t>D-7</w:t>
            </w:r>
          </w:p>
        </w:tc>
      </w:tr>
    </w:tbl>
    <w:p w:rsidR="005B66C2" w:rsidRDefault="005B66C2" w:rsidP="00C8506C"/>
    <w:p w:rsidR="00C36981" w:rsidRDefault="00C36981">
      <w:pPr>
        <w:autoSpaceDE/>
        <w:autoSpaceDN/>
        <w:adjustRightInd/>
      </w:pPr>
      <w:r>
        <w:br w:type="page"/>
      </w:r>
    </w:p>
    <w:tbl>
      <w:tblPr>
        <w:tblStyle w:val="TableGrid"/>
        <w:tblW w:w="95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2018 Editorial Changes"/>
        <w:tblDescription w:val="List of editorial changes made to NIST Handbook 44"/>
      </w:tblPr>
      <w:tblGrid>
        <w:gridCol w:w="1440"/>
        <w:gridCol w:w="1751"/>
        <w:gridCol w:w="2124"/>
        <w:gridCol w:w="3123"/>
        <w:gridCol w:w="1104"/>
      </w:tblGrid>
      <w:tr w:rsidR="001F3053" w:rsidTr="00002A46">
        <w:trPr>
          <w:trHeight w:val="92"/>
          <w:tblHeader/>
          <w:jc w:val="center"/>
        </w:trPr>
        <w:tc>
          <w:tcPr>
            <w:tcW w:w="9542" w:type="dxa"/>
            <w:gridSpan w:val="5"/>
            <w:tcBorders>
              <w:top w:val="nil"/>
              <w:left w:val="nil"/>
              <w:bottom w:val="double" w:sz="4" w:space="0" w:color="auto"/>
              <w:right w:val="nil"/>
            </w:tcBorders>
            <w:vAlign w:val="center"/>
          </w:tcPr>
          <w:p w:rsidR="001F3053" w:rsidRPr="009357A0" w:rsidRDefault="001F3053" w:rsidP="003515E8">
            <w:pPr>
              <w:pStyle w:val="Heading1"/>
            </w:pPr>
            <w:bookmarkStart w:id="2" w:name="Editorial"/>
            <w:r w:rsidRPr="009357A0">
              <w:lastRenderedPageBreak/>
              <w:t>201</w:t>
            </w:r>
            <w:r w:rsidR="0012381A">
              <w:t>8</w:t>
            </w:r>
            <w:r w:rsidRPr="009357A0">
              <w:t xml:space="preserve"> Editorial Changes</w:t>
            </w:r>
            <w:bookmarkEnd w:id="2"/>
          </w:p>
        </w:tc>
      </w:tr>
      <w:tr w:rsidR="001F3053" w:rsidTr="00A472B6">
        <w:trPr>
          <w:tblHeader/>
          <w:jc w:val="center"/>
        </w:trPr>
        <w:tc>
          <w:tcPr>
            <w:tcW w:w="1440" w:type="dxa"/>
            <w:tcBorders>
              <w:top w:val="double" w:sz="4" w:space="0" w:color="auto"/>
              <w:bottom w:val="double" w:sz="4" w:space="0" w:color="auto"/>
            </w:tcBorders>
            <w:vAlign w:val="center"/>
          </w:tcPr>
          <w:p w:rsidR="001F3053" w:rsidRDefault="001F3053" w:rsidP="003515E8">
            <w:pPr>
              <w:pStyle w:val="TableHeaderCtrB"/>
              <w:rPr>
                <w:sz w:val="24"/>
              </w:rPr>
            </w:pPr>
            <w:r w:rsidRPr="00107C92">
              <w:t>SECTION</w:t>
            </w:r>
          </w:p>
        </w:tc>
        <w:tc>
          <w:tcPr>
            <w:tcW w:w="1751" w:type="dxa"/>
            <w:tcBorders>
              <w:top w:val="double" w:sz="4" w:space="0" w:color="auto"/>
              <w:bottom w:val="double" w:sz="4" w:space="0" w:color="auto"/>
            </w:tcBorders>
            <w:vAlign w:val="center"/>
          </w:tcPr>
          <w:p w:rsidR="001F3053" w:rsidRDefault="001F3053" w:rsidP="003515E8">
            <w:pPr>
              <w:pStyle w:val="TableHeaderCtrB"/>
              <w:rPr>
                <w:sz w:val="24"/>
              </w:rPr>
            </w:pPr>
            <w:r w:rsidRPr="00107C92">
              <w:t>CODE</w:t>
            </w:r>
          </w:p>
        </w:tc>
        <w:tc>
          <w:tcPr>
            <w:tcW w:w="2124" w:type="dxa"/>
            <w:tcBorders>
              <w:top w:val="double" w:sz="4" w:space="0" w:color="auto"/>
              <w:bottom w:val="double" w:sz="4" w:space="0" w:color="auto"/>
            </w:tcBorders>
            <w:vAlign w:val="center"/>
          </w:tcPr>
          <w:p w:rsidR="001F3053" w:rsidRDefault="001F3053" w:rsidP="003515E8">
            <w:pPr>
              <w:pStyle w:val="TableHeaderCtrB"/>
              <w:rPr>
                <w:sz w:val="24"/>
              </w:rPr>
            </w:pPr>
            <w:r w:rsidRPr="00107C92">
              <w:t>PARAGRAPH</w:t>
            </w:r>
          </w:p>
        </w:tc>
        <w:tc>
          <w:tcPr>
            <w:tcW w:w="3123" w:type="dxa"/>
            <w:tcBorders>
              <w:top w:val="double" w:sz="4" w:space="0" w:color="auto"/>
              <w:bottom w:val="double" w:sz="4" w:space="0" w:color="auto"/>
            </w:tcBorders>
            <w:vAlign w:val="center"/>
          </w:tcPr>
          <w:p w:rsidR="001F3053" w:rsidRDefault="001F3053" w:rsidP="003515E8">
            <w:pPr>
              <w:pStyle w:val="TableHeaderCtrB"/>
              <w:rPr>
                <w:sz w:val="24"/>
              </w:rPr>
            </w:pPr>
            <w:r w:rsidRPr="00107C92">
              <w:t>ACTION</w:t>
            </w:r>
          </w:p>
        </w:tc>
        <w:tc>
          <w:tcPr>
            <w:tcW w:w="1104" w:type="dxa"/>
            <w:tcBorders>
              <w:top w:val="double" w:sz="4" w:space="0" w:color="auto"/>
              <w:bottom w:val="double" w:sz="4" w:space="0" w:color="auto"/>
            </w:tcBorders>
            <w:vAlign w:val="center"/>
          </w:tcPr>
          <w:p w:rsidR="001F3053" w:rsidRDefault="001F3053" w:rsidP="003515E8">
            <w:pPr>
              <w:pStyle w:val="TableHeaderCtrB"/>
              <w:rPr>
                <w:sz w:val="24"/>
              </w:rPr>
            </w:pPr>
            <w:r w:rsidRPr="00107C92">
              <w:t>PAGE</w:t>
            </w:r>
          </w:p>
        </w:tc>
      </w:tr>
      <w:tr w:rsidR="00474DD7" w:rsidTr="00A472B6">
        <w:trPr>
          <w:trHeight w:val="1027"/>
          <w:jc w:val="center"/>
        </w:trPr>
        <w:tc>
          <w:tcPr>
            <w:tcW w:w="1440" w:type="dxa"/>
            <w:tcBorders>
              <w:top w:val="double" w:sz="4" w:space="0" w:color="auto"/>
              <w:left w:val="double" w:sz="4" w:space="0" w:color="auto"/>
              <w:bottom w:val="thinThickSmallGap" w:sz="24" w:space="0" w:color="auto"/>
              <w:right w:val="single" w:sz="4" w:space="0" w:color="auto"/>
            </w:tcBorders>
          </w:tcPr>
          <w:p w:rsidR="00474DD7" w:rsidRDefault="00474DD7" w:rsidP="00A13A36">
            <w:pPr>
              <w:spacing w:after="120"/>
            </w:pPr>
            <w:r>
              <w:t>3.34.</w:t>
            </w:r>
          </w:p>
        </w:tc>
        <w:tc>
          <w:tcPr>
            <w:tcW w:w="1751" w:type="dxa"/>
            <w:tcBorders>
              <w:top w:val="double" w:sz="4" w:space="0" w:color="auto"/>
              <w:left w:val="single" w:sz="4" w:space="0" w:color="auto"/>
              <w:bottom w:val="thinThickSmallGap" w:sz="24" w:space="0" w:color="auto"/>
              <w:right w:val="single" w:sz="4" w:space="0" w:color="auto"/>
            </w:tcBorders>
          </w:tcPr>
          <w:p w:rsidR="00474DD7" w:rsidRDefault="00474DD7" w:rsidP="00A13A36">
            <w:pPr>
              <w:spacing w:after="120"/>
            </w:pPr>
            <w:r>
              <w:t>Cryogenic Liquid-Measuring Devices</w:t>
            </w:r>
          </w:p>
        </w:tc>
        <w:tc>
          <w:tcPr>
            <w:tcW w:w="2124" w:type="dxa"/>
            <w:tcBorders>
              <w:top w:val="double" w:sz="4" w:space="0" w:color="auto"/>
              <w:left w:val="single" w:sz="4" w:space="0" w:color="auto"/>
              <w:bottom w:val="thinThickSmallGap" w:sz="24" w:space="0" w:color="auto"/>
              <w:right w:val="single" w:sz="4" w:space="0" w:color="auto"/>
            </w:tcBorders>
          </w:tcPr>
          <w:p w:rsidR="00474DD7" w:rsidRDefault="00474DD7" w:rsidP="00A13A36">
            <w:pPr>
              <w:spacing w:after="120"/>
            </w:pPr>
            <w:r>
              <w:t>Table N.4. Density or Volume Correction Factors</w:t>
            </w:r>
          </w:p>
        </w:tc>
        <w:tc>
          <w:tcPr>
            <w:tcW w:w="3123" w:type="dxa"/>
            <w:tcBorders>
              <w:top w:val="double" w:sz="4" w:space="0" w:color="auto"/>
              <w:left w:val="single" w:sz="4" w:space="0" w:color="auto"/>
              <w:bottom w:val="thinThickSmallGap" w:sz="24" w:space="0" w:color="auto"/>
              <w:right w:val="single" w:sz="4" w:space="0" w:color="auto"/>
            </w:tcBorders>
          </w:tcPr>
          <w:p w:rsidR="00474DD7" w:rsidRDefault="003248DE" w:rsidP="00A13A36">
            <w:pPr>
              <w:spacing w:after="120"/>
            </w:pPr>
            <w:r>
              <w:t>Updated URL</w:t>
            </w:r>
            <w:r w:rsidR="00A1426B">
              <w:t xml:space="preserve"> (web link)</w:t>
            </w:r>
            <w:r>
              <w:t xml:space="preserve"> to make it gener</w:t>
            </w:r>
            <w:r w:rsidR="00A1426B">
              <w:t>ic.</w:t>
            </w:r>
          </w:p>
        </w:tc>
        <w:tc>
          <w:tcPr>
            <w:tcW w:w="1104" w:type="dxa"/>
            <w:tcBorders>
              <w:top w:val="double" w:sz="4" w:space="0" w:color="auto"/>
              <w:left w:val="single" w:sz="4" w:space="0" w:color="auto"/>
              <w:bottom w:val="thinThickSmallGap" w:sz="24" w:space="0" w:color="auto"/>
            </w:tcBorders>
          </w:tcPr>
          <w:p w:rsidR="00474DD7" w:rsidRDefault="00474DD7" w:rsidP="00A13A36">
            <w:pPr>
              <w:spacing w:after="120"/>
              <w:jc w:val="center"/>
            </w:pPr>
            <w:r>
              <w:t>3-81</w:t>
            </w:r>
          </w:p>
        </w:tc>
      </w:tr>
      <w:tr w:rsidR="00952794" w:rsidTr="00A472B6">
        <w:trPr>
          <w:trHeight w:val="1027"/>
          <w:jc w:val="center"/>
        </w:trPr>
        <w:tc>
          <w:tcPr>
            <w:tcW w:w="1440" w:type="dxa"/>
            <w:tcBorders>
              <w:top w:val="thinThickSmallGap" w:sz="24" w:space="0" w:color="auto"/>
              <w:left w:val="double" w:sz="4" w:space="0" w:color="auto"/>
              <w:bottom w:val="thinThickSmallGap" w:sz="24" w:space="0" w:color="auto"/>
              <w:right w:val="single" w:sz="4" w:space="0" w:color="auto"/>
            </w:tcBorders>
          </w:tcPr>
          <w:p w:rsidR="00952794" w:rsidRDefault="00952794" w:rsidP="00A13A36">
            <w:pPr>
              <w:spacing w:after="120"/>
            </w:pPr>
            <w:r>
              <w:t>3.39.</w:t>
            </w:r>
          </w:p>
        </w:tc>
        <w:tc>
          <w:tcPr>
            <w:tcW w:w="1751" w:type="dxa"/>
            <w:tcBorders>
              <w:top w:val="thinThickSmallGap" w:sz="24" w:space="0" w:color="auto"/>
              <w:left w:val="single" w:sz="4" w:space="0" w:color="auto"/>
              <w:bottom w:val="thinThickSmallGap" w:sz="24" w:space="0" w:color="auto"/>
              <w:right w:val="single" w:sz="4" w:space="0" w:color="auto"/>
            </w:tcBorders>
          </w:tcPr>
          <w:p w:rsidR="00952794" w:rsidRDefault="00952794" w:rsidP="00A13A36">
            <w:pPr>
              <w:spacing w:after="120"/>
            </w:pPr>
            <w:r>
              <w:t>Hydrogen Gas-Measuring Devices – Tentative Code</w:t>
            </w:r>
          </w:p>
        </w:tc>
        <w:tc>
          <w:tcPr>
            <w:tcW w:w="2124" w:type="dxa"/>
            <w:tcBorders>
              <w:top w:val="thinThickSmallGap" w:sz="24" w:space="0" w:color="auto"/>
              <w:left w:val="single" w:sz="4" w:space="0" w:color="auto"/>
              <w:bottom w:val="thinThickSmallGap" w:sz="24" w:space="0" w:color="auto"/>
              <w:right w:val="single" w:sz="4" w:space="0" w:color="auto"/>
            </w:tcBorders>
          </w:tcPr>
          <w:p w:rsidR="00952794" w:rsidRDefault="00952794" w:rsidP="00A13A36">
            <w:pPr>
              <w:spacing w:after="120"/>
            </w:pPr>
            <w:r>
              <w:t>N.7. Density</w:t>
            </w:r>
          </w:p>
        </w:tc>
        <w:tc>
          <w:tcPr>
            <w:tcW w:w="3123" w:type="dxa"/>
            <w:tcBorders>
              <w:top w:val="thinThickSmallGap" w:sz="24" w:space="0" w:color="auto"/>
              <w:left w:val="single" w:sz="4" w:space="0" w:color="auto"/>
              <w:bottom w:val="thinThickSmallGap" w:sz="24" w:space="0" w:color="auto"/>
              <w:right w:val="single" w:sz="4" w:space="0" w:color="auto"/>
            </w:tcBorders>
          </w:tcPr>
          <w:p w:rsidR="00952794" w:rsidRDefault="00952794" w:rsidP="00A13A36">
            <w:pPr>
              <w:spacing w:after="120"/>
            </w:pPr>
            <w:r>
              <w:t>Updated the reference documents and URLs.</w:t>
            </w:r>
          </w:p>
        </w:tc>
        <w:tc>
          <w:tcPr>
            <w:tcW w:w="1104" w:type="dxa"/>
            <w:tcBorders>
              <w:top w:val="thinThickSmallGap" w:sz="24" w:space="0" w:color="auto"/>
              <w:left w:val="single" w:sz="4" w:space="0" w:color="auto"/>
              <w:bottom w:val="thinThickSmallGap" w:sz="24" w:space="0" w:color="auto"/>
            </w:tcBorders>
          </w:tcPr>
          <w:p w:rsidR="00952794" w:rsidRDefault="00952794" w:rsidP="00A13A36">
            <w:pPr>
              <w:spacing w:after="120"/>
              <w:jc w:val="center"/>
            </w:pPr>
            <w:r>
              <w:t>3-145</w:t>
            </w:r>
          </w:p>
        </w:tc>
      </w:tr>
      <w:tr w:rsidR="00474DD7" w:rsidTr="00A472B6">
        <w:trPr>
          <w:trHeight w:val="1027"/>
          <w:jc w:val="center"/>
        </w:trPr>
        <w:tc>
          <w:tcPr>
            <w:tcW w:w="1440" w:type="dxa"/>
            <w:tcBorders>
              <w:top w:val="thinThickSmallGap" w:sz="24" w:space="0" w:color="auto"/>
              <w:left w:val="double" w:sz="4" w:space="0" w:color="auto"/>
              <w:bottom w:val="thinThickSmallGap" w:sz="24" w:space="0" w:color="auto"/>
              <w:right w:val="single" w:sz="4" w:space="0" w:color="auto"/>
            </w:tcBorders>
          </w:tcPr>
          <w:p w:rsidR="00474DD7" w:rsidRDefault="00474DD7" w:rsidP="00A13A36">
            <w:pPr>
              <w:spacing w:after="120"/>
            </w:pPr>
            <w:r>
              <w:t>4.41.</w:t>
            </w:r>
          </w:p>
        </w:tc>
        <w:tc>
          <w:tcPr>
            <w:tcW w:w="1751" w:type="dxa"/>
            <w:tcBorders>
              <w:top w:val="thinThickSmallGap" w:sz="24" w:space="0" w:color="auto"/>
              <w:left w:val="single" w:sz="4" w:space="0" w:color="auto"/>
              <w:bottom w:val="thinThickSmallGap" w:sz="24" w:space="0" w:color="auto"/>
              <w:right w:val="single" w:sz="4" w:space="0" w:color="auto"/>
            </w:tcBorders>
          </w:tcPr>
          <w:p w:rsidR="00474DD7" w:rsidRDefault="00474DD7" w:rsidP="00A13A36">
            <w:pPr>
              <w:spacing w:after="120"/>
            </w:pPr>
            <w:r>
              <w:t>Liquid Measures</w:t>
            </w:r>
          </w:p>
        </w:tc>
        <w:tc>
          <w:tcPr>
            <w:tcW w:w="2124" w:type="dxa"/>
            <w:tcBorders>
              <w:top w:val="thinThickSmallGap" w:sz="24" w:space="0" w:color="auto"/>
              <w:left w:val="single" w:sz="4" w:space="0" w:color="auto"/>
              <w:bottom w:val="thinThickSmallGap" w:sz="24" w:space="0" w:color="auto"/>
              <w:right w:val="single" w:sz="4" w:space="0" w:color="auto"/>
            </w:tcBorders>
          </w:tcPr>
          <w:p w:rsidR="00474DD7" w:rsidRDefault="00701534" w:rsidP="00A13A36">
            <w:pPr>
              <w:spacing w:after="120"/>
            </w:pPr>
            <w:r>
              <w:t>S.1.</w:t>
            </w:r>
            <w:r w:rsidR="00474DD7">
              <w:t xml:space="preserve"> Units</w:t>
            </w:r>
          </w:p>
        </w:tc>
        <w:tc>
          <w:tcPr>
            <w:tcW w:w="3123" w:type="dxa"/>
            <w:tcBorders>
              <w:top w:val="thinThickSmallGap" w:sz="24" w:space="0" w:color="auto"/>
              <w:left w:val="single" w:sz="4" w:space="0" w:color="auto"/>
              <w:bottom w:val="thinThickSmallGap" w:sz="24" w:space="0" w:color="auto"/>
              <w:right w:val="single" w:sz="4" w:space="0" w:color="auto"/>
            </w:tcBorders>
          </w:tcPr>
          <w:p w:rsidR="00474DD7" w:rsidRDefault="00474DD7" w:rsidP="00A13A36">
            <w:pPr>
              <w:spacing w:after="120"/>
            </w:pPr>
            <w:r>
              <w:t xml:space="preserve">Added preamble to clarify (a) applies when marked with SI units and </w:t>
            </w:r>
            <w:r w:rsidR="00E03616">
              <w:t>(b</w:t>
            </w:r>
            <w:r>
              <w:t>) applies when marked in U.S. customary units.</w:t>
            </w:r>
          </w:p>
        </w:tc>
        <w:tc>
          <w:tcPr>
            <w:tcW w:w="1104" w:type="dxa"/>
            <w:tcBorders>
              <w:top w:val="thinThickSmallGap" w:sz="24" w:space="0" w:color="auto"/>
              <w:left w:val="single" w:sz="4" w:space="0" w:color="auto"/>
              <w:bottom w:val="thinThickSmallGap" w:sz="24" w:space="0" w:color="auto"/>
            </w:tcBorders>
          </w:tcPr>
          <w:p w:rsidR="00474DD7" w:rsidRDefault="00474DD7" w:rsidP="00A13A36">
            <w:pPr>
              <w:spacing w:after="120"/>
              <w:jc w:val="center"/>
            </w:pPr>
            <w:r>
              <w:t>4-11</w:t>
            </w:r>
          </w:p>
        </w:tc>
      </w:tr>
      <w:tr w:rsidR="0012381A" w:rsidTr="00A472B6">
        <w:trPr>
          <w:trHeight w:val="1027"/>
          <w:jc w:val="center"/>
        </w:trPr>
        <w:tc>
          <w:tcPr>
            <w:tcW w:w="1440" w:type="dxa"/>
            <w:tcBorders>
              <w:top w:val="thinThickSmallGap" w:sz="24" w:space="0" w:color="auto"/>
              <w:left w:val="double" w:sz="4" w:space="0" w:color="auto"/>
              <w:bottom w:val="thinThickSmallGap" w:sz="24" w:space="0" w:color="auto"/>
              <w:right w:val="single" w:sz="4" w:space="0" w:color="auto"/>
            </w:tcBorders>
          </w:tcPr>
          <w:p w:rsidR="0012381A" w:rsidRPr="007F367A" w:rsidRDefault="002151C4" w:rsidP="00A13A36">
            <w:pPr>
              <w:spacing w:after="120"/>
            </w:pPr>
            <w:r>
              <w:t>Appendix C</w:t>
            </w:r>
          </w:p>
        </w:tc>
        <w:tc>
          <w:tcPr>
            <w:tcW w:w="1751" w:type="dxa"/>
            <w:tcBorders>
              <w:top w:val="thinThickSmallGap" w:sz="24" w:space="0" w:color="auto"/>
              <w:left w:val="single" w:sz="4" w:space="0" w:color="auto"/>
              <w:bottom w:val="thinThickSmallGap" w:sz="24" w:space="0" w:color="auto"/>
              <w:right w:val="single" w:sz="4" w:space="0" w:color="auto"/>
            </w:tcBorders>
          </w:tcPr>
          <w:p w:rsidR="0012381A" w:rsidRPr="007F367A" w:rsidRDefault="002151C4" w:rsidP="00A13A36">
            <w:pPr>
              <w:spacing w:after="120"/>
            </w:pPr>
            <w:r>
              <w:t xml:space="preserve">General Tables of Units of </w:t>
            </w:r>
            <w:r w:rsidR="006A6F56">
              <w:t>Measurement</w:t>
            </w:r>
          </w:p>
        </w:tc>
        <w:tc>
          <w:tcPr>
            <w:tcW w:w="2124" w:type="dxa"/>
            <w:tcBorders>
              <w:top w:val="thinThickSmallGap" w:sz="24" w:space="0" w:color="auto"/>
              <w:left w:val="single" w:sz="4" w:space="0" w:color="auto"/>
              <w:bottom w:val="thinThickSmallGap" w:sz="24" w:space="0" w:color="auto"/>
              <w:right w:val="single" w:sz="4" w:space="0" w:color="auto"/>
            </w:tcBorders>
          </w:tcPr>
          <w:p w:rsidR="0012381A" w:rsidRPr="007F367A" w:rsidRDefault="00D67842" w:rsidP="00A13A36">
            <w:pPr>
              <w:spacing w:after="120"/>
            </w:pPr>
            <w:r>
              <w:t>Avoirdupois Units of Mass</w:t>
            </w:r>
          </w:p>
        </w:tc>
        <w:tc>
          <w:tcPr>
            <w:tcW w:w="3123" w:type="dxa"/>
            <w:tcBorders>
              <w:top w:val="thinThickSmallGap" w:sz="24" w:space="0" w:color="auto"/>
              <w:left w:val="single" w:sz="4" w:space="0" w:color="auto"/>
              <w:bottom w:val="thinThickSmallGap" w:sz="24" w:space="0" w:color="auto"/>
              <w:right w:val="single" w:sz="4" w:space="0" w:color="auto"/>
            </w:tcBorders>
          </w:tcPr>
          <w:p w:rsidR="00D67842" w:rsidRDefault="008A5E8D" w:rsidP="00A13A36">
            <w:pPr>
              <w:spacing w:after="120"/>
            </w:pPr>
            <w:r>
              <w:t>Added parentheses around</w:t>
            </w:r>
            <w:r w:rsidR="00EA1A1C">
              <w:t xml:space="preserve"> “</w:t>
            </w:r>
            <w:r>
              <w:t>or long”</w:t>
            </w:r>
            <w:r w:rsidR="00EA1A1C">
              <w:t xml:space="preserve">: </w:t>
            </w:r>
          </w:p>
          <w:p w:rsidR="0012381A" w:rsidRPr="007F367A" w:rsidRDefault="00EA1A1C" w:rsidP="00A13A36">
            <w:pPr>
              <w:spacing w:after="120"/>
            </w:pPr>
            <w:r>
              <w:t>20 g</w:t>
            </w:r>
            <w:r w:rsidR="00D67842">
              <w:t xml:space="preserve">ross </w:t>
            </w:r>
            <w:r w:rsidR="00D67842" w:rsidRPr="00EA1A1C">
              <w:t>(</w:t>
            </w:r>
            <w:r w:rsidR="00D67842">
              <w:t>or long</w:t>
            </w:r>
            <w:r w:rsidR="00D67842" w:rsidRPr="00EA1A1C">
              <w:t>)</w:t>
            </w:r>
            <w:r w:rsidR="00D67842">
              <w:t xml:space="preserve"> hundredweights</w:t>
            </w:r>
            <w:r w:rsidR="00B020DA">
              <w:t> </w:t>
            </w:r>
            <w:r w:rsidR="00D67842">
              <w:t xml:space="preserve">= 1 gross </w:t>
            </w:r>
            <w:r w:rsidR="00D67842" w:rsidRPr="00EA1A1C">
              <w:t>(</w:t>
            </w:r>
            <w:r w:rsidR="00D67842">
              <w:t>or long</w:t>
            </w:r>
            <w:r w:rsidR="00D67842" w:rsidRPr="00EA1A1C">
              <w:t>)</w:t>
            </w:r>
            <w:r w:rsidR="00D67842">
              <w:t xml:space="preserve"> ton</w:t>
            </w:r>
          </w:p>
        </w:tc>
        <w:tc>
          <w:tcPr>
            <w:tcW w:w="1104" w:type="dxa"/>
            <w:tcBorders>
              <w:top w:val="thinThickSmallGap" w:sz="24" w:space="0" w:color="auto"/>
              <w:left w:val="single" w:sz="4" w:space="0" w:color="auto"/>
              <w:bottom w:val="thinThickSmallGap" w:sz="24" w:space="0" w:color="auto"/>
            </w:tcBorders>
          </w:tcPr>
          <w:p w:rsidR="0012381A" w:rsidRPr="007F367A" w:rsidRDefault="00D67842" w:rsidP="00A13A36">
            <w:pPr>
              <w:spacing w:after="120"/>
              <w:jc w:val="center"/>
            </w:pPr>
            <w:r>
              <w:t>C-6</w:t>
            </w:r>
          </w:p>
        </w:tc>
      </w:tr>
      <w:tr w:rsidR="00C51790" w:rsidTr="00A472B6">
        <w:trPr>
          <w:trHeight w:val="1027"/>
          <w:jc w:val="center"/>
        </w:trPr>
        <w:tc>
          <w:tcPr>
            <w:tcW w:w="1440" w:type="dxa"/>
            <w:vMerge w:val="restart"/>
            <w:tcBorders>
              <w:top w:val="thinThickSmallGap" w:sz="24" w:space="0" w:color="auto"/>
              <w:left w:val="double" w:sz="4" w:space="0" w:color="auto"/>
              <w:right w:val="single" w:sz="4" w:space="0" w:color="auto"/>
            </w:tcBorders>
          </w:tcPr>
          <w:p w:rsidR="00C51790" w:rsidRDefault="00C51790" w:rsidP="00A13A36">
            <w:pPr>
              <w:spacing w:after="120"/>
            </w:pPr>
            <w:r>
              <w:t>Appendix D</w:t>
            </w:r>
          </w:p>
        </w:tc>
        <w:tc>
          <w:tcPr>
            <w:tcW w:w="1751" w:type="dxa"/>
            <w:tcBorders>
              <w:top w:val="thinThickSmallGap" w:sz="24" w:space="0" w:color="auto"/>
              <w:left w:val="single" w:sz="4" w:space="0" w:color="auto"/>
              <w:bottom w:val="nil"/>
              <w:right w:val="single" w:sz="4" w:space="0" w:color="auto"/>
            </w:tcBorders>
          </w:tcPr>
          <w:p w:rsidR="00C51790" w:rsidRDefault="00C51790" w:rsidP="00A13A36">
            <w:pPr>
              <w:spacing w:after="120"/>
            </w:pPr>
            <w:r>
              <w:t>Definitions</w:t>
            </w:r>
          </w:p>
        </w:tc>
        <w:tc>
          <w:tcPr>
            <w:tcW w:w="2124" w:type="dxa"/>
            <w:tcBorders>
              <w:top w:val="thinThickSmallGap" w:sz="24" w:space="0" w:color="auto"/>
              <w:left w:val="single" w:sz="4" w:space="0" w:color="auto"/>
              <w:bottom w:val="single" w:sz="4" w:space="0" w:color="auto"/>
              <w:right w:val="single" w:sz="4" w:space="0" w:color="auto"/>
            </w:tcBorders>
          </w:tcPr>
          <w:p w:rsidR="00C51790" w:rsidRDefault="00C51790" w:rsidP="00A13A36">
            <w:pPr>
              <w:spacing w:after="120"/>
            </w:pPr>
            <w:r>
              <w:t>basic tolerances</w:t>
            </w:r>
          </w:p>
        </w:tc>
        <w:tc>
          <w:tcPr>
            <w:tcW w:w="3123" w:type="dxa"/>
            <w:tcBorders>
              <w:top w:val="thinThickSmallGap" w:sz="24" w:space="0" w:color="auto"/>
              <w:left w:val="single" w:sz="4" w:space="0" w:color="auto"/>
              <w:bottom w:val="single" w:sz="4" w:space="0" w:color="auto"/>
              <w:right w:val="single" w:sz="4" w:space="0" w:color="auto"/>
            </w:tcBorders>
          </w:tcPr>
          <w:p w:rsidR="00C51790" w:rsidRDefault="00C51790" w:rsidP="00A13A36">
            <w:pPr>
              <w:spacing w:after="120"/>
            </w:pPr>
            <w:r>
              <w:t>Deleted the re-statement of the term being defined “basic tolerances” and streamlined the language for clarity.</w:t>
            </w:r>
          </w:p>
        </w:tc>
        <w:tc>
          <w:tcPr>
            <w:tcW w:w="1104" w:type="dxa"/>
            <w:tcBorders>
              <w:top w:val="thinThickSmallGap" w:sz="24" w:space="0" w:color="auto"/>
              <w:left w:val="single" w:sz="4" w:space="0" w:color="auto"/>
              <w:bottom w:val="single" w:sz="4" w:space="0" w:color="auto"/>
            </w:tcBorders>
          </w:tcPr>
          <w:p w:rsidR="00C51790" w:rsidRDefault="00C51790" w:rsidP="00A13A36">
            <w:pPr>
              <w:spacing w:after="120"/>
              <w:jc w:val="center"/>
            </w:pPr>
            <w:r>
              <w:t>D-7</w:t>
            </w:r>
          </w:p>
        </w:tc>
      </w:tr>
      <w:tr w:rsidR="00C51790" w:rsidTr="00602E8E">
        <w:trPr>
          <w:trHeight w:val="1709"/>
          <w:jc w:val="center"/>
        </w:trPr>
        <w:tc>
          <w:tcPr>
            <w:tcW w:w="1440" w:type="dxa"/>
            <w:vMerge/>
            <w:tcBorders>
              <w:left w:val="double" w:sz="4" w:space="0" w:color="auto"/>
              <w:right w:val="single" w:sz="4" w:space="0" w:color="auto"/>
            </w:tcBorders>
          </w:tcPr>
          <w:p w:rsidR="00C51790" w:rsidRDefault="00C51790" w:rsidP="00A13A36">
            <w:pPr>
              <w:spacing w:after="120"/>
            </w:pPr>
          </w:p>
        </w:tc>
        <w:tc>
          <w:tcPr>
            <w:tcW w:w="1751" w:type="dxa"/>
            <w:vMerge w:val="restart"/>
            <w:tcBorders>
              <w:top w:val="nil"/>
              <w:left w:val="single" w:sz="4" w:space="0" w:color="auto"/>
              <w:right w:val="single" w:sz="4" w:space="0" w:color="auto"/>
            </w:tcBorders>
          </w:tcPr>
          <w:p w:rsidR="00C51790" w:rsidRDefault="00C51790" w:rsidP="00A13A36">
            <w:pPr>
              <w:spacing w:after="120"/>
            </w:pPr>
          </w:p>
        </w:tc>
        <w:tc>
          <w:tcPr>
            <w:tcW w:w="2124" w:type="dxa"/>
            <w:tcBorders>
              <w:top w:val="single" w:sz="4" w:space="0" w:color="auto"/>
              <w:left w:val="single" w:sz="4" w:space="0" w:color="auto"/>
              <w:bottom w:val="single" w:sz="4" w:space="0" w:color="auto"/>
              <w:right w:val="single" w:sz="4" w:space="0" w:color="auto"/>
            </w:tcBorders>
          </w:tcPr>
          <w:p w:rsidR="00C51790" w:rsidRDefault="00C51790" w:rsidP="00A13A36">
            <w:pPr>
              <w:spacing w:after="120"/>
            </w:pPr>
            <w:r>
              <w:t>calibration parameter</w:t>
            </w:r>
          </w:p>
        </w:tc>
        <w:tc>
          <w:tcPr>
            <w:tcW w:w="3123" w:type="dxa"/>
            <w:tcBorders>
              <w:top w:val="single" w:sz="4" w:space="0" w:color="auto"/>
              <w:left w:val="single" w:sz="4" w:space="0" w:color="auto"/>
              <w:bottom w:val="single" w:sz="4" w:space="0" w:color="auto"/>
              <w:right w:val="single" w:sz="4" w:space="0" w:color="auto"/>
            </w:tcBorders>
          </w:tcPr>
          <w:p w:rsidR="00C51790" w:rsidRDefault="00C51790" w:rsidP="00A13A36">
            <w:pPr>
              <w:pStyle w:val="ListParagraph"/>
              <w:numPr>
                <w:ilvl w:val="0"/>
                <w:numId w:val="13"/>
              </w:numPr>
              <w:spacing w:after="120"/>
              <w:ind w:left="326"/>
            </w:pPr>
            <w:r>
              <w:t>Delete reference to “3.39,” since this is still a tentative code.</w:t>
            </w:r>
          </w:p>
          <w:p w:rsidR="00C51790" w:rsidRDefault="00602E8E" w:rsidP="00A13A36">
            <w:pPr>
              <w:pStyle w:val="ListParagraph"/>
              <w:numPr>
                <w:ilvl w:val="0"/>
                <w:numId w:val="13"/>
              </w:numPr>
              <w:spacing w:after="120"/>
              <w:ind w:left="326"/>
            </w:pPr>
            <w:r>
              <w:t>Add “5</w:t>
            </w:r>
            <w:r w:rsidR="00C51790">
              <w:t>.54,” which should have been added when the “Categories of Devices and Methods of Sealing” table was added to this code.</w:t>
            </w:r>
          </w:p>
        </w:tc>
        <w:tc>
          <w:tcPr>
            <w:tcW w:w="1104" w:type="dxa"/>
            <w:tcBorders>
              <w:top w:val="single" w:sz="4" w:space="0" w:color="auto"/>
              <w:left w:val="single" w:sz="4" w:space="0" w:color="auto"/>
              <w:bottom w:val="single" w:sz="4" w:space="0" w:color="auto"/>
            </w:tcBorders>
          </w:tcPr>
          <w:p w:rsidR="00C51790" w:rsidRDefault="00C51790" w:rsidP="00A13A36">
            <w:pPr>
              <w:spacing w:after="120"/>
              <w:jc w:val="center"/>
            </w:pPr>
            <w:r>
              <w:t>D-8</w:t>
            </w:r>
          </w:p>
        </w:tc>
      </w:tr>
      <w:tr w:rsidR="00C51790" w:rsidTr="00602E8E">
        <w:trPr>
          <w:trHeight w:val="854"/>
          <w:jc w:val="center"/>
        </w:trPr>
        <w:tc>
          <w:tcPr>
            <w:tcW w:w="1440" w:type="dxa"/>
            <w:vMerge/>
            <w:tcBorders>
              <w:left w:val="double" w:sz="4" w:space="0" w:color="auto"/>
              <w:right w:val="single" w:sz="4" w:space="0" w:color="auto"/>
            </w:tcBorders>
          </w:tcPr>
          <w:p w:rsidR="00C51790" w:rsidRDefault="00C51790" w:rsidP="00A13A36">
            <w:pPr>
              <w:spacing w:after="120"/>
            </w:pPr>
          </w:p>
        </w:tc>
        <w:tc>
          <w:tcPr>
            <w:tcW w:w="1751" w:type="dxa"/>
            <w:vMerge/>
            <w:tcBorders>
              <w:left w:val="single" w:sz="4" w:space="0" w:color="auto"/>
              <w:right w:val="single" w:sz="4" w:space="0" w:color="auto"/>
            </w:tcBorders>
          </w:tcPr>
          <w:p w:rsidR="00C51790" w:rsidRDefault="00C51790" w:rsidP="00A13A36">
            <w:pPr>
              <w:spacing w:after="120"/>
            </w:pPr>
          </w:p>
        </w:tc>
        <w:tc>
          <w:tcPr>
            <w:tcW w:w="2124" w:type="dxa"/>
            <w:tcBorders>
              <w:top w:val="single" w:sz="4" w:space="0" w:color="auto"/>
              <w:left w:val="single" w:sz="4" w:space="0" w:color="auto"/>
              <w:bottom w:val="dashed" w:sz="4" w:space="0" w:color="auto"/>
              <w:right w:val="single" w:sz="4" w:space="0" w:color="auto"/>
            </w:tcBorders>
          </w:tcPr>
          <w:p w:rsidR="00C51790" w:rsidRDefault="00C51790" w:rsidP="00A13A36">
            <w:pPr>
              <w:spacing w:after="120"/>
            </w:pPr>
            <w:r>
              <w:t>configuration parameter</w:t>
            </w:r>
          </w:p>
          <w:p w:rsidR="00C51790" w:rsidRDefault="00C51790" w:rsidP="00A13A36">
            <w:pPr>
              <w:spacing w:after="120"/>
            </w:pPr>
            <w:r>
              <w:t>and</w:t>
            </w:r>
          </w:p>
        </w:tc>
        <w:tc>
          <w:tcPr>
            <w:tcW w:w="3123" w:type="dxa"/>
            <w:vMerge w:val="restart"/>
            <w:tcBorders>
              <w:top w:val="single" w:sz="4" w:space="0" w:color="auto"/>
              <w:left w:val="single" w:sz="4" w:space="0" w:color="auto"/>
              <w:bottom w:val="single" w:sz="4" w:space="0" w:color="auto"/>
              <w:right w:val="single" w:sz="4" w:space="0" w:color="auto"/>
            </w:tcBorders>
          </w:tcPr>
          <w:p w:rsidR="00C51790" w:rsidRDefault="00C51790" w:rsidP="00A13A36">
            <w:pPr>
              <w:pStyle w:val="ListParagraph"/>
              <w:numPr>
                <w:ilvl w:val="0"/>
                <w:numId w:val="13"/>
              </w:numPr>
              <w:spacing w:after="120"/>
              <w:ind w:left="326"/>
            </w:pPr>
            <w:r>
              <w:t xml:space="preserve">Added “3.31, 3.32, 3.34, 3.35, </w:t>
            </w:r>
            <w:r w:rsidR="00602E8E">
              <w:t>3.36,</w:t>
            </w:r>
            <w:r>
              <w:t>3.38, 5.54, and 5.58,” which should have been added when the “Categories of Devices and Methods of Sealing” table was added to each of these codes.</w:t>
            </w:r>
          </w:p>
        </w:tc>
        <w:tc>
          <w:tcPr>
            <w:tcW w:w="1104" w:type="dxa"/>
            <w:tcBorders>
              <w:top w:val="single" w:sz="4" w:space="0" w:color="auto"/>
              <w:left w:val="single" w:sz="4" w:space="0" w:color="auto"/>
              <w:bottom w:val="dotted" w:sz="4" w:space="0" w:color="auto"/>
            </w:tcBorders>
          </w:tcPr>
          <w:p w:rsidR="00C51790" w:rsidRDefault="00C51790" w:rsidP="00A13A36">
            <w:pPr>
              <w:spacing w:after="120"/>
              <w:jc w:val="center"/>
            </w:pPr>
            <w:r>
              <w:t>D-9</w:t>
            </w:r>
          </w:p>
        </w:tc>
      </w:tr>
      <w:tr w:rsidR="00C51790" w:rsidTr="00602E8E">
        <w:trPr>
          <w:trHeight w:val="611"/>
          <w:jc w:val="center"/>
        </w:trPr>
        <w:tc>
          <w:tcPr>
            <w:tcW w:w="1440" w:type="dxa"/>
            <w:vMerge/>
            <w:tcBorders>
              <w:left w:val="double" w:sz="4" w:space="0" w:color="auto"/>
              <w:right w:val="single" w:sz="4" w:space="0" w:color="auto"/>
            </w:tcBorders>
          </w:tcPr>
          <w:p w:rsidR="00C51790" w:rsidRDefault="00C51790" w:rsidP="00A13A36">
            <w:pPr>
              <w:spacing w:after="120"/>
            </w:pPr>
          </w:p>
        </w:tc>
        <w:tc>
          <w:tcPr>
            <w:tcW w:w="1751" w:type="dxa"/>
            <w:vMerge/>
            <w:tcBorders>
              <w:left w:val="single" w:sz="4" w:space="0" w:color="auto"/>
              <w:right w:val="single" w:sz="4" w:space="0" w:color="auto"/>
            </w:tcBorders>
          </w:tcPr>
          <w:p w:rsidR="00C51790" w:rsidRDefault="00C51790" w:rsidP="00A13A36">
            <w:pPr>
              <w:spacing w:after="120"/>
            </w:pPr>
          </w:p>
        </w:tc>
        <w:tc>
          <w:tcPr>
            <w:tcW w:w="2124" w:type="dxa"/>
            <w:tcBorders>
              <w:top w:val="dashed" w:sz="4" w:space="0" w:color="auto"/>
              <w:left w:val="single" w:sz="4" w:space="0" w:color="auto"/>
              <w:bottom w:val="single" w:sz="4" w:space="0" w:color="auto"/>
              <w:right w:val="single" w:sz="4" w:space="0" w:color="auto"/>
            </w:tcBorders>
          </w:tcPr>
          <w:p w:rsidR="00C51790" w:rsidRDefault="00C51790" w:rsidP="00A13A36">
            <w:pPr>
              <w:spacing w:after="120"/>
            </w:pPr>
            <w:r>
              <w:t>remote configuration capability</w:t>
            </w:r>
          </w:p>
        </w:tc>
        <w:tc>
          <w:tcPr>
            <w:tcW w:w="3123" w:type="dxa"/>
            <w:vMerge/>
            <w:tcBorders>
              <w:left w:val="single" w:sz="4" w:space="0" w:color="auto"/>
              <w:bottom w:val="single" w:sz="4" w:space="0" w:color="auto"/>
              <w:right w:val="single" w:sz="4" w:space="0" w:color="auto"/>
            </w:tcBorders>
            <w:vAlign w:val="center"/>
          </w:tcPr>
          <w:p w:rsidR="00C51790" w:rsidRDefault="00C51790" w:rsidP="00A13A36">
            <w:pPr>
              <w:spacing w:after="120"/>
              <w:ind w:left="326"/>
            </w:pPr>
          </w:p>
        </w:tc>
        <w:tc>
          <w:tcPr>
            <w:tcW w:w="1104" w:type="dxa"/>
            <w:tcBorders>
              <w:top w:val="dotted" w:sz="4" w:space="0" w:color="auto"/>
              <w:left w:val="single" w:sz="4" w:space="0" w:color="auto"/>
              <w:bottom w:val="single" w:sz="4" w:space="0" w:color="auto"/>
            </w:tcBorders>
          </w:tcPr>
          <w:p w:rsidR="00C51790" w:rsidRDefault="00C51790" w:rsidP="00A13A36">
            <w:pPr>
              <w:spacing w:after="120"/>
              <w:jc w:val="center"/>
            </w:pPr>
            <w:r>
              <w:t>D-24</w:t>
            </w:r>
          </w:p>
        </w:tc>
      </w:tr>
      <w:tr w:rsidR="00C51790" w:rsidTr="00602E8E">
        <w:trPr>
          <w:trHeight w:val="757"/>
          <w:jc w:val="center"/>
        </w:trPr>
        <w:tc>
          <w:tcPr>
            <w:tcW w:w="1440" w:type="dxa"/>
            <w:vMerge/>
            <w:tcBorders>
              <w:left w:val="double" w:sz="4" w:space="0" w:color="auto"/>
              <w:bottom w:val="double" w:sz="4" w:space="0" w:color="auto"/>
              <w:right w:val="single" w:sz="4" w:space="0" w:color="auto"/>
            </w:tcBorders>
            <w:vAlign w:val="center"/>
          </w:tcPr>
          <w:p w:rsidR="00C51790" w:rsidRDefault="00C51790" w:rsidP="00A13A36">
            <w:pPr>
              <w:spacing w:after="120"/>
            </w:pPr>
          </w:p>
        </w:tc>
        <w:tc>
          <w:tcPr>
            <w:tcW w:w="1751" w:type="dxa"/>
            <w:vMerge/>
            <w:tcBorders>
              <w:left w:val="single" w:sz="4" w:space="0" w:color="auto"/>
              <w:bottom w:val="double" w:sz="4" w:space="0" w:color="auto"/>
              <w:right w:val="single" w:sz="4" w:space="0" w:color="auto"/>
            </w:tcBorders>
            <w:vAlign w:val="center"/>
          </w:tcPr>
          <w:p w:rsidR="00C51790" w:rsidRDefault="00C51790" w:rsidP="00A13A36">
            <w:pPr>
              <w:spacing w:after="120"/>
            </w:pPr>
          </w:p>
        </w:tc>
        <w:tc>
          <w:tcPr>
            <w:tcW w:w="2124" w:type="dxa"/>
            <w:tcBorders>
              <w:top w:val="single" w:sz="4" w:space="0" w:color="auto"/>
              <w:left w:val="single" w:sz="4" w:space="0" w:color="auto"/>
              <w:bottom w:val="double" w:sz="4" w:space="0" w:color="auto"/>
              <w:right w:val="single" w:sz="4" w:space="0" w:color="auto"/>
            </w:tcBorders>
          </w:tcPr>
          <w:p w:rsidR="00C51790" w:rsidRDefault="00C51790" w:rsidP="00A13A36">
            <w:pPr>
              <w:spacing w:after="120"/>
            </w:pPr>
            <w:r>
              <w:t>commercial equipment</w:t>
            </w:r>
          </w:p>
        </w:tc>
        <w:tc>
          <w:tcPr>
            <w:tcW w:w="3123" w:type="dxa"/>
            <w:tcBorders>
              <w:top w:val="single" w:sz="4" w:space="0" w:color="auto"/>
              <w:left w:val="single" w:sz="4" w:space="0" w:color="auto"/>
              <w:bottom w:val="double" w:sz="4" w:space="0" w:color="auto"/>
              <w:right w:val="single" w:sz="4" w:space="0" w:color="auto"/>
            </w:tcBorders>
          </w:tcPr>
          <w:p w:rsidR="00C51790" w:rsidRDefault="00C51790" w:rsidP="00A13A36">
            <w:pPr>
              <w:pStyle w:val="ListParagraph"/>
              <w:numPr>
                <w:ilvl w:val="0"/>
                <w:numId w:val="13"/>
              </w:numPr>
              <w:spacing w:after="120"/>
              <w:ind w:left="326"/>
            </w:pPr>
            <w:r>
              <w:t>Add “3.36” and “3.37” since these devices are commonly used in commercial applications.</w:t>
            </w:r>
          </w:p>
        </w:tc>
        <w:tc>
          <w:tcPr>
            <w:tcW w:w="1104" w:type="dxa"/>
            <w:tcBorders>
              <w:top w:val="single" w:sz="4" w:space="0" w:color="auto"/>
              <w:left w:val="single" w:sz="4" w:space="0" w:color="auto"/>
              <w:bottom w:val="double" w:sz="4" w:space="0" w:color="auto"/>
            </w:tcBorders>
          </w:tcPr>
          <w:p w:rsidR="00C51790" w:rsidRDefault="00C51790" w:rsidP="00A13A36">
            <w:pPr>
              <w:spacing w:after="120"/>
              <w:jc w:val="center"/>
            </w:pPr>
            <w:r>
              <w:t>D-9</w:t>
            </w:r>
          </w:p>
        </w:tc>
      </w:tr>
      <w:tr w:rsidR="006A3DCB" w:rsidTr="00602E8E">
        <w:trPr>
          <w:trHeight w:val="1027"/>
          <w:jc w:val="center"/>
        </w:trPr>
        <w:tc>
          <w:tcPr>
            <w:tcW w:w="1440" w:type="dxa"/>
            <w:vMerge w:val="restart"/>
            <w:tcBorders>
              <w:top w:val="single" w:sz="4" w:space="0" w:color="auto"/>
              <w:left w:val="double" w:sz="4" w:space="0" w:color="auto"/>
              <w:right w:val="single" w:sz="4" w:space="0" w:color="auto"/>
            </w:tcBorders>
          </w:tcPr>
          <w:p w:rsidR="006A3DCB" w:rsidRDefault="006A3DCB" w:rsidP="00A13A36">
            <w:pPr>
              <w:keepNext/>
              <w:spacing w:after="120"/>
            </w:pPr>
            <w:r>
              <w:lastRenderedPageBreak/>
              <w:t>Appendix D</w:t>
            </w:r>
          </w:p>
        </w:tc>
        <w:tc>
          <w:tcPr>
            <w:tcW w:w="1751" w:type="dxa"/>
            <w:vMerge w:val="restart"/>
            <w:tcBorders>
              <w:top w:val="single" w:sz="4" w:space="0" w:color="auto"/>
              <w:left w:val="single" w:sz="4" w:space="0" w:color="auto"/>
              <w:right w:val="single" w:sz="4" w:space="0" w:color="auto"/>
            </w:tcBorders>
          </w:tcPr>
          <w:p w:rsidR="006A3DCB" w:rsidRDefault="006A3DCB" w:rsidP="00A13A36">
            <w:pPr>
              <w:keepNext/>
              <w:spacing w:after="120"/>
            </w:pPr>
            <w:r>
              <w:t>Definitions</w:t>
            </w:r>
          </w:p>
        </w:tc>
        <w:tc>
          <w:tcPr>
            <w:tcW w:w="2124" w:type="dxa"/>
            <w:tcBorders>
              <w:top w:val="double" w:sz="4" w:space="0" w:color="auto"/>
              <w:left w:val="single" w:sz="4" w:space="0" w:color="auto"/>
              <w:bottom w:val="dashed" w:sz="4" w:space="0" w:color="auto"/>
              <w:right w:val="single" w:sz="4" w:space="0" w:color="auto"/>
            </w:tcBorders>
          </w:tcPr>
          <w:p w:rsidR="006A3DCB" w:rsidRDefault="006A3DCB" w:rsidP="00A13A36">
            <w:pPr>
              <w:keepNext/>
              <w:spacing w:after="120"/>
            </w:pPr>
            <w:r>
              <w:t>event counter</w:t>
            </w:r>
          </w:p>
          <w:p w:rsidR="006A3DCB" w:rsidRDefault="006A3DCB" w:rsidP="00A13A36">
            <w:pPr>
              <w:keepNext/>
              <w:spacing w:before="360" w:after="120"/>
            </w:pPr>
            <w:r>
              <w:t>and</w:t>
            </w:r>
          </w:p>
        </w:tc>
        <w:tc>
          <w:tcPr>
            <w:tcW w:w="3123" w:type="dxa"/>
            <w:vMerge w:val="restart"/>
            <w:tcBorders>
              <w:top w:val="single" w:sz="4" w:space="0" w:color="auto"/>
              <w:left w:val="single" w:sz="4" w:space="0" w:color="auto"/>
              <w:right w:val="single" w:sz="4" w:space="0" w:color="auto"/>
            </w:tcBorders>
          </w:tcPr>
          <w:p w:rsidR="006A3DCB" w:rsidRDefault="006A3DCB" w:rsidP="00A13A36">
            <w:pPr>
              <w:pStyle w:val="ListParagraph"/>
              <w:keepNext/>
              <w:numPr>
                <w:ilvl w:val="0"/>
                <w:numId w:val="14"/>
              </w:numPr>
              <w:spacing w:after="120"/>
              <w:ind w:left="418"/>
              <w:contextualSpacing w:val="0"/>
            </w:pPr>
            <w:r>
              <w:t>Add “2.24, 3.31, 3.32, 3.34. 3.35, 3.38, and 5.58,” which should have been added when the “Categories of Devices and Method of Sealing” table was added to each of these codes.</w:t>
            </w:r>
          </w:p>
        </w:tc>
        <w:tc>
          <w:tcPr>
            <w:tcW w:w="1104" w:type="dxa"/>
            <w:tcBorders>
              <w:top w:val="double" w:sz="4" w:space="0" w:color="auto"/>
              <w:left w:val="single" w:sz="4" w:space="0" w:color="auto"/>
              <w:bottom w:val="dotted" w:sz="4" w:space="0" w:color="auto"/>
              <w:right w:val="double" w:sz="4" w:space="0" w:color="auto"/>
            </w:tcBorders>
          </w:tcPr>
          <w:p w:rsidR="006A3DCB" w:rsidRDefault="006A3DCB" w:rsidP="00A13A36">
            <w:pPr>
              <w:keepNext/>
              <w:spacing w:after="120"/>
              <w:jc w:val="center"/>
            </w:pPr>
            <w:r>
              <w:t>D-12</w:t>
            </w:r>
          </w:p>
        </w:tc>
      </w:tr>
      <w:tr w:rsidR="006A3DCB" w:rsidTr="00602E8E">
        <w:trPr>
          <w:trHeight w:val="509"/>
          <w:jc w:val="center"/>
        </w:trPr>
        <w:tc>
          <w:tcPr>
            <w:tcW w:w="1440" w:type="dxa"/>
            <w:vMerge/>
            <w:tcBorders>
              <w:left w:val="double" w:sz="4" w:space="0" w:color="auto"/>
              <w:right w:val="single" w:sz="4" w:space="0" w:color="auto"/>
            </w:tcBorders>
          </w:tcPr>
          <w:p w:rsidR="006A3DCB" w:rsidRDefault="006A3DCB" w:rsidP="00A13A36">
            <w:pPr>
              <w:spacing w:after="120"/>
            </w:pPr>
          </w:p>
        </w:tc>
        <w:tc>
          <w:tcPr>
            <w:tcW w:w="1751" w:type="dxa"/>
            <w:vMerge/>
            <w:tcBorders>
              <w:left w:val="single" w:sz="4" w:space="0" w:color="auto"/>
              <w:right w:val="single" w:sz="4" w:space="0" w:color="auto"/>
            </w:tcBorders>
          </w:tcPr>
          <w:p w:rsidR="006A3DCB" w:rsidRDefault="006A3DCB" w:rsidP="00A13A36">
            <w:pPr>
              <w:spacing w:after="120"/>
            </w:pPr>
          </w:p>
        </w:tc>
        <w:tc>
          <w:tcPr>
            <w:tcW w:w="2124" w:type="dxa"/>
            <w:tcBorders>
              <w:top w:val="dashed" w:sz="4" w:space="0" w:color="auto"/>
              <w:left w:val="single" w:sz="4" w:space="0" w:color="auto"/>
              <w:bottom w:val="single" w:sz="4" w:space="0" w:color="auto"/>
              <w:right w:val="single" w:sz="4" w:space="0" w:color="auto"/>
            </w:tcBorders>
          </w:tcPr>
          <w:p w:rsidR="006A3DCB" w:rsidRDefault="006A3DCB" w:rsidP="00A13A36">
            <w:pPr>
              <w:spacing w:after="120"/>
            </w:pPr>
            <w:r>
              <w:t>event logger</w:t>
            </w:r>
          </w:p>
        </w:tc>
        <w:tc>
          <w:tcPr>
            <w:tcW w:w="3123" w:type="dxa"/>
            <w:vMerge/>
            <w:tcBorders>
              <w:left w:val="single" w:sz="4" w:space="0" w:color="auto"/>
              <w:bottom w:val="single" w:sz="4" w:space="0" w:color="auto"/>
              <w:right w:val="single" w:sz="4" w:space="0" w:color="auto"/>
            </w:tcBorders>
          </w:tcPr>
          <w:p w:rsidR="006A3DCB" w:rsidRDefault="006A3DCB" w:rsidP="00A13A36">
            <w:pPr>
              <w:spacing w:after="120"/>
            </w:pPr>
          </w:p>
        </w:tc>
        <w:tc>
          <w:tcPr>
            <w:tcW w:w="1104" w:type="dxa"/>
            <w:tcBorders>
              <w:top w:val="dotted" w:sz="4" w:space="0" w:color="auto"/>
              <w:left w:val="single" w:sz="4" w:space="0" w:color="auto"/>
              <w:bottom w:val="single" w:sz="4" w:space="0" w:color="auto"/>
            </w:tcBorders>
          </w:tcPr>
          <w:p w:rsidR="006A3DCB" w:rsidRDefault="006A3DCB" w:rsidP="00A13A36">
            <w:pPr>
              <w:spacing w:after="120"/>
              <w:jc w:val="center"/>
            </w:pPr>
            <w:r>
              <w:t>D-12</w:t>
            </w:r>
          </w:p>
        </w:tc>
      </w:tr>
      <w:tr w:rsidR="006A3DCB" w:rsidTr="00A8637F">
        <w:trPr>
          <w:trHeight w:val="1027"/>
          <w:jc w:val="center"/>
        </w:trPr>
        <w:tc>
          <w:tcPr>
            <w:tcW w:w="1440" w:type="dxa"/>
            <w:vMerge/>
            <w:tcBorders>
              <w:left w:val="double" w:sz="4" w:space="0" w:color="auto"/>
              <w:bottom w:val="double" w:sz="4" w:space="0" w:color="auto"/>
              <w:right w:val="single" w:sz="4" w:space="0" w:color="auto"/>
            </w:tcBorders>
          </w:tcPr>
          <w:p w:rsidR="006A3DCB" w:rsidRDefault="006A3DCB" w:rsidP="00A13A36">
            <w:pPr>
              <w:spacing w:after="120"/>
            </w:pPr>
          </w:p>
        </w:tc>
        <w:tc>
          <w:tcPr>
            <w:tcW w:w="1751" w:type="dxa"/>
            <w:vMerge/>
            <w:tcBorders>
              <w:left w:val="single" w:sz="4" w:space="0" w:color="auto"/>
              <w:bottom w:val="double" w:sz="4" w:space="0" w:color="auto"/>
              <w:right w:val="single" w:sz="4" w:space="0" w:color="auto"/>
            </w:tcBorders>
          </w:tcPr>
          <w:p w:rsidR="006A3DCB" w:rsidRDefault="006A3DCB" w:rsidP="00A13A36">
            <w:pPr>
              <w:spacing w:after="120"/>
            </w:pPr>
          </w:p>
        </w:tc>
        <w:tc>
          <w:tcPr>
            <w:tcW w:w="2124" w:type="dxa"/>
            <w:tcBorders>
              <w:top w:val="single" w:sz="4" w:space="0" w:color="auto"/>
              <w:left w:val="single" w:sz="4" w:space="0" w:color="auto"/>
              <w:bottom w:val="double" w:sz="4" w:space="0" w:color="auto"/>
              <w:right w:val="single" w:sz="4" w:space="0" w:color="auto"/>
            </w:tcBorders>
          </w:tcPr>
          <w:p w:rsidR="006A3DCB" w:rsidRDefault="006A3DCB" w:rsidP="00A13A36">
            <w:pPr>
              <w:spacing w:after="120"/>
            </w:pPr>
            <w:r>
              <w:t>unit price</w:t>
            </w:r>
          </w:p>
        </w:tc>
        <w:tc>
          <w:tcPr>
            <w:tcW w:w="3123" w:type="dxa"/>
            <w:tcBorders>
              <w:top w:val="single" w:sz="4" w:space="0" w:color="auto"/>
              <w:left w:val="single" w:sz="4" w:space="0" w:color="auto"/>
              <w:bottom w:val="double" w:sz="4" w:space="0" w:color="auto"/>
              <w:right w:val="single" w:sz="4" w:space="0" w:color="auto"/>
            </w:tcBorders>
          </w:tcPr>
          <w:p w:rsidR="006A3DCB" w:rsidRDefault="006A3DCB" w:rsidP="00A13A36">
            <w:pPr>
              <w:pStyle w:val="ListParagraph"/>
              <w:numPr>
                <w:ilvl w:val="0"/>
                <w:numId w:val="14"/>
              </w:numPr>
              <w:spacing w:after="120"/>
              <w:ind w:left="418"/>
              <w:contextualSpacing w:val="0"/>
            </w:pPr>
            <w:r>
              <w:t>Add “2.20, 3.31, 3.32, and 3.37,” which should have been added when requirements for computing</w:t>
            </w:r>
            <w:r w:rsidR="004F0BA0">
              <w:t>-</w:t>
            </w:r>
            <w:r>
              <w:t>type devices and systems were added to these codes.</w:t>
            </w:r>
          </w:p>
        </w:tc>
        <w:tc>
          <w:tcPr>
            <w:tcW w:w="1104" w:type="dxa"/>
            <w:tcBorders>
              <w:top w:val="single" w:sz="4" w:space="0" w:color="auto"/>
              <w:left w:val="single" w:sz="4" w:space="0" w:color="auto"/>
              <w:bottom w:val="double" w:sz="4" w:space="0" w:color="auto"/>
            </w:tcBorders>
          </w:tcPr>
          <w:p w:rsidR="006A3DCB" w:rsidRDefault="006A3DCB" w:rsidP="00A13A36">
            <w:pPr>
              <w:spacing w:after="120"/>
              <w:jc w:val="center"/>
            </w:pPr>
            <w:r>
              <w:t>C-28</w:t>
            </w:r>
          </w:p>
        </w:tc>
      </w:tr>
    </w:tbl>
    <w:p w:rsidR="001F3053" w:rsidRDefault="001F3053">
      <w:pPr>
        <w:autoSpaceDE/>
        <w:autoSpaceDN/>
        <w:adjustRightInd/>
      </w:pPr>
    </w:p>
    <w:p w:rsidR="00F01D1F" w:rsidRDefault="00F01D1F" w:rsidP="00F34213">
      <w:pPr>
        <w:autoSpaceDE/>
        <w:autoSpaceDN/>
        <w:adjustRightInd/>
      </w:pPr>
    </w:p>
    <w:sectPr w:rsidR="00F01D1F" w:rsidSect="005036A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pgNumType w:fmt="lowerRoman"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4FB" w:rsidRDefault="001634FB">
      <w:r>
        <w:separator/>
      </w:r>
    </w:p>
  </w:endnote>
  <w:endnote w:type="continuationSeparator" w:id="0">
    <w:p w:rsidR="001634FB" w:rsidRDefault="0016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301509"/>
      <w:docPartObj>
        <w:docPartGallery w:val="Page Numbers (Bottom of Page)"/>
        <w:docPartUnique/>
      </w:docPartObj>
    </w:sdtPr>
    <w:sdtEndPr>
      <w:rPr>
        <w:noProof/>
      </w:rPr>
    </w:sdtEndPr>
    <w:sdtContent>
      <w:p w:rsidR="00DE07B3" w:rsidRDefault="00DE07B3" w:rsidP="00DE07B3">
        <w:pPr>
          <w:pStyle w:val="Footer"/>
          <w:jc w:val="center"/>
        </w:pPr>
        <w:r>
          <w:fldChar w:fldCharType="begin"/>
        </w:r>
        <w:r>
          <w:instrText xml:space="preserve"> PAGE   \* MERGEFORMAT </w:instrText>
        </w:r>
        <w:r>
          <w:fldChar w:fldCharType="separate"/>
        </w:r>
        <w:r w:rsidR="00BB287E">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45753"/>
      <w:docPartObj>
        <w:docPartGallery w:val="Page Numbers (Bottom of Page)"/>
        <w:docPartUnique/>
      </w:docPartObj>
    </w:sdtPr>
    <w:sdtEndPr/>
    <w:sdtContent>
      <w:p w:rsidR="00316126" w:rsidRPr="00E31386" w:rsidRDefault="00316126" w:rsidP="00E36E76">
        <w:pPr>
          <w:pStyle w:val="Footer"/>
          <w:jc w:val="center"/>
        </w:pPr>
        <w:r>
          <w:fldChar w:fldCharType="begin"/>
        </w:r>
        <w:r>
          <w:instrText xml:space="preserve"> PAGE   \* MERGEFORMAT </w:instrText>
        </w:r>
        <w:r>
          <w:fldChar w:fldCharType="separate"/>
        </w:r>
        <w:r w:rsidR="00BB287E">
          <w:rPr>
            <w:noProof/>
          </w:rPr>
          <w:t>ix</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91707"/>
      <w:docPartObj>
        <w:docPartGallery w:val="Page Numbers (Bottom of Page)"/>
        <w:docPartUnique/>
      </w:docPartObj>
    </w:sdtPr>
    <w:sdtEndPr>
      <w:rPr>
        <w:noProof/>
      </w:rPr>
    </w:sdtEndPr>
    <w:sdtContent>
      <w:p w:rsidR="00316126" w:rsidRDefault="00316126" w:rsidP="006308A1">
        <w:pPr>
          <w:pStyle w:val="Footer"/>
          <w:jc w:val="center"/>
        </w:pPr>
        <w:r>
          <w:fldChar w:fldCharType="begin"/>
        </w:r>
        <w:r>
          <w:instrText xml:space="preserve"> PAGE   \* MERGEFORMAT </w:instrText>
        </w:r>
        <w:r>
          <w:fldChar w:fldCharType="separate"/>
        </w:r>
        <w:r w:rsidR="00BB287E">
          <w:rPr>
            <w:noProof/>
          </w:rPr>
          <w:t>vii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4FB" w:rsidRDefault="001634FB">
      <w:r>
        <w:separator/>
      </w:r>
    </w:p>
  </w:footnote>
  <w:footnote w:type="continuationSeparator" w:id="0">
    <w:p w:rsidR="001634FB" w:rsidRDefault="0016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126" w:rsidRDefault="00316126" w:rsidP="00E36E76">
    <w:pPr>
      <w:pStyle w:val="Header"/>
      <w:tabs>
        <w:tab w:val="clear" w:pos="4320"/>
        <w:tab w:val="clear" w:pos="8640"/>
        <w:tab w:val="right" w:pos="9360"/>
      </w:tabs>
    </w:pPr>
    <w:r>
      <w:t>Amendments/Editorial Changes</w:t>
    </w:r>
    <w:r>
      <w:tab/>
      <w:t>Handbook 44 – 201</w:t>
    </w:r>
    <w:r w:rsidR="00066348">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9" w:rsidRPr="008E3659" w:rsidRDefault="008E3659" w:rsidP="008E3659">
    <w:pPr>
      <w:pStyle w:val="Header"/>
      <w:tabs>
        <w:tab w:val="clear" w:pos="8640"/>
        <w:tab w:val="right" w:pos="9360"/>
      </w:tabs>
    </w:pPr>
    <w:r>
      <w:t>Handbook 44 – 2019</w:t>
    </w:r>
    <w:r>
      <w:tab/>
    </w:r>
    <w:r>
      <w:tab/>
      <w:t>Amendments/Editorial Changes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126" w:rsidRPr="006308A1" w:rsidRDefault="00316126" w:rsidP="00CF1E8D">
    <w:pPr>
      <w:pStyle w:val="Header"/>
      <w:tabs>
        <w:tab w:val="clear" w:pos="8640"/>
        <w:tab w:val="right" w:pos="9360"/>
      </w:tabs>
    </w:pPr>
    <w:r>
      <w:t>Handbook 44 – 201</w:t>
    </w:r>
    <w:r w:rsidR="00066348">
      <w:t>9</w:t>
    </w:r>
    <w:r>
      <w:tab/>
    </w:r>
    <w:r>
      <w:tab/>
      <w:t>Amendments/Editorial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D3E"/>
    <w:multiLevelType w:val="hybridMultilevel"/>
    <w:tmpl w:val="25F8147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30570"/>
    <w:multiLevelType w:val="hybridMultilevel"/>
    <w:tmpl w:val="AA10D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C275B"/>
    <w:multiLevelType w:val="hybridMultilevel"/>
    <w:tmpl w:val="FA58B218"/>
    <w:lvl w:ilvl="0" w:tplc="4902643E">
      <w:start w:val="1"/>
      <w:numFmt w:val="upperLetter"/>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4" w15:restartNumberingAfterBreak="0">
    <w:nsid w:val="1E9B59FC"/>
    <w:multiLevelType w:val="hybridMultilevel"/>
    <w:tmpl w:val="AA10D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535FA"/>
    <w:multiLevelType w:val="hybridMultilevel"/>
    <w:tmpl w:val="CCBA71D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9"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B4BED"/>
    <w:multiLevelType w:val="hybridMultilevel"/>
    <w:tmpl w:val="04FE02DC"/>
    <w:lvl w:ilvl="0" w:tplc="060AF36C">
      <w:start w:val="1"/>
      <w:numFmt w:val="upperLetter"/>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91C95"/>
    <w:multiLevelType w:val="hybridMultilevel"/>
    <w:tmpl w:val="ACDAC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10"/>
  </w:num>
  <w:num w:numId="6">
    <w:abstractNumId w:val="7"/>
  </w:num>
  <w:num w:numId="7">
    <w:abstractNumId w:val="12"/>
  </w:num>
  <w:num w:numId="8">
    <w:abstractNumId w:val="4"/>
  </w:num>
  <w:num w:numId="9">
    <w:abstractNumId w:val="2"/>
  </w:num>
  <w:num w:numId="10">
    <w:abstractNumId w:val="3"/>
  </w:num>
  <w:num w:numId="11">
    <w:abstractNumId w:val="11"/>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1269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79"/>
    <w:rsid w:val="00002A46"/>
    <w:rsid w:val="0000536A"/>
    <w:rsid w:val="00006DAC"/>
    <w:rsid w:val="00006E0A"/>
    <w:rsid w:val="00007BAF"/>
    <w:rsid w:val="000130CC"/>
    <w:rsid w:val="0002203D"/>
    <w:rsid w:val="00022D8E"/>
    <w:rsid w:val="000242DB"/>
    <w:rsid w:val="00025308"/>
    <w:rsid w:val="000261A9"/>
    <w:rsid w:val="0003006E"/>
    <w:rsid w:val="0003163E"/>
    <w:rsid w:val="00032A1F"/>
    <w:rsid w:val="000361DE"/>
    <w:rsid w:val="000377F1"/>
    <w:rsid w:val="00050012"/>
    <w:rsid w:val="0005234D"/>
    <w:rsid w:val="0005398C"/>
    <w:rsid w:val="000545CD"/>
    <w:rsid w:val="00054DDF"/>
    <w:rsid w:val="000557BB"/>
    <w:rsid w:val="000574CD"/>
    <w:rsid w:val="00062F3F"/>
    <w:rsid w:val="00065C29"/>
    <w:rsid w:val="00066348"/>
    <w:rsid w:val="00077260"/>
    <w:rsid w:val="000823BC"/>
    <w:rsid w:val="00083DF6"/>
    <w:rsid w:val="00085B2B"/>
    <w:rsid w:val="000907F5"/>
    <w:rsid w:val="0009154D"/>
    <w:rsid w:val="0009290C"/>
    <w:rsid w:val="00093E03"/>
    <w:rsid w:val="00096BD9"/>
    <w:rsid w:val="000A004C"/>
    <w:rsid w:val="000A1332"/>
    <w:rsid w:val="000A20EA"/>
    <w:rsid w:val="000A2B4B"/>
    <w:rsid w:val="000A5E49"/>
    <w:rsid w:val="000B071F"/>
    <w:rsid w:val="000B10DF"/>
    <w:rsid w:val="000B1341"/>
    <w:rsid w:val="000B3C7C"/>
    <w:rsid w:val="000B677D"/>
    <w:rsid w:val="000B7299"/>
    <w:rsid w:val="000C435F"/>
    <w:rsid w:val="000C5BD3"/>
    <w:rsid w:val="000D0451"/>
    <w:rsid w:val="000D1D24"/>
    <w:rsid w:val="000D362A"/>
    <w:rsid w:val="000D38AC"/>
    <w:rsid w:val="000D4C96"/>
    <w:rsid w:val="000D6747"/>
    <w:rsid w:val="000E5319"/>
    <w:rsid w:val="000E6119"/>
    <w:rsid w:val="000F0494"/>
    <w:rsid w:val="000F07ED"/>
    <w:rsid w:val="000F0D06"/>
    <w:rsid w:val="000F155D"/>
    <w:rsid w:val="000F5C2A"/>
    <w:rsid w:val="00102730"/>
    <w:rsid w:val="001107F5"/>
    <w:rsid w:val="00110934"/>
    <w:rsid w:val="00111C80"/>
    <w:rsid w:val="00114A3F"/>
    <w:rsid w:val="00121D46"/>
    <w:rsid w:val="00121E85"/>
    <w:rsid w:val="001226A9"/>
    <w:rsid w:val="0012381A"/>
    <w:rsid w:val="00124617"/>
    <w:rsid w:val="00126EA0"/>
    <w:rsid w:val="00127C92"/>
    <w:rsid w:val="00130604"/>
    <w:rsid w:val="00132205"/>
    <w:rsid w:val="001324D7"/>
    <w:rsid w:val="00137094"/>
    <w:rsid w:val="00140A30"/>
    <w:rsid w:val="001425FB"/>
    <w:rsid w:val="00145737"/>
    <w:rsid w:val="00147FBD"/>
    <w:rsid w:val="00151CDF"/>
    <w:rsid w:val="00155758"/>
    <w:rsid w:val="001634FB"/>
    <w:rsid w:val="001645DF"/>
    <w:rsid w:val="00177B3E"/>
    <w:rsid w:val="0019007C"/>
    <w:rsid w:val="00192D3E"/>
    <w:rsid w:val="001A34C4"/>
    <w:rsid w:val="001A4969"/>
    <w:rsid w:val="001A5445"/>
    <w:rsid w:val="001A7FDF"/>
    <w:rsid w:val="001B2005"/>
    <w:rsid w:val="001B2BD9"/>
    <w:rsid w:val="001B35ED"/>
    <w:rsid w:val="001C5A25"/>
    <w:rsid w:val="001C714E"/>
    <w:rsid w:val="001C751D"/>
    <w:rsid w:val="001D2443"/>
    <w:rsid w:val="001D6015"/>
    <w:rsid w:val="001E1ADC"/>
    <w:rsid w:val="001E2092"/>
    <w:rsid w:val="001E3588"/>
    <w:rsid w:val="001E3FDA"/>
    <w:rsid w:val="001E6669"/>
    <w:rsid w:val="001F3053"/>
    <w:rsid w:val="001F7666"/>
    <w:rsid w:val="00204EC5"/>
    <w:rsid w:val="00206745"/>
    <w:rsid w:val="002151C4"/>
    <w:rsid w:val="0022073D"/>
    <w:rsid w:val="00227765"/>
    <w:rsid w:val="002313D3"/>
    <w:rsid w:val="0023391E"/>
    <w:rsid w:val="00233A36"/>
    <w:rsid w:val="00242F33"/>
    <w:rsid w:val="00243514"/>
    <w:rsid w:val="0024499F"/>
    <w:rsid w:val="0024664A"/>
    <w:rsid w:val="00250F8A"/>
    <w:rsid w:val="0025309B"/>
    <w:rsid w:val="00255AF0"/>
    <w:rsid w:val="002618E0"/>
    <w:rsid w:val="0026199C"/>
    <w:rsid w:val="00263BB9"/>
    <w:rsid w:val="00270B5A"/>
    <w:rsid w:val="002728BB"/>
    <w:rsid w:val="00272A76"/>
    <w:rsid w:val="00272DB3"/>
    <w:rsid w:val="002732B9"/>
    <w:rsid w:val="00281398"/>
    <w:rsid w:val="00284C62"/>
    <w:rsid w:val="002957F3"/>
    <w:rsid w:val="00297A3B"/>
    <w:rsid w:val="002B0B7D"/>
    <w:rsid w:val="002B65D9"/>
    <w:rsid w:val="002C041E"/>
    <w:rsid w:val="002C131E"/>
    <w:rsid w:val="002C217D"/>
    <w:rsid w:val="002D3A0E"/>
    <w:rsid w:val="002D5B21"/>
    <w:rsid w:val="002D7175"/>
    <w:rsid w:val="002E5FA8"/>
    <w:rsid w:val="002F1C29"/>
    <w:rsid w:val="002F2B9B"/>
    <w:rsid w:val="002F57F9"/>
    <w:rsid w:val="003053A5"/>
    <w:rsid w:val="003060AB"/>
    <w:rsid w:val="00310166"/>
    <w:rsid w:val="00313851"/>
    <w:rsid w:val="00314226"/>
    <w:rsid w:val="00316126"/>
    <w:rsid w:val="00320F0D"/>
    <w:rsid w:val="00323414"/>
    <w:rsid w:val="003248DE"/>
    <w:rsid w:val="00324DD4"/>
    <w:rsid w:val="00336E18"/>
    <w:rsid w:val="003410C0"/>
    <w:rsid w:val="00341374"/>
    <w:rsid w:val="00342BF5"/>
    <w:rsid w:val="0034612F"/>
    <w:rsid w:val="003531BB"/>
    <w:rsid w:val="0035381E"/>
    <w:rsid w:val="0035485A"/>
    <w:rsid w:val="00355C38"/>
    <w:rsid w:val="00360627"/>
    <w:rsid w:val="00361EF2"/>
    <w:rsid w:val="00371DFE"/>
    <w:rsid w:val="0037530C"/>
    <w:rsid w:val="00381045"/>
    <w:rsid w:val="003810A4"/>
    <w:rsid w:val="00387725"/>
    <w:rsid w:val="003906DA"/>
    <w:rsid w:val="003919E6"/>
    <w:rsid w:val="00392A58"/>
    <w:rsid w:val="00394AA5"/>
    <w:rsid w:val="003A1847"/>
    <w:rsid w:val="003B2FC0"/>
    <w:rsid w:val="003D0CDD"/>
    <w:rsid w:val="003D2906"/>
    <w:rsid w:val="003D7BEB"/>
    <w:rsid w:val="003D7D20"/>
    <w:rsid w:val="003D7E46"/>
    <w:rsid w:val="003E1672"/>
    <w:rsid w:val="003F30C4"/>
    <w:rsid w:val="003F7E43"/>
    <w:rsid w:val="004054D0"/>
    <w:rsid w:val="00407B68"/>
    <w:rsid w:val="00420FDB"/>
    <w:rsid w:val="0042777B"/>
    <w:rsid w:val="00442CE7"/>
    <w:rsid w:val="00451E57"/>
    <w:rsid w:val="00453658"/>
    <w:rsid w:val="00453B50"/>
    <w:rsid w:val="004573E2"/>
    <w:rsid w:val="004618F9"/>
    <w:rsid w:val="004653CE"/>
    <w:rsid w:val="00473A7B"/>
    <w:rsid w:val="00474702"/>
    <w:rsid w:val="00474DD7"/>
    <w:rsid w:val="00476F11"/>
    <w:rsid w:val="00490042"/>
    <w:rsid w:val="00491697"/>
    <w:rsid w:val="00492B4F"/>
    <w:rsid w:val="00493DA6"/>
    <w:rsid w:val="00495E58"/>
    <w:rsid w:val="004970A0"/>
    <w:rsid w:val="004A0395"/>
    <w:rsid w:val="004A51DC"/>
    <w:rsid w:val="004A6430"/>
    <w:rsid w:val="004A6B83"/>
    <w:rsid w:val="004A732B"/>
    <w:rsid w:val="004A7587"/>
    <w:rsid w:val="004A7D1B"/>
    <w:rsid w:val="004B05B1"/>
    <w:rsid w:val="004B3C65"/>
    <w:rsid w:val="004B64DA"/>
    <w:rsid w:val="004B7641"/>
    <w:rsid w:val="004D361C"/>
    <w:rsid w:val="004D50D6"/>
    <w:rsid w:val="004D7020"/>
    <w:rsid w:val="004E0B82"/>
    <w:rsid w:val="004E14EB"/>
    <w:rsid w:val="004E19C1"/>
    <w:rsid w:val="004E1F36"/>
    <w:rsid w:val="004E28BD"/>
    <w:rsid w:val="004E29E4"/>
    <w:rsid w:val="004E3390"/>
    <w:rsid w:val="004E37A7"/>
    <w:rsid w:val="004E500F"/>
    <w:rsid w:val="004E5F31"/>
    <w:rsid w:val="004F0BA0"/>
    <w:rsid w:val="004F166A"/>
    <w:rsid w:val="004F1E04"/>
    <w:rsid w:val="004F57DF"/>
    <w:rsid w:val="004F5B2B"/>
    <w:rsid w:val="004F7066"/>
    <w:rsid w:val="005036A2"/>
    <w:rsid w:val="00512DA3"/>
    <w:rsid w:val="00521AB9"/>
    <w:rsid w:val="00522B3E"/>
    <w:rsid w:val="00531965"/>
    <w:rsid w:val="0053423F"/>
    <w:rsid w:val="00537CA0"/>
    <w:rsid w:val="00540C21"/>
    <w:rsid w:val="00555CFE"/>
    <w:rsid w:val="005600DD"/>
    <w:rsid w:val="00560BD1"/>
    <w:rsid w:val="00561390"/>
    <w:rsid w:val="00562F58"/>
    <w:rsid w:val="0056386C"/>
    <w:rsid w:val="0056789D"/>
    <w:rsid w:val="005717CD"/>
    <w:rsid w:val="00573EEE"/>
    <w:rsid w:val="005756AC"/>
    <w:rsid w:val="005809B5"/>
    <w:rsid w:val="00581278"/>
    <w:rsid w:val="00581762"/>
    <w:rsid w:val="00584EEA"/>
    <w:rsid w:val="005948C9"/>
    <w:rsid w:val="00596890"/>
    <w:rsid w:val="00597373"/>
    <w:rsid w:val="005A3F4F"/>
    <w:rsid w:val="005A6CD8"/>
    <w:rsid w:val="005A7355"/>
    <w:rsid w:val="005A7EE4"/>
    <w:rsid w:val="005B1D01"/>
    <w:rsid w:val="005B4558"/>
    <w:rsid w:val="005B4946"/>
    <w:rsid w:val="005B66C2"/>
    <w:rsid w:val="005C1B79"/>
    <w:rsid w:val="005C3CE3"/>
    <w:rsid w:val="005D0102"/>
    <w:rsid w:val="005D1F8D"/>
    <w:rsid w:val="005D3A73"/>
    <w:rsid w:val="005D61D9"/>
    <w:rsid w:val="005E03C5"/>
    <w:rsid w:val="005E3819"/>
    <w:rsid w:val="005E5B2C"/>
    <w:rsid w:val="005E798B"/>
    <w:rsid w:val="005F325A"/>
    <w:rsid w:val="005F7DE5"/>
    <w:rsid w:val="00602E8E"/>
    <w:rsid w:val="006040DA"/>
    <w:rsid w:val="00606349"/>
    <w:rsid w:val="00606852"/>
    <w:rsid w:val="006149C1"/>
    <w:rsid w:val="00616B81"/>
    <w:rsid w:val="00620D78"/>
    <w:rsid w:val="00621E13"/>
    <w:rsid w:val="006241B4"/>
    <w:rsid w:val="00624E23"/>
    <w:rsid w:val="006256C3"/>
    <w:rsid w:val="006308A1"/>
    <w:rsid w:val="006321CF"/>
    <w:rsid w:val="00632DBB"/>
    <w:rsid w:val="006462B1"/>
    <w:rsid w:val="00646573"/>
    <w:rsid w:val="0065013D"/>
    <w:rsid w:val="006644D7"/>
    <w:rsid w:val="0066684A"/>
    <w:rsid w:val="006753AD"/>
    <w:rsid w:val="00677134"/>
    <w:rsid w:val="006824DE"/>
    <w:rsid w:val="0068454A"/>
    <w:rsid w:val="00685100"/>
    <w:rsid w:val="0068728D"/>
    <w:rsid w:val="00692995"/>
    <w:rsid w:val="00693FBC"/>
    <w:rsid w:val="00694F61"/>
    <w:rsid w:val="00696CAE"/>
    <w:rsid w:val="006A1057"/>
    <w:rsid w:val="006A3DCB"/>
    <w:rsid w:val="006A6F56"/>
    <w:rsid w:val="006B37C6"/>
    <w:rsid w:val="006B3E6A"/>
    <w:rsid w:val="006B43FC"/>
    <w:rsid w:val="006B47DB"/>
    <w:rsid w:val="006C0B9F"/>
    <w:rsid w:val="006C307D"/>
    <w:rsid w:val="006C3AD7"/>
    <w:rsid w:val="006C4C14"/>
    <w:rsid w:val="006C63B8"/>
    <w:rsid w:val="006C70DF"/>
    <w:rsid w:val="006D282C"/>
    <w:rsid w:val="006D2A60"/>
    <w:rsid w:val="006D6204"/>
    <w:rsid w:val="006E62F8"/>
    <w:rsid w:val="006E7FEC"/>
    <w:rsid w:val="006F6296"/>
    <w:rsid w:val="006F7EDD"/>
    <w:rsid w:val="00701534"/>
    <w:rsid w:val="0070455E"/>
    <w:rsid w:val="00704859"/>
    <w:rsid w:val="0070567C"/>
    <w:rsid w:val="00707300"/>
    <w:rsid w:val="00716D2E"/>
    <w:rsid w:val="007201E5"/>
    <w:rsid w:val="00721405"/>
    <w:rsid w:val="00723275"/>
    <w:rsid w:val="00724A62"/>
    <w:rsid w:val="00727988"/>
    <w:rsid w:val="00727C32"/>
    <w:rsid w:val="00732FA2"/>
    <w:rsid w:val="00735144"/>
    <w:rsid w:val="0074195E"/>
    <w:rsid w:val="00744A6F"/>
    <w:rsid w:val="0074735A"/>
    <w:rsid w:val="00750B54"/>
    <w:rsid w:val="007511BF"/>
    <w:rsid w:val="00753460"/>
    <w:rsid w:val="007610A7"/>
    <w:rsid w:val="007632C0"/>
    <w:rsid w:val="00763FF7"/>
    <w:rsid w:val="007642B0"/>
    <w:rsid w:val="00764F58"/>
    <w:rsid w:val="007710F5"/>
    <w:rsid w:val="007721E1"/>
    <w:rsid w:val="00780AF2"/>
    <w:rsid w:val="00784BFE"/>
    <w:rsid w:val="00792A8C"/>
    <w:rsid w:val="00795074"/>
    <w:rsid w:val="0079729B"/>
    <w:rsid w:val="007975B9"/>
    <w:rsid w:val="007B1673"/>
    <w:rsid w:val="007B1C45"/>
    <w:rsid w:val="007B2985"/>
    <w:rsid w:val="007B307B"/>
    <w:rsid w:val="007C4607"/>
    <w:rsid w:val="007D50B5"/>
    <w:rsid w:val="007D5820"/>
    <w:rsid w:val="007E023F"/>
    <w:rsid w:val="007E0A4D"/>
    <w:rsid w:val="007F367A"/>
    <w:rsid w:val="007F4EC2"/>
    <w:rsid w:val="007F6382"/>
    <w:rsid w:val="00801543"/>
    <w:rsid w:val="008029FA"/>
    <w:rsid w:val="00812F62"/>
    <w:rsid w:val="008176F8"/>
    <w:rsid w:val="00821EC8"/>
    <w:rsid w:val="008234F1"/>
    <w:rsid w:val="00826DE2"/>
    <w:rsid w:val="00835E9D"/>
    <w:rsid w:val="00837BD8"/>
    <w:rsid w:val="00844D5F"/>
    <w:rsid w:val="00844F7F"/>
    <w:rsid w:val="00847CCD"/>
    <w:rsid w:val="00853FFB"/>
    <w:rsid w:val="00855D37"/>
    <w:rsid w:val="00856090"/>
    <w:rsid w:val="00857438"/>
    <w:rsid w:val="00857B59"/>
    <w:rsid w:val="00860B0B"/>
    <w:rsid w:val="00862855"/>
    <w:rsid w:val="00864BC0"/>
    <w:rsid w:val="008651E9"/>
    <w:rsid w:val="00865EBA"/>
    <w:rsid w:val="00865F1E"/>
    <w:rsid w:val="008668F6"/>
    <w:rsid w:val="00867B54"/>
    <w:rsid w:val="00870F04"/>
    <w:rsid w:val="00871C66"/>
    <w:rsid w:val="00872DD1"/>
    <w:rsid w:val="008730E0"/>
    <w:rsid w:val="0087487C"/>
    <w:rsid w:val="00876E29"/>
    <w:rsid w:val="0088028B"/>
    <w:rsid w:val="00880456"/>
    <w:rsid w:val="00880DC0"/>
    <w:rsid w:val="00882379"/>
    <w:rsid w:val="0088365C"/>
    <w:rsid w:val="00883B42"/>
    <w:rsid w:val="008843AA"/>
    <w:rsid w:val="0089333E"/>
    <w:rsid w:val="008976E1"/>
    <w:rsid w:val="00897B72"/>
    <w:rsid w:val="008A1771"/>
    <w:rsid w:val="008A2280"/>
    <w:rsid w:val="008A5E8D"/>
    <w:rsid w:val="008A6B7B"/>
    <w:rsid w:val="008B2304"/>
    <w:rsid w:val="008C36E5"/>
    <w:rsid w:val="008C4504"/>
    <w:rsid w:val="008D3390"/>
    <w:rsid w:val="008E1F8F"/>
    <w:rsid w:val="008E3659"/>
    <w:rsid w:val="008E6183"/>
    <w:rsid w:val="008F21B4"/>
    <w:rsid w:val="008F353E"/>
    <w:rsid w:val="00901466"/>
    <w:rsid w:val="0090348E"/>
    <w:rsid w:val="00906A58"/>
    <w:rsid w:val="00911D3A"/>
    <w:rsid w:val="00913C35"/>
    <w:rsid w:val="00914184"/>
    <w:rsid w:val="0092314E"/>
    <w:rsid w:val="00925F87"/>
    <w:rsid w:val="009265E0"/>
    <w:rsid w:val="009275E5"/>
    <w:rsid w:val="00932AEF"/>
    <w:rsid w:val="009357A0"/>
    <w:rsid w:val="00937BEE"/>
    <w:rsid w:val="00947C4B"/>
    <w:rsid w:val="00947F0B"/>
    <w:rsid w:val="00952794"/>
    <w:rsid w:val="009538E9"/>
    <w:rsid w:val="0095604C"/>
    <w:rsid w:val="00956662"/>
    <w:rsid w:val="0096412F"/>
    <w:rsid w:val="00970DAB"/>
    <w:rsid w:val="009739D8"/>
    <w:rsid w:val="00974869"/>
    <w:rsid w:val="00974F4A"/>
    <w:rsid w:val="00975479"/>
    <w:rsid w:val="00991809"/>
    <w:rsid w:val="00994C67"/>
    <w:rsid w:val="0099601E"/>
    <w:rsid w:val="009A3429"/>
    <w:rsid w:val="009B3B5D"/>
    <w:rsid w:val="009C0E9A"/>
    <w:rsid w:val="009C38CB"/>
    <w:rsid w:val="009D0DB8"/>
    <w:rsid w:val="009D4CCD"/>
    <w:rsid w:val="009E5A45"/>
    <w:rsid w:val="009E7F07"/>
    <w:rsid w:val="009F1648"/>
    <w:rsid w:val="009F4F4A"/>
    <w:rsid w:val="009F5C64"/>
    <w:rsid w:val="00A025F6"/>
    <w:rsid w:val="00A06970"/>
    <w:rsid w:val="00A078B6"/>
    <w:rsid w:val="00A109BC"/>
    <w:rsid w:val="00A13A36"/>
    <w:rsid w:val="00A1426B"/>
    <w:rsid w:val="00A20775"/>
    <w:rsid w:val="00A269A1"/>
    <w:rsid w:val="00A27EFA"/>
    <w:rsid w:val="00A41C23"/>
    <w:rsid w:val="00A4405C"/>
    <w:rsid w:val="00A440CE"/>
    <w:rsid w:val="00A45015"/>
    <w:rsid w:val="00A472B6"/>
    <w:rsid w:val="00A615F2"/>
    <w:rsid w:val="00A6445B"/>
    <w:rsid w:val="00A7000C"/>
    <w:rsid w:val="00A72506"/>
    <w:rsid w:val="00A7754C"/>
    <w:rsid w:val="00A77AA2"/>
    <w:rsid w:val="00A80C9E"/>
    <w:rsid w:val="00A8124C"/>
    <w:rsid w:val="00A83513"/>
    <w:rsid w:val="00A839AC"/>
    <w:rsid w:val="00A87161"/>
    <w:rsid w:val="00AA3636"/>
    <w:rsid w:val="00AA4CBC"/>
    <w:rsid w:val="00AA799F"/>
    <w:rsid w:val="00AB0AF0"/>
    <w:rsid w:val="00AB1AF9"/>
    <w:rsid w:val="00AB34F4"/>
    <w:rsid w:val="00AB7159"/>
    <w:rsid w:val="00AC26E7"/>
    <w:rsid w:val="00AD3AC0"/>
    <w:rsid w:val="00AD5772"/>
    <w:rsid w:val="00AE37CD"/>
    <w:rsid w:val="00AE4209"/>
    <w:rsid w:val="00AE54EA"/>
    <w:rsid w:val="00AE5790"/>
    <w:rsid w:val="00AF6652"/>
    <w:rsid w:val="00AF6BAB"/>
    <w:rsid w:val="00AF72FA"/>
    <w:rsid w:val="00B00CC5"/>
    <w:rsid w:val="00B020DA"/>
    <w:rsid w:val="00B03B1A"/>
    <w:rsid w:val="00B13509"/>
    <w:rsid w:val="00B179C4"/>
    <w:rsid w:val="00B206E3"/>
    <w:rsid w:val="00B21016"/>
    <w:rsid w:val="00B22688"/>
    <w:rsid w:val="00B25FC0"/>
    <w:rsid w:val="00B301D5"/>
    <w:rsid w:val="00B30D21"/>
    <w:rsid w:val="00B355B6"/>
    <w:rsid w:val="00B364D3"/>
    <w:rsid w:val="00B40779"/>
    <w:rsid w:val="00B43021"/>
    <w:rsid w:val="00B472DA"/>
    <w:rsid w:val="00B4748E"/>
    <w:rsid w:val="00B47817"/>
    <w:rsid w:val="00B52E20"/>
    <w:rsid w:val="00B55658"/>
    <w:rsid w:val="00B57844"/>
    <w:rsid w:val="00B608C3"/>
    <w:rsid w:val="00B62488"/>
    <w:rsid w:val="00B645F5"/>
    <w:rsid w:val="00B66CB2"/>
    <w:rsid w:val="00B6712B"/>
    <w:rsid w:val="00B73D19"/>
    <w:rsid w:val="00B8256A"/>
    <w:rsid w:val="00B863AE"/>
    <w:rsid w:val="00B9169D"/>
    <w:rsid w:val="00B93397"/>
    <w:rsid w:val="00B942AA"/>
    <w:rsid w:val="00B95061"/>
    <w:rsid w:val="00BB287E"/>
    <w:rsid w:val="00BB7155"/>
    <w:rsid w:val="00BC0D6A"/>
    <w:rsid w:val="00BC0E47"/>
    <w:rsid w:val="00BC33F7"/>
    <w:rsid w:val="00BC48FC"/>
    <w:rsid w:val="00BD0D84"/>
    <w:rsid w:val="00BD7404"/>
    <w:rsid w:val="00BE3759"/>
    <w:rsid w:val="00BE3A2E"/>
    <w:rsid w:val="00BE5E56"/>
    <w:rsid w:val="00BE6F9B"/>
    <w:rsid w:val="00BF1771"/>
    <w:rsid w:val="00BF27C9"/>
    <w:rsid w:val="00BF5AE6"/>
    <w:rsid w:val="00C05C4C"/>
    <w:rsid w:val="00C107BA"/>
    <w:rsid w:val="00C11643"/>
    <w:rsid w:val="00C14988"/>
    <w:rsid w:val="00C17EBE"/>
    <w:rsid w:val="00C21BFC"/>
    <w:rsid w:val="00C24CD1"/>
    <w:rsid w:val="00C326A1"/>
    <w:rsid w:val="00C36981"/>
    <w:rsid w:val="00C440FC"/>
    <w:rsid w:val="00C4573D"/>
    <w:rsid w:val="00C47DA9"/>
    <w:rsid w:val="00C51790"/>
    <w:rsid w:val="00C53B9F"/>
    <w:rsid w:val="00C63315"/>
    <w:rsid w:val="00C66B5B"/>
    <w:rsid w:val="00C716A7"/>
    <w:rsid w:val="00C72F2D"/>
    <w:rsid w:val="00C74FF0"/>
    <w:rsid w:val="00C77E56"/>
    <w:rsid w:val="00C82B2F"/>
    <w:rsid w:val="00C8506C"/>
    <w:rsid w:val="00C90980"/>
    <w:rsid w:val="00CA42E0"/>
    <w:rsid w:val="00CA4F39"/>
    <w:rsid w:val="00CB5B20"/>
    <w:rsid w:val="00CB650D"/>
    <w:rsid w:val="00CC19F1"/>
    <w:rsid w:val="00CC2FF3"/>
    <w:rsid w:val="00CC6FE2"/>
    <w:rsid w:val="00CD1CF9"/>
    <w:rsid w:val="00CD4EA7"/>
    <w:rsid w:val="00CE281C"/>
    <w:rsid w:val="00CE4396"/>
    <w:rsid w:val="00CF10F7"/>
    <w:rsid w:val="00CF1E8D"/>
    <w:rsid w:val="00CF74FC"/>
    <w:rsid w:val="00D00960"/>
    <w:rsid w:val="00D00F2A"/>
    <w:rsid w:val="00D010C4"/>
    <w:rsid w:val="00D23308"/>
    <w:rsid w:val="00D23791"/>
    <w:rsid w:val="00D242CE"/>
    <w:rsid w:val="00D25A5A"/>
    <w:rsid w:val="00D2740B"/>
    <w:rsid w:val="00D33126"/>
    <w:rsid w:val="00D43F56"/>
    <w:rsid w:val="00D45DCF"/>
    <w:rsid w:val="00D67842"/>
    <w:rsid w:val="00D71D05"/>
    <w:rsid w:val="00D72C53"/>
    <w:rsid w:val="00D74981"/>
    <w:rsid w:val="00D80010"/>
    <w:rsid w:val="00D83F39"/>
    <w:rsid w:val="00D904B2"/>
    <w:rsid w:val="00D923B9"/>
    <w:rsid w:val="00D93BDA"/>
    <w:rsid w:val="00DA022D"/>
    <w:rsid w:val="00DA420F"/>
    <w:rsid w:val="00DB2B53"/>
    <w:rsid w:val="00DB3900"/>
    <w:rsid w:val="00DB6572"/>
    <w:rsid w:val="00DC4306"/>
    <w:rsid w:val="00DC5BBB"/>
    <w:rsid w:val="00DC76D1"/>
    <w:rsid w:val="00DD0F4D"/>
    <w:rsid w:val="00DD1161"/>
    <w:rsid w:val="00DD2674"/>
    <w:rsid w:val="00DD58B1"/>
    <w:rsid w:val="00DD68F6"/>
    <w:rsid w:val="00DD7A39"/>
    <w:rsid w:val="00DE07B3"/>
    <w:rsid w:val="00DE2012"/>
    <w:rsid w:val="00DE342F"/>
    <w:rsid w:val="00DF10BF"/>
    <w:rsid w:val="00DF3C8D"/>
    <w:rsid w:val="00E00486"/>
    <w:rsid w:val="00E012A0"/>
    <w:rsid w:val="00E0324B"/>
    <w:rsid w:val="00E03616"/>
    <w:rsid w:val="00E30272"/>
    <w:rsid w:val="00E35E55"/>
    <w:rsid w:val="00E36E76"/>
    <w:rsid w:val="00E45FB4"/>
    <w:rsid w:val="00E540E2"/>
    <w:rsid w:val="00E60134"/>
    <w:rsid w:val="00E62BA4"/>
    <w:rsid w:val="00E650D9"/>
    <w:rsid w:val="00E679F2"/>
    <w:rsid w:val="00E76811"/>
    <w:rsid w:val="00E85DD4"/>
    <w:rsid w:val="00E93874"/>
    <w:rsid w:val="00E9462F"/>
    <w:rsid w:val="00E94F31"/>
    <w:rsid w:val="00E9791D"/>
    <w:rsid w:val="00EA1A1C"/>
    <w:rsid w:val="00EA729B"/>
    <w:rsid w:val="00EB17AF"/>
    <w:rsid w:val="00EB1B9E"/>
    <w:rsid w:val="00EB2EAB"/>
    <w:rsid w:val="00ED1859"/>
    <w:rsid w:val="00ED53B8"/>
    <w:rsid w:val="00EE0D26"/>
    <w:rsid w:val="00EE0FCC"/>
    <w:rsid w:val="00EE6053"/>
    <w:rsid w:val="00EE6438"/>
    <w:rsid w:val="00EF3817"/>
    <w:rsid w:val="00EF5030"/>
    <w:rsid w:val="00EF5477"/>
    <w:rsid w:val="00EF6CB3"/>
    <w:rsid w:val="00F013C8"/>
    <w:rsid w:val="00F01D1F"/>
    <w:rsid w:val="00F03CB6"/>
    <w:rsid w:val="00F04248"/>
    <w:rsid w:val="00F12E0B"/>
    <w:rsid w:val="00F13FD3"/>
    <w:rsid w:val="00F20C7C"/>
    <w:rsid w:val="00F22BCB"/>
    <w:rsid w:val="00F254B5"/>
    <w:rsid w:val="00F25F1D"/>
    <w:rsid w:val="00F260F8"/>
    <w:rsid w:val="00F3355D"/>
    <w:rsid w:val="00F33DDD"/>
    <w:rsid w:val="00F34213"/>
    <w:rsid w:val="00F342D5"/>
    <w:rsid w:val="00F350DB"/>
    <w:rsid w:val="00F36112"/>
    <w:rsid w:val="00F36529"/>
    <w:rsid w:val="00F37150"/>
    <w:rsid w:val="00F418C9"/>
    <w:rsid w:val="00F472E2"/>
    <w:rsid w:val="00F4732A"/>
    <w:rsid w:val="00F51693"/>
    <w:rsid w:val="00F5290A"/>
    <w:rsid w:val="00F52AAA"/>
    <w:rsid w:val="00F52CE6"/>
    <w:rsid w:val="00F5639C"/>
    <w:rsid w:val="00F5686E"/>
    <w:rsid w:val="00F61495"/>
    <w:rsid w:val="00F65123"/>
    <w:rsid w:val="00F714EC"/>
    <w:rsid w:val="00F722C8"/>
    <w:rsid w:val="00F73BCD"/>
    <w:rsid w:val="00F76ED5"/>
    <w:rsid w:val="00F82887"/>
    <w:rsid w:val="00F859BB"/>
    <w:rsid w:val="00F87259"/>
    <w:rsid w:val="00F92C33"/>
    <w:rsid w:val="00FA5482"/>
    <w:rsid w:val="00FA5FFE"/>
    <w:rsid w:val="00FB0B55"/>
    <w:rsid w:val="00FB1102"/>
    <w:rsid w:val="00FB1DAB"/>
    <w:rsid w:val="00FB2954"/>
    <w:rsid w:val="00FB36AA"/>
    <w:rsid w:val="00FC28EC"/>
    <w:rsid w:val="00FC29D6"/>
    <w:rsid w:val="00FC4687"/>
    <w:rsid w:val="00FD4A2F"/>
    <w:rsid w:val="00FD69D1"/>
    <w:rsid w:val="00FD748A"/>
    <w:rsid w:val="00FE1A21"/>
    <w:rsid w:val="00FE39CE"/>
    <w:rsid w:val="00FF0238"/>
    <w:rsid w:val="00FF0398"/>
    <w:rsid w:val="00FF18C9"/>
    <w:rsid w:val="00FF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4A26C199-5A21-4DE9-B458-F278237F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11BF"/>
    <w:pPr>
      <w:autoSpaceDE w:val="0"/>
      <w:autoSpaceDN w:val="0"/>
      <w:adjustRightInd w:val="0"/>
    </w:pPr>
    <w:rPr>
      <w:szCs w:val="24"/>
    </w:rPr>
  </w:style>
  <w:style w:type="paragraph" w:styleId="Heading1">
    <w:name w:val="heading 1"/>
    <w:basedOn w:val="Normal"/>
    <w:next w:val="Normal"/>
    <w:link w:val="Heading1Char"/>
    <w:qFormat/>
    <w:rsid w:val="000B10DF"/>
    <w:pPr>
      <w:keepNext/>
      <w:spacing w:before="360" w:after="240"/>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locked/>
    <w:rsid w:val="000B10DF"/>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3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 w:type="table" w:customStyle="1" w:styleId="TableGrid1">
    <w:name w:val="Table Grid1"/>
    <w:basedOn w:val="TableNormal"/>
    <w:next w:val="TableGrid"/>
    <w:uiPriority w:val="39"/>
    <w:rsid w:val="000B10D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trB">
    <w:name w:val="Table Header Ctr B"/>
    <w:basedOn w:val="Normal"/>
    <w:link w:val="TableHeaderCtrBChar"/>
    <w:qFormat/>
    <w:rsid w:val="00126EA0"/>
    <w:pPr>
      <w:autoSpaceDE/>
      <w:autoSpaceDN/>
      <w:adjustRightInd/>
      <w:jc w:val="center"/>
    </w:pPr>
    <w:rPr>
      <w:rFonts w:ascii="Times New Roman Bold" w:eastAsia="Calibri" w:hAnsi="Times New Roman Bold"/>
      <w:b/>
      <w:szCs w:val="20"/>
    </w:rPr>
  </w:style>
  <w:style w:type="character" w:customStyle="1" w:styleId="TableHeaderCtrBChar">
    <w:name w:val="Table Header Ctr B Char"/>
    <w:basedOn w:val="DefaultParagraphFont"/>
    <w:link w:val="TableHeaderCtrB"/>
    <w:rsid w:val="00126EA0"/>
    <w:rPr>
      <w:rFonts w:ascii="Times New Roman Bold" w:eastAsia="Calibri"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37EB-ED6A-4816-8794-A24EB237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510</Words>
  <Characters>3034</Characters>
  <Application>Microsoft Office Word</Application>
  <DocSecurity>0</DocSecurity>
  <Lines>189</Lines>
  <Paragraphs>154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none</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Amendments and Editorial Changes</dc:subject>
  <dc:creator>linda.crown@nist.gov;tina.butcher@nist.gov;richard.harshman@nist.gov;Barton, John (Fed);Diane Lee</dc:creator>
  <dc:description>2017 Amendments and Editorial Changes</dc:description>
  <cp:lastModifiedBy>Crown, Linda D. (Fed)</cp:lastModifiedBy>
  <cp:revision>8</cp:revision>
  <cp:lastPrinted>2018-10-09T15:29:00Z</cp:lastPrinted>
  <dcterms:created xsi:type="dcterms:W3CDTF">2018-10-09T15:24:00Z</dcterms:created>
  <dcterms:modified xsi:type="dcterms:W3CDTF">2018-12-04T11:52:00Z</dcterms:modified>
</cp:coreProperties>
</file>