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A54F8A" w:rsidTr="00A91BF4">
        <w:tc>
          <w:tcPr>
            <w:tcW w:w="93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54F8A" w:rsidRDefault="00A54F8A" w:rsidP="00A91BF4">
            <w:pPr>
              <w:keepNext/>
              <w:jc w:val="center"/>
              <w:rPr>
                <w:b/>
                <w:bCs/>
                <w:sz w:val="12"/>
              </w:rPr>
            </w:pPr>
          </w:p>
        </w:tc>
      </w:tr>
      <w:tr w:rsidR="00A54F8A" w:rsidTr="00A91BF4">
        <w:tc>
          <w:tcPr>
            <w:tcW w:w="9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54F8A" w:rsidRDefault="00A54F8A" w:rsidP="00A91BF4">
            <w:pPr>
              <w:keepNext/>
              <w:jc w:val="center"/>
              <w:rPr>
                <w:b/>
                <w:bCs/>
                <w:sz w:val="12"/>
              </w:rPr>
            </w:pPr>
          </w:p>
        </w:tc>
      </w:tr>
      <w:tr w:rsidR="00A54F8A" w:rsidTr="00A91BF4">
        <w:tc>
          <w:tcPr>
            <w:tcW w:w="9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54F8A" w:rsidRPr="008F0613" w:rsidRDefault="00A54F8A" w:rsidP="00A91BF4">
            <w:pPr>
              <w:pStyle w:val="Heading1"/>
              <w:outlineLvl w:val="0"/>
            </w:pPr>
            <w:bookmarkStart w:id="0" w:name="_Toc464111538"/>
            <w:bookmarkStart w:id="1" w:name="_Toc464123737"/>
            <w:bookmarkStart w:id="2" w:name="_Toc496108439"/>
            <w:r>
              <w:rPr>
                <w:rFonts w:ascii="ZWAdobeF" w:hAnsi="ZWAdobeF" w:cs="ZWAdobeF"/>
                <w:b w:val="0"/>
                <w:sz w:val="2"/>
                <w:szCs w:val="2"/>
              </w:rPr>
              <w:t>3B</w:t>
            </w:r>
            <w:r w:rsidRPr="008F0613">
              <w:t>Table of Acronyms</w:t>
            </w:r>
            <w:bookmarkEnd w:id="0"/>
            <w:bookmarkEnd w:id="1"/>
            <w:bookmarkEnd w:id="2"/>
          </w:p>
        </w:tc>
      </w:tr>
    </w:tbl>
    <w:p w:rsidR="00A54F8A" w:rsidRDefault="00A54F8A" w:rsidP="00A54F8A">
      <w:pPr>
        <w:tabs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94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245"/>
        <w:gridCol w:w="3456"/>
        <w:gridCol w:w="1253"/>
        <w:gridCol w:w="3456"/>
      </w:tblGrid>
      <w:tr w:rsidR="00A54F8A" w:rsidRPr="00267D13" w:rsidTr="00A91BF4">
        <w:trPr>
          <w:tblHeader/>
          <w:jc w:val="center"/>
        </w:trPr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4F8A" w:rsidRPr="00267D13" w:rsidRDefault="00A54F8A" w:rsidP="00A91BF4">
            <w:pPr>
              <w:jc w:val="center"/>
              <w:rPr>
                <w:b/>
                <w:sz w:val="24"/>
                <w:szCs w:val="24"/>
              </w:rPr>
            </w:pPr>
            <w:r w:rsidRPr="00267D13">
              <w:rPr>
                <w:b/>
                <w:sz w:val="24"/>
                <w:szCs w:val="24"/>
              </w:rPr>
              <w:t>Acronym</w:t>
            </w:r>
          </w:p>
        </w:tc>
        <w:tc>
          <w:tcPr>
            <w:tcW w:w="34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4F8A" w:rsidRPr="00267D13" w:rsidRDefault="00A54F8A" w:rsidP="00A91BF4">
            <w:pPr>
              <w:jc w:val="center"/>
              <w:rPr>
                <w:b/>
                <w:sz w:val="24"/>
                <w:szCs w:val="24"/>
              </w:rPr>
            </w:pPr>
            <w:r w:rsidRPr="00267D13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</w:tcPr>
          <w:p w:rsidR="00A54F8A" w:rsidRPr="00D94462" w:rsidRDefault="00A54F8A" w:rsidP="00A91BF4">
            <w:pPr>
              <w:jc w:val="center"/>
              <w:rPr>
                <w:b/>
                <w:sz w:val="24"/>
                <w:szCs w:val="24"/>
              </w:rPr>
            </w:pPr>
            <w:r w:rsidRPr="00D94462">
              <w:rPr>
                <w:b/>
                <w:sz w:val="24"/>
                <w:szCs w:val="24"/>
              </w:rPr>
              <w:t>Acronym</w:t>
            </w:r>
          </w:p>
        </w:tc>
        <w:tc>
          <w:tcPr>
            <w:tcW w:w="3456" w:type="dxa"/>
            <w:tcBorders>
              <w:top w:val="double" w:sz="4" w:space="0" w:color="auto"/>
              <w:bottom w:val="double" w:sz="4" w:space="0" w:color="auto"/>
            </w:tcBorders>
          </w:tcPr>
          <w:p w:rsidR="00A54F8A" w:rsidRPr="00267D13" w:rsidRDefault="00A54F8A" w:rsidP="00A91B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</w:t>
            </w:r>
          </w:p>
        </w:tc>
      </w:tr>
      <w:tr w:rsidR="00A54F8A" w:rsidRPr="00267D13" w:rsidTr="00A91BF4">
        <w:trPr>
          <w:jc w:val="center"/>
        </w:trPr>
        <w:tc>
          <w:tcPr>
            <w:tcW w:w="1245" w:type="dxa"/>
            <w:tcBorders>
              <w:top w:val="double" w:sz="4" w:space="0" w:color="auto"/>
            </w:tcBorders>
          </w:tcPr>
          <w:p w:rsidR="00A54F8A" w:rsidRPr="00AC5CC9" w:rsidRDefault="00A54F8A" w:rsidP="00A91BF4">
            <w:pPr>
              <w:rPr>
                <w:szCs w:val="22"/>
              </w:rPr>
            </w:pPr>
            <w:r>
              <w:rPr>
                <w:szCs w:val="22"/>
              </w:rPr>
              <w:t>AAP</w:t>
            </w:r>
          </w:p>
        </w:tc>
        <w:tc>
          <w:tcPr>
            <w:tcW w:w="3456" w:type="dxa"/>
            <w:tcBorders>
              <w:top w:val="double" w:sz="4" w:space="0" w:color="auto"/>
            </w:tcBorders>
          </w:tcPr>
          <w:p w:rsidR="00A54F8A" w:rsidRPr="00AC5CC9" w:rsidRDefault="00A54F8A" w:rsidP="00A91BF4">
            <w:pPr>
              <w:rPr>
                <w:szCs w:val="22"/>
              </w:rPr>
            </w:pPr>
            <w:r>
              <w:rPr>
                <w:szCs w:val="22"/>
              </w:rPr>
              <w:t>Average Adjusted Purge</w:t>
            </w:r>
          </w:p>
        </w:tc>
        <w:tc>
          <w:tcPr>
            <w:tcW w:w="1253" w:type="dxa"/>
            <w:tcBorders>
              <w:top w:val="double" w:sz="4" w:space="0" w:color="auto"/>
            </w:tcBorders>
          </w:tcPr>
          <w:p w:rsidR="00A54F8A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HB 44</w:t>
            </w:r>
          </w:p>
        </w:tc>
        <w:tc>
          <w:tcPr>
            <w:tcW w:w="3456" w:type="dxa"/>
            <w:tcBorders>
              <w:top w:val="double" w:sz="4" w:space="0" w:color="auto"/>
            </w:tcBorders>
          </w:tcPr>
          <w:p w:rsidR="00A54F8A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NIST Handbook 44</w:t>
            </w:r>
            <w:r>
              <w:rPr>
                <w:szCs w:val="22"/>
              </w:rPr>
              <w:t xml:space="preserve">, </w:t>
            </w:r>
            <w:r w:rsidRPr="006305E9">
              <w:rPr>
                <w:szCs w:val="22"/>
              </w:rPr>
              <w:t>“Specifications, Tolerances, and Other Technical Requirements for Weighing and Measuring Devices”</w:t>
            </w:r>
          </w:p>
        </w:tc>
      </w:tr>
      <w:tr w:rsidR="00A54F8A" w:rsidRPr="00267D13" w:rsidTr="00A91BF4">
        <w:trPr>
          <w:jc w:val="center"/>
        </w:trPr>
        <w:tc>
          <w:tcPr>
            <w:tcW w:w="1245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AMAV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Adjusted Maximum Allowable Variation</w:t>
            </w:r>
          </w:p>
        </w:tc>
        <w:tc>
          <w:tcPr>
            <w:tcW w:w="1253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LNQC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Labeled Net Quantity of Content</w:t>
            </w:r>
          </w:p>
        </w:tc>
      </w:tr>
      <w:tr w:rsidR="00A54F8A" w:rsidRPr="00267D13" w:rsidTr="00A91BF4">
        <w:trPr>
          <w:jc w:val="center"/>
        </w:trPr>
        <w:tc>
          <w:tcPr>
            <w:tcW w:w="1245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ANGW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Adjusted Nominal Gross Weight</w:t>
            </w:r>
          </w:p>
        </w:tc>
        <w:tc>
          <w:tcPr>
            <w:tcW w:w="1253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MA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Moisture Allowance</w:t>
            </w:r>
          </w:p>
        </w:tc>
      </w:tr>
      <w:tr w:rsidR="00A54F8A" w:rsidRPr="00267D13" w:rsidTr="00A91BF4">
        <w:trPr>
          <w:jc w:val="center"/>
        </w:trPr>
        <w:tc>
          <w:tcPr>
            <w:tcW w:w="1245" w:type="dxa"/>
          </w:tcPr>
          <w:p w:rsidR="00A54F8A" w:rsidRPr="00AC5CC9" w:rsidRDefault="00A54F8A" w:rsidP="00A91BF4">
            <w:pPr>
              <w:rPr>
                <w:szCs w:val="22"/>
              </w:rPr>
            </w:pPr>
            <w:r>
              <w:rPr>
                <w:szCs w:val="22"/>
              </w:rPr>
              <w:t>AOSA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>
              <w:rPr>
                <w:szCs w:val="22"/>
              </w:rPr>
              <w:t>Association of Official Seed Analysts</w:t>
            </w:r>
          </w:p>
        </w:tc>
        <w:tc>
          <w:tcPr>
            <w:tcW w:w="1253" w:type="dxa"/>
          </w:tcPr>
          <w:p w:rsidR="00A54F8A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MAV</w:t>
            </w:r>
          </w:p>
        </w:tc>
        <w:tc>
          <w:tcPr>
            <w:tcW w:w="3456" w:type="dxa"/>
          </w:tcPr>
          <w:p w:rsidR="00A54F8A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Maximum Allowable Variation</w:t>
            </w:r>
          </w:p>
        </w:tc>
      </w:tr>
      <w:tr w:rsidR="00A54F8A" w:rsidRPr="00267D13" w:rsidTr="00A91BF4">
        <w:trPr>
          <w:jc w:val="center"/>
        </w:trPr>
        <w:tc>
          <w:tcPr>
            <w:tcW w:w="1245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ASEL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Adjusted Sample Error Limit</w:t>
            </w:r>
          </w:p>
        </w:tc>
        <w:tc>
          <w:tcPr>
            <w:tcW w:w="1253" w:type="dxa"/>
          </w:tcPr>
          <w:p w:rsidR="00A54F8A" w:rsidRPr="00AC5CC9" w:rsidRDefault="00A54F8A" w:rsidP="00A91BF4">
            <w:pPr>
              <w:rPr>
                <w:szCs w:val="22"/>
              </w:rPr>
            </w:pPr>
            <w:r>
              <w:rPr>
                <w:szCs w:val="22"/>
              </w:rPr>
              <w:t>MSDS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>
              <w:rPr>
                <w:szCs w:val="22"/>
              </w:rPr>
              <w:t>Material Safety Data Sheets</w:t>
            </w:r>
          </w:p>
        </w:tc>
      </w:tr>
      <w:tr w:rsidR="00A54F8A" w:rsidRPr="00267D13" w:rsidTr="00A91BF4">
        <w:trPr>
          <w:jc w:val="center"/>
        </w:trPr>
        <w:tc>
          <w:tcPr>
            <w:tcW w:w="1245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ASTM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American Society for Testing Materials International</w:t>
            </w:r>
          </w:p>
        </w:tc>
        <w:tc>
          <w:tcPr>
            <w:tcW w:w="1253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NGW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Nominal Gross Weight</w:t>
            </w:r>
          </w:p>
        </w:tc>
      </w:tr>
      <w:tr w:rsidR="00A54F8A" w:rsidRPr="00267D13" w:rsidTr="00A91BF4">
        <w:trPr>
          <w:trHeight w:val="242"/>
          <w:jc w:val="center"/>
        </w:trPr>
        <w:tc>
          <w:tcPr>
            <w:tcW w:w="1245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CFR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Code of Federal Regulations</w:t>
            </w:r>
          </w:p>
        </w:tc>
        <w:tc>
          <w:tcPr>
            <w:tcW w:w="1253" w:type="dxa"/>
          </w:tcPr>
          <w:p w:rsidR="00A54F8A" w:rsidRPr="00AC5CC9" w:rsidRDefault="00A54F8A" w:rsidP="00A91BF4">
            <w:pPr>
              <w:rPr>
                <w:szCs w:val="22"/>
              </w:rPr>
            </w:pPr>
            <w:r>
              <w:rPr>
                <w:szCs w:val="22"/>
              </w:rPr>
              <w:t>NCWM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>
              <w:rPr>
                <w:szCs w:val="22"/>
              </w:rPr>
              <w:t>National Conference on Weights and Measures</w:t>
            </w:r>
          </w:p>
        </w:tc>
      </w:tr>
      <w:tr w:rsidR="00A54F8A" w:rsidRPr="00267D13" w:rsidTr="00A91BF4">
        <w:trPr>
          <w:jc w:val="center"/>
        </w:trPr>
        <w:tc>
          <w:tcPr>
            <w:tcW w:w="1245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CGA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Compressed Gas Association</w:t>
            </w:r>
          </w:p>
        </w:tc>
        <w:tc>
          <w:tcPr>
            <w:tcW w:w="1253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NIST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National Institute of Standards and Technology</w:t>
            </w:r>
          </w:p>
        </w:tc>
      </w:tr>
      <w:tr w:rsidR="00A54F8A" w:rsidRPr="00267D13" w:rsidTr="00A91BF4">
        <w:trPr>
          <w:jc w:val="center"/>
        </w:trPr>
        <w:tc>
          <w:tcPr>
            <w:tcW w:w="1245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EPA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Environmental Protection Agency</w:t>
            </w:r>
          </w:p>
        </w:tc>
        <w:tc>
          <w:tcPr>
            <w:tcW w:w="1253" w:type="dxa"/>
          </w:tcPr>
          <w:p w:rsidR="00A54F8A" w:rsidRPr="00AC5CC9" w:rsidRDefault="00A54F8A" w:rsidP="00A91BF4">
            <w:pPr>
              <w:rPr>
                <w:szCs w:val="22"/>
              </w:rPr>
            </w:pPr>
            <w:r>
              <w:rPr>
                <w:szCs w:val="22"/>
              </w:rPr>
              <w:t>PSEL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>
              <w:rPr>
                <w:szCs w:val="22"/>
              </w:rPr>
              <w:t>Purge Sample Error Limit</w:t>
            </w:r>
          </w:p>
        </w:tc>
      </w:tr>
      <w:tr w:rsidR="00A54F8A" w:rsidRPr="00267D13" w:rsidTr="00A91BF4">
        <w:trPr>
          <w:jc w:val="center"/>
        </w:trPr>
        <w:tc>
          <w:tcPr>
            <w:tcW w:w="1245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FDA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Food and Drug Administration</w:t>
            </w:r>
          </w:p>
        </w:tc>
        <w:tc>
          <w:tcPr>
            <w:tcW w:w="1253" w:type="dxa"/>
          </w:tcPr>
          <w:p w:rsidR="00A54F8A" w:rsidRPr="00AC5CC9" w:rsidRDefault="00A54F8A" w:rsidP="00A91BF4">
            <w:pPr>
              <w:rPr>
                <w:szCs w:val="22"/>
              </w:rPr>
            </w:pPr>
            <w:r>
              <w:rPr>
                <w:szCs w:val="22"/>
              </w:rPr>
              <w:t>SCF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>
              <w:rPr>
                <w:szCs w:val="22"/>
              </w:rPr>
              <w:t>Sample Correction Factor</w:t>
            </w:r>
          </w:p>
        </w:tc>
      </w:tr>
      <w:tr w:rsidR="00A54F8A" w:rsidRPr="00267D13" w:rsidTr="00A91BF4">
        <w:trPr>
          <w:jc w:val="center"/>
        </w:trPr>
        <w:tc>
          <w:tcPr>
            <w:tcW w:w="1245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FDCA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Food</w:t>
            </w:r>
            <w:r>
              <w:rPr>
                <w:szCs w:val="22"/>
              </w:rPr>
              <w:t>,</w:t>
            </w:r>
            <w:r w:rsidRPr="00AC5CC9">
              <w:rPr>
                <w:szCs w:val="22"/>
              </w:rPr>
              <w:t xml:space="preserve"> Drug and Cosmetic Act</w:t>
            </w:r>
          </w:p>
        </w:tc>
        <w:tc>
          <w:tcPr>
            <w:tcW w:w="1253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SEL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Sample Error Limit</w:t>
            </w:r>
          </w:p>
        </w:tc>
      </w:tr>
      <w:tr w:rsidR="00A54F8A" w:rsidRPr="00267D13" w:rsidTr="00A91BF4">
        <w:trPr>
          <w:jc w:val="center"/>
        </w:trPr>
        <w:tc>
          <w:tcPr>
            <w:tcW w:w="1245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FPLA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Fair Packaging and Labeling Act</w:t>
            </w:r>
          </w:p>
        </w:tc>
        <w:tc>
          <w:tcPr>
            <w:tcW w:w="1253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TTB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Alcohol and Tobacco Tax and Trade Bureau</w:t>
            </w:r>
          </w:p>
        </w:tc>
      </w:tr>
      <w:tr w:rsidR="00A54F8A" w:rsidRPr="00267D13" w:rsidTr="00A91BF4">
        <w:trPr>
          <w:jc w:val="center"/>
        </w:trPr>
        <w:tc>
          <w:tcPr>
            <w:tcW w:w="1245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FSIS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Food Safety and Inspection</w:t>
            </w:r>
            <w:r>
              <w:rPr>
                <w:szCs w:val="22"/>
              </w:rPr>
              <w:t xml:space="preserve"> Service of the USDA</w:t>
            </w:r>
          </w:p>
        </w:tc>
        <w:tc>
          <w:tcPr>
            <w:tcW w:w="1253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UME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Unreasonable Minus Errors</w:t>
            </w:r>
          </w:p>
        </w:tc>
      </w:tr>
      <w:tr w:rsidR="00A54F8A" w:rsidRPr="00267D13" w:rsidTr="00A91BF4">
        <w:trPr>
          <w:jc w:val="center"/>
        </w:trPr>
        <w:tc>
          <w:tcPr>
            <w:tcW w:w="1245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FTC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Federal Trade Commission</w:t>
            </w:r>
          </w:p>
        </w:tc>
        <w:tc>
          <w:tcPr>
            <w:tcW w:w="1253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UPLR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Uniform Packaging and Labeling Regulation</w:t>
            </w:r>
          </w:p>
        </w:tc>
      </w:tr>
      <w:tr w:rsidR="00A54F8A" w:rsidRPr="00267D13" w:rsidTr="00A91BF4">
        <w:trPr>
          <w:jc w:val="center"/>
        </w:trPr>
        <w:tc>
          <w:tcPr>
            <w:tcW w:w="1245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HB 130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NIST Handbook 130</w:t>
            </w:r>
            <w:r>
              <w:rPr>
                <w:szCs w:val="22"/>
              </w:rPr>
              <w:t>,</w:t>
            </w:r>
            <w:r w:rsidRPr="00AC5CC9">
              <w:rPr>
                <w:szCs w:val="22"/>
              </w:rPr>
              <w:t xml:space="preserve"> </w:t>
            </w:r>
            <w:r w:rsidRPr="006305E9">
              <w:rPr>
                <w:szCs w:val="22"/>
              </w:rPr>
              <w:t>“Uniform Laws and Regulations in the areas of Legal Metrology and Engine Fuel Quality”</w:t>
            </w:r>
          </w:p>
        </w:tc>
        <w:tc>
          <w:tcPr>
            <w:tcW w:w="1253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USDA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U.S. Department of Agriculture</w:t>
            </w:r>
          </w:p>
        </w:tc>
      </w:tr>
      <w:tr w:rsidR="00A54F8A" w:rsidRPr="00267D13" w:rsidTr="00A91BF4">
        <w:trPr>
          <w:jc w:val="center"/>
        </w:trPr>
        <w:tc>
          <w:tcPr>
            <w:tcW w:w="1245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HB 133</w:t>
            </w: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  <w:r w:rsidRPr="00AC5CC9">
              <w:rPr>
                <w:szCs w:val="22"/>
              </w:rPr>
              <w:t>NIST Handbook 133</w:t>
            </w:r>
            <w:r>
              <w:rPr>
                <w:szCs w:val="22"/>
              </w:rPr>
              <w:t>,</w:t>
            </w:r>
            <w:r w:rsidRPr="00AC5CC9">
              <w:rPr>
                <w:szCs w:val="22"/>
              </w:rPr>
              <w:t xml:space="preserve"> </w:t>
            </w:r>
            <w:r w:rsidRPr="006305E9">
              <w:rPr>
                <w:szCs w:val="22"/>
              </w:rPr>
              <w:t>“Checking the Net Contents of Packaged Goods”</w:t>
            </w:r>
          </w:p>
        </w:tc>
        <w:tc>
          <w:tcPr>
            <w:tcW w:w="1253" w:type="dxa"/>
          </w:tcPr>
          <w:p w:rsidR="00A54F8A" w:rsidRPr="00AC5CC9" w:rsidRDefault="00A54F8A" w:rsidP="00A91BF4">
            <w:pPr>
              <w:rPr>
                <w:szCs w:val="22"/>
              </w:rPr>
            </w:pPr>
          </w:p>
        </w:tc>
        <w:tc>
          <w:tcPr>
            <w:tcW w:w="3456" w:type="dxa"/>
          </w:tcPr>
          <w:p w:rsidR="00A54F8A" w:rsidRPr="00AC5CC9" w:rsidRDefault="00A54F8A" w:rsidP="00A91BF4">
            <w:pPr>
              <w:rPr>
                <w:szCs w:val="22"/>
              </w:rPr>
            </w:pPr>
          </w:p>
        </w:tc>
      </w:tr>
    </w:tbl>
    <w:p w:rsidR="00A54F8A" w:rsidRDefault="00A54F8A" w:rsidP="00A54F8A">
      <w:pPr>
        <w:tabs>
          <w:tab w:val="left" w:pos="1260"/>
        </w:tabs>
        <w:jc w:val="center"/>
        <w:rPr>
          <w:b/>
          <w:sz w:val="24"/>
          <w:szCs w:val="24"/>
        </w:rPr>
      </w:pPr>
    </w:p>
    <w:p w:rsidR="00A54F8A" w:rsidRDefault="00A54F8A" w:rsidP="00A54F8A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54F8A" w:rsidRDefault="00A54F8A" w:rsidP="00A54F8A">
      <w:pPr>
        <w:jc w:val="left"/>
        <w:rPr>
          <w:b/>
          <w:sz w:val="24"/>
          <w:szCs w:val="24"/>
        </w:rPr>
      </w:pPr>
    </w:p>
    <w:p w:rsidR="00A54F8A" w:rsidRDefault="00A54F8A" w:rsidP="00A54F8A">
      <w:pPr>
        <w:jc w:val="left"/>
        <w:rPr>
          <w:b/>
          <w:sz w:val="24"/>
          <w:szCs w:val="24"/>
        </w:rPr>
      </w:pPr>
    </w:p>
    <w:p w:rsidR="00A54F8A" w:rsidRDefault="00A54F8A" w:rsidP="00A54F8A">
      <w:pPr>
        <w:jc w:val="left"/>
        <w:rPr>
          <w:b/>
          <w:sz w:val="24"/>
          <w:szCs w:val="24"/>
        </w:rPr>
      </w:pPr>
    </w:p>
    <w:p w:rsidR="00A54F8A" w:rsidRDefault="00A54F8A" w:rsidP="00A54F8A">
      <w:pPr>
        <w:jc w:val="left"/>
        <w:rPr>
          <w:b/>
          <w:sz w:val="24"/>
          <w:szCs w:val="24"/>
        </w:rPr>
      </w:pPr>
    </w:p>
    <w:p w:rsidR="00A54F8A" w:rsidRDefault="00A54F8A" w:rsidP="00A54F8A">
      <w:pPr>
        <w:jc w:val="left"/>
        <w:rPr>
          <w:b/>
          <w:sz w:val="24"/>
          <w:szCs w:val="24"/>
        </w:rPr>
      </w:pPr>
    </w:p>
    <w:p w:rsidR="00A54F8A" w:rsidRDefault="00A54F8A" w:rsidP="00A54F8A">
      <w:pPr>
        <w:jc w:val="left"/>
        <w:rPr>
          <w:b/>
          <w:sz w:val="24"/>
          <w:szCs w:val="24"/>
        </w:rPr>
      </w:pPr>
    </w:p>
    <w:p w:rsidR="00A54F8A" w:rsidRDefault="00A54F8A" w:rsidP="00A54F8A">
      <w:pPr>
        <w:jc w:val="left"/>
        <w:rPr>
          <w:b/>
          <w:sz w:val="24"/>
          <w:szCs w:val="24"/>
        </w:rPr>
      </w:pPr>
    </w:p>
    <w:p w:rsidR="00A54F8A" w:rsidRDefault="00A54F8A" w:rsidP="00A54F8A">
      <w:pPr>
        <w:jc w:val="left"/>
        <w:rPr>
          <w:b/>
          <w:sz w:val="24"/>
          <w:szCs w:val="24"/>
        </w:rPr>
      </w:pPr>
    </w:p>
    <w:p w:rsidR="00A54F8A" w:rsidRDefault="00A54F8A" w:rsidP="00A54F8A">
      <w:pPr>
        <w:jc w:val="left"/>
        <w:rPr>
          <w:b/>
          <w:sz w:val="24"/>
          <w:szCs w:val="24"/>
        </w:rPr>
      </w:pPr>
    </w:p>
    <w:p w:rsidR="00A54F8A" w:rsidRDefault="00A54F8A" w:rsidP="00A54F8A">
      <w:pPr>
        <w:jc w:val="left"/>
        <w:rPr>
          <w:b/>
          <w:sz w:val="24"/>
          <w:szCs w:val="24"/>
        </w:rPr>
      </w:pPr>
    </w:p>
    <w:p w:rsidR="00A54F8A" w:rsidRDefault="00A54F8A" w:rsidP="00A54F8A">
      <w:pPr>
        <w:jc w:val="left"/>
        <w:rPr>
          <w:b/>
          <w:sz w:val="24"/>
          <w:szCs w:val="24"/>
        </w:rPr>
      </w:pPr>
    </w:p>
    <w:p w:rsidR="00A54F8A" w:rsidRPr="002B0B15" w:rsidRDefault="00A54F8A" w:rsidP="00A54F8A">
      <w:pPr>
        <w:jc w:val="center"/>
        <w:rPr>
          <w:sz w:val="20"/>
        </w:rPr>
      </w:pPr>
      <w:r w:rsidRPr="002B0B15">
        <w:rPr>
          <w:sz w:val="20"/>
        </w:rPr>
        <w:t>THIS PAGE INTENTIONALLY LEFT BLANK</w:t>
      </w:r>
    </w:p>
    <w:p w:rsidR="00A54F8A" w:rsidRDefault="00A54F8A" w:rsidP="00A54F8A">
      <w:pPr>
        <w:jc w:val="left"/>
        <w:rPr>
          <w:b/>
          <w:sz w:val="24"/>
          <w:szCs w:val="24"/>
        </w:rPr>
      </w:pPr>
    </w:p>
    <w:p w:rsidR="00A54F8A" w:rsidRDefault="00A54F8A" w:rsidP="00A54F8A">
      <w:pPr>
        <w:jc w:val="left"/>
        <w:rPr>
          <w:b/>
          <w:sz w:val="24"/>
          <w:szCs w:val="24"/>
        </w:rPr>
      </w:pPr>
    </w:p>
    <w:p w:rsidR="00B26960" w:rsidRDefault="00B26960">
      <w:bookmarkStart w:id="3" w:name="_GoBack"/>
      <w:bookmarkEnd w:id="3"/>
    </w:p>
    <w:sectPr w:rsidR="00B26960" w:rsidSect="00A54F8A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8A" w:rsidRDefault="00A54F8A" w:rsidP="00A54F8A">
      <w:r>
        <w:separator/>
      </w:r>
    </w:p>
  </w:endnote>
  <w:endnote w:type="continuationSeparator" w:id="0">
    <w:p w:rsidR="00A54F8A" w:rsidRDefault="00A54F8A" w:rsidP="00A5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8A" w:rsidRDefault="00A54F8A" w:rsidP="00A54F8A">
    <w:pPr>
      <w:pStyle w:val="Footer"/>
      <w:jc w:val="center"/>
    </w:pPr>
    <w:r w:rsidRPr="00A54F8A">
      <w:rPr>
        <w:sz w:val="20"/>
      </w:rPr>
      <w:t>vii</w:t>
    </w:r>
    <w:r>
      <w:rPr>
        <w:sz w:val="20"/>
      </w:rPr>
      <w:t>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8A" w:rsidRPr="00A54F8A" w:rsidRDefault="00A54F8A" w:rsidP="00A54F8A">
    <w:pPr>
      <w:pStyle w:val="Footer"/>
      <w:jc w:val="center"/>
      <w:rPr>
        <w:sz w:val="20"/>
      </w:rPr>
    </w:pPr>
    <w:r w:rsidRPr="00A54F8A">
      <w:rPr>
        <w:sz w:val="20"/>
      </w:rPr>
      <w:t>vii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8A" w:rsidRDefault="00A54F8A" w:rsidP="00A54F8A">
      <w:r>
        <w:separator/>
      </w:r>
    </w:p>
  </w:footnote>
  <w:footnote w:type="continuationSeparator" w:id="0">
    <w:p w:rsidR="00A54F8A" w:rsidRDefault="00A54F8A" w:rsidP="00A5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8A" w:rsidRDefault="00A54F8A">
    <w:pPr>
      <w:pStyle w:val="Header"/>
    </w:pPr>
    <w:r>
      <w:rPr>
        <w:sz w:val="20"/>
      </w:rPr>
      <w:t>Table of Acronyms</w:t>
    </w:r>
    <w:r>
      <w:rPr>
        <w:sz w:val="20"/>
      </w:rPr>
      <w:tab/>
    </w:r>
    <w:r>
      <w:rPr>
        <w:sz w:val="20"/>
      </w:rPr>
      <w:tab/>
    </w:r>
    <w:r w:rsidRPr="004A0631">
      <w:rPr>
        <w:sz w:val="20"/>
      </w:rPr>
      <w:t>Handbook 133 –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8A" w:rsidRDefault="00A54F8A">
    <w:pPr>
      <w:pStyle w:val="Header"/>
    </w:pPr>
    <w:r w:rsidRPr="004A0631">
      <w:rPr>
        <w:sz w:val="20"/>
      </w:rPr>
      <w:t>Handbook 133 – 2018</w:t>
    </w:r>
    <w:r>
      <w:rPr>
        <w:sz w:val="20"/>
      </w:rPr>
      <w:tab/>
    </w:r>
    <w:r>
      <w:rPr>
        <w:sz w:val="20"/>
      </w:rPr>
      <w:tab/>
    </w:r>
    <w:r>
      <w:rPr>
        <w:sz w:val="20"/>
      </w:rPr>
      <w:t>Table of Acronyms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8A"/>
    <w:rsid w:val="003150B4"/>
    <w:rsid w:val="003411D4"/>
    <w:rsid w:val="00A54F8A"/>
    <w:rsid w:val="00B2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6DA4"/>
  <w15:chartTrackingRefBased/>
  <w15:docId w15:val="{66294D2A-282E-4DBE-83B7-A49FE41A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F8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A54F8A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F8A"/>
    <w:rPr>
      <w:rFonts w:ascii="Times New Roman Bold" w:eastAsia="Times New Roman" w:hAnsi="Times New Roman Bold" w:cs="Arial"/>
      <w:b/>
      <w:bCs/>
      <w:kern w:val="32"/>
      <w:sz w:val="28"/>
      <w:szCs w:val="32"/>
    </w:rPr>
  </w:style>
  <w:style w:type="table" w:styleId="TableGrid">
    <w:name w:val="Table Grid"/>
    <w:basedOn w:val="TableNormal"/>
    <w:rsid w:val="00A54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F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F8A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4F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F8A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Culliton, Taylor (Fed)</dc:creator>
  <cp:keywords/>
  <dc:description/>
  <cp:lastModifiedBy>Culliton, Taylor (Fed)</cp:lastModifiedBy>
  <cp:revision>1</cp:revision>
  <dcterms:created xsi:type="dcterms:W3CDTF">2017-10-23T13:49:00Z</dcterms:created>
  <dcterms:modified xsi:type="dcterms:W3CDTF">2017-10-23T13:52:00Z</dcterms:modified>
</cp:coreProperties>
</file>