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D3E" w:rsidRDefault="00760D3E" w:rsidP="00760D3E">
      <w:pPr>
        <w:pStyle w:val="HeadingSection"/>
        <w:spacing w:after="0" w:line="240" w:lineRule="auto"/>
      </w:pPr>
      <w:bookmarkStart w:id="0" w:name="_Toc301773537"/>
      <w:bookmarkStart w:id="1" w:name="_Toc301773708"/>
      <w:bookmarkStart w:id="2" w:name="_Toc301773938"/>
      <w:bookmarkStart w:id="3" w:name="_Toc301774070"/>
      <w:r>
        <w:t>Report of the</w:t>
      </w:r>
    </w:p>
    <w:p w:rsidR="00556E92" w:rsidRPr="00F3504E" w:rsidRDefault="00804B83" w:rsidP="00760D3E">
      <w:pPr>
        <w:pStyle w:val="HeadingSection"/>
        <w:spacing w:after="0" w:line="240" w:lineRule="auto"/>
      </w:pPr>
      <w:r>
        <w:t>Board of Directors</w:t>
      </w:r>
      <w:r w:rsidR="00C7067C">
        <w:t xml:space="preserve"> (</w:t>
      </w:r>
      <w:r>
        <w:t>BOD</w:t>
      </w:r>
      <w:r w:rsidR="00C7067C">
        <w:t xml:space="preserve">) </w:t>
      </w:r>
      <w:bookmarkEnd w:id="0"/>
      <w:bookmarkEnd w:id="1"/>
      <w:bookmarkEnd w:id="2"/>
      <w:bookmarkEnd w:id="3"/>
    </w:p>
    <w:p w:rsidR="00760D3E" w:rsidRDefault="00760D3E" w:rsidP="00760D3E">
      <w:pPr>
        <w:spacing w:after="120"/>
        <w:jc w:val="center"/>
      </w:pPr>
    </w:p>
    <w:p w:rsidR="00F3504E" w:rsidRPr="00F3504E" w:rsidRDefault="00165356" w:rsidP="00771DDB">
      <w:pPr>
        <w:pStyle w:val="submitterinformation"/>
      </w:pPr>
      <w:r>
        <w:t xml:space="preserve">Mr. </w:t>
      </w:r>
      <w:r w:rsidR="00804B83">
        <w:t>Kurt Floren</w:t>
      </w:r>
      <w:r w:rsidR="001E1D87" w:rsidRPr="00F3504E">
        <w:t xml:space="preserve">, </w:t>
      </w:r>
      <w:r w:rsidR="00804B83">
        <w:t>Chairman</w:t>
      </w:r>
    </w:p>
    <w:p w:rsidR="00366438" w:rsidRPr="00F3504E" w:rsidRDefault="00804B83" w:rsidP="00715734">
      <w:pPr>
        <w:pStyle w:val="submitterinformation"/>
      </w:pPr>
      <w:r>
        <w:t>Los Angeles County, California</w:t>
      </w:r>
    </w:p>
    <w:p w:rsidR="001E1D87" w:rsidRPr="00F3504E" w:rsidRDefault="00804B83" w:rsidP="0027694A">
      <w:pPr>
        <w:pStyle w:val="Heading1"/>
      </w:pPr>
      <w:bookmarkStart w:id="4" w:name="_Toc301530205"/>
      <w:bookmarkStart w:id="5" w:name="_Toc301531086"/>
      <w:bookmarkStart w:id="6" w:name="_Toc301535025"/>
      <w:bookmarkStart w:id="7" w:name="_Toc301768222"/>
      <w:bookmarkStart w:id="8" w:name="_Toc301773538"/>
      <w:bookmarkStart w:id="9" w:name="_Toc301773709"/>
      <w:bookmarkStart w:id="10" w:name="_Toc301773939"/>
      <w:bookmarkStart w:id="11" w:name="_Toc301774071"/>
      <w:bookmarkStart w:id="12" w:name="_Toc307925750"/>
      <w:bookmarkStart w:id="13" w:name="_Toc308082674"/>
      <w:bookmarkStart w:id="14" w:name="_Toc308082718"/>
      <w:bookmarkStart w:id="15" w:name="_Toc308083517"/>
      <w:bookmarkStart w:id="16" w:name="_Toc308083914"/>
      <w:bookmarkStart w:id="17" w:name="_Toc308424340"/>
      <w:bookmarkStart w:id="18" w:name="_Toc308424730"/>
      <w:bookmarkStart w:id="19" w:name="_Toc308425336"/>
      <w:bookmarkStart w:id="20" w:name="_Toc308595414"/>
      <w:bookmarkStart w:id="21" w:name="_Toc308595820"/>
      <w:bookmarkStart w:id="22" w:name="_Toc308596025"/>
      <w:bookmarkStart w:id="23" w:name="_Toc352859902"/>
      <w:r>
        <w:t>1</w:t>
      </w:r>
      <w:r w:rsidR="00C7067C">
        <w:t>00</w:t>
      </w:r>
      <w:r w:rsidR="000C247F" w:rsidRPr="00F3504E">
        <w:tab/>
      </w:r>
      <w:r w:rsidR="001E1D87" w:rsidRPr="00F3504E">
        <w:t>Introduction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F956F6" w:rsidRDefault="00F956F6" w:rsidP="00F956F6">
      <w:r>
        <w:t xml:space="preserve">The Board of Directors </w:t>
      </w:r>
      <w:r w:rsidR="00302788">
        <w:t>(</w:t>
      </w:r>
      <w:r w:rsidR="00B76348">
        <w:t>BOD/</w:t>
      </w:r>
      <w:r w:rsidR="00302788">
        <w:t>B</w:t>
      </w:r>
      <w:r w:rsidR="00395B07">
        <w:t>oard</w:t>
      </w:r>
      <w:r w:rsidR="00302788">
        <w:t xml:space="preserve">) </w:t>
      </w:r>
      <w:r>
        <w:t xml:space="preserve">submits </w:t>
      </w:r>
      <w:r w:rsidR="00C760AF">
        <w:t xml:space="preserve">its </w:t>
      </w:r>
      <w:r w:rsidR="00302788">
        <w:t xml:space="preserve">Final </w:t>
      </w:r>
      <w:r>
        <w:t xml:space="preserve">Report </w:t>
      </w:r>
      <w:r w:rsidR="00E7415A">
        <w:t>for consideration of the</w:t>
      </w:r>
      <w:r>
        <w:t xml:space="preserve"> </w:t>
      </w:r>
      <w:r w:rsidR="000E0A14">
        <w:t>97</w:t>
      </w:r>
      <w:r w:rsidR="000E0A14" w:rsidRPr="000E0A14">
        <w:rPr>
          <w:vertAlign w:val="superscript"/>
        </w:rPr>
        <w:t>th</w:t>
      </w:r>
      <w:r w:rsidR="000E0A14">
        <w:t xml:space="preserve"> </w:t>
      </w:r>
      <w:r w:rsidRPr="00302788">
        <w:rPr>
          <w:u w:color="82C42A"/>
        </w:rPr>
        <w:t>National Con</w:t>
      </w:r>
      <w:r w:rsidR="00C16BDF" w:rsidRPr="00302788">
        <w:rPr>
          <w:u w:color="82C42A"/>
        </w:rPr>
        <w:t>ference</w:t>
      </w:r>
      <w:r w:rsidR="00C16BDF" w:rsidRPr="00302788">
        <w:t xml:space="preserve"> </w:t>
      </w:r>
      <w:r w:rsidR="00C16BDF">
        <w:t>on Weights and Measures </w:t>
      </w:r>
      <w:r>
        <w:t xml:space="preserve">(NCWM).  This report contains the items discussed and actions proposed by the </w:t>
      </w:r>
      <w:r w:rsidR="00302788">
        <w:t>BO</w:t>
      </w:r>
      <w:r w:rsidR="000444C0">
        <w:t>D</w:t>
      </w:r>
      <w:r w:rsidR="00302788">
        <w:t xml:space="preserve"> </w:t>
      </w:r>
      <w:r>
        <w:t>during its Interim Meeting in New Orleans, Louisiana</w:t>
      </w:r>
      <w:r w:rsidR="00C16BDF">
        <w:t>, January 22</w:t>
      </w:r>
      <w:r w:rsidR="00B76348">
        <w:t> </w:t>
      </w:r>
      <w:r w:rsidR="00C16BDF">
        <w:t>-</w:t>
      </w:r>
      <w:r w:rsidR="00B76348">
        <w:t> </w:t>
      </w:r>
      <w:r w:rsidR="00C16BDF">
        <w:t>25, </w:t>
      </w:r>
      <w:r>
        <w:t xml:space="preserve">2012.  </w:t>
      </w:r>
      <w:r w:rsidR="00804B83">
        <w:t>The</w:t>
      </w:r>
      <w:r w:rsidR="00395B07">
        <w:t xml:space="preserve"> Board</w:t>
      </w:r>
      <w:r w:rsidR="00804B83">
        <w:t xml:space="preserve">  </w:t>
      </w:r>
      <w:r w:rsidR="0070015D">
        <w:t>conduct</w:t>
      </w:r>
      <w:r w:rsidR="000444C0">
        <w:t>ed</w:t>
      </w:r>
      <w:r w:rsidR="0070015D">
        <w:t xml:space="preserve"> </w:t>
      </w:r>
      <w:r w:rsidR="00600E30">
        <w:t>O</w:t>
      </w:r>
      <w:r w:rsidR="0070015D">
        <w:t xml:space="preserve">pen </w:t>
      </w:r>
      <w:r w:rsidR="00600E30">
        <w:t>H</w:t>
      </w:r>
      <w:r w:rsidR="0070015D">
        <w:t xml:space="preserve">earings for the </w:t>
      </w:r>
      <w:r w:rsidR="00804B83">
        <w:t xml:space="preserve">items in Table A during the </w:t>
      </w:r>
      <w:r>
        <w:t xml:space="preserve">Annual </w:t>
      </w:r>
      <w:r w:rsidR="00165356">
        <w:t>M</w:t>
      </w:r>
      <w:r w:rsidR="00804B83">
        <w:t>eeting</w:t>
      </w:r>
      <w:r w:rsidR="000444C0">
        <w:t xml:space="preserve"> held July 22</w:t>
      </w:r>
      <w:r w:rsidR="00B76348">
        <w:t> - </w:t>
      </w:r>
      <w:r w:rsidR="000444C0">
        <w:t>26, 2012, in Portland, Maine</w:t>
      </w:r>
      <w:r w:rsidR="00804B83">
        <w:t xml:space="preserve">.  Table A identifies the agenda items by reference key, title of </w:t>
      </w:r>
      <w:r w:rsidR="00804B83" w:rsidRPr="008D4923">
        <w:rPr>
          <w:u w:color="82C42A"/>
        </w:rPr>
        <w:t>item</w:t>
      </w:r>
      <w:r w:rsidR="00804B83" w:rsidRPr="008D4923">
        <w:t>,</w:t>
      </w:r>
      <w:r w:rsidR="00804B83">
        <w:t xml:space="preserve"> page number</w:t>
      </w:r>
      <w:r w:rsidR="000444C0">
        <w:t>,</w:t>
      </w:r>
      <w:r w:rsidR="00804B83">
        <w:t xml:space="preserve"> and the append</w:t>
      </w:r>
      <w:r w:rsidR="00600E30">
        <w:t xml:space="preserve">ices by appendix designations.  </w:t>
      </w:r>
      <w:r w:rsidRPr="00A12E0D">
        <w:t xml:space="preserve">The acronyms for organizations and technical terms used throughout the </w:t>
      </w:r>
      <w:r>
        <w:t>report</w:t>
      </w:r>
      <w:r w:rsidRPr="00A12E0D">
        <w:t xml:space="preserve"> are identified in </w:t>
      </w:r>
      <w:r w:rsidR="000444C0" w:rsidRPr="00A12E0D">
        <w:t>Table</w:t>
      </w:r>
      <w:r w:rsidR="000444C0">
        <w:t> </w:t>
      </w:r>
      <w:r w:rsidRPr="00A12E0D">
        <w:t>B.</w:t>
      </w:r>
      <w:r>
        <w:t xml:space="preserve">  </w:t>
      </w:r>
      <w:r w:rsidR="0020095D" w:rsidRPr="00A12E0D">
        <w:t>The first three digits of an item’s reference key are assigned from the Subject Series List.</w:t>
      </w:r>
      <w:r w:rsidR="0020095D">
        <w:t xml:space="preserve">  </w:t>
      </w:r>
      <w:r>
        <w:t>The status of each item contained in the report is designated as one of the following:</w:t>
      </w:r>
      <w:r w:rsidR="000444C0">
        <w:t xml:space="preserve"> </w:t>
      </w:r>
      <w:r>
        <w:t xml:space="preserve"> </w:t>
      </w:r>
      <w:r w:rsidR="00C16BDF">
        <w:rPr>
          <w:b/>
        </w:rPr>
        <w:t>(D) </w:t>
      </w:r>
      <w:r w:rsidRPr="001C436F">
        <w:rPr>
          <w:b/>
        </w:rPr>
        <w:t>Developing Item</w:t>
      </w:r>
      <w:r w:rsidR="00492D9A">
        <w:rPr>
          <w:b/>
        </w:rPr>
        <w:t>:</w:t>
      </w:r>
      <w:r>
        <w:t xml:space="preserve"> </w:t>
      </w:r>
      <w:r w:rsidR="000444C0">
        <w:t xml:space="preserve"> </w:t>
      </w:r>
      <w:r>
        <w:t xml:space="preserve">the </w:t>
      </w:r>
      <w:r w:rsidR="00946E0B">
        <w:t>board determined the</w:t>
      </w:r>
      <w:r>
        <w:t xml:space="preserve"> item has merit; however, the item was returned to the </w:t>
      </w:r>
      <w:r w:rsidRPr="00302788">
        <w:rPr>
          <w:u w:color="82C42A"/>
        </w:rPr>
        <w:t>submitter</w:t>
      </w:r>
      <w:r w:rsidRPr="00302788">
        <w:t xml:space="preserve"> </w:t>
      </w:r>
      <w:r>
        <w:t xml:space="preserve">or other designated party for further development before any action can be taken at the national level; </w:t>
      </w:r>
      <w:r w:rsidRPr="00D94C42">
        <w:rPr>
          <w:b/>
        </w:rPr>
        <w:t>(I)</w:t>
      </w:r>
      <w:r w:rsidR="00C16BDF">
        <w:t> </w:t>
      </w:r>
      <w:r>
        <w:rPr>
          <w:b/>
        </w:rPr>
        <w:t>Informational Item</w:t>
      </w:r>
      <w:r w:rsidR="00492D9A">
        <w:rPr>
          <w:b/>
        </w:rPr>
        <w:t>:</w:t>
      </w:r>
      <w:r w:rsidR="000444C0">
        <w:rPr>
          <w:b/>
        </w:rPr>
        <w:t xml:space="preserve"> </w:t>
      </w:r>
      <w:r>
        <w:t xml:space="preserve"> the item is under consideration by the </w:t>
      </w:r>
      <w:r w:rsidR="00B76348" w:rsidRPr="008D4923">
        <w:rPr>
          <w:u w:color="82C42A"/>
        </w:rPr>
        <w:t>B</w:t>
      </w:r>
      <w:r w:rsidR="00D535E8">
        <w:rPr>
          <w:u w:color="82C42A"/>
        </w:rPr>
        <w:t xml:space="preserve">OD </w:t>
      </w:r>
      <w:r w:rsidRPr="008D4923">
        <w:rPr>
          <w:u w:color="82C42A"/>
        </w:rPr>
        <w:t>but</w:t>
      </w:r>
      <w:r w:rsidRPr="008D4923">
        <w:t xml:space="preserve"> </w:t>
      </w:r>
      <w:r>
        <w:t xml:space="preserve">not proposed for Voting; </w:t>
      </w:r>
      <w:r w:rsidRPr="00D94C42">
        <w:rPr>
          <w:b/>
        </w:rPr>
        <w:t>(V)</w:t>
      </w:r>
      <w:r w:rsidR="00C16BDF">
        <w:t> </w:t>
      </w:r>
      <w:r>
        <w:rPr>
          <w:b/>
        </w:rPr>
        <w:t>Voting Item</w:t>
      </w:r>
      <w:r w:rsidR="00492D9A">
        <w:rPr>
          <w:b/>
        </w:rPr>
        <w:t>:</w:t>
      </w:r>
      <w:r>
        <w:t xml:space="preserve"> </w:t>
      </w:r>
      <w:r w:rsidR="000444C0">
        <w:t xml:space="preserve"> </w:t>
      </w:r>
      <w:r>
        <w:t xml:space="preserve">the board is making recommendations requiring a vote by the </w:t>
      </w:r>
      <w:r w:rsidRPr="004C120F">
        <w:t>active members</w:t>
      </w:r>
      <w:r>
        <w:t xml:space="preserve"> of NCWM; </w:t>
      </w:r>
      <w:r w:rsidRPr="00D94C42">
        <w:rPr>
          <w:b/>
        </w:rPr>
        <w:t>(W)</w:t>
      </w:r>
      <w:r w:rsidR="00C16BDF">
        <w:t> </w:t>
      </w:r>
      <w:r>
        <w:rPr>
          <w:b/>
        </w:rPr>
        <w:t>Withdrawn Item</w:t>
      </w:r>
      <w:r w:rsidR="00492D9A">
        <w:rPr>
          <w:b/>
        </w:rPr>
        <w:t>:</w:t>
      </w:r>
      <w:r w:rsidR="000444C0">
        <w:rPr>
          <w:b/>
        </w:rPr>
        <w:t xml:space="preserve"> </w:t>
      </w:r>
      <w:r>
        <w:t xml:space="preserve"> the item has been removed from consideration by the </w:t>
      </w:r>
      <w:r w:rsidR="00B76348">
        <w:t>B</w:t>
      </w:r>
      <w:r w:rsidR="00D535E8">
        <w:t>OD</w:t>
      </w:r>
      <w:r>
        <w:t>.</w:t>
      </w:r>
      <w:r w:rsidR="00817E6E">
        <w:t xml:space="preserve">  Table C provides the Summary of Voting Results for each Voting Item.</w:t>
      </w:r>
    </w:p>
    <w:p w:rsidR="00F956F6" w:rsidRDefault="00F956F6" w:rsidP="00F956F6"/>
    <w:p w:rsidR="00F956F6" w:rsidRDefault="00B76348" w:rsidP="005751D9">
      <w:r>
        <w:t>During the Annual Meeting, s</w:t>
      </w:r>
      <w:r w:rsidR="00F956F6">
        <w:t>ome Voting Items are considered individually, others may be grouped in a consent calendar.</w:t>
      </w:r>
      <w:r w:rsidR="00120F77">
        <w:t xml:space="preserve"> </w:t>
      </w:r>
      <w:r w:rsidR="00F956F6">
        <w:t xml:space="preserve"> Consent calendar items are Voting Items that the </w:t>
      </w:r>
      <w:r>
        <w:t xml:space="preserve">Board </w:t>
      </w:r>
      <w:r w:rsidR="00F956F6">
        <w:t xml:space="preserve">has assembled as a single Voting Item during their deliberation after the Open Hearings on the assumption that the items are without opposition and will not require discussion.  The Voting Items that </w:t>
      </w:r>
      <w:r w:rsidR="00E7415A">
        <w:t>have been</w:t>
      </w:r>
      <w:r w:rsidR="00F956F6">
        <w:t xml:space="preserve"> grouped into consent calendar items </w:t>
      </w:r>
      <w:r w:rsidR="0065254E">
        <w:t>w</w:t>
      </w:r>
      <w:r w:rsidR="00E7415A">
        <w:t>ill be listed</w:t>
      </w:r>
      <w:r w:rsidR="00F30787">
        <w:t xml:space="preserve"> </w:t>
      </w:r>
      <w:r w:rsidR="00F956F6">
        <w:t xml:space="preserve">on the addendum sheets.  Prior to adoption of the consent calendar, the </w:t>
      </w:r>
      <w:r>
        <w:t xml:space="preserve">Board </w:t>
      </w:r>
      <w:r w:rsidR="00F956F6">
        <w:t xml:space="preserve">will entertain any requests from the floor to remove specific items from the consent calendar </w:t>
      </w:r>
      <w:r w:rsidR="00E7415A">
        <w:t>to be discussed and voted upon individually.</w:t>
      </w:r>
    </w:p>
    <w:p w:rsidR="002551C1" w:rsidRDefault="002551C1" w:rsidP="005751D9"/>
    <w:p w:rsidR="00804B83" w:rsidRDefault="00F956F6">
      <w:r>
        <w:t xml:space="preserve">The </w:t>
      </w:r>
      <w:r w:rsidR="00120F77">
        <w:t>BOD</w:t>
      </w:r>
      <w:r w:rsidRPr="001C436F">
        <w:t xml:space="preserve"> may change the status designation of agenda items (</w:t>
      </w:r>
      <w:r>
        <w:t>D</w:t>
      </w:r>
      <w:r w:rsidRPr="001C436F">
        <w:t xml:space="preserve">eveloping, </w:t>
      </w:r>
      <w:r>
        <w:t>I</w:t>
      </w:r>
      <w:r w:rsidRPr="001C436F">
        <w:t xml:space="preserve">nformational, </w:t>
      </w:r>
      <w:r>
        <w:t>V</w:t>
      </w:r>
      <w:r w:rsidRPr="001C436F">
        <w:t xml:space="preserve">oting, and </w:t>
      </w:r>
      <w:r>
        <w:t>W</w:t>
      </w:r>
      <w:r w:rsidRPr="001C436F">
        <w:t xml:space="preserve">ithdrawn) up until the report is adopted, except that items which are marked Developing, Informational or Withdrawn cannot be changed to Voting Status.  Any change from the </w:t>
      </w:r>
      <w:r>
        <w:t xml:space="preserve">Interim </w:t>
      </w:r>
      <w:r w:rsidRPr="001C436F">
        <w:t>Report or</w:t>
      </w:r>
      <w:r>
        <w:t xml:space="preserve"> from what appears on the addendum sheets will be explained to the attendees prior to a motion and will be acted upon by the active members of NCWM prior to calling for the vote.</w:t>
      </w:r>
    </w:p>
    <w:p w:rsidR="002551C1" w:rsidRDefault="002551C1"/>
    <w:p w:rsidR="00804B83" w:rsidRDefault="00864CF0">
      <w:r>
        <w:t>An</w:t>
      </w:r>
      <w:r w:rsidR="00804B83">
        <w:t xml:space="preserve"> “Item Under Consideration” </w:t>
      </w:r>
      <w:r>
        <w:t>is a statement</w:t>
      </w:r>
      <w:r w:rsidR="00804B83">
        <w:t xml:space="preserve"> of proposal and not necessarily </w:t>
      </w:r>
      <w:r>
        <w:t>a recommendation</w:t>
      </w:r>
      <w:r w:rsidR="00804B83">
        <w:t xml:space="preserve"> of the </w:t>
      </w:r>
      <w:r w:rsidR="00120F77">
        <w:t>BOD</w:t>
      </w:r>
      <w:r w:rsidR="00804B83">
        <w:t xml:space="preserve">.  Suggested revisions are shown in </w:t>
      </w:r>
      <w:r w:rsidR="00804B83" w:rsidRPr="005D4239">
        <w:rPr>
          <w:b/>
        </w:rPr>
        <w:t>bold face print</w:t>
      </w:r>
      <w:r w:rsidR="00804B83">
        <w:t xml:space="preserve"> by </w:t>
      </w:r>
      <w:r w:rsidR="00804B83" w:rsidRPr="005D4239">
        <w:rPr>
          <w:b/>
          <w:strike/>
        </w:rPr>
        <w:t>striking out</w:t>
      </w:r>
      <w:r w:rsidR="00804B83">
        <w:t xml:space="preserve"> information to be deleted and </w:t>
      </w:r>
      <w:r w:rsidR="00804B83" w:rsidRPr="005D4239">
        <w:rPr>
          <w:b/>
          <w:u w:val="single"/>
        </w:rPr>
        <w:t>underlining</w:t>
      </w:r>
      <w:r w:rsidR="00804B83">
        <w:t xml:space="preserve"> information to be added.  Requirements that are proposed to be </w:t>
      </w:r>
      <w:r w:rsidR="00804B83" w:rsidRPr="008D4923">
        <w:rPr>
          <w:u w:color="82C42A"/>
        </w:rPr>
        <w:t>nonretroactive</w:t>
      </w:r>
      <w:r w:rsidR="00804B83" w:rsidRPr="008D4923">
        <w:t xml:space="preserve"> </w:t>
      </w:r>
      <w:r w:rsidR="00804B83">
        <w:t xml:space="preserve">are printed in </w:t>
      </w:r>
      <w:r w:rsidR="00804B83" w:rsidRPr="005D4239">
        <w:rPr>
          <w:b/>
          <w:i/>
        </w:rPr>
        <w:t>bold faced italics</w:t>
      </w:r>
      <w:r w:rsidR="00804B83">
        <w:t>.</w:t>
      </w:r>
      <w:r w:rsidR="00F956F6">
        <w:t xml:space="preserve">  Additional letters, presentations</w:t>
      </w:r>
      <w:r w:rsidR="00120F77">
        <w:t>,</w:t>
      </w:r>
      <w:r w:rsidR="00F956F6">
        <w:t xml:space="preserve"> and data </w:t>
      </w:r>
      <w:r w:rsidR="00120F77">
        <w:t xml:space="preserve">that </w:t>
      </w:r>
      <w:r w:rsidR="00F956F6">
        <w:t xml:space="preserve">may have been part of the </w:t>
      </w:r>
      <w:r w:rsidR="00F30787">
        <w:t>Board</w:t>
      </w:r>
      <w:r w:rsidR="00F956F6">
        <w:t>’s consideration</w:t>
      </w:r>
      <w:r w:rsidR="00120F77">
        <w:t xml:space="preserve"> will appear as appendix items</w:t>
      </w:r>
      <w:r w:rsidR="00F956F6">
        <w:t xml:space="preserve">.  </w:t>
      </w:r>
    </w:p>
    <w:p w:rsidR="002551C1" w:rsidRDefault="002551C1"/>
    <w:p w:rsidR="00804B83" w:rsidRDefault="00804B83">
      <w:r>
        <w:t xml:space="preserve">All sessions are open to registered attendees of the </w:t>
      </w:r>
      <w:r w:rsidR="00600E30">
        <w:t>c</w:t>
      </w:r>
      <w:r>
        <w:t xml:space="preserve">onference.  If the board must discuss any issue that involves proprietary information or other confidential material; that portion of the session dealing with the special issue </w:t>
      </w:r>
      <w:r w:rsidR="00884333">
        <w:t xml:space="preserve">may be closed provided that (1) </w:t>
      </w:r>
      <w:r>
        <w:t xml:space="preserve">NCWM Chairman or, in his absence, NCWM Chairman-Elect approves; (2) the Executive Director is notified; and (3) an announcement of the closed meeting is posted on or near the door to the meeting session and at the registration desk.  If at all possible, the posting will be done at least a day prior to the planned </w:t>
      </w:r>
      <w:r w:rsidRPr="008D4923">
        <w:rPr>
          <w:u w:color="82C42A"/>
        </w:rPr>
        <w:t>closed</w:t>
      </w:r>
      <w:r w:rsidRPr="008D4923">
        <w:t xml:space="preserve"> </w:t>
      </w:r>
      <w:r>
        <w:t>session.</w:t>
      </w:r>
    </w:p>
    <w:p w:rsidR="002551C1" w:rsidRDefault="002551C1">
      <w:pPr>
        <w:rPr>
          <w:b/>
        </w:rPr>
      </w:pPr>
    </w:p>
    <w:p w:rsidR="00C86481" w:rsidRDefault="00804B83">
      <w:r w:rsidRPr="005D4239">
        <w:rPr>
          <w:b/>
        </w:rPr>
        <w:t>Note:</w:t>
      </w:r>
      <w:r>
        <w:t xml:space="preserve"> </w:t>
      </w:r>
      <w:r w:rsidR="00A10561">
        <w:t>It is</w:t>
      </w:r>
      <w:r w:rsidRPr="005D4239">
        <w:t xml:space="preserve"> policy to use metric units of measurement in publications; however, recommendations received by </w:t>
      </w:r>
      <w:r>
        <w:t>NCWM</w:t>
      </w:r>
      <w:r w:rsidRPr="005D4239">
        <w:t xml:space="preserve"> technical committees and regional weights and measures associations have been printed in </w:t>
      </w:r>
      <w:r>
        <w:t xml:space="preserve">this publication as submitted.  </w:t>
      </w:r>
      <w:r w:rsidRPr="005D4239">
        <w:t>Therefore, the report may contain references to inch-pound units.</w:t>
      </w:r>
    </w:p>
    <w:p w:rsidR="005A5535" w:rsidRDefault="005A5535" w:rsidP="00600E30">
      <w:r>
        <w:br w:type="page"/>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B84EB4" w:rsidRPr="007577F6" w:rsidTr="00B84EB4">
        <w:tc>
          <w:tcPr>
            <w:tcW w:w="9360" w:type="dxa"/>
            <w:tcBorders>
              <w:top w:val="single" w:sz="12" w:space="0" w:color="auto"/>
              <w:bottom w:val="single" w:sz="12" w:space="0" w:color="auto"/>
            </w:tcBorders>
          </w:tcPr>
          <w:p w:rsidR="00B84EB4" w:rsidRPr="007577F6" w:rsidRDefault="00B84EB4" w:rsidP="00C7067C">
            <w:pPr>
              <w:pStyle w:val="TableHeading"/>
            </w:pPr>
            <w:r w:rsidRPr="007577F6">
              <w:lastRenderedPageBreak/>
              <w:t>Subject Series List</w:t>
            </w:r>
          </w:p>
        </w:tc>
      </w:tr>
    </w:tbl>
    <w:p w:rsidR="00B84EB4" w:rsidRPr="007577F6" w:rsidRDefault="00B84EB4" w:rsidP="005A5535">
      <w:pPr>
        <w:pStyle w:val="SubjectSeriesLevel1"/>
      </w:pPr>
      <w:r w:rsidRPr="007577F6">
        <w:t>Introduction</w:t>
      </w:r>
      <w:r w:rsidRPr="007577F6">
        <w:tab/>
      </w:r>
      <w:r w:rsidR="00804B83" w:rsidRPr="007577F6">
        <w:t>1</w:t>
      </w:r>
      <w:r w:rsidR="00636695" w:rsidRPr="007577F6">
        <w:t>00</w:t>
      </w:r>
      <w:r w:rsidRPr="007577F6">
        <w:t xml:space="preserve"> Series</w:t>
      </w:r>
    </w:p>
    <w:p w:rsidR="00B84EB4" w:rsidRPr="007577F6" w:rsidRDefault="00804B83" w:rsidP="005A5535">
      <w:pPr>
        <w:pStyle w:val="SubjectSeriesLevel1"/>
      </w:pPr>
      <w:r w:rsidRPr="007577F6">
        <w:t>Activity Reports</w:t>
      </w:r>
      <w:r w:rsidR="00A94C85" w:rsidRPr="007577F6">
        <w:tab/>
      </w:r>
      <w:r w:rsidRPr="007577F6">
        <w:t>1</w:t>
      </w:r>
      <w:r w:rsidR="00636695" w:rsidRPr="007577F6">
        <w:t>10</w:t>
      </w:r>
      <w:r w:rsidR="00B84EB4" w:rsidRPr="007577F6">
        <w:t xml:space="preserve"> Series</w:t>
      </w:r>
    </w:p>
    <w:p w:rsidR="008B0AC2" w:rsidRPr="007577F6" w:rsidRDefault="001A28A6" w:rsidP="005A5535">
      <w:pPr>
        <w:pStyle w:val="SubjectSeriesLevel1"/>
      </w:pPr>
      <w:r w:rsidRPr="007577F6">
        <w:t xml:space="preserve">Strategic Planning, </w:t>
      </w:r>
      <w:r w:rsidR="00EC3A7E">
        <w:t xml:space="preserve">Policies, and </w:t>
      </w:r>
      <w:r w:rsidR="00804B83" w:rsidRPr="007577F6">
        <w:t>Bylaws</w:t>
      </w:r>
      <w:r w:rsidR="008B0AC2" w:rsidRPr="007577F6">
        <w:tab/>
      </w:r>
      <w:r w:rsidR="00804B83" w:rsidRPr="007577F6">
        <w:t>12</w:t>
      </w:r>
      <w:r w:rsidR="008B0AC2" w:rsidRPr="007577F6">
        <w:t>0 Series</w:t>
      </w:r>
    </w:p>
    <w:p w:rsidR="00DB0C30" w:rsidRPr="007577F6" w:rsidRDefault="00DB0C30" w:rsidP="00DB0C30">
      <w:pPr>
        <w:pStyle w:val="SubjectSeriesLevel1"/>
      </w:pPr>
      <w:r w:rsidRPr="008D4923">
        <w:rPr>
          <w:u w:color="82C42A"/>
        </w:rPr>
        <w:t>Financials</w:t>
      </w:r>
      <w:r w:rsidRPr="008D4923">
        <w:tab/>
      </w:r>
      <w:r w:rsidRPr="007577F6">
        <w:t>130 Series</w:t>
      </w:r>
    </w:p>
    <w:p w:rsidR="00DB0C30" w:rsidRPr="007577F6" w:rsidRDefault="008B0AC2" w:rsidP="00DB0C30">
      <w:pPr>
        <w:pStyle w:val="SubjectSeriesLevel1"/>
      </w:pPr>
      <w:r w:rsidRPr="007577F6">
        <w:t>Other Items</w:t>
      </w:r>
      <w:r w:rsidR="004437DB" w:rsidRPr="007577F6">
        <w:t xml:space="preserve"> – Developing Items</w:t>
      </w:r>
      <w:r w:rsidRPr="007577F6">
        <w:tab/>
      </w:r>
      <w:r w:rsidR="00DE4A53" w:rsidRPr="007577F6">
        <w:t>14</w:t>
      </w:r>
      <w:r w:rsidRPr="007577F6">
        <w:t>0</w:t>
      </w:r>
      <w:r w:rsidR="00DB0C30" w:rsidRPr="007577F6">
        <w:t xml:space="preserve"> Series</w:t>
      </w:r>
    </w:p>
    <w:p w:rsidR="00DB0C30" w:rsidRPr="007577F6" w:rsidRDefault="00DB0C30" w:rsidP="00DB0C30">
      <w:pPr>
        <w:pStyle w:val="SubjectSeriesLevel1"/>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DB0C30" w:rsidRPr="00F3504E" w:rsidTr="005074B2">
        <w:tc>
          <w:tcPr>
            <w:tcW w:w="9360" w:type="dxa"/>
            <w:gridSpan w:val="3"/>
            <w:tcBorders>
              <w:top w:val="single" w:sz="12" w:space="0" w:color="auto"/>
              <w:bottom w:val="single" w:sz="12" w:space="0" w:color="auto"/>
            </w:tcBorders>
          </w:tcPr>
          <w:p w:rsidR="00DB0C30" w:rsidRPr="00F3504E" w:rsidRDefault="00DB0C30" w:rsidP="005074B2">
            <w:pPr>
              <w:pStyle w:val="TableHeading"/>
            </w:pPr>
            <w:r w:rsidRPr="00F3504E">
              <w:t>Table A</w:t>
            </w:r>
            <w:r w:rsidRPr="00F3504E">
              <w:br/>
            </w:r>
            <w:r>
              <w:t>Table of Contents</w:t>
            </w:r>
          </w:p>
        </w:tc>
      </w:tr>
      <w:tr w:rsidR="00DB0C30" w:rsidRPr="00F3504E" w:rsidTr="005074B2">
        <w:trPr>
          <w:trHeight w:val="317"/>
        </w:trPr>
        <w:tc>
          <w:tcPr>
            <w:tcW w:w="3110" w:type="dxa"/>
            <w:tcBorders>
              <w:top w:val="single" w:sz="12" w:space="0" w:color="auto"/>
              <w:bottom w:val="single" w:sz="12" w:space="0" w:color="auto"/>
            </w:tcBorders>
            <w:vAlign w:val="bottom"/>
          </w:tcPr>
          <w:p w:rsidR="00DB0C30" w:rsidRPr="00F3504E" w:rsidRDefault="00DB0C30" w:rsidP="005074B2">
            <w:pPr>
              <w:pStyle w:val="TableColumnHeadings"/>
              <w:ind w:left="-108"/>
              <w:jc w:val="left"/>
            </w:pPr>
            <w:r w:rsidRPr="00F3504E">
              <w:t xml:space="preserve">Reference Key </w:t>
            </w:r>
          </w:p>
        </w:tc>
        <w:tc>
          <w:tcPr>
            <w:tcW w:w="3110" w:type="dxa"/>
            <w:tcBorders>
              <w:top w:val="single" w:sz="12" w:space="0" w:color="auto"/>
              <w:bottom w:val="single" w:sz="12" w:space="0" w:color="auto"/>
            </w:tcBorders>
            <w:vAlign w:val="bottom"/>
          </w:tcPr>
          <w:p w:rsidR="00DB0C30" w:rsidRPr="00F3504E" w:rsidRDefault="00DB0C30" w:rsidP="005074B2">
            <w:pPr>
              <w:pStyle w:val="TableColumnHeadings"/>
            </w:pPr>
            <w:r w:rsidRPr="00F3504E">
              <w:t>Title of Item</w:t>
            </w:r>
          </w:p>
        </w:tc>
        <w:tc>
          <w:tcPr>
            <w:tcW w:w="3140" w:type="dxa"/>
            <w:tcBorders>
              <w:top w:val="single" w:sz="12" w:space="0" w:color="auto"/>
              <w:bottom w:val="single" w:sz="12" w:space="0" w:color="auto"/>
            </w:tcBorders>
            <w:vAlign w:val="bottom"/>
          </w:tcPr>
          <w:p w:rsidR="00DB0C30" w:rsidRPr="00F3504E" w:rsidRDefault="00DB0C30" w:rsidP="005074B2">
            <w:pPr>
              <w:pStyle w:val="TableColumnHeadings"/>
              <w:ind w:right="-108"/>
              <w:jc w:val="right"/>
            </w:pPr>
            <w:r>
              <w:t xml:space="preserve">BOD </w:t>
            </w:r>
            <w:r w:rsidRPr="00F3504E">
              <w:t>Page</w:t>
            </w:r>
          </w:p>
        </w:tc>
      </w:tr>
    </w:tbl>
    <w:p w:rsidR="00E800B3" w:rsidRDefault="00A60523">
      <w:pPr>
        <w:pStyle w:val="TOC1"/>
        <w:rPr>
          <w:rFonts w:asciiTheme="minorHAnsi" w:hAnsiTheme="minorHAnsi"/>
          <w:b w:val="0"/>
          <w:caps w:val="0"/>
          <w:noProof/>
          <w:color w:val="auto"/>
          <w:sz w:val="22"/>
          <w:lang w:eastAsia="en-US"/>
        </w:rPr>
      </w:pPr>
      <w:r w:rsidRPr="008D08FA">
        <w:fldChar w:fldCharType="begin"/>
      </w:r>
      <w:r w:rsidRPr="008D08FA">
        <w:instrText xml:space="preserve"> TOC \h \z \t "Heading 1,1,Appendix Heading,3,Item Heading,2,Roman Item Heading,4,agenda,4,Appendix Heading - TOC,4" </w:instrText>
      </w:r>
      <w:r w:rsidRPr="008D08FA">
        <w:fldChar w:fldCharType="separate"/>
      </w:r>
      <w:hyperlink w:anchor="_Toc352859902" w:history="1">
        <w:r w:rsidR="00E800B3" w:rsidRPr="009069E7">
          <w:rPr>
            <w:rStyle w:val="Hyperlink"/>
          </w:rPr>
          <w:t>100</w:t>
        </w:r>
        <w:r w:rsidR="00E800B3">
          <w:rPr>
            <w:rFonts w:asciiTheme="minorHAnsi" w:hAnsiTheme="minorHAnsi"/>
            <w:b w:val="0"/>
            <w:caps w:val="0"/>
            <w:noProof/>
            <w:color w:val="auto"/>
            <w:sz w:val="22"/>
            <w:lang w:eastAsia="en-US"/>
          </w:rPr>
          <w:tab/>
        </w:r>
        <w:r w:rsidR="00E800B3" w:rsidRPr="009069E7">
          <w:rPr>
            <w:rStyle w:val="Hyperlink"/>
          </w:rPr>
          <w:t>Introduction</w:t>
        </w:r>
        <w:r w:rsidR="00E800B3">
          <w:rPr>
            <w:noProof/>
            <w:webHidden/>
          </w:rPr>
          <w:tab/>
        </w:r>
        <w:r w:rsidR="00E800B3">
          <w:rPr>
            <w:noProof/>
            <w:webHidden/>
          </w:rPr>
          <w:fldChar w:fldCharType="begin"/>
        </w:r>
        <w:r w:rsidR="00E800B3">
          <w:rPr>
            <w:noProof/>
            <w:webHidden/>
          </w:rPr>
          <w:instrText xml:space="preserve"> PAGEREF _Toc352859902 \h </w:instrText>
        </w:r>
        <w:r w:rsidR="00E800B3">
          <w:rPr>
            <w:noProof/>
            <w:webHidden/>
          </w:rPr>
        </w:r>
        <w:r w:rsidR="00E800B3">
          <w:rPr>
            <w:noProof/>
            <w:webHidden/>
          </w:rPr>
          <w:fldChar w:fldCharType="separate"/>
        </w:r>
        <w:r w:rsidR="00A6314B">
          <w:rPr>
            <w:noProof/>
            <w:webHidden/>
          </w:rPr>
          <w:t>1</w:t>
        </w:r>
        <w:r w:rsidR="00E800B3">
          <w:rPr>
            <w:noProof/>
            <w:webHidden/>
          </w:rPr>
          <w:fldChar w:fldCharType="end"/>
        </w:r>
      </w:hyperlink>
    </w:p>
    <w:p w:rsidR="00E800B3" w:rsidRDefault="00E1283B">
      <w:pPr>
        <w:pStyle w:val="TOC1"/>
        <w:rPr>
          <w:rFonts w:asciiTheme="minorHAnsi" w:hAnsiTheme="minorHAnsi"/>
          <w:b w:val="0"/>
          <w:caps w:val="0"/>
          <w:noProof/>
          <w:color w:val="auto"/>
          <w:sz w:val="22"/>
          <w:lang w:eastAsia="en-US"/>
        </w:rPr>
      </w:pPr>
      <w:hyperlink w:anchor="_Toc352859903" w:history="1">
        <w:r w:rsidR="00E800B3" w:rsidRPr="009069E7">
          <w:rPr>
            <w:rStyle w:val="Hyperlink"/>
          </w:rPr>
          <w:t>110</w:t>
        </w:r>
        <w:r w:rsidR="00E800B3">
          <w:rPr>
            <w:rFonts w:asciiTheme="minorHAnsi" w:hAnsiTheme="minorHAnsi"/>
            <w:b w:val="0"/>
            <w:caps w:val="0"/>
            <w:noProof/>
            <w:color w:val="auto"/>
            <w:sz w:val="22"/>
            <w:lang w:eastAsia="en-US"/>
          </w:rPr>
          <w:tab/>
        </w:r>
        <w:r w:rsidR="00E800B3" w:rsidRPr="009069E7">
          <w:rPr>
            <w:rStyle w:val="Hyperlink"/>
          </w:rPr>
          <w:t>Activity Reports</w:t>
        </w:r>
        <w:r w:rsidR="00E800B3">
          <w:rPr>
            <w:noProof/>
            <w:webHidden/>
          </w:rPr>
          <w:tab/>
        </w:r>
        <w:r w:rsidR="00E800B3">
          <w:rPr>
            <w:noProof/>
            <w:webHidden/>
          </w:rPr>
          <w:fldChar w:fldCharType="begin"/>
        </w:r>
        <w:r w:rsidR="00E800B3">
          <w:rPr>
            <w:noProof/>
            <w:webHidden/>
          </w:rPr>
          <w:instrText xml:space="preserve"> PAGEREF _Toc352859903 \h </w:instrText>
        </w:r>
        <w:r w:rsidR="00E800B3">
          <w:rPr>
            <w:noProof/>
            <w:webHidden/>
          </w:rPr>
        </w:r>
        <w:r w:rsidR="00E800B3">
          <w:rPr>
            <w:noProof/>
            <w:webHidden/>
          </w:rPr>
          <w:fldChar w:fldCharType="separate"/>
        </w:r>
        <w:r w:rsidR="00A6314B">
          <w:rPr>
            <w:noProof/>
            <w:webHidden/>
          </w:rPr>
          <w:t>3</w:t>
        </w:r>
        <w:r w:rsidR="00E800B3">
          <w:rPr>
            <w:noProof/>
            <w:webHidden/>
          </w:rPr>
          <w:fldChar w:fldCharType="end"/>
        </w:r>
      </w:hyperlink>
    </w:p>
    <w:p w:rsidR="00E800B3" w:rsidRDefault="00E1283B">
      <w:pPr>
        <w:pStyle w:val="TOC2"/>
        <w:rPr>
          <w:rFonts w:asciiTheme="minorHAnsi" w:hAnsiTheme="minorHAnsi"/>
          <w:noProof/>
          <w:color w:val="auto"/>
          <w:sz w:val="22"/>
          <w:lang w:eastAsia="en-US"/>
        </w:rPr>
      </w:pPr>
      <w:hyperlink w:anchor="_Toc352859904" w:history="1">
        <w:r w:rsidR="00E800B3" w:rsidRPr="009069E7">
          <w:rPr>
            <w:rStyle w:val="Hyperlink"/>
          </w:rPr>
          <w:t>110-1</w:t>
        </w:r>
        <w:r w:rsidR="00E800B3">
          <w:rPr>
            <w:rFonts w:asciiTheme="minorHAnsi" w:hAnsiTheme="minorHAnsi"/>
            <w:noProof/>
            <w:color w:val="auto"/>
            <w:sz w:val="22"/>
            <w:lang w:eastAsia="en-US"/>
          </w:rPr>
          <w:tab/>
        </w:r>
        <w:r w:rsidR="00E800B3" w:rsidRPr="009069E7">
          <w:rPr>
            <w:rStyle w:val="Hyperlink"/>
          </w:rPr>
          <w:t>I</w:t>
        </w:r>
        <w:r w:rsidR="00464D7B">
          <w:rPr>
            <w:rStyle w:val="Hyperlink"/>
          </w:rPr>
          <w:tab/>
        </w:r>
        <w:r w:rsidR="00E800B3" w:rsidRPr="009069E7">
          <w:rPr>
            <w:rStyle w:val="Hyperlink"/>
          </w:rPr>
          <w:t>Membership and Meeting Attendance</w:t>
        </w:r>
        <w:r w:rsidR="00E800B3">
          <w:rPr>
            <w:noProof/>
            <w:webHidden/>
          </w:rPr>
          <w:tab/>
        </w:r>
        <w:r w:rsidR="00E800B3">
          <w:rPr>
            <w:noProof/>
            <w:webHidden/>
          </w:rPr>
          <w:fldChar w:fldCharType="begin"/>
        </w:r>
        <w:r w:rsidR="00E800B3">
          <w:rPr>
            <w:noProof/>
            <w:webHidden/>
          </w:rPr>
          <w:instrText xml:space="preserve"> PAGEREF _Toc352859904 \h </w:instrText>
        </w:r>
        <w:r w:rsidR="00E800B3">
          <w:rPr>
            <w:noProof/>
            <w:webHidden/>
          </w:rPr>
        </w:r>
        <w:r w:rsidR="00E800B3">
          <w:rPr>
            <w:noProof/>
            <w:webHidden/>
          </w:rPr>
          <w:fldChar w:fldCharType="separate"/>
        </w:r>
        <w:r w:rsidR="00A6314B">
          <w:rPr>
            <w:noProof/>
            <w:webHidden/>
          </w:rPr>
          <w:t>3</w:t>
        </w:r>
        <w:r w:rsidR="00E800B3">
          <w:rPr>
            <w:noProof/>
            <w:webHidden/>
          </w:rPr>
          <w:fldChar w:fldCharType="end"/>
        </w:r>
      </w:hyperlink>
    </w:p>
    <w:p w:rsidR="00E800B3" w:rsidRDefault="00E1283B">
      <w:pPr>
        <w:pStyle w:val="TOC2"/>
        <w:rPr>
          <w:rFonts w:asciiTheme="minorHAnsi" w:hAnsiTheme="minorHAnsi"/>
          <w:noProof/>
          <w:color w:val="auto"/>
          <w:sz w:val="22"/>
          <w:lang w:eastAsia="en-US"/>
        </w:rPr>
      </w:pPr>
      <w:hyperlink w:anchor="_Toc352859905" w:history="1">
        <w:r w:rsidR="00E800B3" w:rsidRPr="009069E7">
          <w:rPr>
            <w:rStyle w:val="Hyperlink"/>
          </w:rPr>
          <w:t>110-2</w:t>
        </w:r>
        <w:r w:rsidR="00E800B3">
          <w:rPr>
            <w:rFonts w:asciiTheme="minorHAnsi" w:hAnsiTheme="minorHAnsi"/>
            <w:noProof/>
            <w:color w:val="auto"/>
            <w:sz w:val="22"/>
            <w:lang w:eastAsia="en-US"/>
          </w:rPr>
          <w:tab/>
        </w:r>
        <w:r w:rsidR="00E800B3" w:rsidRPr="009069E7">
          <w:rPr>
            <w:rStyle w:val="Hyperlink"/>
          </w:rPr>
          <w:t xml:space="preserve">I </w:t>
        </w:r>
        <w:r w:rsidR="00464D7B">
          <w:rPr>
            <w:rStyle w:val="Hyperlink"/>
          </w:rPr>
          <w:tab/>
        </w:r>
        <w:r w:rsidR="00E800B3" w:rsidRPr="009069E7">
          <w:rPr>
            <w:rStyle w:val="Hyperlink"/>
          </w:rPr>
          <w:t>NCWM Newsletter and Website</w:t>
        </w:r>
        <w:r w:rsidR="00E800B3">
          <w:rPr>
            <w:noProof/>
            <w:webHidden/>
          </w:rPr>
          <w:tab/>
        </w:r>
        <w:r w:rsidR="00E800B3">
          <w:rPr>
            <w:noProof/>
            <w:webHidden/>
          </w:rPr>
          <w:fldChar w:fldCharType="begin"/>
        </w:r>
        <w:r w:rsidR="00E800B3">
          <w:rPr>
            <w:noProof/>
            <w:webHidden/>
          </w:rPr>
          <w:instrText xml:space="preserve"> PAGEREF _Toc352859905 \h </w:instrText>
        </w:r>
        <w:r w:rsidR="00E800B3">
          <w:rPr>
            <w:noProof/>
            <w:webHidden/>
          </w:rPr>
        </w:r>
        <w:r w:rsidR="00E800B3">
          <w:rPr>
            <w:noProof/>
            <w:webHidden/>
          </w:rPr>
          <w:fldChar w:fldCharType="separate"/>
        </w:r>
        <w:r w:rsidR="00A6314B">
          <w:rPr>
            <w:noProof/>
            <w:webHidden/>
          </w:rPr>
          <w:t>4</w:t>
        </w:r>
        <w:r w:rsidR="00E800B3">
          <w:rPr>
            <w:noProof/>
            <w:webHidden/>
          </w:rPr>
          <w:fldChar w:fldCharType="end"/>
        </w:r>
      </w:hyperlink>
    </w:p>
    <w:p w:rsidR="00E800B3" w:rsidRDefault="00E1283B">
      <w:pPr>
        <w:pStyle w:val="TOC2"/>
        <w:rPr>
          <w:rFonts w:asciiTheme="minorHAnsi" w:hAnsiTheme="minorHAnsi"/>
          <w:noProof/>
          <w:color w:val="auto"/>
          <w:sz w:val="22"/>
          <w:lang w:eastAsia="en-US"/>
        </w:rPr>
      </w:pPr>
      <w:hyperlink w:anchor="_Toc352859906" w:history="1">
        <w:r w:rsidR="00E800B3" w:rsidRPr="009069E7">
          <w:rPr>
            <w:rStyle w:val="Hyperlink"/>
          </w:rPr>
          <w:t>110-3</w:t>
        </w:r>
        <w:r w:rsidR="00E800B3">
          <w:rPr>
            <w:rFonts w:asciiTheme="minorHAnsi" w:hAnsiTheme="minorHAnsi"/>
            <w:noProof/>
            <w:color w:val="auto"/>
            <w:sz w:val="22"/>
            <w:lang w:eastAsia="en-US"/>
          </w:rPr>
          <w:tab/>
        </w:r>
        <w:r w:rsidR="00E800B3" w:rsidRPr="009069E7">
          <w:rPr>
            <w:rStyle w:val="Hyperlink"/>
          </w:rPr>
          <w:t xml:space="preserve">I </w:t>
        </w:r>
        <w:r w:rsidR="00464D7B">
          <w:rPr>
            <w:rStyle w:val="Hyperlink"/>
          </w:rPr>
          <w:tab/>
        </w:r>
        <w:r w:rsidR="00E800B3" w:rsidRPr="009069E7">
          <w:rPr>
            <w:rStyle w:val="Hyperlink"/>
          </w:rPr>
          <w:t>Meetings Update</w:t>
        </w:r>
        <w:r w:rsidR="00E800B3">
          <w:rPr>
            <w:noProof/>
            <w:webHidden/>
          </w:rPr>
          <w:tab/>
        </w:r>
        <w:r w:rsidR="00E800B3">
          <w:rPr>
            <w:noProof/>
            <w:webHidden/>
          </w:rPr>
          <w:fldChar w:fldCharType="begin"/>
        </w:r>
        <w:r w:rsidR="00E800B3">
          <w:rPr>
            <w:noProof/>
            <w:webHidden/>
          </w:rPr>
          <w:instrText xml:space="preserve"> PAGEREF _Toc352859906 \h </w:instrText>
        </w:r>
        <w:r w:rsidR="00E800B3">
          <w:rPr>
            <w:noProof/>
            <w:webHidden/>
          </w:rPr>
        </w:r>
        <w:r w:rsidR="00E800B3">
          <w:rPr>
            <w:noProof/>
            <w:webHidden/>
          </w:rPr>
          <w:fldChar w:fldCharType="separate"/>
        </w:r>
        <w:r w:rsidR="00A6314B">
          <w:rPr>
            <w:noProof/>
            <w:webHidden/>
          </w:rPr>
          <w:t>5</w:t>
        </w:r>
        <w:r w:rsidR="00E800B3">
          <w:rPr>
            <w:noProof/>
            <w:webHidden/>
          </w:rPr>
          <w:fldChar w:fldCharType="end"/>
        </w:r>
      </w:hyperlink>
    </w:p>
    <w:p w:rsidR="00E800B3" w:rsidRDefault="00E1283B">
      <w:pPr>
        <w:pStyle w:val="TOC2"/>
        <w:rPr>
          <w:rFonts w:asciiTheme="minorHAnsi" w:hAnsiTheme="minorHAnsi"/>
          <w:noProof/>
          <w:color w:val="auto"/>
          <w:sz w:val="22"/>
          <w:lang w:eastAsia="en-US"/>
        </w:rPr>
      </w:pPr>
      <w:hyperlink w:anchor="_Toc352859907" w:history="1">
        <w:r w:rsidR="00E800B3" w:rsidRPr="009069E7">
          <w:rPr>
            <w:rStyle w:val="Hyperlink"/>
          </w:rPr>
          <w:t>110-4</w:t>
        </w:r>
        <w:r w:rsidR="00E800B3">
          <w:rPr>
            <w:rFonts w:asciiTheme="minorHAnsi" w:hAnsiTheme="minorHAnsi"/>
            <w:noProof/>
            <w:color w:val="auto"/>
            <w:sz w:val="22"/>
            <w:lang w:eastAsia="en-US"/>
          </w:rPr>
          <w:tab/>
        </w:r>
        <w:r w:rsidR="00E800B3" w:rsidRPr="009069E7">
          <w:rPr>
            <w:rStyle w:val="Hyperlink"/>
          </w:rPr>
          <w:t xml:space="preserve">I </w:t>
        </w:r>
        <w:r w:rsidR="00464D7B">
          <w:rPr>
            <w:rStyle w:val="Hyperlink"/>
          </w:rPr>
          <w:tab/>
        </w:r>
        <w:r w:rsidR="00E800B3" w:rsidRPr="009069E7">
          <w:rPr>
            <w:rStyle w:val="Hyperlink"/>
          </w:rPr>
          <w:t>Participation in International Standard Setting</w:t>
        </w:r>
        <w:r w:rsidR="00E800B3">
          <w:rPr>
            <w:noProof/>
            <w:webHidden/>
          </w:rPr>
          <w:tab/>
        </w:r>
        <w:r w:rsidR="00E800B3">
          <w:rPr>
            <w:noProof/>
            <w:webHidden/>
          </w:rPr>
          <w:fldChar w:fldCharType="begin"/>
        </w:r>
        <w:r w:rsidR="00E800B3">
          <w:rPr>
            <w:noProof/>
            <w:webHidden/>
          </w:rPr>
          <w:instrText xml:space="preserve"> PAGEREF _Toc352859907 \h </w:instrText>
        </w:r>
        <w:r w:rsidR="00E800B3">
          <w:rPr>
            <w:noProof/>
            <w:webHidden/>
          </w:rPr>
        </w:r>
        <w:r w:rsidR="00E800B3">
          <w:rPr>
            <w:noProof/>
            <w:webHidden/>
          </w:rPr>
          <w:fldChar w:fldCharType="separate"/>
        </w:r>
        <w:r w:rsidR="00A6314B">
          <w:rPr>
            <w:noProof/>
            <w:webHidden/>
          </w:rPr>
          <w:t>6</w:t>
        </w:r>
        <w:r w:rsidR="00E800B3">
          <w:rPr>
            <w:noProof/>
            <w:webHidden/>
          </w:rPr>
          <w:fldChar w:fldCharType="end"/>
        </w:r>
      </w:hyperlink>
    </w:p>
    <w:p w:rsidR="00E800B3" w:rsidRDefault="00E1283B">
      <w:pPr>
        <w:pStyle w:val="TOC1"/>
        <w:rPr>
          <w:rFonts w:asciiTheme="minorHAnsi" w:hAnsiTheme="minorHAnsi"/>
          <w:b w:val="0"/>
          <w:caps w:val="0"/>
          <w:noProof/>
          <w:color w:val="auto"/>
          <w:sz w:val="22"/>
          <w:lang w:eastAsia="en-US"/>
        </w:rPr>
      </w:pPr>
      <w:hyperlink w:anchor="_Toc352859908" w:history="1">
        <w:r w:rsidR="00E800B3" w:rsidRPr="009069E7">
          <w:rPr>
            <w:rStyle w:val="Hyperlink"/>
          </w:rPr>
          <w:t>120</w:t>
        </w:r>
        <w:r w:rsidR="00E800B3">
          <w:rPr>
            <w:rFonts w:asciiTheme="minorHAnsi" w:hAnsiTheme="minorHAnsi"/>
            <w:b w:val="0"/>
            <w:caps w:val="0"/>
            <w:noProof/>
            <w:color w:val="auto"/>
            <w:sz w:val="22"/>
            <w:lang w:eastAsia="en-US"/>
          </w:rPr>
          <w:tab/>
        </w:r>
        <w:r w:rsidR="00E800B3" w:rsidRPr="009069E7">
          <w:rPr>
            <w:rStyle w:val="Hyperlink"/>
          </w:rPr>
          <w:t>Strategic Planning, Policies, and Bylaws</w:t>
        </w:r>
        <w:r w:rsidR="00E800B3">
          <w:rPr>
            <w:noProof/>
            <w:webHidden/>
          </w:rPr>
          <w:tab/>
        </w:r>
        <w:r w:rsidR="00E800B3">
          <w:rPr>
            <w:noProof/>
            <w:webHidden/>
          </w:rPr>
          <w:fldChar w:fldCharType="begin"/>
        </w:r>
        <w:r w:rsidR="00E800B3">
          <w:rPr>
            <w:noProof/>
            <w:webHidden/>
          </w:rPr>
          <w:instrText xml:space="preserve"> PAGEREF _Toc352859908 \h </w:instrText>
        </w:r>
        <w:r w:rsidR="00E800B3">
          <w:rPr>
            <w:noProof/>
            <w:webHidden/>
          </w:rPr>
        </w:r>
        <w:r w:rsidR="00E800B3">
          <w:rPr>
            <w:noProof/>
            <w:webHidden/>
          </w:rPr>
          <w:fldChar w:fldCharType="separate"/>
        </w:r>
        <w:r w:rsidR="00A6314B">
          <w:rPr>
            <w:noProof/>
            <w:webHidden/>
          </w:rPr>
          <w:t>7</w:t>
        </w:r>
        <w:r w:rsidR="00E800B3">
          <w:rPr>
            <w:noProof/>
            <w:webHidden/>
          </w:rPr>
          <w:fldChar w:fldCharType="end"/>
        </w:r>
      </w:hyperlink>
    </w:p>
    <w:p w:rsidR="00E800B3" w:rsidRDefault="00E1283B">
      <w:pPr>
        <w:pStyle w:val="TOC2"/>
        <w:rPr>
          <w:rFonts w:asciiTheme="minorHAnsi" w:hAnsiTheme="minorHAnsi"/>
          <w:noProof/>
          <w:color w:val="auto"/>
          <w:sz w:val="22"/>
          <w:lang w:eastAsia="en-US"/>
        </w:rPr>
      </w:pPr>
      <w:hyperlink w:anchor="_Toc352859909" w:history="1">
        <w:r w:rsidR="00E800B3" w:rsidRPr="009069E7">
          <w:rPr>
            <w:rStyle w:val="Hyperlink"/>
          </w:rPr>
          <w:t>120-1</w:t>
        </w:r>
        <w:r w:rsidR="00E800B3">
          <w:rPr>
            <w:rFonts w:asciiTheme="minorHAnsi" w:hAnsiTheme="minorHAnsi"/>
            <w:noProof/>
            <w:color w:val="auto"/>
            <w:sz w:val="22"/>
            <w:lang w:eastAsia="en-US"/>
          </w:rPr>
          <w:tab/>
        </w:r>
        <w:r w:rsidR="00E800B3" w:rsidRPr="009069E7">
          <w:rPr>
            <w:rStyle w:val="Hyperlink"/>
          </w:rPr>
          <w:t xml:space="preserve">I </w:t>
        </w:r>
        <w:r w:rsidR="00464D7B">
          <w:rPr>
            <w:rStyle w:val="Hyperlink"/>
          </w:rPr>
          <w:tab/>
        </w:r>
        <w:r w:rsidR="00E800B3" w:rsidRPr="009069E7">
          <w:rPr>
            <w:rStyle w:val="Hyperlink"/>
          </w:rPr>
          <w:t>Strategic Planning</w:t>
        </w:r>
        <w:r w:rsidR="00E800B3">
          <w:rPr>
            <w:noProof/>
            <w:webHidden/>
          </w:rPr>
          <w:tab/>
        </w:r>
        <w:r w:rsidR="00E800B3">
          <w:rPr>
            <w:noProof/>
            <w:webHidden/>
          </w:rPr>
          <w:fldChar w:fldCharType="begin"/>
        </w:r>
        <w:r w:rsidR="00E800B3">
          <w:rPr>
            <w:noProof/>
            <w:webHidden/>
          </w:rPr>
          <w:instrText xml:space="preserve"> PAGEREF _Toc352859909 \h </w:instrText>
        </w:r>
        <w:r w:rsidR="00E800B3">
          <w:rPr>
            <w:noProof/>
            <w:webHidden/>
          </w:rPr>
        </w:r>
        <w:r w:rsidR="00E800B3">
          <w:rPr>
            <w:noProof/>
            <w:webHidden/>
          </w:rPr>
          <w:fldChar w:fldCharType="separate"/>
        </w:r>
        <w:r w:rsidR="00A6314B">
          <w:rPr>
            <w:noProof/>
            <w:webHidden/>
          </w:rPr>
          <w:t>7</w:t>
        </w:r>
        <w:r w:rsidR="00E800B3">
          <w:rPr>
            <w:noProof/>
            <w:webHidden/>
          </w:rPr>
          <w:fldChar w:fldCharType="end"/>
        </w:r>
      </w:hyperlink>
    </w:p>
    <w:p w:rsidR="00E800B3" w:rsidRDefault="00E1283B">
      <w:pPr>
        <w:pStyle w:val="TOC2"/>
        <w:rPr>
          <w:rFonts w:asciiTheme="minorHAnsi" w:hAnsiTheme="minorHAnsi"/>
          <w:noProof/>
          <w:color w:val="auto"/>
          <w:sz w:val="22"/>
          <w:lang w:eastAsia="en-US"/>
        </w:rPr>
      </w:pPr>
      <w:hyperlink w:anchor="_Toc352859910" w:history="1">
        <w:r w:rsidR="00E800B3" w:rsidRPr="009069E7">
          <w:rPr>
            <w:rStyle w:val="Hyperlink"/>
          </w:rPr>
          <w:t>120-2</w:t>
        </w:r>
        <w:r w:rsidR="00E800B3">
          <w:rPr>
            <w:rFonts w:asciiTheme="minorHAnsi" w:hAnsiTheme="minorHAnsi"/>
            <w:noProof/>
            <w:color w:val="auto"/>
            <w:sz w:val="22"/>
            <w:lang w:eastAsia="en-US"/>
          </w:rPr>
          <w:tab/>
        </w:r>
        <w:r w:rsidR="00E800B3" w:rsidRPr="009069E7">
          <w:rPr>
            <w:rStyle w:val="Hyperlink"/>
          </w:rPr>
          <w:t>I</w:t>
        </w:r>
        <w:r w:rsidR="00464D7B">
          <w:rPr>
            <w:rStyle w:val="Hyperlink"/>
          </w:rPr>
          <w:tab/>
        </w:r>
        <w:r w:rsidR="00E800B3" w:rsidRPr="009069E7">
          <w:rPr>
            <w:rStyle w:val="Hyperlink"/>
          </w:rPr>
          <w:t>Regional Support</w:t>
        </w:r>
        <w:r w:rsidR="00E800B3">
          <w:rPr>
            <w:noProof/>
            <w:webHidden/>
          </w:rPr>
          <w:tab/>
        </w:r>
        <w:r w:rsidR="00E800B3">
          <w:rPr>
            <w:noProof/>
            <w:webHidden/>
          </w:rPr>
          <w:fldChar w:fldCharType="begin"/>
        </w:r>
        <w:r w:rsidR="00E800B3">
          <w:rPr>
            <w:noProof/>
            <w:webHidden/>
          </w:rPr>
          <w:instrText xml:space="preserve"> PAGEREF _Toc352859910 \h </w:instrText>
        </w:r>
        <w:r w:rsidR="00E800B3">
          <w:rPr>
            <w:noProof/>
            <w:webHidden/>
          </w:rPr>
        </w:r>
        <w:r w:rsidR="00E800B3">
          <w:rPr>
            <w:noProof/>
            <w:webHidden/>
          </w:rPr>
          <w:fldChar w:fldCharType="separate"/>
        </w:r>
        <w:r w:rsidR="00A6314B">
          <w:rPr>
            <w:noProof/>
            <w:webHidden/>
          </w:rPr>
          <w:t>8</w:t>
        </w:r>
        <w:r w:rsidR="00E800B3">
          <w:rPr>
            <w:noProof/>
            <w:webHidden/>
          </w:rPr>
          <w:fldChar w:fldCharType="end"/>
        </w:r>
      </w:hyperlink>
    </w:p>
    <w:p w:rsidR="00E800B3" w:rsidRDefault="00E1283B">
      <w:pPr>
        <w:pStyle w:val="TOC2"/>
        <w:rPr>
          <w:rFonts w:asciiTheme="minorHAnsi" w:hAnsiTheme="minorHAnsi"/>
          <w:noProof/>
          <w:color w:val="auto"/>
          <w:sz w:val="22"/>
          <w:lang w:eastAsia="en-US"/>
        </w:rPr>
      </w:pPr>
      <w:hyperlink w:anchor="_Toc352859911" w:history="1">
        <w:r w:rsidR="00E800B3" w:rsidRPr="009069E7">
          <w:rPr>
            <w:rStyle w:val="Hyperlink"/>
          </w:rPr>
          <w:t>120-3</w:t>
        </w:r>
        <w:r w:rsidR="00E800B3">
          <w:rPr>
            <w:rFonts w:asciiTheme="minorHAnsi" w:hAnsiTheme="minorHAnsi"/>
            <w:noProof/>
            <w:color w:val="auto"/>
            <w:sz w:val="22"/>
            <w:lang w:eastAsia="en-US"/>
          </w:rPr>
          <w:tab/>
        </w:r>
        <w:r w:rsidR="00E800B3" w:rsidRPr="009069E7">
          <w:rPr>
            <w:rStyle w:val="Hyperlink"/>
          </w:rPr>
          <w:t>I</w:t>
        </w:r>
        <w:r w:rsidR="00464D7B">
          <w:rPr>
            <w:rStyle w:val="Hyperlink"/>
          </w:rPr>
          <w:tab/>
        </w:r>
        <w:r w:rsidR="00E800B3" w:rsidRPr="009069E7">
          <w:rPr>
            <w:rStyle w:val="Hyperlink"/>
          </w:rPr>
          <w:t>Standing Committees</w:t>
        </w:r>
        <w:r w:rsidR="00E800B3">
          <w:rPr>
            <w:noProof/>
            <w:webHidden/>
          </w:rPr>
          <w:tab/>
        </w:r>
        <w:r w:rsidR="00E800B3">
          <w:rPr>
            <w:noProof/>
            <w:webHidden/>
          </w:rPr>
          <w:fldChar w:fldCharType="begin"/>
        </w:r>
        <w:r w:rsidR="00E800B3">
          <w:rPr>
            <w:noProof/>
            <w:webHidden/>
          </w:rPr>
          <w:instrText xml:space="preserve"> PAGEREF _Toc352859911 \h </w:instrText>
        </w:r>
        <w:r w:rsidR="00E800B3">
          <w:rPr>
            <w:noProof/>
            <w:webHidden/>
          </w:rPr>
        </w:r>
        <w:r w:rsidR="00E800B3">
          <w:rPr>
            <w:noProof/>
            <w:webHidden/>
          </w:rPr>
          <w:fldChar w:fldCharType="separate"/>
        </w:r>
        <w:r w:rsidR="00A6314B">
          <w:rPr>
            <w:noProof/>
            <w:webHidden/>
          </w:rPr>
          <w:t>8</w:t>
        </w:r>
        <w:r w:rsidR="00E800B3">
          <w:rPr>
            <w:noProof/>
            <w:webHidden/>
          </w:rPr>
          <w:fldChar w:fldCharType="end"/>
        </w:r>
      </w:hyperlink>
    </w:p>
    <w:p w:rsidR="00E800B3" w:rsidRDefault="00E1283B">
      <w:pPr>
        <w:pStyle w:val="TOC2"/>
        <w:rPr>
          <w:rFonts w:asciiTheme="minorHAnsi" w:hAnsiTheme="minorHAnsi"/>
          <w:noProof/>
          <w:color w:val="auto"/>
          <w:sz w:val="22"/>
          <w:lang w:eastAsia="en-US"/>
        </w:rPr>
      </w:pPr>
      <w:hyperlink w:anchor="_Toc352859912" w:history="1">
        <w:r w:rsidR="00E800B3" w:rsidRPr="009069E7">
          <w:rPr>
            <w:rStyle w:val="Hyperlink"/>
          </w:rPr>
          <w:t>120-4</w:t>
        </w:r>
        <w:r w:rsidR="00E800B3">
          <w:rPr>
            <w:rFonts w:asciiTheme="minorHAnsi" w:hAnsiTheme="minorHAnsi"/>
            <w:noProof/>
            <w:color w:val="auto"/>
            <w:sz w:val="22"/>
            <w:lang w:eastAsia="en-US"/>
          </w:rPr>
          <w:tab/>
        </w:r>
        <w:r w:rsidR="00E800B3" w:rsidRPr="009069E7">
          <w:rPr>
            <w:rStyle w:val="Hyperlink"/>
          </w:rPr>
          <w:t>I</w:t>
        </w:r>
        <w:r w:rsidR="00464D7B">
          <w:rPr>
            <w:rStyle w:val="Hyperlink"/>
          </w:rPr>
          <w:tab/>
        </w:r>
        <w:r w:rsidR="00E800B3" w:rsidRPr="009069E7">
          <w:rPr>
            <w:rStyle w:val="Hyperlink"/>
          </w:rPr>
          <w:t>NCWM Publications 15 and 16</w:t>
        </w:r>
        <w:r w:rsidR="00E800B3">
          <w:rPr>
            <w:noProof/>
            <w:webHidden/>
          </w:rPr>
          <w:tab/>
        </w:r>
        <w:r w:rsidR="00E800B3">
          <w:rPr>
            <w:noProof/>
            <w:webHidden/>
          </w:rPr>
          <w:fldChar w:fldCharType="begin"/>
        </w:r>
        <w:r w:rsidR="00E800B3">
          <w:rPr>
            <w:noProof/>
            <w:webHidden/>
          </w:rPr>
          <w:instrText xml:space="preserve"> PAGEREF _Toc352859912 \h </w:instrText>
        </w:r>
        <w:r w:rsidR="00E800B3">
          <w:rPr>
            <w:noProof/>
            <w:webHidden/>
          </w:rPr>
        </w:r>
        <w:r w:rsidR="00E800B3">
          <w:rPr>
            <w:noProof/>
            <w:webHidden/>
          </w:rPr>
          <w:fldChar w:fldCharType="separate"/>
        </w:r>
        <w:r w:rsidR="00A6314B">
          <w:rPr>
            <w:noProof/>
            <w:webHidden/>
          </w:rPr>
          <w:t>10</w:t>
        </w:r>
        <w:r w:rsidR="00E800B3">
          <w:rPr>
            <w:noProof/>
            <w:webHidden/>
          </w:rPr>
          <w:fldChar w:fldCharType="end"/>
        </w:r>
      </w:hyperlink>
    </w:p>
    <w:p w:rsidR="00E800B3" w:rsidRDefault="00E1283B">
      <w:pPr>
        <w:pStyle w:val="TOC2"/>
        <w:rPr>
          <w:rFonts w:asciiTheme="minorHAnsi" w:hAnsiTheme="minorHAnsi"/>
          <w:noProof/>
          <w:color w:val="auto"/>
          <w:sz w:val="22"/>
          <w:lang w:eastAsia="en-US"/>
        </w:rPr>
      </w:pPr>
      <w:hyperlink w:anchor="_Toc352859913" w:history="1">
        <w:r w:rsidR="00E800B3" w:rsidRPr="009069E7">
          <w:rPr>
            <w:rStyle w:val="Hyperlink"/>
          </w:rPr>
          <w:t>120-5</w:t>
        </w:r>
        <w:r w:rsidR="00E800B3">
          <w:rPr>
            <w:rFonts w:asciiTheme="minorHAnsi" w:hAnsiTheme="minorHAnsi"/>
            <w:noProof/>
            <w:color w:val="auto"/>
            <w:sz w:val="22"/>
            <w:lang w:eastAsia="en-US"/>
          </w:rPr>
          <w:tab/>
        </w:r>
        <w:r w:rsidR="00E800B3" w:rsidRPr="009069E7">
          <w:rPr>
            <w:rStyle w:val="Hyperlink"/>
          </w:rPr>
          <w:t xml:space="preserve">V </w:t>
        </w:r>
        <w:r w:rsidR="00464D7B">
          <w:rPr>
            <w:rStyle w:val="Hyperlink"/>
          </w:rPr>
          <w:tab/>
        </w:r>
        <w:r w:rsidR="00E800B3" w:rsidRPr="009069E7">
          <w:rPr>
            <w:rStyle w:val="Hyperlink"/>
          </w:rPr>
          <w:t>NCWM Bylaws Administrative Updates</w:t>
        </w:r>
        <w:r w:rsidR="00E800B3">
          <w:rPr>
            <w:noProof/>
            <w:webHidden/>
          </w:rPr>
          <w:tab/>
        </w:r>
        <w:r w:rsidR="00E800B3">
          <w:rPr>
            <w:noProof/>
            <w:webHidden/>
          </w:rPr>
          <w:fldChar w:fldCharType="begin"/>
        </w:r>
        <w:r w:rsidR="00E800B3">
          <w:rPr>
            <w:noProof/>
            <w:webHidden/>
          </w:rPr>
          <w:instrText xml:space="preserve"> PAGEREF _Toc352859913 \h </w:instrText>
        </w:r>
        <w:r w:rsidR="00E800B3">
          <w:rPr>
            <w:noProof/>
            <w:webHidden/>
          </w:rPr>
        </w:r>
        <w:r w:rsidR="00E800B3">
          <w:rPr>
            <w:noProof/>
            <w:webHidden/>
          </w:rPr>
          <w:fldChar w:fldCharType="separate"/>
        </w:r>
        <w:r w:rsidR="00A6314B">
          <w:rPr>
            <w:noProof/>
            <w:webHidden/>
          </w:rPr>
          <w:t>10</w:t>
        </w:r>
        <w:r w:rsidR="00E800B3">
          <w:rPr>
            <w:noProof/>
            <w:webHidden/>
          </w:rPr>
          <w:fldChar w:fldCharType="end"/>
        </w:r>
      </w:hyperlink>
    </w:p>
    <w:p w:rsidR="00E800B3" w:rsidRDefault="00E1283B">
      <w:pPr>
        <w:pStyle w:val="TOC1"/>
        <w:rPr>
          <w:rFonts w:asciiTheme="minorHAnsi" w:hAnsiTheme="minorHAnsi"/>
          <w:b w:val="0"/>
          <w:caps w:val="0"/>
          <w:noProof/>
          <w:color w:val="auto"/>
          <w:sz w:val="22"/>
          <w:lang w:eastAsia="en-US"/>
        </w:rPr>
      </w:pPr>
      <w:hyperlink w:anchor="_Toc352859914" w:history="1">
        <w:r w:rsidR="00E800B3" w:rsidRPr="009069E7">
          <w:rPr>
            <w:rStyle w:val="Hyperlink"/>
          </w:rPr>
          <w:t>130</w:t>
        </w:r>
        <w:r w:rsidR="00E800B3">
          <w:rPr>
            <w:rFonts w:asciiTheme="minorHAnsi" w:hAnsiTheme="minorHAnsi"/>
            <w:b w:val="0"/>
            <w:caps w:val="0"/>
            <w:noProof/>
            <w:color w:val="auto"/>
            <w:sz w:val="22"/>
            <w:lang w:eastAsia="en-US"/>
          </w:rPr>
          <w:tab/>
        </w:r>
        <w:r w:rsidR="00E800B3" w:rsidRPr="009069E7">
          <w:rPr>
            <w:rStyle w:val="Hyperlink"/>
          </w:rPr>
          <w:t>Financials</w:t>
        </w:r>
        <w:r w:rsidR="00E800B3">
          <w:rPr>
            <w:noProof/>
            <w:webHidden/>
          </w:rPr>
          <w:tab/>
        </w:r>
        <w:r w:rsidR="00E800B3">
          <w:rPr>
            <w:noProof/>
            <w:webHidden/>
          </w:rPr>
          <w:fldChar w:fldCharType="begin"/>
        </w:r>
        <w:r w:rsidR="00E800B3">
          <w:rPr>
            <w:noProof/>
            <w:webHidden/>
          </w:rPr>
          <w:instrText xml:space="preserve"> PAGEREF _Toc352859914 \h </w:instrText>
        </w:r>
        <w:r w:rsidR="00E800B3">
          <w:rPr>
            <w:noProof/>
            <w:webHidden/>
          </w:rPr>
        </w:r>
        <w:r w:rsidR="00E800B3">
          <w:rPr>
            <w:noProof/>
            <w:webHidden/>
          </w:rPr>
          <w:fldChar w:fldCharType="separate"/>
        </w:r>
        <w:r w:rsidR="00A6314B">
          <w:rPr>
            <w:noProof/>
            <w:webHidden/>
          </w:rPr>
          <w:t>13</w:t>
        </w:r>
        <w:r w:rsidR="00E800B3">
          <w:rPr>
            <w:noProof/>
            <w:webHidden/>
          </w:rPr>
          <w:fldChar w:fldCharType="end"/>
        </w:r>
      </w:hyperlink>
    </w:p>
    <w:p w:rsidR="00E800B3" w:rsidRDefault="00E1283B">
      <w:pPr>
        <w:pStyle w:val="TOC2"/>
        <w:rPr>
          <w:rFonts w:asciiTheme="minorHAnsi" w:hAnsiTheme="minorHAnsi"/>
          <w:noProof/>
          <w:color w:val="auto"/>
          <w:sz w:val="22"/>
          <w:lang w:eastAsia="en-US"/>
        </w:rPr>
      </w:pPr>
      <w:hyperlink w:anchor="_Toc352859915" w:history="1">
        <w:r w:rsidR="00E800B3" w:rsidRPr="009069E7">
          <w:rPr>
            <w:rStyle w:val="Hyperlink"/>
          </w:rPr>
          <w:t>130-1</w:t>
        </w:r>
        <w:r w:rsidR="00E800B3">
          <w:rPr>
            <w:rFonts w:asciiTheme="minorHAnsi" w:hAnsiTheme="minorHAnsi"/>
            <w:noProof/>
            <w:color w:val="auto"/>
            <w:sz w:val="22"/>
            <w:lang w:eastAsia="en-US"/>
          </w:rPr>
          <w:tab/>
        </w:r>
        <w:r w:rsidR="00E800B3" w:rsidRPr="009069E7">
          <w:rPr>
            <w:rStyle w:val="Hyperlink"/>
          </w:rPr>
          <w:t xml:space="preserve">I </w:t>
        </w:r>
        <w:r w:rsidR="00464D7B">
          <w:rPr>
            <w:rStyle w:val="Hyperlink"/>
          </w:rPr>
          <w:tab/>
        </w:r>
        <w:r w:rsidR="00E800B3" w:rsidRPr="009069E7">
          <w:rPr>
            <w:rStyle w:val="Hyperlink"/>
          </w:rPr>
          <w:t>Financial Report</w:t>
        </w:r>
        <w:r w:rsidR="00E800B3">
          <w:rPr>
            <w:noProof/>
            <w:webHidden/>
          </w:rPr>
          <w:tab/>
        </w:r>
        <w:r w:rsidR="00E800B3">
          <w:rPr>
            <w:noProof/>
            <w:webHidden/>
          </w:rPr>
          <w:fldChar w:fldCharType="begin"/>
        </w:r>
        <w:r w:rsidR="00E800B3">
          <w:rPr>
            <w:noProof/>
            <w:webHidden/>
          </w:rPr>
          <w:instrText xml:space="preserve"> PAGEREF _Toc352859915 \h </w:instrText>
        </w:r>
        <w:r w:rsidR="00E800B3">
          <w:rPr>
            <w:noProof/>
            <w:webHidden/>
          </w:rPr>
        </w:r>
        <w:r w:rsidR="00E800B3">
          <w:rPr>
            <w:noProof/>
            <w:webHidden/>
          </w:rPr>
          <w:fldChar w:fldCharType="separate"/>
        </w:r>
        <w:r w:rsidR="00A6314B">
          <w:rPr>
            <w:noProof/>
            <w:webHidden/>
          </w:rPr>
          <w:t>13</w:t>
        </w:r>
        <w:r w:rsidR="00E800B3">
          <w:rPr>
            <w:noProof/>
            <w:webHidden/>
          </w:rPr>
          <w:fldChar w:fldCharType="end"/>
        </w:r>
      </w:hyperlink>
    </w:p>
    <w:p w:rsidR="0016242A" w:rsidRPr="008D08FA" w:rsidRDefault="00A60523" w:rsidP="0016242A">
      <w:pPr>
        <w:pStyle w:val="TOC1"/>
        <w:rPr>
          <w:rStyle w:val="Hyperlink"/>
          <w:b w:val="0"/>
          <w:u w:val="none"/>
        </w:rPr>
      </w:pPr>
      <w:r w:rsidRPr="008D08FA">
        <w:fldChar w:fldCharType="end"/>
      </w:r>
      <w:r w:rsidR="0016242A" w:rsidRPr="008D08FA">
        <w:rPr>
          <w:rStyle w:val="Hyperlink"/>
          <w:u w:val="none"/>
        </w:rPr>
        <w:t>APPENDICES</w:t>
      </w:r>
    </w:p>
    <w:p w:rsidR="0016242A" w:rsidRPr="00587193" w:rsidRDefault="00E1283B" w:rsidP="0016242A">
      <w:pPr>
        <w:pStyle w:val="TOC3"/>
        <w:rPr>
          <w:rFonts w:asciiTheme="minorHAnsi" w:eastAsiaTheme="minorEastAsia" w:hAnsiTheme="minorHAnsi" w:cstheme="minorBidi"/>
          <w:sz w:val="22"/>
          <w:lang w:eastAsia="en-US"/>
        </w:rPr>
      </w:pPr>
      <w:hyperlink r:id="rId9" w:history="1">
        <w:r w:rsidR="0016242A" w:rsidRPr="00232329">
          <w:rPr>
            <w:rStyle w:val="Hyperlink"/>
            <w:u w:val="none"/>
          </w:rPr>
          <w:t xml:space="preserve">Appendix A – </w:t>
        </w:r>
        <w:r w:rsidR="0016242A" w:rsidRPr="00232329">
          <w:rPr>
            <w:rStyle w:val="Hyperlink"/>
            <w:u w:val="none"/>
          </w:rPr>
          <w:tab/>
          <w:t xml:space="preserve">Report of the Activities of the International Organization of Legal Metrology (OIML) </w:t>
        </w:r>
        <w:r w:rsidR="0016242A" w:rsidRPr="00232329">
          <w:rPr>
            <w:rStyle w:val="Hyperlink"/>
          </w:rPr>
          <w:br/>
        </w:r>
        <w:r w:rsidR="0016242A" w:rsidRPr="00232329">
          <w:rPr>
            <w:rStyle w:val="Hyperlink"/>
            <w:u w:val="none"/>
          </w:rPr>
          <w:t>and Regional Legal Metrology Organizations</w:t>
        </w:r>
        <w:r w:rsidR="0016242A" w:rsidRPr="00232329">
          <w:rPr>
            <w:rStyle w:val="Hyperlink"/>
            <w:webHidden/>
            <w:u w:val="none"/>
          </w:rPr>
          <w:tab/>
          <w:t>A</w:t>
        </w:r>
        <w:r w:rsidR="00587193" w:rsidRPr="00232329">
          <w:rPr>
            <w:rStyle w:val="Hyperlink"/>
            <w:webHidden/>
            <w:u w:val="none"/>
          </w:rPr>
          <w:t>1</w:t>
        </w:r>
      </w:hyperlink>
    </w:p>
    <w:p w:rsidR="0016242A" w:rsidRPr="001B44EE" w:rsidRDefault="00E1283B" w:rsidP="00B27000">
      <w:pPr>
        <w:pStyle w:val="TOC4"/>
        <w:rPr>
          <w:rFonts w:asciiTheme="minorHAnsi" w:eastAsiaTheme="minorEastAsia" w:hAnsiTheme="minorHAnsi"/>
          <w:noProof/>
          <w:sz w:val="22"/>
        </w:rPr>
      </w:pPr>
      <w:hyperlink r:id="rId10" w:anchor="I" w:history="1">
        <w:r w:rsidR="0016242A" w:rsidRPr="002C0518">
          <w:rPr>
            <w:rStyle w:val="Hyperlink"/>
            <w:u w:val="none"/>
          </w:rPr>
          <w:t>I.</w:t>
        </w:r>
        <w:r w:rsidR="0016242A" w:rsidRPr="002C0518">
          <w:rPr>
            <w:rStyle w:val="Hyperlink"/>
            <w:rFonts w:asciiTheme="minorHAnsi" w:eastAsiaTheme="minorEastAsia" w:hAnsiTheme="minorHAnsi"/>
            <w:sz w:val="22"/>
            <w:u w:val="none"/>
          </w:rPr>
          <w:tab/>
        </w:r>
        <w:r w:rsidR="0016242A" w:rsidRPr="002C0518">
          <w:rPr>
            <w:rStyle w:val="Hyperlink"/>
            <w:u w:val="none"/>
          </w:rPr>
          <w:t>Report on the Activities of the OIML Technical Committees</w:t>
        </w:r>
        <w:r w:rsidR="0016242A" w:rsidRPr="002C0518">
          <w:rPr>
            <w:rStyle w:val="Hyperlink"/>
            <w:webHidden/>
            <w:u w:val="none"/>
          </w:rPr>
          <w:tab/>
          <w:t>A</w:t>
        </w:r>
        <w:r w:rsidR="007F6A99" w:rsidRPr="002C0518">
          <w:rPr>
            <w:rStyle w:val="Hyperlink"/>
            <w:webHidden/>
            <w:u w:val="none"/>
          </w:rPr>
          <w:t>3</w:t>
        </w:r>
      </w:hyperlink>
    </w:p>
    <w:p w:rsidR="0016242A" w:rsidRPr="001B44EE" w:rsidRDefault="00E1283B" w:rsidP="00B27000">
      <w:pPr>
        <w:pStyle w:val="TOC4"/>
        <w:rPr>
          <w:rFonts w:asciiTheme="minorHAnsi" w:eastAsiaTheme="minorEastAsia" w:hAnsiTheme="minorHAnsi"/>
          <w:noProof/>
          <w:sz w:val="22"/>
        </w:rPr>
      </w:pPr>
      <w:hyperlink r:id="rId11" w:anchor="II" w:history="1">
        <w:r w:rsidR="0016242A" w:rsidRPr="002C0518">
          <w:rPr>
            <w:rStyle w:val="Hyperlink"/>
            <w:u w:val="none"/>
          </w:rPr>
          <w:t>II.</w:t>
        </w:r>
        <w:r w:rsidR="0016242A" w:rsidRPr="002C0518">
          <w:rPr>
            <w:rStyle w:val="Hyperlink"/>
            <w:rFonts w:asciiTheme="minorHAnsi" w:eastAsiaTheme="minorEastAsia" w:hAnsiTheme="minorHAnsi"/>
            <w:sz w:val="22"/>
            <w:u w:val="none"/>
          </w:rPr>
          <w:tab/>
        </w:r>
        <w:r w:rsidR="0016242A" w:rsidRPr="002C0518">
          <w:rPr>
            <w:rStyle w:val="Hyperlink"/>
            <w:u w:val="none"/>
          </w:rPr>
          <w:t>Report on the 46th CIML Meeting in Prague, Czech Republic, in October 2011</w:t>
        </w:r>
        <w:r w:rsidR="0016242A" w:rsidRPr="002C0518">
          <w:rPr>
            <w:rStyle w:val="Hyperlink"/>
            <w:webHidden/>
            <w:u w:val="none"/>
          </w:rPr>
          <w:tab/>
          <w:t>A</w:t>
        </w:r>
        <w:r w:rsidR="00587193" w:rsidRPr="002C0518">
          <w:rPr>
            <w:rStyle w:val="Hyperlink"/>
            <w:webHidden/>
            <w:u w:val="none"/>
          </w:rPr>
          <w:t>6</w:t>
        </w:r>
      </w:hyperlink>
    </w:p>
    <w:p w:rsidR="0016242A" w:rsidRPr="001B44EE" w:rsidRDefault="00E1283B" w:rsidP="00B27000">
      <w:pPr>
        <w:pStyle w:val="TOC4"/>
        <w:rPr>
          <w:rFonts w:asciiTheme="minorHAnsi" w:eastAsiaTheme="minorEastAsia" w:hAnsiTheme="minorHAnsi"/>
          <w:noProof/>
          <w:sz w:val="22"/>
        </w:rPr>
      </w:pPr>
      <w:hyperlink r:id="rId12" w:anchor="III" w:history="1">
        <w:r w:rsidR="0016242A" w:rsidRPr="002C0518">
          <w:rPr>
            <w:rStyle w:val="Hyperlink"/>
            <w:u w:val="none"/>
          </w:rPr>
          <w:t>III.</w:t>
        </w:r>
        <w:r w:rsidR="0016242A" w:rsidRPr="002C0518">
          <w:rPr>
            <w:rStyle w:val="Hyperlink"/>
            <w:rFonts w:asciiTheme="minorHAnsi" w:eastAsiaTheme="minorEastAsia" w:hAnsiTheme="minorHAnsi"/>
            <w:sz w:val="22"/>
            <w:u w:val="none"/>
          </w:rPr>
          <w:tab/>
        </w:r>
        <w:r w:rsidR="0016242A" w:rsidRPr="002C0518">
          <w:rPr>
            <w:rStyle w:val="Hyperlink"/>
            <w:u w:val="none"/>
          </w:rPr>
          <w:t>Future OIML Meetings</w:t>
        </w:r>
        <w:r w:rsidR="0016242A" w:rsidRPr="002C0518">
          <w:rPr>
            <w:rStyle w:val="Hyperlink"/>
            <w:webHidden/>
            <w:u w:val="none"/>
          </w:rPr>
          <w:tab/>
          <w:t>A</w:t>
        </w:r>
        <w:r w:rsidR="007F6A99" w:rsidRPr="002C0518">
          <w:rPr>
            <w:rStyle w:val="Hyperlink"/>
            <w:webHidden/>
            <w:u w:val="none"/>
          </w:rPr>
          <w:t>9</w:t>
        </w:r>
      </w:hyperlink>
    </w:p>
    <w:p w:rsidR="0016242A" w:rsidRPr="001B44EE" w:rsidRDefault="00E1283B" w:rsidP="00B27000">
      <w:pPr>
        <w:pStyle w:val="TOC4"/>
        <w:rPr>
          <w:rFonts w:asciiTheme="minorHAnsi" w:eastAsiaTheme="minorEastAsia" w:hAnsiTheme="minorHAnsi"/>
          <w:noProof/>
          <w:sz w:val="22"/>
        </w:rPr>
      </w:pPr>
      <w:hyperlink r:id="rId13" w:anchor="IV" w:history="1">
        <w:r w:rsidR="0016242A" w:rsidRPr="002C0518">
          <w:rPr>
            <w:rStyle w:val="Hyperlink"/>
            <w:u w:val="none"/>
          </w:rPr>
          <w:t>IV.</w:t>
        </w:r>
        <w:r w:rsidR="0016242A" w:rsidRPr="002C0518">
          <w:rPr>
            <w:rStyle w:val="Hyperlink"/>
            <w:rFonts w:asciiTheme="minorHAnsi" w:eastAsiaTheme="minorEastAsia" w:hAnsiTheme="minorHAnsi"/>
            <w:sz w:val="22"/>
            <w:u w:val="none"/>
          </w:rPr>
          <w:tab/>
        </w:r>
        <w:r w:rsidR="0016242A" w:rsidRPr="002C0518">
          <w:rPr>
            <w:rStyle w:val="Hyperlink"/>
            <w:u w:val="none"/>
          </w:rPr>
          <w:t>Regional Legal Metrology Organizations</w:t>
        </w:r>
        <w:r w:rsidR="0016242A" w:rsidRPr="002C0518">
          <w:rPr>
            <w:rStyle w:val="Hyperlink"/>
            <w:webHidden/>
            <w:u w:val="none"/>
          </w:rPr>
          <w:tab/>
          <w:t>A</w:t>
        </w:r>
        <w:r w:rsidR="007F6A99" w:rsidRPr="002C0518">
          <w:rPr>
            <w:rStyle w:val="Hyperlink"/>
            <w:webHidden/>
            <w:u w:val="none"/>
          </w:rPr>
          <w:t>9</w:t>
        </w:r>
      </w:hyperlink>
    </w:p>
    <w:p w:rsidR="0016242A" w:rsidRPr="00B27000" w:rsidRDefault="00B27000" w:rsidP="0016242A">
      <w:pPr>
        <w:pStyle w:val="TOC3"/>
        <w:rPr>
          <w:rStyle w:val="Hyperlink"/>
          <w:rFonts w:asciiTheme="minorHAnsi" w:eastAsiaTheme="minorEastAsia" w:hAnsiTheme="minorHAnsi" w:cstheme="minorBidi"/>
          <w:sz w:val="22"/>
          <w:lang w:eastAsia="en-US"/>
        </w:rPr>
      </w:pPr>
      <w:r>
        <w:fldChar w:fldCharType="begin"/>
      </w:r>
      <w:r>
        <w:instrText xml:space="preserve"> HYPERLINK "06-bod-appdx-b-12-annual-final.docx" </w:instrText>
      </w:r>
      <w:r>
        <w:fldChar w:fldCharType="separate"/>
      </w:r>
      <w:r w:rsidR="0016242A" w:rsidRPr="00B27000">
        <w:rPr>
          <w:rStyle w:val="Hyperlink"/>
          <w:u w:val="none"/>
        </w:rPr>
        <w:t>Appendix B</w:t>
      </w:r>
      <w:r w:rsidR="0016242A" w:rsidRPr="00B27000">
        <w:rPr>
          <w:rStyle w:val="Hyperlink"/>
          <w:rFonts w:asciiTheme="minorHAnsi" w:eastAsiaTheme="minorEastAsia" w:hAnsiTheme="minorHAnsi" w:cstheme="minorBidi"/>
          <w:sz w:val="22"/>
          <w:u w:val="none"/>
          <w:lang w:eastAsia="en-US"/>
        </w:rPr>
        <w:t xml:space="preserve"> </w:t>
      </w:r>
      <w:r w:rsidR="0016242A" w:rsidRPr="00B27000">
        <w:rPr>
          <w:rStyle w:val="Hyperlink"/>
          <w:u w:val="none"/>
        </w:rPr>
        <w:t xml:space="preserve">– </w:t>
      </w:r>
      <w:r w:rsidR="0016242A" w:rsidRPr="00B27000">
        <w:rPr>
          <w:rStyle w:val="Hyperlink"/>
          <w:u w:val="none"/>
        </w:rPr>
        <w:tab/>
        <w:t>Associate Membership Committee (AMC) Agenda and Draft Meeting Minutes</w:t>
      </w:r>
      <w:r w:rsidR="0016242A" w:rsidRPr="00B27000">
        <w:rPr>
          <w:rStyle w:val="Hyperlink"/>
          <w:webHidden/>
          <w:u w:val="none"/>
        </w:rPr>
        <w:tab/>
        <w:t>B</w:t>
      </w:r>
      <w:r w:rsidR="00587193" w:rsidRPr="00B27000">
        <w:rPr>
          <w:rStyle w:val="Hyperlink"/>
          <w:webHidden/>
          <w:u w:val="none"/>
        </w:rPr>
        <w:t>1</w:t>
      </w:r>
    </w:p>
    <w:p w:rsidR="0016242A" w:rsidRPr="00B27000" w:rsidRDefault="00B27000" w:rsidP="00B27000">
      <w:pPr>
        <w:pStyle w:val="TOC4"/>
        <w:rPr>
          <w:rFonts w:asciiTheme="minorHAnsi" w:eastAsiaTheme="minorEastAsia" w:hAnsiTheme="minorHAnsi"/>
          <w:noProof/>
          <w:sz w:val="22"/>
        </w:rPr>
      </w:pPr>
      <w:r>
        <w:rPr>
          <w:rFonts w:eastAsia="Arial Unicode MS" w:cs="Arial Unicode MS"/>
          <w:noProof/>
          <w:lang w:eastAsia="ja-JP"/>
        </w:rPr>
        <w:fldChar w:fldCharType="end"/>
      </w:r>
      <w:hyperlink r:id="rId14" w:anchor="Agenda" w:history="1">
        <w:r w:rsidR="0016242A" w:rsidRPr="00B27000">
          <w:rPr>
            <w:rStyle w:val="Hyperlink"/>
            <w:u w:val="none"/>
          </w:rPr>
          <w:t>Agenda</w:t>
        </w:r>
        <w:r w:rsidR="0016242A" w:rsidRPr="00B27000">
          <w:rPr>
            <w:rStyle w:val="Hyperlink"/>
            <w:webHidden/>
            <w:u w:val="none"/>
          </w:rPr>
          <w:tab/>
          <w:t>B</w:t>
        </w:r>
        <w:r w:rsidR="00587193" w:rsidRPr="00B27000">
          <w:rPr>
            <w:rStyle w:val="Hyperlink"/>
            <w:webHidden/>
            <w:u w:val="none"/>
          </w:rPr>
          <w:t>1</w:t>
        </w:r>
      </w:hyperlink>
    </w:p>
    <w:p w:rsidR="0016242A" w:rsidRPr="001B44EE" w:rsidRDefault="00E1283B" w:rsidP="00B27000">
      <w:pPr>
        <w:pStyle w:val="TOC4"/>
        <w:rPr>
          <w:rFonts w:asciiTheme="minorHAnsi" w:eastAsiaTheme="minorEastAsia" w:hAnsiTheme="minorHAnsi"/>
          <w:noProof/>
          <w:sz w:val="22"/>
        </w:rPr>
      </w:pPr>
      <w:hyperlink r:id="rId15" w:anchor="AMCDraftMtgMinutes" w:history="1">
        <w:r w:rsidR="0016242A" w:rsidRPr="00B27000">
          <w:rPr>
            <w:rStyle w:val="Hyperlink"/>
            <w:u w:val="none"/>
          </w:rPr>
          <w:t>AMC Draft Meeting Minutes</w:t>
        </w:r>
        <w:r w:rsidR="0016242A" w:rsidRPr="00B27000">
          <w:rPr>
            <w:rStyle w:val="Hyperlink"/>
            <w:webHidden/>
            <w:u w:val="none"/>
          </w:rPr>
          <w:tab/>
          <w:t>B</w:t>
        </w:r>
        <w:r w:rsidR="00587193" w:rsidRPr="00B27000">
          <w:rPr>
            <w:rStyle w:val="Hyperlink"/>
            <w:webHidden/>
            <w:u w:val="none"/>
          </w:rPr>
          <w:t>2</w:t>
        </w:r>
      </w:hyperlink>
    </w:p>
    <w:p w:rsidR="0016242A" w:rsidRPr="0016242A" w:rsidRDefault="0016242A" w:rsidP="0016242A">
      <w:pPr>
        <w:rPr>
          <w:lang w:eastAsia="ja-JP"/>
        </w:rPr>
      </w:pPr>
    </w:p>
    <w:p w:rsidR="00125727" w:rsidRDefault="008B4F1D" w:rsidP="00ED6E2E">
      <w:pPr>
        <w:pStyle w:val="TOC1"/>
      </w:pPr>
      <w:r>
        <w:br w:type="page"/>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125727" w:rsidRPr="00F3504E" w:rsidTr="005D4239">
        <w:tc>
          <w:tcPr>
            <w:tcW w:w="9360" w:type="dxa"/>
            <w:tcBorders>
              <w:top w:val="single" w:sz="12" w:space="0" w:color="auto"/>
              <w:bottom w:val="single" w:sz="12" w:space="0" w:color="auto"/>
            </w:tcBorders>
          </w:tcPr>
          <w:p w:rsidR="00125727" w:rsidRPr="00F3504E" w:rsidRDefault="00125727" w:rsidP="00C7067C">
            <w:pPr>
              <w:pStyle w:val="TableHeading"/>
            </w:pPr>
            <w:r w:rsidRPr="00F3504E">
              <w:lastRenderedPageBreak/>
              <w:br w:type="page"/>
            </w:r>
            <w:r w:rsidRPr="00F3504E">
              <w:rPr>
                <w:noProof/>
              </w:rPr>
              <w:br w:type="page"/>
            </w:r>
            <w:r w:rsidRPr="00F3504E">
              <w:t>Table B</w:t>
            </w:r>
            <w:r w:rsidRPr="00F3504E">
              <w:br/>
              <w:t>Glossary of Acronyms and Terms</w:t>
            </w:r>
          </w:p>
        </w:tc>
      </w:tr>
    </w:tbl>
    <w:p w:rsidR="00125727" w:rsidRPr="00F3504E" w:rsidRDefault="00125727" w:rsidP="00125727">
      <w:pPr>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70"/>
        <w:gridCol w:w="3510"/>
        <w:gridCol w:w="1166"/>
        <w:gridCol w:w="3514"/>
      </w:tblGrid>
      <w:tr w:rsidR="00125727" w:rsidRPr="00EF7F83" w:rsidTr="00876685">
        <w:tc>
          <w:tcPr>
            <w:tcW w:w="1170" w:type="dxa"/>
            <w:tcBorders>
              <w:top w:val="double" w:sz="4" w:space="0" w:color="auto"/>
              <w:bottom w:val="double" w:sz="4" w:space="0" w:color="auto"/>
            </w:tcBorders>
          </w:tcPr>
          <w:p w:rsidR="00125727" w:rsidRPr="00EF7F83" w:rsidRDefault="00125727" w:rsidP="005D4239">
            <w:pPr>
              <w:pStyle w:val="TableColumnHeadings"/>
            </w:pPr>
            <w:r w:rsidRPr="00EF7F83">
              <w:t>Acronym</w:t>
            </w:r>
          </w:p>
        </w:tc>
        <w:tc>
          <w:tcPr>
            <w:tcW w:w="3510" w:type="dxa"/>
            <w:tcBorders>
              <w:top w:val="double" w:sz="4" w:space="0" w:color="auto"/>
              <w:bottom w:val="double" w:sz="4" w:space="0" w:color="auto"/>
            </w:tcBorders>
          </w:tcPr>
          <w:p w:rsidR="00125727" w:rsidRPr="00EF7F83" w:rsidRDefault="00125727" w:rsidP="00C7067C">
            <w:pPr>
              <w:pStyle w:val="TableColumnHeadings"/>
            </w:pPr>
            <w:r w:rsidRPr="00EF7F83">
              <w:t>Term</w:t>
            </w:r>
          </w:p>
        </w:tc>
        <w:tc>
          <w:tcPr>
            <w:tcW w:w="1166" w:type="dxa"/>
            <w:tcBorders>
              <w:top w:val="double" w:sz="4" w:space="0" w:color="auto"/>
              <w:bottom w:val="double" w:sz="4" w:space="0" w:color="auto"/>
            </w:tcBorders>
          </w:tcPr>
          <w:p w:rsidR="00125727" w:rsidRPr="00EF7F83" w:rsidRDefault="00125727" w:rsidP="00876685">
            <w:pPr>
              <w:pStyle w:val="TableColumnHeadings"/>
            </w:pPr>
            <w:r w:rsidRPr="00EF7F83">
              <w:t>Acronym</w:t>
            </w:r>
          </w:p>
        </w:tc>
        <w:tc>
          <w:tcPr>
            <w:tcW w:w="3514" w:type="dxa"/>
            <w:tcBorders>
              <w:top w:val="double" w:sz="4" w:space="0" w:color="auto"/>
              <w:bottom w:val="double" w:sz="4" w:space="0" w:color="auto"/>
            </w:tcBorders>
          </w:tcPr>
          <w:p w:rsidR="00125727" w:rsidRPr="00EF7F83" w:rsidRDefault="00125727" w:rsidP="005D4239">
            <w:pPr>
              <w:pStyle w:val="TableColumnHeadings"/>
            </w:pPr>
            <w:r w:rsidRPr="00EF7F83">
              <w:t>Term</w:t>
            </w:r>
          </w:p>
        </w:tc>
      </w:tr>
      <w:tr w:rsidR="00B63F8E" w:rsidRPr="00EF7F83" w:rsidTr="00876685">
        <w:tc>
          <w:tcPr>
            <w:tcW w:w="1170" w:type="dxa"/>
            <w:tcBorders>
              <w:top w:val="double" w:sz="4" w:space="0" w:color="auto"/>
            </w:tcBorders>
            <w:vAlign w:val="center"/>
          </w:tcPr>
          <w:p w:rsidR="00B63F8E" w:rsidRPr="00E0381B" w:rsidRDefault="00B63F8E" w:rsidP="007D5F0A">
            <w:pPr>
              <w:pStyle w:val="TableText"/>
            </w:pPr>
            <w:r w:rsidRPr="00E0381B">
              <w:t>CTT</w:t>
            </w:r>
          </w:p>
        </w:tc>
        <w:tc>
          <w:tcPr>
            <w:tcW w:w="3510" w:type="dxa"/>
            <w:tcBorders>
              <w:top w:val="double" w:sz="4" w:space="0" w:color="auto"/>
            </w:tcBorders>
            <w:vAlign w:val="center"/>
          </w:tcPr>
          <w:p w:rsidR="00B63F8E" w:rsidRPr="00E0381B" w:rsidRDefault="00B63F8E" w:rsidP="007D5F0A">
            <w:pPr>
              <w:pStyle w:val="TableText"/>
            </w:pPr>
            <w:r w:rsidRPr="00E0381B">
              <w:t>Conformity to Type</w:t>
            </w:r>
          </w:p>
        </w:tc>
        <w:tc>
          <w:tcPr>
            <w:tcW w:w="1166" w:type="dxa"/>
            <w:tcBorders>
              <w:top w:val="double" w:sz="4" w:space="0" w:color="auto"/>
            </w:tcBorders>
            <w:vAlign w:val="center"/>
          </w:tcPr>
          <w:p w:rsidR="00B63F8E" w:rsidRPr="00E0381B" w:rsidRDefault="00B63F8E" w:rsidP="00E0381B">
            <w:pPr>
              <w:pStyle w:val="TableText"/>
            </w:pPr>
            <w:r w:rsidRPr="00E0381B">
              <w:t>OIML</w:t>
            </w:r>
          </w:p>
        </w:tc>
        <w:tc>
          <w:tcPr>
            <w:tcW w:w="3514" w:type="dxa"/>
            <w:tcBorders>
              <w:top w:val="double" w:sz="4" w:space="0" w:color="auto"/>
            </w:tcBorders>
            <w:vAlign w:val="center"/>
          </w:tcPr>
          <w:p w:rsidR="00B63F8E" w:rsidRPr="00E0381B" w:rsidRDefault="00B63F8E" w:rsidP="00E0381B">
            <w:pPr>
              <w:pStyle w:val="TableText"/>
            </w:pPr>
            <w:r w:rsidRPr="00E0381B">
              <w:t>International Organization of Legal Metrology</w:t>
            </w:r>
          </w:p>
        </w:tc>
      </w:tr>
      <w:tr w:rsidR="00B63F8E" w:rsidRPr="00EF7F83" w:rsidTr="00876685">
        <w:tc>
          <w:tcPr>
            <w:tcW w:w="1170" w:type="dxa"/>
            <w:vAlign w:val="center"/>
          </w:tcPr>
          <w:p w:rsidR="00B63F8E" w:rsidRPr="00E0381B" w:rsidRDefault="00B63F8E" w:rsidP="007D5F0A">
            <w:pPr>
              <w:pStyle w:val="TableText"/>
            </w:pPr>
            <w:r w:rsidRPr="00E0381B">
              <w:t>CWMA</w:t>
            </w:r>
          </w:p>
        </w:tc>
        <w:tc>
          <w:tcPr>
            <w:tcW w:w="3510" w:type="dxa"/>
            <w:vAlign w:val="center"/>
          </w:tcPr>
          <w:p w:rsidR="00B63F8E" w:rsidRPr="00E0381B" w:rsidRDefault="00B63F8E" w:rsidP="007D5F0A">
            <w:pPr>
              <w:pStyle w:val="TableText"/>
            </w:pPr>
            <w:r w:rsidRPr="00E0381B">
              <w:t>Central Weights and Measures Association</w:t>
            </w:r>
          </w:p>
        </w:tc>
        <w:tc>
          <w:tcPr>
            <w:tcW w:w="1166" w:type="dxa"/>
            <w:vAlign w:val="center"/>
          </w:tcPr>
          <w:p w:rsidR="00B63F8E" w:rsidRPr="00E0381B" w:rsidRDefault="00B63F8E" w:rsidP="00E0381B">
            <w:pPr>
              <w:pStyle w:val="TableText"/>
            </w:pPr>
            <w:r w:rsidRPr="00E0381B">
              <w:t>OWM</w:t>
            </w:r>
          </w:p>
        </w:tc>
        <w:tc>
          <w:tcPr>
            <w:tcW w:w="3514" w:type="dxa"/>
            <w:vAlign w:val="center"/>
          </w:tcPr>
          <w:p w:rsidR="00B63F8E" w:rsidRPr="00E0381B" w:rsidRDefault="00B63F8E" w:rsidP="00E0381B">
            <w:pPr>
              <w:pStyle w:val="TableText"/>
            </w:pPr>
            <w:r w:rsidRPr="00E0381B">
              <w:t>Office of Weights and Measures</w:t>
            </w:r>
          </w:p>
        </w:tc>
      </w:tr>
      <w:tr w:rsidR="00B63F8E" w:rsidRPr="00EF7F83" w:rsidTr="00876685">
        <w:tc>
          <w:tcPr>
            <w:tcW w:w="1170" w:type="dxa"/>
            <w:vAlign w:val="center"/>
          </w:tcPr>
          <w:p w:rsidR="00B63F8E" w:rsidRPr="00E0381B" w:rsidRDefault="00B63F8E" w:rsidP="007D5F0A">
            <w:pPr>
              <w:pStyle w:val="TableText"/>
            </w:pPr>
            <w:r w:rsidRPr="00E0381B">
              <w:t>L&amp;R</w:t>
            </w:r>
          </w:p>
        </w:tc>
        <w:tc>
          <w:tcPr>
            <w:tcW w:w="3510" w:type="dxa"/>
            <w:vAlign w:val="center"/>
          </w:tcPr>
          <w:p w:rsidR="00B63F8E" w:rsidRPr="00E0381B" w:rsidRDefault="00B63F8E" w:rsidP="007D5F0A">
            <w:pPr>
              <w:pStyle w:val="TableText"/>
            </w:pPr>
            <w:r w:rsidRPr="00E0381B">
              <w:t>Laws and Regulations Committee</w:t>
            </w:r>
          </w:p>
        </w:tc>
        <w:tc>
          <w:tcPr>
            <w:tcW w:w="1166" w:type="dxa"/>
            <w:vAlign w:val="center"/>
          </w:tcPr>
          <w:p w:rsidR="00B63F8E" w:rsidRPr="00E0381B" w:rsidRDefault="00B63F8E" w:rsidP="00E0381B">
            <w:pPr>
              <w:pStyle w:val="TableText"/>
            </w:pPr>
            <w:r w:rsidRPr="00E0381B">
              <w:t>PDC</w:t>
            </w:r>
          </w:p>
        </w:tc>
        <w:tc>
          <w:tcPr>
            <w:tcW w:w="3514" w:type="dxa"/>
            <w:vAlign w:val="center"/>
          </w:tcPr>
          <w:p w:rsidR="00B63F8E" w:rsidRPr="00E0381B" w:rsidRDefault="00B63F8E" w:rsidP="00E0381B">
            <w:pPr>
              <w:pStyle w:val="TableText"/>
            </w:pPr>
            <w:r w:rsidRPr="00E0381B">
              <w:t>Professional Development Committee</w:t>
            </w:r>
          </w:p>
        </w:tc>
      </w:tr>
      <w:tr w:rsidR="00B63F8E" w:rsidRPr="00EF7F83" w:rsidTr="00876685">
        <w:tc>
          <w:tcPr>
            <w:tcW w:w="1170" w:type="dxa"/>
            <w:vAlign w:val="center"/>
          </w:tcPr>
          <w:p w:rsidR="00B63F8E" w:rsidRPr="00E0381B" w:rsidRDefault="00B63F8E" w:rsidP="007D5F0A">
            <w:pPr>
              <w:pStyle w:val="TableText"/>
            </w:pPr>
            <w:r w:rsidRPr="00E0381B">
              <w:t>NCWM</w:t>
            </w:r>
          </w:p>
        </w:tc>
        <w:tc>
          <w:tcPr>
            <w:tcW w:w="3510" w:type="dxa"/>
            <w:vAlign w:val="center"/>
          </w:tcPr>
          <w:p w:rsidR="00B63F8E" w:rsidRPr="00E0381B" w:rsidRDefault="00B63F8E" w:rsidP="007D5F0A">
            <w:pPr>
              <w:pStyle w:val="TableText"/>
            </w:pPr>
            <w:r w:rsidRPr="00E0381B">
              <w:t>National Conference on Weights and Measures</w:t>
            </w:r>
          </w:p>
        </w:tc>
        <w:tc>
          <w:tcPr>
            <w:tcW w:w="1166" w:type="dxa"/>
            <w:vAlign w:val="center"/>
          </w:tcPr>
          <w:p w:rsidR="00B63F8E" w:rsidRPr="00E0381B" w:rsidRDefault="00B63F8E" w:rsidP="007D5F0A">
            <w:pPr>
              <w:pStyle w:val="TableText"/>
            </w:pPr>
            <w:r w:rsidRPr="00E0381B">
              <w:t>VCAP</w:t>
            </w:r>
          </w:p>
        </w:tc>
        <w:tc>
          <w:tcPr>
            <w:tcW w:w="3514" w:type="dxa"/>
            <w:vAlign w:val="center"/>
          </w:tcPr>
          <w:p w:rsidR="00B63F8E" w:rsidRPr="00E0381B" w:rsidRDefault="00B63F8E" w:rsidP="007D5F0A">
            <w:pPr>
              <w:pStyle w:val="TableText"/>
            </w:pPr>
            <w:r w:rsidRPr="00E0381B">
              <w:t>Verified Conformity Assessment Program</w:t>
            </w:r>
          </w:p>
        </w:tc>
      </w:tr>
      <w:tr w:rsidR="00B63F8E" w:rsidRPr="00EF7F83" w:rsidTr="00876685">
        <w:tc>
          <w:tcPr>
            <w:tcW w:w="1170" w:type="dxa"/>
            <w:vAlign w:val="center"/>
          </w:tcPr>
          <w:p w:rsidR="00B63F8E" w:rsidRPr="00E0381B" w:rsidRDefault="00B63F8E" w:rsidP="007D5F0A">
            <w:pPr>
              <w:pStyle w:val="TableText"/>
            </w:pPr>
            <w:r w:rsidRPr="00E0381B">
              <w:t>NIST</w:t>
            </w:r>
          </w:p>
        </w:tc>
        <w:tc>
          <w:tcPr>
            <w:tcW w:w="3510" w:type="dxa"/>
            <w:vAlign w:val="center"/>
          </w:tcPr>
          <w:p w:rsidR="00B63F8E" w:rsidRPr="00E0381B" w:rsidRDefault="00B63F8E" w:rsidP="007D5F0A">
            <w:pPr>
              <w:pStyle w:val="TableText"/>
            </w:pPr>
            <w:r w:rsidRPr="00E0381B">
              <w:t>National Institute of Standards and Technology</w:t>
            </w:r>
          </w:p>
        </w:tc>
        <w:tc>
          <w:tcPr>
            <w:tcW w:w="1166" w:type="dxa"/>
            <w:vAlign w:val="center"/>
          </w:tcPr>
          <w:p w:rsidR="00B63F8E" w:rsidRPr="00E0381B" w:rsidRDefault="00B63F8E" w:rsidP="007D5F0A">
            <w:pPr>
              <w:pStyle w:val="TableText"/>
            </w:pPr>
            <w:r w:rsidRPr="00E0381B">
              <w:t>WWMA</w:t>
            </w:r>
          </w:p>
        </w:tc>
        <w:tc>
          <w:tcPr>
            <w:tcW w:w="3514" w:type="dxa"/>
            <w:vAlign w:val="center"/>
          </w:tcPr>
          <w:p w:rsidR="00B63F8E" w:rsidRPr="00E0381B" w:rsidRDefault="00B63F8E" w:rsidP="007D5F0A">
            <w:pPr>
              <w:pStyle w:val="TableText"/>
            </w:pPr>
            <w:r w:rsidRPr="00E0381B">
              <w:t>Western Weights and Measures Association</w:t>
            </w:r>
          </w:p>
        </w:tc>
      </w:tr>
      <w:tr w:rsidR="00B63F8E" w:rsidRPr="00EF7F83" w:rsidTr="00876685">
        <w:tc>
          <w:tcPr>
            <w:tcW w:w="1170" w:type="dxa"/>
            <w:vAlign w:val="center"/>
          </w:tcPr>
          <w:p w:rsidR="00B63F8E" w:rsidRPr="00E0381B" w:rsidRDefault="00B63F8E" w:rsidP="007D5F0A">
            <w:pPr>
              <w:pStyle w:val="TableText"/>
            </w:pPr>
            <w:r w:rsidRPr="00E0381B">
              <w:t>NTEP</w:t>
            </w:r>
          </w:p>
        </w:tc>
        <w:tc>
          <w:tcPr>
            <w:tcW w:w="3510" w:type="dxa"/>
            <w:vAlign w:val="center"/>
          </w:tcPr>
          <w:p w:rsidR="00B63F8E" w:rsidRPr="00E0381B" w:rsidRDefault="00B63F8E" w:rsidP="007D5F0A">
            <w:pPr>
              <w:pStyle w:val="TableText"/>
            </w:pPr>
            <w:r w:rsidRPr="00E0381B">
              <w:t>National Type Evaluation Program</w:t>
            </w:r>
          </w:p>
        </w:tc>
        <w:tc>
          <w:tcPr>
            <w:tcW w:w="1166" w:type="dxa"/>
            <w:vAlign w:val="center"/>
          </w:tcPr>
          <w:p w:rsidR="00B63F8E" w:rsidRPr="00E0381B" w:rsidRDefault="00B63F8E" w:rsidP="00E0381B">
            <w:pPr>
              <w:pStyle w:val="TableText"/>
            </w:pPr>
          </w:p>
        </w:tc>
        <w:tc>
          <w:tcPr>
            <w:tcW w:w="3514" w:type="dxa"/>
            <w:vAlign w:val="center"/>
          </w:tcPr>
          <w:p w:rsidR="00B63F8E" w:rsidRPr="00E0381B" w:rsidRDefault="00B63F8E" w:rsidP="00E0381B">
            <w:pPr>
              <w:pStyle w:val="TableText"/>
            </w:pPr>
          </w:p>
        </w:tc>
      </w:tr>
    </w:tbl>
    <w:p w:rsidR="00DB0C30" w:rsidRDefault="00DB0C30"/>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576"/>
      </w:tblGrid>
      <w:tr w:rsidR="00C447E8" w:rsidTr="00C447E8">
        <w:tc>
          <w:tcPr>
            <w:tcW w:w="9576" w:type="dxa"/>
          </w:tcPr>
          <w:p w:rsidR="00C447E8" w:rsidRDefault="00C447E8" w:rsidP="00C447E8">
            <w:pPr>
              <w:pStyle w:val="TableHeading"/>
            </w:pPr>
            <w:r>
              <w:t>Table C</w:t>
            </w:r>
            <w:r>
              <w:br/>
            </w:r>
            <w:r w:rsidR="00817E6E">
              <w:t xml:space="preserve">Summary of </w:t>
            </w:r>
            <w:r w:rsidRPr="00C447E8">
              <w:t>Voting Results</w:t>
            </w:r>
          </w:p>
        </w:tc>
      </w:tr>
    </w:tbl>
    <w:p w:rsidR="00C447E8" w:rsidRDefault="00C447E8" w:rsidP="00C447E8"/>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1105"/>
        <w:gridCol w:w="1816"/>
        <w:gridCol w:w="1941"/>
        <w:gridCol w:w="1920"/>
        <w:gridCol w:w="1793"/>
        <w:gridCol w:w="1015"/>
      </w:tblGrid>
      <w:tr w:rsidR="0056509E" w:rsidRPr="002D071A" w:rsidTr="00794578">
        <w:tc>
          <w:tcPr>
            <w:tcW w:w="1105" w:type="dxa"/>
            <w:vMerge w:val="restart"/>
            <w:tcBorders>
              <w:top w:val="double" w:sz="4" w:space="0" w:color="auto"/>
            </w:tcBorders>
            <w:vAlign w:val="center"/>
          </w:tcPr>
          <w:p w:rsidR="0056509E" w:rsidRPr="002D071A" w:rsidRDefault="0056509E" w:rsidP="002D071A">
            <w:pPr>
              <w:pStyle w:val="TableHeading"/>
              <w:rPr>
                <w:i/>
                <w:sz w:val="20"/>
                <w:szCs w:val="20"/>
              </w:rPr>
            </w:pPr>
            <w:r w:rsidRPr="002D071A">
              <w:rPr>
                <w:i/>
                <w:sz w:val="20"/>
                <w:szCs w:val="20"/>
              </w:rPr>
              <w:t>Reference Key</w:t>
            </w:r>
          </w:p>
          <w:p w:rsidR="0056509E" w:rsidRPr="002D071A" w:rsidRDefault="0056509E" w:rsidP="002D071A">
            <w:pPr>
              <w:pStyle w:val="TableHeading"/>
              <w:rPr>
                <w:i/>
                <w:sz w:val="20"/>
                <w:szCs w:val="20"/>
              </w:rPr>
            </w:pPr>
            <w:r w:rsidRPr="002D071A">
              <w:rPr>
                <w:i/>
                <w:sz w:val="20"/>
                <w:szCs w:val="20"/>
              </w:rPr>
              <w:t>Number</w:t>
            </w:r>
          </w:p>
        </w:tc>
        <w:tc>
          <w:tcPr>
            <w:tcW w:w="3757" w:type="dxa"/>
            <w:gridSpan w:val="2"/>
            <w:tcBorders>
              <w:top w:val="double" w:sz="4" w:space="0" w:color="auto"/>
              <w:bottom w:val="single" w:sz="6" w:space="0" w:color="auto"/>
            </w:tcBorders>
            <w:vAlign w:val="center"/>
          </w:tcPr>
          <w:p w:rsidR="0056509E" w:rsidRPr="002D071A" w:rsidRDefault="0056509E" w:rsidP="002D071A">
            <w:pPr>
              <w:pStyle w:val="TableHeading"/>
              <w:rPr>
                <w:i/>
                <w:sz w:val="20"/>
                <w:szCs w:val="20"/>
              </w:rPr>
            </w:pPr>
            <w:r w:rsidRPr="002D071A">
              <w:rPr>
                <w:i/>
                <w:sz w:val="20"/>
                <w:szCs w:val="20"/>
              </w:rPr>
              <w:t>House of Senate Representatives</w:t>
            </w:r>
          </w:p>
        </w:tc>
        <w:tc>
          <w:tcPr>
            <w:tcW w:w="3713" w:type="dxa"/>
            <w:gridSpan w:val="2"/>
            <w:tcBorders>
              <w:top w:val="double" w:sz="4" w:space="0" w:color="auto"/>
              <w:bottom w:val="single" w:sz="6" w:space="0" w:color="auto"/>
            </w:tcBorders>
            <w:vAlign w:val="center"/>
          </w:tcPr>
          <w:p w:rsidR="0056509E" w:rsidRPr="002D071A" w:rsidRDefault="0056509E" w:rsidP="002D071A">
            <w:pPr>
              <w:pStyle w:val="TableHeading"/>
              <w:rPr>
                <w:i/>
                <w:sz w:val="20"/>
                <w:szCs w:val="20"/>
              </w:rPr>
            </w:pPr>
            <w:r w:rsidRPr="002D071A">
              <w:rPr>
                <w:i/>
                <w:sz w:val="20"/>
                <w:szCs w:val="20"/>
              </w:rPr>
              <w:t>House of Delegates</w:t>
            </w:r>
          </w:p>
        </w:tc>
        <w:tc>
          <w:tcPr>
            <w:tcW w:w="1015" w:type="dxa"/>
            <w:vMerge w:val="restart"/>
            <w:tcBorders>
              <w:top w:val="double" w:sz="4" w:space="0" w:color="auto"/>
            </w:tcBorders>
            <w:vAlign w:val="center"/>
          </w:tcPr>
          <w:p w:rsidR="0056509E" w:rsidRPr="002D071A" w:rsidRDefault="0056509E" w:rsidP="002D071A">
            <w:pPr>
              <w:pStyle w:val="TableHeading"/>
              <w:rPr>
                <w:i/>
                <w:sz w:val="20"/>
                <w:szCs w:val="20"/>
              </w:rPr>
            </w:pPr>
            <w:r w:rsidRPr="002D071A">
              <w:rPr>
                <w:i/>
                <w:sz w:val="20"/>
                <w:szCs w:val="20"/>
              </w:rPr>
              <w:t>Results</w:t>
            </w:r>
          </w:p>
        </w:tc>
      </w:tr>
      <w:tr w:rsidR="0056509E" w:rsidRPr="002D071A" w:rsidTr="00794578">
        <w:trPr>
          <w:cantSplit/>
          <w:trHeight w:val="590"/>
        </w:trPr>
        <w:tc>
          <w:tcPr>
            <w:tcW w:w="1105" w:type="dxa"/>
            <w:vMerge/>
            <w:vAlign w:val="center"/>
          </w:tcPr>
          <w:p w:rsidR="0056509E" w:rsidRPr="002D071A" w:rsidRDefault="0056509E" w:rsidP="002D071A">
            <w:pPr>
              <w:pStyle w:val="TableHeading"/>
              <w:rPr>
                <w:b w:val="0"/>
                <w:sz w:val="20"/>
                <w:szCs w:val="20"/>
              </w:rPr>
            </w:pPr>
          </w:p>
        </w:tc>
        <w:tc>
          <w:tcPr>
            <w:tcW w:w="1816" w:type="dxa"/>
            <w:tcBorders>
              <w:top w:val="single" w:sz="6" w:space="0" w:color="auto"/>
              <w:bottom w:val="double" w:sz="4" w:space="0" w:color="auto"/>
            </w:tcBorders>
            <w:vAlign w:val="center"/>
          </w:tcPr>
          <w:p w:rsidR="0056509E" w:rsidRPr="00794578" w:rsidRDefault="0056509E" w:rsidP="00794578">
            <w:pPr>
              <w:pStyle w:val="TableHeading"/>
              <w:ind w:left="-25"/>
              <w:rPr>
                <w:i/>
                <w:sz w:val="20"/>
                <w:szCs w:val="20"/>
              </w:rPr>
            </w:pPr>
            <w:r w:rsidRPr="00794578">
              <w:rPr>
                <w:i/>
                <w:sz w:val="20"/>
                <w:szCs w:val="20"/>
              </w:rPr>
              <w:t>Yeas</w:t>
            </w:r>
          </w:p>
        </w:tc>
        <w:tc>
          <w:tcPr>
            <w:tcW w:w="1941" w:type="dxa"/>
            <w:tcBorders>
              <w:top w:val="single" w:sz="6" w:space="0" w:color="auto"/>
              <w:bottom w:val="double" w:sz="4" w:space="0" w:color="auto"/>
            </w:tcBorders>
            <w:vAlign w:val="center"/>
          </w:tcPr>
          <w:p w:rsidR="0056509E" w:rsidRPr="00794578" w:rsidRDefault="0056509E" w:rsidP="00794578">
            <w:pPr>
              <w:pStyle w:val="TableHeading"/>
              <w:ind w:left="49"/>
              <w:rPr>
                <w:i/>
                <w:sz w:val="20"/>
                <w:szCs w:val="20"/>
              </w:rPr>
            </w:pPr>
            <w:r w:rsidRPr="00794578">
              <w:rPr>
                <w:i/>
                <w:sz w:val="20"/>
                <w:szCs w:val="20"/>
              </w:rPr>
              <w:t>Nays</w:t>
            </w:r>
          </w:p>
        </w:tc>
        <w:tc>
          <w:tcPr>
            <w:tcW w:w="1920" w:type="dxa"/>
            <w:tcBorders>
              <w:top w:val="single" w:sz="6" w:space="0" w:color="auto"/>
              <w:bottom w:val="double" w:sz="4" w:space="0" w:color="auto"/>
            </w:tcBorders>
            <w:vAlign w:val="center"/>
          </w:tcPr>
          <w:p w:rsidR="0056509E" w:rsidRPr="00794578" w:rsidRDefault="0056509E" w:rsidP="00794578">
            <w:pPr>
              <w:pStyle w:val="TableHeading"/>
              <w:ind w:left="-2"/>
              <w:rPr>
                <w:i/>
                <w:sz w:val="20"/>
                <w:szCs w:val="20"/>
              </w:rPr>
            </w:pPr>
            <w:r w:rsidRPr="00794578">
              <w:rPr>
                <w:i/>
                <w:sz w:val="20"/>
                <w:szCs w:val="20"/>
              </w:rPr>
              <w:t>Yeas</w:t>
            </w:r>
          </w:p>
        </w:tc>
        <w:tc>
          <w:tcPr>
            <w:tcW w:w="1793" w:type="dxa"/>
            <w:tcBorders>
              <w:top w:val="single" w:sz="6" w:space="0" w:color="auto"/>
              <w:bottom w:val="double" w:sz="4" w:space="0" w:color="auto"/>
            </w:tcBorders>
            <w:vAlign w:val="center"/>
          </w:tcPr>
          <w:p w:rsidR="0056509E" w:rsidRPr="00794578" w:rsidRDefault="0056509E" w:rsidP="00794578">
            <w:pPr>
              <w:pStyle w:val="TableHeading"/>
              <w:rPr>
                <w:i/>
                <w:sz w:val="20"/>
                <w:szCs w:val="20"/>
              </w:rPr>
            </w:pPr>
            <w:r w:rsidRPr="00794578">
              <w:rPr>
                <w:i/>
                <w:sz w:val="20"/>
                <w:szCs w:val="20"/>
              </w:rPr>
              <w:t>Nays</w:t>
            </w:r>
          </w:p>
        </w:tc>
        <w:tc>
          <w:tcPr>
            <w:tcW w:w="1015" w:type="dxa"/>
            <w:vMerge/>
            <w:vAlign w:val="center"/>
          </w:tcPr>
          <w:p w:rsidR="0056509E" w:rsidRPr="002D071A" w:rsidRDefault="0056509E" w:rsidP="002D071A">
            <w:pPr>
              <w:pStyle w:val="TableHeading"/>
              <w:rPr>
                <w:b w:val="0"/>
                <w:sz w:val="20"/>
                <w:szCs w:val="20"/>
              </w:rPr>
            </w:pPr>
          </w:p>
        </w:tc>
      </w:tr>
      <w:tr w:rsidR="002D071A" w:rsidRPr="002D071A" w:rsidTr="00794578">
        <w:tc>
          <w:tcPr>
            <w:tcW w:w="1105" w:type="dxa"/>
            <w:tcBorders>
              <w:top w:val="double" w:sz="4" w:space="0" w:color="auto"/>
            </w:tcBorders>
            <w:vAlign w:val="center"/>
          </w:tcPr>
          <w:p w:rsidR="002D071A" w:rsidRPr="002D071A" w:rsidRDefault="002D071A" w:rsidP="002D071A">
            <w:pPr>
              <w:pStyle w:val="TableHeading"/>
              <w:rPr>
                <w:b w:val="0"/>
                <w:sz w:val="20"/>
                <w:szCs w:val="20"/>
              </w:rPr>
            </w:pPr>
            <w:r w:rsidRPr="002D071A">
              <w:rPr>
                <w:b w:val="0"/>
                <w:sz w:val="20"/>
                <w:szCs w:val="20"/>
              </w:rPr>
              <w:t>120-5</w:t>
            </w:r>
          </w:p>
        </w:tc>
        <w:tc>
          <w:tcPr>
            <w:tcW w:w="7470" w:type="dxa"/>
            <w:gridSpan w:val="4"/>
            <w:tcBorders>
              <w:top w:val="double" w:sz="4" w:space="0" w:color="auto"/>
            </w:tcBorders>
            <w:vAlign w:val="center"/>
          </w:tcPr>
          <w:p w:rsidR="002D071A" w:rsidRPr="002D071A" w:rsidRDefault="002D071A" w:rsidP="002D071A">
            <w:pPr>
              <w:pStyle w:val="TableHeading"/>
              <w:rPr>
                <w:b w:val="0"/>
                <w:sz w:val="20"/>
                <w:szCs w:val="20"/>
              </w:rPr>
            </w:pPr>
            <w:r w:rsidRPr="002D071A">
              <w:rPr>
                <w:b w:val="0"/>
                <w:sz w:val="20"/>
                <w:szCs w:val="20"/>
              </w:rPr>
              <w:t>Voice Vote of Business Items</w:t>
            </w:r>
          </w:p>
        </w:tc>
        <w:tc>
          <w:tcPr>
            <w:tcW w:w="1015" w:type="dxa"/>
            <w:tcBorders>
              <w:top w:val="double" w:sz="4" w:space="0" w:color="auto"/>
            </w:tcBorders>
            <w:vAlign w:val="center"/>
          </w:tcPr>
          <w:p w:rsidR="002D071A" w:rsidRPr="002D071A" w:rsidRDefault="002D071A" w:rsidP="002D071A">
            <w:pPr>
              <w:pStyle w:val="TableHeading"/>
              <w:rPr>
                <w:b w:val="0"/>
                <w:sz w:val="20"/>
                <w:szCs w:val="20"/>
              </w:rPr>
            </w:pPr>
            <w:r w:rsidRPr="002D071A">
              <w:rPr>
                <w:b w:val="0"/>
                <w:sz w:val="20"/>
                <w:szCs w:val="20"/>
              </w:rPr>
              <w:t>Adopted</w:t>
            </w:r>
          </w:p>
        </w:tc>
      </w:tr>
      <w:tr w:rsidR="002D071A" w:rsidRPr="002D071A" w:rsidTr="00794578">
        <w:tc>
          <w:tcPr>
            <w:tcW w:w="1105" w:type="dxa"/>
            <w:vAlign w:val="center"/>
          </w:tcPr>
          <w:p w:rsidR="002D071A" w:rsidRPr="002D071A" w:rsidRDefault="002D071A" w:rsidP="002D071A">
            <w:pPr>
              <w:pStyle w:val="TableHeading"/>
              <w:rPr>
                <w:b w:val="0"/>
                <w:sz w:val="20"/>
                <w:szCs w:val="20"/>
              </w:rPr>
            </w:pPr>
            <w:r w:rsidRPr="002D071A">
              <w:rPr>
                <w:b w:val="0"/>
                <w:sz w:val="20"/>
                <w:szCs w:val="20"/>
              </w:rPr>
              <w:t>To Accept the Report</w:t>
            </w:r>
          </w:p>
        </w:tc>
        <w:tc>
          <w:tcPr>
            <w:tcW w:w="7470" w:type="dxa"/>
            <w:gridSpan w:val="4"/>
            <w:vAlign w:val="center"/>
          </w:tcPr>
          <w:p w:rsidR="002D071A" w:rsidRPr="002D071A" w:rsidRDefault="002D071A" w:rsidP="002D071A">
            <w:pPr>
              <w:pStyle w:val="TableHeading"/>
              <w:rPr>
                <w:b w:val="0"/>
                <w:sz w:val="20"/>
                <w:szCs w:val="20"/>
              </w:rPr>
            </w:pPr>
            <w:r w:rsidRPr="002D071A">
              <w:rPr>
                <w:b w:val="0"/>
                <w:sz w:val="20"/>
                <w:szCs w:val="20"/>
              </w:rPr>
              <w:t>Voice Vote</w:t>
            </w:r>
          </w:p>
        </w:tc>
        <w:tc>
          <w:tcPr>
            <w:tcW w:w="1015" w:type="dxa"/>
            <w:vAlign w:val="center"/>
          </w:tcPr>
          <w:p w:rsidR="002D071A" w:rsidRPr="002D071A" w:rsidRDefault="002D071A" w:rsidP="002D071A">
            <w:pPr>
              <w:pStyle w:val="TableHeading"/>
              <w:rPr>
                <w:b w:val="0"/>
                <w:sz w:val="20"/>
                <w:szCs w:val="20"/>
              </w:rPr>
            </w:pPr>
            <w:r w:rsidRPr="002D071A">
              <w:rPr>
                <w:b w:val="0"/>
                <w:sz w:val="20"/>
                <w:szCs w:val="20"/>
              </w:rPr>
              <w:t>Adopted</w:t>
            </w:r>
          </w:p>
        </w:tc>
      </w:tr>
    </w:tbl>
    <w:p w:rsidR="00C447E8" w:rsidRPr="00166B4C" w:rsidRDefault="00C447E8" w:rsidP="00166B4C">
      <w:pPr>
        <w:pStyle w:val="TableHeading"/>
        <w:spacing w:before="0" w:after="240"/>
        <w:jc w:val="both"/>
        <w:rPr>
          <w:b w:val="0"/>
        </w:rPr>
      </w:pP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0006B8" w:rsidRPr="00F3504E" w:rsidTr="000006B8">
        <w:tc>
          <w:tcPr>
            <w:tcW w:w="9360" w:type="dxa"/>
            <w:tcBorders>
              <w:top w:val="single" w:sz="12" w:space="0" w:color="auto"/>
              <w:bottom w:val="single" w:sz="12" w:space="0" w:color="auto"/>
            </w:tcBorders>
          </w:tcPr>
          <w:p w:rsidR="000006B8" w:rsidRPr="00F3504E" w:rsidRDefault="000006B8" w:rsidP="00C7067C">
            <w:pPr>
              <w:pStyle w:val="TableHeading"/>
            </w:pPr>
            <w:r w:rsidRPr="00F3504E">
              <w:t>Details of All Items</w:t>
            </w:r>
            <w:r w:rsidR="00C7067C" w:rsidRPr="00F3504E">
              <w:t xml:space="preserve"> </w:t>
            </w:r>
            <w:r w:rsidR="00443A38" w:rsidRPr="00F3504E">
              <w:br/>
            </w:r>
            <w:r w:rsidRPr="00F3504E">
              <w:rPr>
                <w:b w:val="0"/>
                <w:i/>
              </w:rPr>
              <w:t>(In order by Reference Key)</w:t>
            </w:r>
          </w:p>
        </w:tc>
      </w:tr>
    </w:tbl>
    <w:p w:rsidR="00DE4A53" w:rsidRPr="00EC47EB" w:rsidRDefault="00D05429" w:rsidP="00EC47EB">
      <w:pPr>
        <w:pStyle w:val="Heading1"/>
      </w:pPr>
      <w:bookmarkStart w:id="24" w:name="_Toc308082675"/>
      <w:bookmarkStart w:id="25" w:name="_Toc308082719"/>
      <w:bookmarkStart w:id="26" w:name="_Toc308083518"/>
      <w:bookmarkStart w:id="27" w:name="_Toc308083915"/>
      <w:bookmarkStart w:id="28" w:name="_Toc308424341"/>
      <w:bookmarkStart w:id="29" w:name="_Toc308424731"/>
      <w:bookmarkStart w:id="30" w:name="_Toc308425337"/>
      <w:bookmarkStart w:id="31" w:name="_Toc308595415"/>
      <w:bookmarkStart w:id="32" w:name="_Toc308595821"/>
      <w:bookmarkStart w:id="33" w:name="_Toc308596026"/>
      <w:bookmarkStart w:id="34" w:name="_Toc352859903"/>
      <w:bookmarkStart w:id="35" w:name="Text6"/>
      <w:bookmarkStart w:id="36" w:name="_Toc301530206"/>
      <w:bookmarkStart w:id="37" w:name="_Toc301531087"/>
      <w:bookmarkStart w:id="38" w:name="_Toc301535038"/>
      <w:bookmarkStart w:id="39" w:name="_Toc301768223"/>
      <w:bookmarkStart w:id="40" w:name="_Toc302379796"/>
      <w:bookmarkStart w:id="41" w:name="_Toc302381449"/>
      <w:bookmarkStart w:id="42" w:name="_Toc302382310"/>
      <w:bookmarkStart w:id="43" w:name="_Toc302382374"/>
      <w:bookmarkStart w:id="44" w:name="_Toc302382670"/>
      <w:bookmarkStart w:id="45" w:name="_Toc302383030"/>
      <w:bookmarkStart w:id="46" w:name="_Toc302383261"/>
      <w:bookmarkStart w:id="47" w:name="_Toc302383542"/>
      <w:r w:rsidRPr="00EC47EB">
        <w:t>110</w:t>
      </w:r>
      <w:r w:rsidR="00DE4A53" w:rsidRPr="00EC47EB">
        <w:tab/>
      </w:r>
      <w:r w:rsidRPr="00EC47EB">
        <w:t>Activity Reports</w:t>
      </w:r>
      <w:bookmarkEnd w:id="24"/>
      <w:bookmarkEnd w:id="25"/>
      <w:bookmarkEnd w:id="26"/>
      <w:bookmarkEnd w:id="27"/>
      <w:bookmarkEnd w:id="28"/>
      <w:bookmarkEnd w:id="29"/>
      <w:bookmarkEnd w:id="30"/>
      <w:bookmarkEnd w:id="31"/>
      <w:bookmarkEnd w:id="32"/>
      <w:bookmarkEnd w:id="33"/>
      <w:bookmarkEnd w:id="34"/>
    </w:p>
    <w:p w:rsidR="00DE4A53" w:rsidRPr="00F3504E" w:rsidRDefault="00D05429" w:rsidP="00084507">
      <w:pPr>
        <w:pStyle w:val="ItemHeading"/>
      </w:pPr>
      <w:bookmarkStart w:id="48" w:name="_Toc308082676"/>
      <w:bookmarkStart w:id="49" w:name="_Toc308082720"/>
      <w:bookmarkStart w:id="50" w:name="_Toc308083519"/>
      <w:bookmarkStart w:id="51" w:name="_Toc308083916"/>
      <w:bookmarkStart w:id="52" w:name="_Toc308424342"/>
      <w:bookmarkStart w:id="53" w:name="_Toc308424732"/>
      <w:bookmarkStart w:id="54" w:name="_Toc308425338"/>
      <w:bookmarkStart w:id="55" w:name="_Toc308595416"/>
      <w:bookmarkStart w:id="56" w:name="_Toc308595822"/>
      <w:bookmarkStart w:id="57" w:name="_Toc308596027"/>
      <w:bookmarkStart w:id="58" w:name="_Toc352859904"/>
      <w:bookmarkEnd w:id="35"/>
      <w:bookmarkEnd w:id="36"/>
      <w:bookmarkEnd w:id="37"/>
      <w:bookmarkEnd w:id="38"/>
      <w:bookmarkEnd w:id="39"/>
      <w:r>
        <w:t>110-1</w:t>
      </w:r>
      <w:r w:rsidR="00DE4A53">
        <w:tab/>
      </w:r>
      <w:r w:rsidR="00FC3AE5">
        <w:t>I</w:t>
      </w:r>
      <w:r w:rsidR="00FC3AE5">
        <w:tab/>
      </w:r>
      <w:r>
        <w:t>Membership and Meeting Attendance</w:t>
      </w:r>
      <w:bookmarkEnd w:id="48"/>
      <w:bookmarkEnd w:id="49"/>
      <w:bookmarkEnd w:id="50"/>
      <w:bookmarkEnd w:id="51"/>
      <w:bookmarkEnd w:id="52"/>
      <w:bookmarkEnd w:id="53"/>
      <w:bookmarkEnd w:id="54"/>
      <w:bookmarkEnd w:id="55"/>
      <w:bookmarkEnd w:id="56"/>
      <w:bookmarkEnd w:id="57"/>
      <w:bookmarkEnd w:id="58"/>
    </w:p>
    <w:p w:rsidR="00D05429" w:rsidRDefault="00FC3AE5" w:rsidP="005751D9">
      <w:r>
        <w:t xml:space="preserve">Membership levels track closely with the economy as shown in the yearly comparison below.  The </w:t>
      </w:r>
      <w:r w:rsidR="00794578">
        <w:t xml:space="preserve">Board </w:t>
      </w:r>
      <w:r>
        <w:t xml:space="preserve">is confident that the trend will reverse as it historically does when the economy improves.  </w:t>
      </w:r>
      <w:r w:rsidR="00F607E4">
        <w:t>There was some improvement in state government membership as a result of outreach.  Those efforts will continue.  As the Professional Certification Program grows, NCWM expects to see an increase in memberships to take advantage of the waived exam fees.</w:t>
      </w:r>
      <w:r>
        <w:t xml:space="preserve"> </w:t>
      </w:r>
    </w:p>
    <w:p w:rsidR="002551C1" w:rsidRDefault="002551C1" w:rsidP="005751D9"/>
    <w:p w:rsidR="00D05429" w:rsidRDefault="00D05429">
      <w:r>
        <w:t xml:space="preserve">The attendance </w:t>
      </w:r>
      <w:r w:rsidR="00F607E4">
        <w:t>in January</w:t>
      </w:r>
      <w:r>
        <w:t xml:space="preserve"> </w:t>
      </w:r>
      <w:r w:rsidR="00FC3AE5">
        <w:t xml:space="preserve">2012 </w:t>
      </w:r>
      <w:r w:rsidR="00F607E4">
        <w:t xml:space="preserve">for the </w:t>
      </w:r>
      <w:r>
        <w:t xml:space="preserve">Interim </w:t>
      </w:r>
      <w:r w:rsidR="00F607E4">
        <w:t xml:space="preserve">Meeting in </w:t>
      </w:r>
      <w:r w:rsidR="00FC3AE5">
        <w:t>New Orleans was exceptional.  That meeting had a robust agenda including many new proposals on an array of issues.</w:t>
      </w:r>
      <w:r>
        <w:t xml:space="preserve"> </w:t>
      </w:r>
      <w:r w:rsidR="002317A1">
        <w:t xml:space="preserve"> </w:t>
      </w:r>
      <w:r w:rsidR="00F607E4">
        <w:t>Attendance also improved for the 97</w:t>
      </w:r>
      <w:r w:rsidR="00F607E4" w:rsidRPr="00F607E4">
        <w:rPr>
          <w:vertAlign w:val="superscript"/>
        </w:rPr>
        <w:t>th</w:t>
      </w:r>
      <w:r w:rsidR="00F607E4">
        <w:t xml:space="preserve"> Annual Meeting, in Portland, Maine</w:t>
      </w:r>
      <w:r w:rsidR="002317A1">
        <w:t>,</w:t>
      </w:r>
      <w:r w:rsidR="00F607E4">
        <w:t xml:space="preserve"> in July.  </w:t>
      </w:r>
      <w:r w:rsidR="00FC3AE5">
        <w:t xml:space="preserve">Feedback has been very good for the </w:t>
      </w:r>
      <w:r>
        <w:t xml:space="preserve">technical sessions </w:t>
      </w:r>
      <w:r w:rsidR="00FC3AE5">
        <w:t xml:space="preserve">that have been added to the Sunday afternoon sessions.  These sessions benefit </w:t>
      </w:r>
      <w:r>
        <w:t xml:space="preserve">the standards development process, </w:t>
      </w:r>
      <w:r w:rsidR="00FC3AE5">
        <w:t>and add</w:t>
      </w:r>
      <w:r>
        <w:t xml:space="preserve"> value for stakeholders who attend.  </w:t>
      </w:r>
    </w:p>
    <w:p w:rsidR="00F92C5A" w:rsidRDefault="00D05429" w:rsidP="00D05429">
      <w:r>
        <w:t>The following is a comparison of NCWM membership levels for the past six years.</w:t>
      </w:r>
    </w:p>
    <w:tbl>
      <w:tblPr>
        <w:tblStyle w:val="TableGrid"/>
        <w:tblW w:w="9576" w:type="dxa"/>
        <w:tblBorders>
          <w:top w:val="double" w:sz="4" w:space="0" w:color="auto"/>
          <w:left w:val="double" w:sz="4" w:space="0" w:color="auto"/>
          <w:bottom w:val="double" w:sz="4" w:space="0" w:color="auto"/>
          <w:right w:val="double" w:sz="4" w:space="0" w:color="auto"/>
        </w:tblBorders>
        <w:tblCellMar>
          <w:top w:w="43" w:type="dxa"/>
          <w:left w:w="115" w:type="dxa"/>
          <w:bottom w:w="43" w:type="dxa"/>
          <w:right w:w="115" w:type="dxa"/>
        </w:tblCellMar>
        <w:tblLook w:val="04A0" w:firstRow="1" w:lastRow="0" w:firstColumn="1" w:lastColumn="0" w:noHBand="0" w:noVBand="1"/>
      </w:tblPr>
      <w:tblGrid>
        <w:gridCol w:w="1728"/>
        <w:gridCol w:w="1310"/>
        <w:gridCol w:w="1310"/>
        <w:gridCol w:w="1310"/>
        <w:gridCol w:w="1310"/>
        <w:gridCol w:w="1310"/>
        <w:gridCol w:w="1298"/>
      </w:tblGrid>
      <w:tr w:rsidR="00FC3AE5" w:rsidTr="00E244FE">
        <w:tc>
          <w:tcPr>
            <w:tcW w:w="9576" w:type="dxa"/>
            <w:gridSpan w:val="7"/>
            <w:tcBorders>
              <w:top w:val="double" w:sz="4" w:space="0" w:color="auto"/>
              <w:bottom w:val="double" w:sz="4" w:space="0" w:color="auto"/>
            </w:tcBorders>
          </w:tcPr>
          <w:p w:rsidR="00FC3AE5" w:rsidRDefault="00FC3AE5" w:rsidP="00FC3AE5">
            <w:pPr>
              <w:pStyle w:val="TableHeading"/>
            </w:pPr>
            <w:bookmarkStart w:id="59" w:name="_Toc308082677"/>
            <w:bookmarkStart w:id="60" w:name="_Toc308082721"/>
            <w:bookmarkStart w:id="61" w:name="_Toc308083520"/>
            <w:bookmarkStart w:id="62" w:name="_Toc308083917"/>
            <w:bookmarkStart w:id="63" w:name="_Toc308424343"/>
            <w:bookmarkStart w:id="64" w:name="_Toc308424733"/>
            <w:bookmarkStart w:id="65" w:name="_Toc308425339"/>
            <w:bookmarkStart w:id="66" w:name="_Toc308595417"/>
            <w:bookmarkStart w:id="67" w:name="_Toc308595823"/>
            <w:bookmarkStart w:id="68" w:name="_Toc308596028"/>
            <w:r>
              <w:lastRenderedPageBreak/>
              <w:t xml:space="preserve">Table </w:t>
            </w:r>
            <w:r w:rsidR="00817E6E">
              <w:t>D</w:t>
            </w:r>
            <w:r w:rsidR="00527FB6">
              <w:t xml:space="preserve"> </w:t>
            </w:r>
          </w:p>
          <w:p w:rsidR="00FC3AE5" w:rsidRDefault="00FC3AE5" w:rsidP="00FC3AE5">
            <w:pPr>
              <w:pStyle w:val="TableHeading"/>
            </w:pPr>
            <w:r>
              <w:t>NCWM Membership Report</w:t>
            </w:r>
          </w:p>
        </w:tc>
      </w:tr>
      <w:tr w:rsidR="00F7005C" w:rsidTr="00E244FE">
        <w:tc>
          <w:tcPr>
            <w:tcW w:w="1728" w:type="dxa"/>
            <w:tcBorders>
              <w:top w:val="double" w:sz="4" w:space="0" w:color="auto"/>
            </w:tcBorders>
          </w:tcPr>
          <w:p w:rsidR="00F7005C" w:rsidRPr="002E76DC" w:rsidRDefault="00F7005C" w:rsidP="00FC3AE5">
            <w:pPr>
              <w:pStyle w:val="TableText"/>
            </w:pPr>
          </w:p>
        </w:tc>
        <w:tc>
          <w:tcPr>
            <w:tcW w:w="1310" w:type="dxa"/>
            <w:tcBorders>
              <w:top w:val="double" w:sz="4" w:space="0" w:color="auto"/>
            </w:tcBorders>
            <w:shd w:val="clear" w:color="auto" w:fill="D9D9D9" w:themeFill="background1" w:themeFillShade="D9"/>
            <w:vAlign w:val="center"/>
          </w:tcPr>
          <w:p w:rsidR="00F7005C" w:rsidRPr="002B2D16" w:rsidRDefault="00F7005C" w:rsidP="00F7005C">
            <w:pPr>
              <w:keepNext/>
              <w:keepLines/>
              <w:tabs>
                <w:tab w:val="left" w:pos="810"/>
                <w:tab w:val="left" w:pos="1170"/>
              </w:tabs>
              <w:jc w:val="center"/>
              <w:rPr>
                <w:b/>
              </w:rPr>
            </w:pPr>
            <w:r w:rsidRPr="002B2D16">
              <w:rPr>
                <w:b/>
              </w:rPr>
              <w:t>June</w:t>
            </w:r>
          </w:p>
          <w:p w:rsidR="00F7005C" w:rsidRPr="002B2D16" w:rsidRDefault="00F7005C" w:rsidP="00F7005C">
            <w:pPr>
              <w:keepNext/>
              <w:keepLines/>
              <w:tabs>
                <w:tab w:val="left" w:pos="810"/>
                <w:tab w:val="left" w:pos="1170"/>
              </w:tabs>
              <w:jc w:val="center"/>
              <w:rPr>
                <w:b/>
              </w:rPr>
            </w:pPr>
            <w:r w:rsidRPr="002B2D16">
              <w:rPr>
                <w:b/>
              </w:rPr>
              <w:t>2012</w:t>
            </w:r>
          </w:p>
        </w:tc>
        <w:tc>
          <w:tcPr>
            <w:tcW w:w="1310" w:type="dxa"/>
            <w:tcBorders>
              <w:top w:val="double" w:sz="4" w:space="0" w:color="auto"/>
            </w:tcBorders>
            <w:vAlign w:val="center"/>
          </w:tcPr>
          <w:p w:rsidR="00F7005C" w:rsidRPr="002B2D16" w:rsidRDefault="00F7005C" w:rsidP="00F7005C">
            <w:pPr>
              <w:keepNext/>
              <w:keepLines/>
              <w:tabs>
                <w:tab w:val="left" w:pos="810"/>
                <w:tab w:val="left" w:pos="1170"/>
              </w:tabs>
              <w:jc w:val="center"/>
              <w:rPr>
                <w:b/>
              </w:rPr>
            </w:pPr>
            <w:r w:rsidRPr="002B2D16">
              <w:rPr>
                <w:b/>
              </w:rPr>
              <w:t>June</w:t>
            </w:r>
          </w:p>
          <w:p w:rsidR="00F7005C" w:rsidRPr="002B2D16" w:rsidRDefault="00F7005C" w:rsidP="00F7005C">
            <w:pPr>
              <w:keepNext/>
              <w:keepLines/>
              <w:tabs>
                <w:tab w:val="left" w:pos="810"/>
                <w:tab w:val="left" w:pos="1170"/>
              </w:tabs>
              <w:jc w:val="center"/>
              <w:rPr>
                <w:b/>
              </w:rPr>
            </w:pPr>
            <w:r w:rsidRPr="002B2D16">
              <w:rPr>
                <w:b/>
              </w:rPr>
              <w:t>2011</w:t>
            </w:r>
          </w:p>
        </w:tc>
        <w:tc>
          <w:tcPr>
            <w:tcW w:w="1310" w:type="dxa"/>
            <w:tcBorders>
              <w:top w:val="double" w:sz="4" w:space="0" w:color="auto"/>
            </w:tcBorders>
            <w:vAlign w:val="center"/>
          </w:tcPr>
          <w:p w:rsidR="00F7005C" w:rsidRPr="002B2D16" w:rsidRDefault="00F7005C" w:rsidP="00F7005C">
            <w:pPr>
              <w:keepNext/>
              <w:keepLines/>
              <w:tabs>
                <w:tab w:val="left" w:pos="810"/>
                <w:tab w:val="left" w:pos="1170"/>
              </w:tabs>
              <w:jc w:val="center"/>
              <w:rPr>
                <w:b/>
              </w:rPr>
            </w:pPr>
            <w:r w:rsidRPr="002B2D16">
              <w:rPr>
                <w:b/>
              </w:rPr>
              <w:t>June</w:t>
            </w:r>
          </w:p>
          <w:p w:rsidR="00F7005C" w:rsidRPr="002B2D16" w:rsidRDefault="00F7005C" w:rsidP="00F7005C">
            <w:pPr>
              <w:keepNext/>
              <w:keepLines/>
              <w:tabs>
                <w:tab w:val="left" w:pos="810"/>
                <w:tab w:val="left" w:pos="1170"/>
              </w:tabs>
              <w:jc w:val="center"/>
              <w:rPr>
                <w:b/>
              </w:rPr>
            </w:pPr>
            <w:r w:rsidRPr="002B2D16">
              <w:rPr>
                <w:b/>
              </w:rPr>
              <w:t>2010</w:t>
            </w:r>
          </w:p>
        </w:tc>
        <w:tc>
          <w:tcPr>
            <w:tcW w:w="1310" w:type="dxa"/>
            <w:tcBorders>
              <w:top w:val="double" w:sz="4" w:space="0" w:color="auto"/>
            </w:tcBorders>
            <w:vAlign w:val="center"/>
          </w:tcPr>
          <w:p w:rsidR="00F7005C" w:rsidRPr="002B2D16" w:rsidRDefault="00F7005C" w:rsidP="00F7005C">
            <w:pPr>
              <w:keepNext/>
              <w:keepLines/>
              <w:tabs>
                <w:tab w:val="left" w:pos="810"/>
                <w:tab w:val="left" w:pos="1170"/>
              </w:tabs>
              <w:jc w:val="center"/>
              <w:rPr>
                <w:b/>
              </w:rPr>
            </w:pPr>
            <w:r w:rsidRPr="002B2D16">
              <w:rPr>
                <w:b/>
              </w:rPr>
              <w:t>June</w:t>
            </w:r>
          </w:p>
          <w:p w:rsidR="00F7005C" w:rsidRPr="002B2D16" w:rsidRDefault="00F7005C" w:rsidP="00F7005C">
            <w:pPr>
              <w:keepNext/>
              <w:keepLines/>
              <w:tabs>
                <w:tab w:val="left" w:pos="810"/>
                <w:tab w:val="left" w:pos="1170"/>
              </w:tabs>
              <w:jc w:val="center"/>
              <w:rPr>
                <w:b/>
              </w:rPr>
            </w:pPr>
            <w:r w:rsidRPr="002B2D16">
              <w:rPr>
                <w:b/>
              </w:rPr>
              <w:t>2009</w:t>
            </w:r>
          </w:p>
        </w:tc>
        <w:tc>
          <w:tcPr>
            <w:tcW w:w="1310" w:type="dxa"/>
            <w:tcBorders>
              <w:top w:val="double" w:sz="4" w:space="0" w:color="auto"/>
            </w:tcBorders>
            <w:vAlign w:val="center"/>
          </w:tcPr>
          <w:p w:rsidR="00F7005C" w:rsidRPr="002B2D16" w:rsidRDefault="00F7005C" w:rsidP="00F7005C">
            <w:pPr>
              <w:keepNext/>
              <w:keepLines/>
              <w:tabs>
                <w:tab w:val="left" w:pos="810"/>
                <w:tab w:val="left" w:pos="1170"/>
              </w:tabs>
              <w:jc w:val="center"/>
              <w:rPr>
                <w:b/>
              </w:rPr>
            </w:pPr>
            <w:r w:rsidRPr="002B2D16">
              <w:rPr>
                <w:b/>
              </w:rPr>
              <w:t>June</w:t>
            </w:r>
          </w:p>
          <w:p w:rsidR="00F7005C" w:rsidRPr="002B2D16" w:rsidRDefault="00F7005C" w:rsidP="00F7005C">
            <w:pPr>
              <w:keepNext/>
              <w:keepLines/>
              <w:tabs>
                <w:tab w:val="left" w:pos="810"/>
                <w:tab w:val="left" w:pos="1170"/>
              </w:tabs>
              <w:jc w:val="center"/>
              <w:rPr>
                <w:b/>
              </w:rPr>
            </w:pPr>
            <w:r w:rsidRPr="002B2D16">
              <w:rPr>
                <w:b/>
              </w:rPr>
              <w:t>2008</w:t>
            </w:r>
          </w:p>
        </w:tc>
        <w:tc>
          <w:tcPr>
            <w:tcW w:w="1298" w:type="dxa"/>
            <w:tcBorders>
              <w:top w:val="double" w:sz="4" w:space="0" w:color="auto"/>
            </w:tcBorders>
            <w:vAlign w:val="center"/>
          </w:tcPr>
          <w:p w:rsidR="00F7005C" w:rsidRPr="002B2D16" w:rsidRDefault="00F7005C" w:rsidP="00F7005C">
            <w:pPr>
              <w:keepNext/>
              <w:keepLines/>
              <w:tabs>
                <w:tab w:val="left" w:pos="810"/>
                <w:tab w:val="left" w:pos="1170"/>
              </w:tabs>
              <w:jc w:val="center"/>
              <w:rPr>
                <w:b/>
              </w:rPr>
            </w:pPr>
            <w:r w:rsidRPr="002B2D16">
              <w:rPr>
                <w:b/>
              </w:rPr>
              <w:t>June</w:t>
            </w:r>
          </w:p>
          <w:p w:rsidR="00F7005C" w:rsidRPr="002B2D16" w:rsidRDefault="00F7005C" w:rsidP="00F7005C">
            <w:pPr>
              <w:keepNext/>
              <w:keepLines/>
              <w:tabs>
                <w:tab w:val="left" w:pos="810"/>
                <w:tab w:val="left" w:pos="1170"/>
              </w:tabs>
              <w:jc w:val="center"/>
              <w:rPr>
                <w:b/>
              </w:rPr>
            </w:pPr>
            <w:r w:rsidRPr="002B2D16">
              <w:rPr>
                <w:b/>
              </w:rPr>
              <w:t>2007</w:t>
            </w:r>
          </w:p>
        </w:tc>
      </w:tr>
      <w:tr w:rsidR="00F7005C" w:rsidTr="00E244FE">
        <w:tc>
          <w:tcPr>
            <w:tcW w:w="1728" w:type="dxa"/>
          </w:tcPr>
          <w:p w:rsidR="00F7005C" w:rsidRDefault="00F7005C" w:rsidP="00FC3AE5">
            <w:pPr>
              <w:pStyle w:val="TableText"/>
            </w:pPr>
            <w:r>
              <w:t>Associate</w:t>
            </w:r>
          </w:p>
        </w:tc>
        <w:tc>
          <w:tcPr>
            <w:tcW w:w="1310" w:type="dxa"/>
            <w:shd w:val="clear" w:color="auto" w:fill="D9D9D9" w:themeFill="background1" w:themeFillShade="D9"/>
            <w:vAlign w:val="center"/>
          </w:tcPr>
          <w:p w:rsidR="00F7005C" w:rsidRPr="002B2D16" w:rsidRDefault="00F7005C" w:rsidP="002317A1">
            <w:pPr>
              <w:tabs>
                <w:tab w:val="decimal" w:pos="772"/>
              </w:tabs>
              <w:spacing w:line="180" w:lineRule="auto"/>
              <w:jc w:val="left"/>
            </w:pPr>
            <w:r w:rsidRPr="002B2D16">
              <w:t>842</w:t>
            </w:r>
          </w:p>
        </w:tc>
        <w:tc>
          <w:tcPr>
            <w:tcW w:w="1310" w:type="dxa"/>
            <w:vAlign w:val="center"/>
          </w:tcPr>
          <w:p w:rsidR="00F7005C" w:rsidRPr="002B2D16" w:rsidRDefault="00F7005C" w:rsidP="002317A1">
            <w:pPr>
              <w:tabs>
                <w:tab w:val="decimal" w:pos="772"/>
              </w:tabs>
              <w:spacing w:line="180" w:lineRule="auto"/>
              <w:jc w:val="left"/>
            </w:pPr>
            <w:r w:rsidRPr="002B2D16">
              <w:t>813</w:t>
            </w:r>
          </w:p>
        </w:tc>
        <w:tc>
          <w:tcPr>
            <w:tcW w:w="1310" w:type="dxa"/>
            <w:vAlign w:val="center"/>
          </w:tcPr>
          <w:p w:rsidR="00F7005C" w:rsidRPr="002B2D16" w:rsidRDefault="00F7005C" w:rsidP="002317A1">
            <w:pPr>
              <w:tabs>
                <w:tab w:val="decimal" w:pos="772"/>
              </w:tabs>
              <w:spacing w:line="180" w:lineRule="auto"/>
              <w:jc w:val="left"/>
            </w:pPr>
            <w:r w:rsidRPr="002B2D16">
              <w:t>814</w:t>
            </w:r>
          </w:p>
        </w:tc>
        <w:tc>
          <w:tcPr>
            <w:tcW w:w="1310" w:type="dxa"/>
            <w:vAlign w:val="center"/>
          </w:tcPr>
          <w:p w:rsidR="00F7005C" w:rsidRPr="002B2D16" w:rsidRDefault="00F7005C" w:rsidP="002317A1">
            <w:pPr>
              <w:tabs>
                <w:tab w:val="decimal" w:pos="772"/>
              </w:tabs>
              <w:spacing w:line="180" w:lineRule="auto"/>
              <w:jc w:val="left"/>
            </w:pPr>
            <w:r w:rsidRPr="002B2D16">
              <w:t>822</w:t>
            </w:r>
          </w:p>
        </w:tc>
        <w:tc>
          <w:tcPr>
            <w:tcW w:w="1310" w:type="dxa"/>
            <w:vAlign w:val="center"/>
          </w:tcPr>
          <w:p w:rsidR="00F7005C" w:rsidRPr="002B2D16" w:rsidRDefault="00F7005C" w:rsidP="002317A1">
            <w:pPr>
              <w:tabs>
                <w:tab w:val="decimal" w:pos="772"/>
              </w:tabs>
              <w:spacing w:line="180" w:lineRule="auto"/>
              <w:jc w:val="left"/>
            </w:pPr>
            <w:r w:rsidRPr="002B2D16">
              <w:t>848</w:t>
            </w:r>
          </w:p>
        </w:tc>
        <w:tc>
          <w:tcPr>
            <w:tcW w:w="1298" w:type="dxa"/>
            <w:vAlign w:val="center"/>
          </w:tcPr>
          <w:p w:rsidR="00F7005C" w:rsidRPr="002B2D16" w:rsidRDefault="00F7005C" w:rsidP="00E244FE">
            <w:pPr>
              <w:tabs>
                <w:tab w:val="decimal" w:pos="452"/>
              </w:tabs>
              <w:spacing w:line="180" w:lineRule="auto"/>
              <w:jc w:val="center"/>
            </w:pPr>
            <w:r w:rsidRPr="002B2D16">
              <w:t>863</w:t>
            </w:r>
          </w:p>
        </w:tc>
      </w:tr>
      <w:tr w:rsidR="00F7005C" w:rsidTr="00E244FE">
        <w:tc>
          <w:tcPr>
            <w:tcW w:w="1728" w:type="dxa"/>
          </w:tcPr>
          <w:p w:rsidR="00F7005C" w:rsidRDefault="00F7005C" w:rsidP="00FC3AE5">
            <w:pPr>
              <w:pStyle w:val="TableText"/>
            </w:pPr>
            <w:r>
              <w:t>Foreign Associate</w:t>
            </w:r>
          </w:p>
        </w:tc>
        <w:tc>
          <w:tcPr>
            <w:tcW w:w="1310" w:type="dxa"/>
            <w:shd w:val="clear" w:color="auto" w:fill="D9D9D9" w:themeFill="background1" w:themeFillShade="D9"/>
            <w:vAlign w:val="center"/>
          </w:tcPr>
          <w:p w:rsidR="00F7005C" w:rsidRPr="002B2D16" w:rsidRDefault="00F7005C" w:rsidP="002317A1">
            <w:pPr>
              <w:tabs>
                <w:tab w:val="decimal" w:pos="772"/>
              </w:tabs>
              <w:spacing w:line="180" w:lineRule="auto"/>
              <w:jc w:val="left"/>
            </w:pPr>
            <w:r w:rsidRPr="002B2D16">
              <w:t>58</w:t>
            </w:r>
          </w:p>
        </w:tc>
        <w:tc>
          <w:tcPr>
            <w:tcW w:w="1310" w:type="dxa"/>
            <w:vAlign w:val="center"/>
          </w:tcPr>
          <w:p w:rsidR="00F7005C" w:rsidRPr="002B2D16" w:rsidRDefault="00F7005C" w:rsidP="002317A1">
            <w:pPr>
              <w:tabs>
                <w:tab w:val="decimal" w:pos="772"/>
              </w:tabs>
              <w:spacing w:line="180" w:lineRule="auto"/>
              <w:jc w:val="left"/>
            </w:pPr>
            <w:r w:rsidRPr="002B2D16">
              <w:t>62</w:t>
            </w:r>
          </w:p>
        </w:tc>
        <w:tc>
          <w:tcPr>
            <w:tcW w:w="1310" w:type="dxa"/>
            <w:vAlign w:val="center"/>
          </w:tcPr>
          <w:p w:rsidR="00F7005C" w:rsidRPr="002B2D16" w:rsidRDefault="00F7005C" w:rsidP="002317A1">
            <w:pPr>
              <w:tabs>
                <w:tab w:val="decimal" w:pos="772"/>
              </w:tabs>
              <w:spacing w:line="180" w:lineRule="auto"/>
              <w:jc w:val="left"/>
            </w:pPr>
            <w:r w:rsidRPr="002B2D16">
              <w:t>53</w:t>
            </w:r>
          </w:p>
        </w:tc>
        <w:tc>
          <w:tcPr>
            <w:tcW w:w="1310" w:type="dxa"/>
            <w:vAlign w:val="center"/>
          </w:tcPr>
          <w:p w:rsidR="00F7005C" w:rsidRPr="002B2D16" w:rsidRDefault="00F7005C" w:rsidP="002317A1">
            <w:pPr>
              <w:tabs>
                <w:tab w:val="decimal" w:pos="772"/>
              </w:tabs>
              <w:spacing w:line="180" w:lineRule="auto"/>
              <w:jc w:val="left"/>
            </w:pPr>
            <w:r w:rsidRPr="002B2D16">
              <w:t>53</w:t>
            </w:r>
          </w:p>
        </w:tc>
        <w:tc>
          <w:tcPr>
            <w:tcW w:w="1310" w:type="dxa"/>
            <w:vAlign w:val="center"/>
          </w:tcPr>
          <w:p w:rsidR="00F7005C" w:rsidRPr="002B2D16" w:rsidRDefault="00F7005C" w:rsidP="002317A1">
            <w:pPr>
              <w:tabs>
                <w:tab w:val="decimal" w:pos="772"/>
              </w:tabs>
              <w:spacing w:line="180" w:lineRule="auto"/>
              <w:jc w:val="left"/>
            </w:pPr>
            <w:r w:rsidRPr="002B2D16">
              <w:t>56</w:t>
            </w:r>
          </w:p>
        </w:tc>
        <w:tc>
          <w:tcPr>
            <w:tcW w:w="1298" w:type="dxa"/>
            <w:vAlign w:val="center"/>
          </w:tcPr>
          <w:p w:rsidR="00F7005C" w:rsidRPr="002B2D16" w:rsidRDefault="00F7005C" w:rsidP="00E244FE">
            <w:pPr>
              <w:tabs>
                <w:tab w:val="decimal" w:pos="452"/>
              </w:tabs>
              <w:spacing w:line="180" w:lineRule="auto"/>
              <w:jc w:val="center"/>
            </w:pPr>
            <w:r w:rsidRPr="002B2D16">
              <w:t>53</w:t>
            </w:r>
          </w:p>
        </w:tc>
      </w:tr>
      <w:tr w:rsidR="00F7005C" w:rsidTr="00E244FE">
        <w:tc>
          <w:tcPr>
            <w:tcW w:w="1728" w:type="dxa"/>
          </w:tcPr>
          <w:p w:rsidR="00F7005C" w:rsidRDefault="00F7005C" w:rsidP="00FC3AE5">
            <w:pPr>
              <w:pStyle w:val="TableText"/>
            </w:pPr>
            <w:r>
              <w:t>Federal Gov’t</w:t>
            </w:r>
          </w:p>
        </w:tc>
        <w:tc>
          <w:tcPr>
            <w:tcW w:w="1310" w:type="dxa"/>
            <w:shd w:val="clear" w:color="auto" w:fill="D9D9D9" w:themeFill="background1" w:themeFillShade="D9"/>
            <w:vAlign w:val="center"/>
          </w:tcPr>
          <w:p w:rsidR="00F7005C" w:rsidRPr="002B2D16" w:rsidRDefault="00F7005C" w:rsidP="002317A1">
            <w:pPr>
              <w:tabs>
                <w:tab w:val="decimal" w:pos="772"/>
              </w:tabs>
              <w:spacing w:line="180" w:lineRule="auto"/>
              <w:jc w:val="left"/>
            </w:pPr>
            <w:r w:rsidRPr="002B2D16">
              <w:t>11</w:t>
            </w:r>
          </w:p>
        </w:tc>
        <w:tc>
          <w:tcPr>
            <w:tcW w:w="1310" w:type="dxa"/>
            <w:vAlign w:val="center"/>
          </w:tcPr>
          <w:p w:rsidR="00F7005C" w:rsidRPr="002B2D16" w:rsidRDefault="00F7005C" w:rsidP="002317A1">
            <w:pPr>
              <w:tabs>
                <w:tab w:val="decimal" w:pos="772"/>
              </w:tabs>
              <w:spacing w:line="180" w:lineRule="auto"/>
              <w:jc w:val="left"/>
            </w:pPr>
            <w:r w:rsidRPr="002B2D16">
              <w:t>11</w:t>
            </w:r>
          </w:p>
        </w:tc>
        <w:tc>
          <w:tcPr>
            <w:tcW w:w="1310" w:type="dxa"/>
            <w:vAlign w:val="center"/>
          </w:tcPr>
          <w:p w:rsidR="00F7005C" w:rsidRPr="002B2D16" w:rsidRDefault="00F7005C" w:rsidP="002317A1">
            <w:pPr>
              <w:tabs>
                <w:tab w:val="decimal" w:pos="772"/>
              </w:tabs>
              <w:spacing w:line="180" w:lineRule="auto"/>
              <w:jc w:val="left"/>
            </w:pPr>
            <w:r w:rsidRPr="002B2D16">
              <w:t>12</w:t>
            </w:r>
          </w:p>
        </w:tc>
        <w:tc>
          <w:tcPr>
            <w:tcW w:w="1310" w:type="dxa"/>
            <w:vAlign w:val="center"/>
          </w:tcPr>
          <w:p w:rsidR="00F7005C" w:rsidRPr="002B2D16" w:rsidRDefault="00F7005C" w:rsidP="002317A1">
            <w:pPr>
              <w:tabs>
                <w:tab w:val="decimal" w:pos="772"/>
              </w:tabs>
              <w:spacing w:line="180" w:lineRule="auto"/>
              <w:jc w:val="left"/>
            </w:pPr>
            <w:r w:rsidRPr="002B2D16">
              <w:t>10</w:t>
            </w:r>
          </w:p>
        </w:tc>
        <w:tc>
          <w:tcPr>
            <w:tcW w:w="1310" w:type="dxa"/>
            <w:vAlign w:val="center"/>
          </w:tcPr>
          <w:p w:rsidR="00F7005C" w:rsidRPr="002B2D16" w:rsidRDefault="00F7005C" w:rsidP="002317A1">
            <w:pPr>
              <w:tabs>
                <w:tab w:val="decimal" w:pos="772"/>
              </w:tabs>
              <w:spacing w:line="180" w:lineRule="auto"/>
              <w:jc w:val="left"/>
            </w:pPr>
            <w:r w:rsidRPr="002B2D16">
              <w:t>9</w:t>
            </w:r>
          </w:p>
        </w:tc>
        <w:tc>
          <w:tcPr>
            <w:tcW w:w="1298" w:type="dxa"/>
            <w:vAlign w:val="center"/>
          </w:tcPr>
          <w:p w:rsidR="00F7005C" w:rsidRPr="002B2D16" w:rsidRDefault="00F7005C" w:rsidP="00E244FE">
            <w:pPr>
              <w:tabs>
                <w:tab w:val="decimal" w:pos="452"/>
              </w:tabs>
              <w:spacing w:line="180" w:lineRule="auto"/>
              <w:jc w:val="center"/>
            </w:pPr>
            <w:r w:rsidRPr="002B2D16">
              <w:t>9</w:t>
            </w:r>
          </w:p>
        </w:tc>
      </w:tr>
      <w:tr w:rsidR="00F7005C" w:rsidTr="00E244FE">
        <w:tc>
          <w:tcPr>
            <w:tcW w:w="1728" w:type="dxa"/>
          </w:tcPr>
          <w:p w:rsidR="00F7005C" w:rsidRDefault="00F7005C" w:rsidP="00FC3AE5">
            <w:pPr>
              <w:pStyle w:val="TableText"/>
            </w:pPr>
            <w:r>
              <w:t>NIST</w:t>
            </w:r>
          </w:p>
        </w:tc>
        <w:tc>
          <w:tcPr>
            <w:tcW w:w="1310" w:type="dxa"/>
            <w:shd w:val="clear" w:color="auto" w:fill="D9D9D9" w:themeFill="background1" w:themeFillShade="D9"/>
            <w:vAlign w:val="center"/>
          </w:tcPr>
          <w:p w:rsidR="00F7005C" w:rsidRPr="002B2D16" w:rsidRDefault="00F7005C" w:rsidP="002317A1">
            <w:pPr>
              <w:tabs>
                <w:tab w:val="decimal" w:pos="772"/>
              </w:tabs>
              <w:spacing w:line="180" w:lineRule="auto"/>
              <w:jc w:val="left"/>
            </w:pPr>
            <w:r w:rsidRPr="002B2D16">
              <w:t>16</w:t>
            </w:r>
          </w:p>
        </w:tc>
        <w:tc>
          <w:tcPr>
            <w:tcW w:w="1310" w:type="dxa"/>
            <w:vAlign w:val="center"/>
          </w:tcPr>
          <w:p w:rsidR="00F7005C" w:rsidRPr="002B2D16" w:rsidRDefault="00F7005C" w:rsidP="002317A1">
            <w:pPr>
              <w:tabs>
                <w:tab w:val="decimal" w:pos="772"/>
              </w:tabs>
              <w:spacing w:line="180" w:lineRule="auto"/>
              <w:jc w:val="left"/>
            </w:pPr>
            <w:r w:rsidRPr="002B2D16">
              <w:t>11</w:t>
            </w:r>
          </w:p>
        </w:tc>
        <w:tc>
          <w:tcPr>
            <w:tcW w:w="1310" w:type="dxa"/>
            <w:vAlign w:val="center"/>
          </w:tcPr>
          <w:p w:rsidR="00F7005C" w:rsidRPr="002B2D16" w:rsidRDefault="00F7005C" w:rsidP="002317A1">
            <w:pPr>
              <w:tabs>
                <w:tab w:val="decimal" w:pos="772"/>
              </w:tabs>
              <w:spacing w:line="180" w:lineRule="auto"/>
              <w:jc w:val="left"/>
            </w:pPr>
            <w:r w:rsidRPr="002B2D16">
              <w:t>12</w:t>
            </w:r>
          </w:p>
        </w:tc>
        <w:tc>
          <w:tcPr>
            <w:tcW w:w="1310" w:type="dxa"/>
            <w:vAlign w:val="center"/>
          </w:tcPr>
          <w:p w:rsidR="00F7005C" w:rsidRPr="002B2D16" w:rsidRDefault="00F7005C" w:rsidP="002317A1">
            <w:pPr>
              <w:tabs>
                <w:tab w:val="decimal" w:pos="772"/>
              </w:tabs>
              <w:spacing w:line="180" w:lineRule="auto"/>
              <w:jc w:val="left"/>
            </w:pPr>
            <w:r w:rsidRPr="002B2D16">
              <w:t>10</w:t>
            </w:r>
          </w:p>
        </w:tc>
        <w:tc>
          <w:tcPr>
            <w:tcW w:w="1310" w:type="dxa"/>
            <w:vAlign w:val="center"/>
          </w:tcPr>
          <w:p w:rsidR="00F7005C" w:rsidRPr="002B2D16" w:rsidRDefault="00F7005C" w:rsidP="002317A1">
            <w:pPr>
              <w:tabs>
                <w:tab w:val="decimal" w:pos="772"/>
              </w:tabs>
              <w:spacing w:line="180" w:lineRule="auto"/>
              <w:jc w:val="left"/>
            </w:pPr>
            <w:r w:rsidRPr="002B2D16">
              <w:t>9</w:t>
            </w:r>
          </w:p>
        </w:tc>
        <w:tc>
          <w:tcPr>
            <w:tcW w:w="1298" w:type="dxa"/>
            <w:vAlign w:val="center"/>
          </w:tcPr>
          <w:p w:rsidR="00F7005C" w:rsidRPr="002B2D16" w:rsidRDefault="00F7005C" w:rsidP="00E244FE">
            <w:pPr>
              <w:tabs>
                <w:tab w:val="decimal" w:pos="452"/>
              </w:tabs>
              <w:spacing w:line="180" w:lineRule="auto"/>
              <w:jc w:val="center"/>
            </w:pPr>
            <w:r w:rsidRPr="002B2D16">
              <w:t>9</w:t>
            </w:r>
          </w:p>
        </w:tc>
      </w:tr>
      <w:tr w:rsidR="00F7005C" w:rsidTr="00E244FE">
        <w:tc>
          <w:tcPr>
            <w:tcW w:w="1728" w:type="dxa"/>
          </w:tcPr>
          <w:p w:rsidR="00F7005C" w:rsidRDefault="00F7005C" w:rsidP="00FC3AE5">
            <w:pPr>
              <w:pStyle w:val="TableText"/>
            </w:pPr>
            <w:r>
              <w:t>State Gov’t</w:t>
            </w:r>
          </w:p>
        </w:tc>
        <w:tc>
          <w:tcPr>
            <w:tcW w:w="1310" w:type="dxa"/>
            <w:shd w:val="clear" w:color="auto" w:fill="D9D9D9" w:themeFill="background1" w:themeFillShade="D9"/>
            <w:vAlign w:val="center"/>
          </w:tcPr>
          <w:p w:rsidR="00F7005C" w:rsidRPr="002B2D16" w:rsidRDefault="00F7005C" w:rsidP="002317A1">
            <w:pPr>
              <w:tabs>
                <w:tab w:val="decimal" w:pos="772"/>
              </w:tabs>
              <w:spacing w:line="180" w:lineRule="auto"/>
              <w:jc w:val="left"/>
            </w:pPr>
            <w:r w:rsidRPr="002B2D16">
              <w:t>589</w:t>
            </w:r>
          </w:p>
        </w:tc>
        <w:tc>
          <w:tcPr>
            <w:tcW w:w="1310" w:type="dxa"/>
            <w:vAlign w:val="center"/>
          </w:tcPr>
          <w:p w:rsidR="00F7005C" w:rsidRPr="002B2D16" w:rsidRDefault="00F7005C" w:rsidP="002317A1">
            <w:pPr>
              <w:tabs>
                <w:tab w:val="decimal" w:pos="772"/>
              </w:tabs>
              <w:spacing w:line="180" w:lineRule="auto"/>
              <w:jc w:val="left"/>
            </w:pPr>
            <w:r w:rsidRPr="002B2D16">
              <w:t>567</w:t>
            </w:r>
          </w:p>
        </w:tc>
        <w:tc>
          <w:tcPr>
            <w:tcW w:w="1310" w:type="dxa"/>
            <w:vAlign w:val="center"/>
          </w:tcPr>
          <w:p w:rsidR="00F7005C" w:rsidRPr="002B2D16" w:rsidRDefault="00F7005C" w:rsidP="002317A1">
            <w:pPr>
              <w:tabs>
                <w:tab w:val="decimal" w:pos="772"/>
              </w:tabs>
              <w:spacing w:line="180" w:lineRule="auto"/>
              <w:jc w:val="left"/>
            </w:pPr>
            <w:r w:rsidRPr="002B2D16">
              <w:t>565</w:t>
            </w:r>
          </w:p>
        </w:tc>
        <w:tc>
          <w:tcPr>
            <w:tcW w:w="1310" w:type="dxa"/>
            <w:vAlign w:val="center"/>
          </w:tcPr>
          <w:p w:rsidR="00F7005C" w:rsidRPr="002B2D16" w:rsidRDefault="00F7005C" w:rsidP="002317A1">
            <w:pPr>
              <w:tabs>
                <w:tab w:val="decimal" w:pos="772"/>
              </w:tabs>
              <w:spacing w:line="180" w:lineRule="auto"/>
              <w:jc w:val="left"/>
            </w:pPr>
            <w:r w:rsidRPr="002B2D16">
              <w:t>696</w:t>
            </w:r>
          </w:p>
        </w:tc>
        <w:tc>
          <w:tcPr>
            <w:tcW w:w="1310" w:type="dxa"/>
            <w:vAlign w:val="center"/>
          </w:tcPr>
          <w:p w:rsidR="00F7005C" w:rsidRPr="002B2D16" w:rsidRDefault="00F7005C" w:rsidP="002317A1">
            <w:pPr>
              <w:tabs>
                <w:tab w:val="decimal" w:pos="772"/>
              </w:tabs>
              <w:spacing w:line="180" w:lineRule="auto"/>
              <w:jc w:val="left"/>
            </w:pPr>
            <w:r w:rsidRPr="002B2D16">
              <w:t>831</w:t>
            </w:r>
          </w:p>
        </w:tc>
        <w:tc>
          <w:tcPr>
            <w:tcW w:w="1298" w:type="dxa"/>
            <w:vAlign w:val="center"/>
          </w:tcPr>
          <w:p w:rsidR="00F7005C" w:rsidRPr="002B2D16" w:rsidRDefault="00F7005C" w:rsidP="00E244FE">
            <w:pPr>
              <w:tabs>
                <w:tab w:val="decimal" w:pos="452"/>
              </w:tabs>
              <w:spacing w:line="180" w:lineRule="auto"/>
              <w:jc w:val="center"/>
            </w:pPr>
            <w:r w:rsidRPr="002B2D16">
              <w:t>825</w:t>
            </w:r>
          </w:p>
        </w:tc>
      </w:tr>
      <w:tr w:rsidR="00F7005C" w:rsidTr="00E244FE">
        <w:tc>
          <w:tcPr>
            <w:tcW w:w="1728" w:type="dxa"/>
          </w:tcPr>
          <w:p w:rsidR="00F7005C" w:rsidRDefault="00F7005C" w:rsidP="00FC3AE5">
            <w:pPr>
              <w:pStyle w:val="TableText"/>
            </w:pPr>
            <w:r>
              <w:t>Local Gov’t</w:t>
            </w:r>
          </w:p>
        </w:tc>
        <w:tc>
          <w:tcPr>
            <w:tcW w:w="1310" w:type="dxa"/>
            <w:shd w:val="clear" w:color="auto" w:fill="D9D9D9" w:themeFill="background1" w:themeFillShade="D9"/>
            <w:vAlign w:val="center"/>
          </w:tcPr>
          <w:p w:rsidR="00F7005C" w:rsidRPr="002B2D16" w:rsidRDefault="00F7005C" w:rsidP="002317A1">
            <w:pPr>
              <w:tabs>
                <w:tab w:val="decimal" w:pos="772"/>
              </w:tabs>
              <w:spacing w:line="180" w:lineRule="auto"/>
              <w:jc w:val="left"/>
            </w:pPr>
            <w:r w:rsidRPr="002B2D16">
              <w:t>487</w:t>
            </w:r>
          </w:p>
        </w:tc>
        <w:tc>
          <w:tcPr>
            <w:tcW w:w="1310" w:type="dxa"/>
            <w:vAlign w:val="center"/>
          </w:tcPr>
          <w:p w:rsidR="00F7005C" w:rsidRPr="002B2D16" w:rsidRDefault="00F7005C" w:rsidP="002317A1">
            <w:pPr>
              <w:tabs>
                <w:tab w:val="decimal" w:pos="772"/>
              </w:tabs>
              <w:spacing w:line="180" w:lineRule="auto"/>
              <w:jc w:val="left"/>
            </w:pPr>
            <w:r w:rsidRPr="002B2D16">
              <w:t>495</w:t>
            </w:r>
          </w:p>
        </w:tc>
        <w:tc>
          <w:tcPr>
            <w:tcW w:w="1310" w:type="dxa"/>
            <w:vAlign w:val="center"/>
          </w:tcPr>
          <w:p w:rsidR="00F7005C" w:rsidRPr="002B2D16" w:rsidRDefault="00F7005C" w:rsidP="002317A1">
            <w:pPr>
              <w:tabs>
                <w:tab w:val="decimal" w:pos="772"/>
              </w:tabs>
              <w:spacing w:line="180" w:lineRule="auto"/>
              <w:jc w:val="left"/>
            </w:pPr>
            <w:r w:rsidRPr="002B2D16">
              <w:t>524</w:t>
            </w:r>
          </w:p>
        </w:tc>
        <w:tc>
          <w:tcPr>
            <w:tcW w:w="1310" w:type="dxa"/>
            <w:vAlign w:val="center"/>
          </w:tcPr>
          <w:p w:rsidR="00F7005C" w:rsidRPr="002B2D16" w:rsidRDefault="00F7005C" w:rsidP="002317A1">
            <w:pPr>
              <w:tabs>
                <w:tab w:val="decimal" w:pos="772"/>
              </w:tabs>
              <w:spacing w:line="180" w:lineRule="auto"/>
              <w:jc w:val="left"/>
            </w:pPr>
            <w:r w:rsidRPr="002B2D16">
              <w:t>558</w:t>
            </w:r>
          </w:p>
        </w:tc>
        <w:tc>
          <w:tcPr>
            <w:tcW w:w="1310" w:type="dxa"/>
            <w:vAlign w:val="center"/>
          </w:tcPr>
          <w:p w:rsidR="00F7005C" w:rsidRPr="002B2D16" w:rsidRDefault="00F7005C" w:rsidP="002317A1">
            <w:pPr>
              <w:tabs>
                <w:tab w:val="decimal" w:pos="772"/>
              </w:tabs>
              <w:spacing w:line="180" w:lineRule="auto"/>
              <w:jc w:val="left"/>
            </w:pPr>
            <w:r w:rsidRPr="002B2D16">
              <w:t>554</w:t>
            </w:r>
          </w:p>
        </w:tc>
        <w:tc>
          <w:tcPr>
            <w:tcW w:w="1298" w:type="dxa"/>
            <w:vAlign w:val="center"/>
          </w:tcPr>
          <w:p w:rsidR="00F7005C" w:rsidRPr="002B2D16" w:rsidRDefault="00F7005C" w:rsidP="00E244FE">
            <w:pPr>
              <w:tabs>
                <w:tab w:val="decimal" w:pos="452"/>
              </w:tabs>
              <w:spacing w:line="180" w:lineRule="auto"/>
              <w:jc w:val="center"/>
            </w:pPr>
            <w:r w:rsidRPr="002B2D16">
              <w:t>565</w:t>
            </w:r>
          </w:p>
        </w:tc>
      </w:tr>
      <w:tr w:rsidR="00F7005C" w:rsidTr="00E244FE">
        <w:tc>
          <w:tcPr>
            <w:tcW w:w="1728" w:type="dxa"/>
          </w:tcPr>
          <w:p w:rsidR="00F7005C" w:rsidRDefault="00F7005C" w:rsidP="00FC3AE5">
            <w:pPr>
              <w:pStyle w:val="TableText"/>
            </w:pPr>
            <w:r>
              <w:t>Foreign Gov’t</w:t>
            </w:r>
          </w:p>
        </w:tc>
        <w:tc>
          <w:tcPr>
            <w:tcW w:w="1310" w:type="dxa"/>
            <w:shd w:val="clear" w:color="auto" w:fill="D9D9D9" w:themeFill="background1" w:themeFillShade="D9"/>
            <w:vAlign w:val="center"/>
          </w:tcPr>
          <w:p w:rsidR="00F7005C" w:rsidRPr="002B2D16" w:rsidRDefault="00F7005C" w:rsidP="002317A1">
            <w:pPr>
              <w:tabs>
                <w:tab w:val="decimal" w:pos="772"/>
              </w:tabs>
              <w:spacing w:line="180" w:lineRule="auto"/>
              <w:jc w:val="left"/>
            </w:pPr>
            <w:r w:rsidRPr="002B2D16">
              <w:t>14</w:t>
            </w:r>
          </w:p>
        </w:tc>
        <w:tc>
          <w:tcPr>
            <w:tcW w:w="1310" w:type="dxa"/>
            <w:vAlign w:val="center"/>
          </w:tcPr>
          <w:p w:rsidR="00F7005C" w:rsidRPr="002B2D16" w:rsidRDefault="00F7005C" w:rsidP="002317A1">
            <w:pPr>
              <w:tabs>
                <w:tab w:val="decimal" w:pos="772"/>
              </w:tabs>
              <w:spacing w:line="180" w:lineRule="auto"/>
              <w:jc w:val="left"/>
            </w:pPr>
            <w:r w:rsidRPr="002B2D16">
              <w:t>14</w:t>
            </w:r>
          </w:p>
        </w:tc>
        <w:tc>
          <w:tcPr>
            <w:tcW w:w="1310" w:type="dxa"/>
            <w:vAlign w:val="center"/>
          </w:tcPr>
          <w:p w:rsidR="00F7005C" w:rsidRPr="002B2D16" w:rsidRDefault="00F7005C" w:rsidP="002317A1">
            <w:pPr>
              <w:tabs>
                <w:tab w:val="decimal" w:pos="772"/>
              </w:tabs>
              <w:spacing w:line="180" w:lineRule="auto"/>
              <w:jc w:val="left"/>
            </w:pPr>
            <w:r w:rsidRPr="002B2D16">
              <w:t>12</w:t>
            </w:r>
          </w:p>
        </w:tc>
        <w:tc>
          <w:tcPr>
            <w:tcW w:w="1310" w:type="dxa"/>
            <w:vAlign w:val="center"/>
          </w:tcPr>
          <w:p w:rsidR="00F7005C" w:rsidRPr="002B2D16" w:rsidRDefault="00F7005C" w:rsidP="002317A1">
            <w:pPr>
              <w:tabs>
                <w:tab w:val="decimal" w:pos="772"/>
              </w:tabs>
              <w:spacing w:line="180" w:lineRule="auto"/>
              <w:jc w:val="left"/>
            </w:pPr>
            <w:r w:rsidRPr="002B2D16">
              <w:t>24</w:t>
            </w:r>
          </w:p>
        </w:tc>
        <w:tc>
          <w:tcPr>
            <w:tcW w:w="1310" w:type="dxa"/>
            <w:vAlign w:val="center"/>
          </w:tcPr>
          <w:p w:rsidR="00F7005C" w:rsidRPr="002B2D16" w:rsidRDefault="00F7005C" w:rsidP="002317A1">
            <w:pPr>
              <w:tabs>
                <w:tab w:val="decimal" w:pos="772"/>
              </w:tabs>
              <w:spacing w:line="180" w:lineRule="auto"/>
              <w:jc w:val="left"/>
            </w:pPr>
            <w:r w:rsidRPr="002B2D16">
              <w:t>22</w:t>
            </w:r>
          </w:p>
        </w:tc>
        <w:tc>
          <w:tcPr>
            <w:tcW w:w="1298" w:type="dxa"/>
            <w:vAlign w:val="center"/>
          </w:tcPr>
          <w:p w:rsidR="00F7005C" w:rsidRPr="002B2D16" w:rsidRDefault="00F7005C" w:rsidP="00E244FE">
            <w:pPr>
              <w:tabs>
                <w:tab w:val="decimal" w:pos="452"/>
              </w:tabs>
              <w:spacing w:line="180" w:lineRule="auto"/>
              <w:jc w:val="center"/>
            </w:pPr>
            <w:r w:rsidRPr="002B2D16">
              <w:t>31</w:t>
            </w:r>
          </w:p>
        </w:tc>
      </w:tr>
      <w:tr w:rsidR="00F7005C" w:rsidTr="00E244FE">
        <w:tc>
          <w:tcPr>
            <w:tcW w:w="1728" w:type="dxa"/>
          </w:tcPr>
          <w:p w:rsidR="00F7005C" w:rsidRDefault="00F7005C" w:rsidP="00FC3AE5">
            <w:pPr>
              <w:pStyle w:val="TableText"/>
            </w:pPr>
            <w:r>
              <w:t>Retired</w:t>
            </w:r>
          </w:p>
        </w:tc>
        <w:tc>
          <w:tcPr>
            <w:tcW w:w="1310" w:type="dxa"/>
            <w:shd w:val="clear" w:color="auto" w:fill="D9D9D9" w:themeFill="background1" w:themeFillShade="D9"/>
            <w:vAlign w:val="center"/>
          </w:tcPr>
          <w:p w:rsidR="00F7005C" w:rsidRPr="002B2D16" w:rsidRDefault="00F7005C" w:rsidP="002317A1">
            <w:pPr>
              <w:tabs>
                <w:tab w:val="decimal" w:pos="772"/>
              </w:tabs>
              <w:spacing w:line="180" w:lineRule="auto"/>
              <w:jc w:val="left"/>
            </w:pPr>
            <w:r w:rsidRPr="002B2D16">
              <w:t>195</w:t>
            </w:r>
          </w:p>
        </w:tc>
        <w:tc>
          <w:tcPr>
            <w:tcW w:w="1310" w:type="dxa"/>
            <w:vAlign w:val="center"/>
          </w:tcPr>
          <w:p w:rsidR="00F7005C" w:rsidRPr="002B2D16" w:rsidRDefault="00F7005C" w:rsidP="002317A1">
            <w:pPr>
              <w:tabs>
                <w:tab w:val="decimal" w:pos="772"/>
              </w:tabs>
              <w:spacing w:line="180" w:lineRule="auto"/>
              <w:jc w:val="left"/>
            </w:pPr>
            <w:r w:rsidRPr="002B2D16">
              <w:t>202</w:t>
            </w:r>
          </w:p>
        </w:tc>
        <w:tc>
          <w:tcPr>
            <w:tcW w:w="1310" w:type="dxa"/>
            <w:vAlign w:val="center"/>
          </w:tcPr>
          <w:p w:rsidR="00F7005C" w:rsidRPr="002B2D16" w:rsidRDefault="00F7005C" w:rsidP="002317A1">
            <w:pPr>
              <w:tabs>
                <w:tab w:val="decimal" w:pos="772"/>
              </w:tabs>
              <w:spacing w:line="180" w:lineRule="auto"/>
              <w:jc w:val="left"/>
            </w:pPr>
            <w:r w:rsidRPr="002B2D16">
              <w:t>196</w:t>
            </w:r>
          </w:p>
        </w:tc>
        <w:tc>
          <w:tcPr>
            <w:tcW w:w="1310" w:type="dxa"/>
            <w:vAlign w:val="center"/>
          </w:tcPr>
          <w:p w:rsidR="00F7005C" w:rsidRPr="002B2D16" w:rsidRDefault="00F7005C" w:rsidP="002317A1">
            <w:pPr>
              <w:tabs>
                <w:tab w:val="decimal" w:pos="772"/>
              </w:tabs>
              <w:spacing w:line="180" w:lineRule="auto"/>
              <w:jc w:val="left"/>
            </w:pPr>
            <w:r w:rsidRPr="002B2D16">
              <w:t>196</w:t>
            </w:r>
          </w:p>
        </w:tc>
        <w:tc>
          <w:tcPr>
            <w:tcW w:w="1310" w:type="dxa"/>
            <w:vAlign w:val="center"/>
          </w:tcPr>
          <w:p w:rsidR="00F7005C" w:rsidRPr="002B2D16" w:rsidRDefault="00F7005C" w:rsidP="002317A1">
            <w:pPr>
              <w:tabs>
                <w:tab w:val="decimal" w:pos="772"/>
              </w:tabs>
              <w:spacing w:line="180" w:lineRule="auto"/>
              <w:jc w:val="left"/>
            </w:pPr>
            <w:r w:rsidRPr="002B2D16">
              <w:t>232</w:t>
            </w:r>
          </w:p>
        </w:tc>
        <w:tc>
          <w:tcPr>
            <w:tcW w:w="1298" w:type="dxa"/>
            <w:vAlign w:val="center"/>
          </w:tcPr>
          <w:p w:rsidR="00F7005C" w:rsidRPr="002B2D16" w:rsidRDefault="00F7005C" w:rsidP="00E244FE">
            <w:pPr>
              <w:tabs>
                <w:tab w:val="decimal" w:pos="452"/>
              </w:tabs>
              <w:spacing w:line="180" w:lineRule="auto"/>
              <w:jc w:val="center"/>
            </w:pPr>
            <w:r w:rsidRPr="002B2D16">
              <w:t>221</w:t>
            </w:r>
          </w:p>
        </w:tc>
      </w:tr>
      <w:tr w:rsidR="00F7005C" w:rsidTr="00E244FE">
        <w:tc>
          <w:tcPr>
            <w:tcW w:w="1728" w:type="dxa"/>
          </w:tcPr>
          <w:p w:rsidR="00F7005C" w:rsidRPr="00477B73" w:rsidRDefault="00F7005C" w:rsidP="00FC3AE5">
            <w:pPr>
              <w:pStyle w:val="TableText"/>
              <w:rPr>
                <w:b/>
              </w:rPr>
            </w:pPr>
          </w:p>
        </w:tc>
        <w:tc>
          <w:tcPr>
            <w:tcW w:w="1310" w:type="dxa"/>
            <w:shd w:val="clear" w:color="auto" w:fill="D9D9D9" w:themeFill="background1" w:themeFillShade="D9"/>
            <w:vAlign w:val="center"/>
          </w:tcPr>
          <w:p w:rsidR="00F7005C" w:rsidRPr="002317A1" w:rsidRDefault="00F7005C" w:rsidP="00E244FE">
            <w:pPr>
              <w:tabs>
                <w:tab w:val="decimal" w:pos="772"/>
              </w:tabs>
              <w:spacing w:line="180" w:lineRule="auto"/>
              <w:jc w:val="left"/>
            </w:pPr>
          </w:p>
        </w:tc>
        <w:tc>
          <w:tcPr>
            <w:tcW w:w="1310" w:type="dxa"/>
            <w:vAlign w:val="center"/>
          </w:tcPr>
          <w:p w:rsidR="00F7005C" w:rsidRPr="002317A1" w:rsidRDefault="00F7005C" w:rsidP="002317A1">
            <w:pPr>
              <w:tabs>
                <w:tab w:val="decimal" w:pos="772"/>
              </w:tabs>
              <w:spacing w:line="180" w:lineRule="auto"/>
              <w:jc w:val="left"/>
            </w:pPr>
          </w:p>
        </w:tc>
        <w:tc>
          <w:tcPr>
            <w:tcW w:w="1310" w:type="dxa"/>
            <w:vAlign w:val="center"/>
          </w:tcPr>
          <w:p w:rsidR="00F7005C" w:rsidRPr="002317A1" w:rsidRDefault="00F7005C" w:rsidP="002317A1">
            <w:pPr>
              <w:tabs>
                <w:tab w:val="decimal" w:pos="720"/>
                <w:tab w:val="decimal" w:pos="772"/>
              </w:tabs>
              <w:spacing w:line="180" w:lineRule="auto"/>
              <w:jc w:val="left"/>
            </w:pPr>
          </w:p>
        </w:tc>
        <w:tc>
          <w:tcPr>
            <w:tcW w:w="1310" w:type="dxa"/>
            <w:vAlign w:val="center"/>
          </w:tcPr>
          <w:p w:rsidR="00F7005C" w:rsidRPr="002317A1" w:rsidRDefault="00F7005C" w:rsidP="002317A1">
            <w:pPr>
              <w:tabs>
                <w:tab w:val="decimal" w:pos="772"/>
              </w:tabs>
              <w:spacing w:line="180" w:lineRule="auto"/>
              <w:jc w:val="left"/>
            </w:pPr>
          </w:p>
        </w:tc>
        <w:tc>
          <w:tcPr>
            <w:tcW w:w="1310" w:type="dxa"/>
            <w:vAlign w:val="center"/>
          </w:tcPr>
          <w:p w:rsidR="00F7005C" w:rsidRPr="00697DDB" w:rsidRDefault="00F7005C" w:rsidP="002317A1">
            <w:pPr>
              <w:keepNext/>
              <w:keepLines/>
              <w:tabs>
                <w:tab w:val="decimal" w:pos="772"/>
                <w:tab w:val="right" w:pos="1062"/>
              </w:tabs>
              <w:jc w:val="left"/>
              <w:rPr>
                <w:highlight w:val="yellow"/>
              </w:rPr>
            </w:pPr>
          </w:p>
        </w:tc>
        <w:tc>
          <w:tcPr>
            <w:tcW w:w="1298" w:type="dxa"/>
            <w:vAlign w:val="center"/>
          </w:tcPr>
          <w:p w:rsidR="00F7005C" w:rsidRPr="00697DDB" w:rsidRDefault="00F7005C" w:rsidP="00E244FE">
            <w:pPr>
              <w:keepNext/>
              <w:keepLines/>
              <w:tabs>
                <w:tab w:val="decimal" w:pos="452"/>
                <w:tab w:val="right" w:pos="1044"/>
              </w:tabs>
              <w:jc w:val="center"/>
              <w:rPr>
                <w:highlight w:val="yellow"/>
              </w:rPr>
            </w:pPr>
          </w:p>
        </w:tc>
      </w:tr>
      <w:tr w:rsidR="00F7005C" w:rsidRPr="002317A1" w:rsidTr="00E244FE">
        <w:tc>
          <w:tcPr>
            <w:tcW w:w="1728" w:type="dxa"/>
          </w:tcPr>
          <w:p w:rsidR="00F7005C" w:rsidRPr="002317A1" w:rsidRDefault="00F607E4" w:rsidP="00FC3AE5">
            <w:pPr>
              <w:pStyle w:val="TableText"/>
              <w:rPr>
                <w:b/>
              </w:rPr>
            </w:pPr>
            <w:r w:rsidRPr="002317A1">
              <w:rPr>
                <w:b/>
              </w:rPr>
              <w:t>Total</w:t>
            </w:r>
          </w:p>
        </w:tc>
        <w:tc>
          <w:tcPr>
            <w:tcW w:w="1310" w:type="dxa"/>
            <w:shd w:val="clear" w:color="auto" w:fill="D9D9D9" w:themeFill="background1" w:themeFillShade="D9"/>
            <w:vAlign w:val="center"/>
          </w:tcPr>
          <w:p w:rsidR="00F7005C" w:rsidRPr="002317A1" w:rsidRDefault="00F7005C" w:rsidP="002317A1">
            <w:pPr>
              <w:tabs>
                <w:tab w:val="decimal" w:pos="772"/>
              </w:tabs>
              <w:spacing w:line="180" w:lineRule="auto"/>
              <w:jc w:val="left"/>
              <w:rPr>
                <w:b/>
              </w:rPr>
            </w:pPr>
            <w:r w:rsidRPr="002317A1">
              <w:rPr>
                <w:b/>
              </w:rPr>
              <w:t>2</w:t>
            </w:r>
            <w:r w:rsidR="0065254E">
              <w:rPr>
                <w:b/>
              </w:rPr>
              <w:t>,</w:t>
            </w:r>
            <w:r w:rsidRPr="002317A1">
              <w:rPr>
                <w:b/>
              </w:rPr>
              <w:t>212</w:t>
            </w:r>
          </w:p>
        </w:tc>
        <w:tc>
          <w:tcPr>
            <w:tcW w:w="1310" w:type="dxa"/>
            <w:vAlign w:val="center"/>
          </w:tcPr>
          <w:p w:rsidR="00F7005C" w:rsidRPr="002317A1" w:rsidRDefault="00F7005C" w:rsidP="002317A1">
            <w:pPr>
              <w:tabs>
                <w:tab w:val="decimal" w:pos="772"/>
              </w:tabs>
              <w:spacing w:line="180" w:lineRule="auto"/>
              <w:jc w:val="left"/>
              <w:rPr>
                <w:b/>
              </w:rPr>
            </w:pPr>
            <w:r w:rsidRPr="002317A1">
              <w:rPr>
                <w:b/>
              </w:rPr>
              <w:t>2</w:t>
            </w:r>
            <w:r w:rsidR="0065254E">
              <w:rPr>
                <w:b/>
              </w:rPr>
              <w:t>,</w:t>
            </w:r>
            <w:r w:rsidRPr="002317A1">
              <w:rPr>
                <w:b/>
              </w:rPr>
              <w:t>180</w:t>
            </w:r>
          </w:p>
        </w:tc>
        <w:tc>
          <w:tcPr>
            <w:tcW w:w="1310" w:type="dxa"/>
            <w:vAlign w:val="center"/>
          </w:tcPr>
          <w:p w:rsidR="00F7005C" w:rsidRPr="002317A1" w:rsidRDefault="00F7005C" w:rsidP="002317A1">
            <w:pPr>
              <w:tabs>
                <w:tab w:val="decimal" w:pos="772"/>
              </w:tabs>
              <w:spacing w:line="180" w:lineRule="auto"/>
              <w:jc w:val="left"/>
              <w:rPr>
                <w:b/>
              </w:rPr>
            </w:pPr>
            <w:r w:rsidRPr="002317A1">
              <w:rPr>
                <w:b/>
              </w:rPr>
              <w:t>2</w:t>
            </w:r>
            <w:r w:rsidR="0065254E">
              <w:rPr>
                <w:b/>
              </w:rPr>
              <w:t>,</w:t>
            </w:r>
            <w:r w:rsidRPr="002317A1">
              <w:rPr>
                <w:b/>
              </w:rPr>
              <w:t>188</w:t>
            </w:r>
          </w:p>
        </w:tc>
        <w:tc>
          <w:tcPr>
            <w:tcW w:w="1310" w:type="dxa"/>
            <w:vAlign w:val="center"/>
          </w:tcPr>
          <w:p w:rsidR="00F7005C" w:rsidRPr="002317A1" w:rsidRDefault="00F7005C" w:rsidP="002317A1">
            <w:pPr>
              <w:tabs>
                <w:tab w:val="decimal" w:pos="772"/>
              </w:tabs>
              <w:spacing w:line="180" w:lineRule="auto"/>
              <w:jc w:val="left"/>
              <w:rPr>
                <w:b/>
              </w:rPr>
            </w:pPr>
            <w:r w:rsidRPr="002317A1">
              <w:rPr>
                <w:b/>
              </w:rPr>
              <w:t>2,373</w:t>
            </w:r>
          </w:p>
        </w:tc>
        <w:tc>
          <w:tcPr>
            <w:tcW w:w="1310" w:type="dxa"/>
            <w:vAlign w:val="center"/>
          </w:tcPr>
          <w:p w:rsidR="00F7005C" w:rsidRPr="002317A1" w:rsidRDefault="00F7005C" w:rsidP="002317A1">
            <w:pPr>
              <w:tabs>
                <w:tab w:val="decimal" w:pos="772"/>
              </w:tabs>
              <w:spacing w:line="180" w:lineRule="auto"/>
              <w:jc w:val="left"/>
              <w:rPr>
                <w:b/>
              </w:rPr>
            </w:pPr>
            <w:r w:rsidRPr="002317A1">
              <w:rPr>
                <w:b/>
              </w:rPr>
              <w:t>2,567</w:t>
            </w:r>
          </w:p>
        </w:tc>
        <w:tc>
          <w:tcPr>
            <w:tcW w:w="1298" w:type="dxa"/>
            <w:vAlign w:val="center"/>
          </w:tcPr>
          <w:p w:rsidR="00F7005C" w:rsidRPr="002317A1" w:rsidRDefault="00F7005C" w:rsidP="00E244FE">
            <w:pPr>
              <w:tabs>
                <w:tab w:val="decimal" w:pos="452"/>
              </w:tabs>
              <w:spacing w:line="180" w:lineRule="auto"/>
              <w:jc w:val="center"/>
              <w:rPr>
                <w:b/>
              </w:rPr>
            </w:pPr>
            <w:r w:rsidRPr="002317A1">
              <w:rPr>
                <w:b/>
              </w:rPr>
              <w:t>2,581</w:t>
            </w:r>
          </w:p>
        </w:tc>
      </w:tr>
    </w:tbl>
    <w:p w:rsidR="00DE4A53" w:rsidRPr="00380897" w:rsidRDefault="00D05429" w:rsidP="00380897">
      <w:pPr>
        <w:pStyle w:val="ItemHeading"/>
      </w:pPr>
      <w:bookmarkStart w:id="69" w:name="_Toc352859905"/>
      <w:r w:rsidRPr="00380897">
        <w:t>110-2</w:t>
      </w:r>
      <w:r w:rsidR="00DE4A53" w:rsidRPr="00380897">
        <w:tab/>
      </w:r>
      <w:r w:rsidR="00FC3AE5" w:rsidRPr="00380897">
        <w:t>I</w:t>
      </w:r>
      <w:r w:rsidR="00FC3AE5" w:rsidRPr="00380897">
        <w:tab/>
      </w:r>
      <w:r w:rsidRPr="00380897">
        <w:t>NCWM Newsletter and Website</w:t>
      </w:r>
      <w:bookmarkEnd w:id="59"/>
      <w:bookmarkEnd w:id="60"/>
      <w:bookmarkEnd w:id="61"/>
      <w:bookmarkEnd w:id="62"/>
      <w:bookmarkEnd w:id="63"/>
      <w:bookmarkEnd w:id="64"/>
      <w:bookmarkEnd w:id="65"/>
      <w:bookmarkEnd w:id="66"/>
      <w:bookmarkEnd w:id="67"/>
      <w:bookmarkEnd w:id="68"/>
      <w:bookmarkEnd w:id="69"/>
    </w:p>
    <w:p w:rsidR="00D05429" w:rsidRPr="002B2D16" w:rsidRDefault="00D05429" w:rsidP="00D05429">
      <w:r>
        <w:t xml:space="preserve">The </w:t>
      </w:r>
      <w:r w:rsidR="00794578">
        <w:t xml:space="preserve">Board </w:t>
      </w:r>
      <w:r>
        <w:t xml:space="preserve">continuously considers ways to monitor and improve the content of the newsletter and website.  Members </w:t>
      </w:r>
      <w:r w:rsidRPr="002B2D16">
        <w:t>are encouraged to bring ideas and articles forward for inclusion in newsletters.  Of particular interest are articles that would be pertinent to field inspectors and the service industry.</w:t>
      </w:r>
    </w:p>
    <w:p w:rsidR="005751D9" w:rsidRDefault="005751D9" w:rsidP="00D05429"/>
    <w:p w:rsidR="00FC3AE5" w:rsidRDefault="00F607E4" w:rsidP="00D05429">
      <w:r w:rsidRPr="002B2D16">
        <w:t xml:space="preserve">At the 2012 Annual Meeting, the </w:t>
      </w:r>
      <w:r w:rsidR="0084481A">
        <w:t>BOD</w:t>
      </w:r>
      <w:r w:rsidRPr="002B2D16">
        <w:t xml:space="preserve"> approved a number of pending enhancements to the website.  Some of these new features include</w:t>
      </w:r>
      <w:r w:rsidR="00FC3AE5" w:rsidRPr="002B2D16">
        <w:t>:</w:t>
      </w:r>
    </w:p>
    <w:p w:rsidR="001475E8" w:rsidRPr="002B2D16" w:rsidRDefault="001475E8" w:rsidP="00D05429"/>
    <w:p w:rsidR="00FC3AE5" w:rsidRPr="002B2D16" w:rsidRDefault="00FC3AE5" w:rsidP="00612B54">
      <w:pPr>
        <w:pStyle w:val="bulletedlist"/>
      </w:pPr>
      <w:r w:rsidRPr="002B2D16">
        <w:t xml:space="preserve">Create a mobile-friendly </w:t>
      </w:r>
      <w:r w:rsidR="00AE16E4" w:rsidRPr="002B2D16">
        <w:t>National Type Evaluation Program (</w:t>
      </w:r>
      <w:r w:rsidRPr="002B2D16">
        <w:t>NTEP</w:t>
      </w:r>
      <w:r w:rsidR="00AE16E4" w:rsidRPr="002B2D16">
        <w:t>)</w:t>
      </w:r>
      <w:r w:rsidRPr="002B2D16">
        <w:t xml:space="preserve"> database search</w:t>
      </w:r>
      <w:r w:rsidR="0084481A">
        <w:t>;</w:t>
      </w:r>
    </w:p>
    <w:p w:rsidR="00FC3AE5" w:rsidRPr="002B2D16" w:rsidRDefault="00FC3AE5" w:rsidP="00612B54">
      <w:pPr>
        <w:pStyle w:val="bulletedlist"/>
      </w:pPr>
      <w:r w:rsidRPr="002B2D16">
        <w:t>Create a mobile-friendly membership directory</w:t>
      </w:r>
      <w:r w:rsidR="0084481A">
        <w:t>;</w:t>
      </w:r>
    </w:p>
    <w:p w:rsidR="00FC3AE5" w:rsidRPr="002B2D16" w:rsidRDefault="00FC3AE5" w:rsidP="00612B54">
      <w:pPr>
        <w:pStyle w:val="bulletedlist"/>
      </w:pPr>
      <w:r w:rsidRPr="002B2D16">
        <w:t xml:space="preserve">Add the option of </w:t>
      </w:r>
      <w:r w:rsidRPr="008D4923">
        <w:rPr>
          <w:u w:color="82C42A"/>
        </w:rPr>
        <w:t>instant PDF download</w:t>
      </w:r>
      <w:r w:rsidRPr="008D4923">
        <w:t xml:space="preserve"> </w:t>
      </w:r>
      <w:r w:rsidRPr="002B2D16">
        <w:t xml:space="preserve">for </w:t>
      </w:r>
      <w:r w:rsidRPr="00A75CE5">
        <w:t>NCWM Publication 14</w:t>
      </w:r>
      <w:r w:rsidRPr="002B2D16">
        <w:t xml:space="preserve"> sales</w:t>
      </w:r>
      <w:r w:rsidR="0084481A">
        <w:t>; and</w:t>
      </w:r>
    </w:p>
    <w:p w:rsidR="00FC3AE5" w:rsidRPr="002B2D16" w:rsidRDefault="00FC3AE5" w:rsidP="00612B54">
      <w:pPr>
        <w:pStyle w:val="bulletedlist"/>
      </w:pPr>
      <w:r w:rsidRPr="002B2D16">
        <w:t xml:space="preserve">Add </w:t>
      </w:r>
      <w:r w:rsidR="00946E0B" w:rsidRPr="002B2D16">
        <w:t xml:space="preserve">the </w:t>
      </w:r>
      <w:r w:rsidRPr="002B2D16">
        <w:t>ability to apply online for NTEP certification</w:t>
      </w:r>
      <w:r w:rsidR="0084481A">
        <w:t>.</w:t>
      </w:r>
    </w:p>
    <w:p w:rsidR="00697DDB" w:rsidRPr="002B2D16" w:rsidRDefault="00697DDB" w:rsidP="00697DDB">
      <w:r w:rsidRPr="002B2D16">
        <w:t>A request was received to populate all of the safety articles from past newsletters into one location on the website for easier access.  This request will be implemented.  Compliments were offered to NCWM and to NIST for posting links to pertinent news pieces related to weights and measures on the NCWM Facebook, LinkedIn, and Twitter accounts and the NIST Directors e</w:t>
      </w:r>
      <w:r w:rsidR="0084481A">
        <w:t>-</w:t>
      </w:r>
      <w:r w:rsidRPr="002B2D16">
        <w:t xml:space="preserve">mail </w:t>
      </w:r>
      <w:r w:rsidRPr="008D4923">
        <w:rPr>
          <w:u w:color="82C42A"/>
        </w:rPr>
        <w:t>listserv</w:t>
      </w:r>
      <w:r w:rsidRPr="008D4923">
        <w:t>.</w:t>
      </w:r>
      <w:r w:rsidRPr="002B2D16">
        <w:t xml:space="preserve">  </w:t>
      </w:r>
    </w:p>
    <w:p w:rsidR="005751D9" w:rsidRDefault="005751D9"/>
    <w:p w:rsidR="00FC3AE5" w:rsidRPr="002B2D16" w:rsidRDefault="00D95037">
      <w:r w:rsidRPr="002B2D16">
        <w:t>Comments and suggestions for improvements to the newsletter and website should be directed to NCWM at (402)</w:t>
      </w:r>
      <w:r w:rsidR="0084481A">
        <w:t> </w:t>
      </w:r>
      <w:r w:rsidRPr="002B2D16">
        <w:t xml:space="preserve">434-4880 or </w:t>
      </w:r>
      <w:r w:rsidRPr="002B2D16">
        <w:rPr>
          <w:rStyle w:val="Hyperlink"/>
        </w:rPr>
        <w:t>info@ncwm.net</w:t>
      </w:r>
      <w:r w:rsidRPr="002B2D16">
        <w:t>.</w:t>
      </w:r>
    </w:p>
    <w:p w:rsidR="005751D9" w:rsidRDefault="005751D9" w:rsidP="007577F6">
      <w:pPr>
        <w:pStyle w:val="BoldHeading"/>
      </w:pPr>
      <w:bookmarkStart w:id="70" w:name="_Toc320020618"/>
    </w:p>
    <w:p w:rsidR="00D05429" w:rsidRPr="002B2D16" w:rsidRDefault="007577F6" w:rsidP="007577F6">
      <w:pPr>
        <w:pStyle w:val="BoldHeading"/>
      </w:pPr>
      <w:r w:rsidRPr="002B2D16">
        <w:t>Online Position Forum:</w:t>
      </w:r>
      <w:bookmarkEnd w:id="70"/>
      <w:r w:rsidR="00D05429" w:rsidRPr="002B2D16">
        <w:t xml:space="preserve"> </w:t>
      </w:r>
    </w:p>
    <w:p w:rsidR="00D95037" w:rsidRPr="002B2D16" w:rsidRDefault="00697DDB" w:rsidP="00D95037">
      <w:r w:rsidRPr="002B2D16">
        <w:t xml:space="preserve">Activity increased somewhat in the second year for the </w:t>
      </w:r>
      <w:r w:rsidR="00D95037" w:rsidRPr="002B2D16">
        <w:t>Online Position Forum</w:t>
      </w:r>
      <w:r w:rsidRPr="002B2D16">
        <w:t>, but it remains light</w:t>
      </w:r>
      <w:r w:rsidR="00D95037" w:rsidRPr="002B2D16">
        <w:t xml:space="preserve">.  The board believes that participation will increase in time as members become more comfortable with it and as committee agenda items generate interest.  </w:t>
      </w:r>
      <w:r w:rsidRPr="002B2D16">
        <w:t>Improvements were made f</w:t>
      </w:r>
      <w:r w:rsidR="00D95037" w:rsidRPr="002B2D16">
        <w:t>ollowing the first experience in 2011</w:t>
      </w:r>
      <w:r w:rsidRPr="002B2D16">
        <w:t xml:space="preserve"> so that comments are more easily viewed.</w:t>
      </w:r>
    </w:p>
    <w:p w:rsidR="005751D9" w:rsidRDefault="005751D9" w:rsidP="00D05429"/>
    <w:p w:rsidR="0065254E" w:rsidRDefault="00D05429" w:rsidP="00D05429">
      <w:r w:rsidRPr="002B2D16">
        <w:t xml:space="preserve">The </w:t>
      </w:r>
      <w:r w:rsidR="007577F6" w:rsidRPr="002B2D16">
        <w:t xml:space="preserve">Online </w:t>
      </w:r>
      <w:r w:rsidRPr="002B2D16">
        <w:t xml:space="preserve">Position Forum is not a voting system.  It is simply a method to present positions, opinions, and supporting documents.  </w:t>
      </w:r>
      <w:r w:rsidR="00D95037" w:rsidRPr="002B2D16">
        <w:t xml:space="preserve">All </w:t>
      </w:r>
      <w:r w:rsidRPr="002B2D16">
        <w:t xml:space="preserve">active, associate, and advisory members have the opportunity to </w:t>
      </w:r>
      <w:r w:rsidRPr="008D4923">
        <w:rPr>
          <w:u w:color="82C42A"/>
        </w:rPr>
        <w:t>login</w:t>
      </w:r>
      <w:r w:rsidRPr="008D4923">
        <w:t>,</w:t>
      </w:r>
      <w:r w:rsidRPr="002B2D16">
        <w:t xml:space="preserve"> view committee </w:t>
      </w:r>
      <w:r w:rsidRPr="002B2D16">
        <w:lastRenderedPageBreak/>
        <w:t xml:space="preserve">agenda items, enter positions and comments, and upload supporting </w:t>
      </w:r>
      <w:r w:rsidR="000A61D0" w:rsidRPr="002B2D16">
        <w:t>.pdf</w:t>
      </w:r>
      <w:r w:rsidRPr="002B2D16">
        <w:t xml:space="preserve"> documents for each agenda item of standing committees or the </w:t>
      </w:r>
      <w:r w:rsidR="00794578" w:rsidRPr="002B2D16">
        <w:t>Board</w:t>
      </w:r>
      <w:r w:rsidRPr="002B2D16">
        <w:t xml:space="preserve">.  </w:t>
      </w:r>
    </w:p>
    <w:p w:rsidR="005751D9" w:rsidRDefault="005751D9" w:rsidP="00D05429"/>
    <w:p w:rsidR="00D05429" w:rsidRDefault="00D05429" w:rsidP="00D05429">
      <w:r w:rsidRPr="002B2D16">
        <w:t>The options for each agenda item are:</w:t>
      </w:r>
    </w:p>
    <w:p w:rsidR="001475E8" w:rsidRPr="002B2D16" w:rsidRDefault="001475E8" w:rsidP="00D05429"/>
    <w:p w:rsidR="00D05429" w:rsidRPr="002B2D16" w:rsidRDefault="00D05429" w:rsidP="00D05429">
      <w:pPr>
        <w:pStyle w:val="bulletedlist"/>
      </w:pPr>
      <w:r w:rsidRPr="002B2D16">
        <w:t>Support</w:t>
      </w:r>
      <w:r w:rsidR="0084481A">
        <w:t>;</w:t>
      </w:r>
    </w:p>
    <w:p w:rsidR="00D05429" w:rsidRPr="002B2D16" w:rsidRDefault="00D05429" w:rsidP="00D05429">
      <w:pPr>
        <w:pStyle w:val="bulletedlist"/>
      </w:pPr>
      <w:r w:rsidRPr="002B2D16">
        <w:t>Support with Comments</w:t>
      </w:r>
      <w:r w:rsidR="0084481A">
        <w:t>;</w:t>
      </w:r>
    </w:p>
    <w:p w:rsidR="00D05429" w:rsidRPr="002B2D16" w:rsidRDefault="00D05429" w:rsidP="00D05429">
      <w:pPr>
        <w:pStyle w:val="bulletedlist"/>
      </w:pPr>
      <w:r w:rsidRPr="002B2D16">
        <w:t>Oppose with Comments</w:t>
      </w:r>
      <w:r w:rsidR="0084481A">
        <w:t>;</w:t>
      </w:r>
    </w:p>
    <w:p w:rsidR="00D05429" w:rsidRPr="002B2D16" w:rsidRDefault="00D05429" w:rsidP="00D05429">
      <w:pPr>
        <w:pStyle w:val="bulletedlist"/>
      </w:pPr>
      <w:r w:rsidRPr="002B2D16">
        <w:t>Neutral</w:t>
      </w:r>
      <w:r w:rsidR="0084481A">
        <w:t>; or</w:t>
      </w:r>
    </w:p>
    <w:p w:rsidR="00D05429" w:rsidRPr="002B2D16" w:rsidRDefault="00D05429" w:rsidP="00D05429">
      <w:pPr>
        <w:pStyle w:val="bulletedlist"/>
      </w:pPr>
      <w:r w:rsidRPr="002B2D16">
        <w:t>Neutral with Comments</w:t>
      </w:r>
      <w:r w:rsidR="0084481A">
        <w:t>.</w:t>
      </w:r>
    </w:p>
    <w:p w:rsidR="00D05429" w:rsidRPr="002B2D16" w:rsidRDefault="00D95037" w:rsidP="00D05429">
      <w:r w:rsidRPr="002B2D16">
        <w:t xml:space="preserve">Staff will notify members when the forum is ready for them to enter their comments </w:t>
      </w:r>
      <w:r w:rsidR="00697DDB" w:rsidRPr="002B2D16">
        <w:t>each spring.</w:t>
      </w:r>
      <w:r w:rsidRPr="002B2D16">
        <w:t xml:space="preserve">  The comment period will end on May 31</w:t>
      </w:r>
      <w:r w:rsidR="00946E0B" w:rsidRPr="002B2D16">
        <w:t xml:space="preserve">. </w:t>
      </w:r>
      <w:r w:rsidRPr="002B2D16">
        <w:t xml:space="preserve"> </w:t>
      </w:r>
      <w:r w:rsidR="00946E0B" w:rsidRPr="002B2D16">
        <w:t>O</w:t>
      </w:r>
      <w:r w:rsidRPr="002B2D16">
        <w:t xml:space="preserve">n June 1 members will be </w:t>
      </w:r>
      <w:r w:rsidR="00D05429" w:rsidRPr="002B2D16">
        <w:t>able to view positions, comments, and supporting documents by others</w:t>
      </w:r>
      <w:r w:rsidRPr="002B2D16">
        <w:t>.</w:t>
      </w:r>
      <w:r w:rsidR="00D05429" w:rsidRPr="002B2D16">
        <w:t xml:space="preserve"> </w:t>
      </w:r>
      <w:r w:rsidRPr="002B2D16">
        <w:t xml:space="preserve"> This will help them prepare </w:t>
      </w:r>
      <w:r w:rsidR="00D05429" w:rsidRPr="002B2D16">
        <w:t>for the deliberations and voting at</w:t>
      </w:r>
      <w:r w:rsidR="000A61D0" w:rsidRPr="002B2D16">
        <w:t xml:space="preserve"> the Annual Meeting in July</w:t>
      </w:r>
      <w:r w:rsidR="00612B54" w:rsidRPr="002B2D16">
        <w:t xml:space="preserve"> </w:t>
      </w:r>
      <w:r w:rsidR="001D10E6" w:rsidRPr="002B2D16">
        <w:t xml:space="preserve">by having </w:t>
      </w:r>
      <w:r w:rsidR="00D05429" w:rsidRPr="002B2D16">
        <w:t>a better idea of positions others may have.</w:t>
      </w:r>
    </w:p>
    <w:p w:rsidR="005751D9" w:rsidRDefault="005751D9" w:rsidP="00D05429">
      <w:pPr>
        <w:pStyle w:val="BoldHeading"/>
      </w:pPr>
      <w:bookmarkStart w:id="71" w:name="_Toc320020619"/>
    </w:p>
    <w:p w:rsidR="00D05429" w:rsidRPr="002B2D16" w:rsidRDefault="00D05429" w:rsidP="00D05429">
      <w:pPr>
        <w:pStyle w:val="BoldHeading"/>
      </w:pPr>
      <w:r w:rsidRPr="002B2D16">
        <w:t>Social Networking:</w:t>
      </w:r>
      <w:bookmarkEnd w:id="71"/>
      <w:r w:rsidRPr="002B2D16">
        <w:t xml:space="preserve">  </w:t>
      </w:r>
    </w:p>
    <w:p w:rsidR="00D05429" w:rsidRPr="002B2D16" w:rsidRDefault="001D10E6" w:rsidP="00D05429">
      <w:r w:rsidRPr="002B2D16">
        <w:t xml:space="preserve">NCWM has accounts with LinkedIn, Facebook, and Twitter to improve our outreach.  </w:t>
      </w:r>
      <w:r w:rsidR="00D05429" w:rsidRPr="002B2D16">
        <w:t xml:space="preserve">By opening these accounts, NCWM is now more visible in </w:t>
      </w:r>
      <w:r w:rsidR="0084481A">
        <w:t>I</w:t>
      </w:r>
      <w:r w:rsidR="0084481A" w:rsidRPr="002B2D16">
        <w:t xml:space="preserve">nternet </w:t>
      </w:r>
      <w:r w:rsidR="00D05429" w:rsidRPr="002B2D16">
        <w:t>search engines and will be more identifiable to tech-savvy stakeholders</w:t>
      </w:r>
      <w:r w:rsidR="00D05429">
        <w:t xml:space="preserve">.  </w:t>
      </w:r>
      <w:r w:rsidR="0084481A">
        <w:t xml:space="preserve">Users </w:t>
      </w:r>
      <w:r>
        <w:t>will find links to weights and measures related news stories</w:t>
      </w:r>
      <w:r w:rsidR="0084481A">
        <w:t>,</w:t>
      </w:r>
      <w:r>
        <w:t xml:space="preserve"> and they will be kept informed throughout the Interim and Annual Meetings of special announcements including any changes in schedule</w:t>
      </w:r>
      <w:r w:rsidR="0084481A">
        <w:t>s</w:t>
      </w:r>
      <w:r>
        <w:t xml:space="preserve">.  This has been very helpful for meeting attendees who carry </w:t>
      </w:r>
      <w:r w:rsidRPr="008D4923">
        <w:rPr>
          <w:u w:color="82C42A"/>
        </w:rPr>
        <w:t>hand-held</w:t>
      </w:r>
      <w:r w:rsidRPr="008D4923">
        <w:t xml:space="preserve"> </w:t>
      </w:r>
      <w:r w:rsidRPr="002B2D16">
        <w:t>devices.</w:t>
      </w:r>
      <w:r w:rsidR="001F499A" w:rsidRPr="002B2D16">
        <w:t xml:space="preserve">  In the past year, staff has posted many news articles of interest to the weights and measures community on the social networks, generating increased interest and following.  </w:t>
      </w:r>
    </w:p>
    <w:p w:rsidR="005751D9" w:rsidRDefault="005751D9" w:rsidP="00D05429">
      <w:pPr>
        <w:pStyle w:val="BoldHeading"/>
      </w:pPr>
      <w:bookmarkStart w:id="72" w:name="_Toc320020620"/>
    </w:p>
    <w:p w:rsidR="00D05429" w:rsidRPr="002B2D16" w:rsidRDefault="007F681D" w:rsidP="00D05429">
      <w:pPr>
        <w:pStyle w:val="BoldHeading"/>
      </w:pPr>
      <w:r w:rsidRPr="002B2D16">
        <w:t>Professional</w:t>
      </w:r>
      <w:r w:rsidR="00D05429" w:rsidRPr="002B2D16">
        <w:t xml:space="preserve"> Certification Program:</w:t>
      </w:r>
      <w:bookmarkEnd w:id="72"/>
      <w:r w:rsidR="00D05429" w:rsidRPr="002B2D16">
        <w:t xml:space="preserve">  </w:t>
      </w:r>
    </w:p>
    <w:p w:rsidR="001F499A" w:rsidRDefault="00917D24" w:rsidP="00D05429">
      <w:r w:rsidRPr="002B2D16">
        <w:t>P</w:t>
      </w:r>
      <w:r w:rsidR="00826A73" w:rsidRPr="002B2D16">
        <w:t>rofessional certification</w:t>
      </w:r>
      <w:r w:rsidR="00D05429" w:rsidRPr="002B2D16">
        <w:t xml:space="preserve"> exams </w:t>
      </w:r>
      <w:r w:rsidRPr="002B2D16">
        <w:t xml:space="preserve">can be purchased </w:t>
      </w:r>
      <w:r w:rsidR="00D05429" w:rsidRPr="002B2D16">
        <w:t xml:space="preserve">through the online shopping cart at </w:t>
      </w:r>
      <w:hyperlink r:id="rId16" w:history="1">
        <w:r w:rsidR="00794578" w:rsidRPr="004E7A5F">
          <w:rPr>
            <w:rStyle w:val="Hyperlink"/>
            <w:noProof w:val="0"/>
          </w:rPr>
          <w:t>www.ncwm.net/examinations</w:t>
        </w:r>
      </w:hyperlink>
      <w:r w:rsidR="0084481A">
        <w:t>.</w:t>
      </w:r>
      <w:r w:rsidR="00D05429" w:rsidRPr="002B2D16">
        <w:t xml:space="preserve">  </w:t>
      </w:r>
      <w:r w:rsidR="00826A73" w:rsidRPr="002B2D16">
        <w:t>Exams are free for members and $75 per exam for non</w:t>
      </w:r>
      <w:r w:rsidR="00FC7DF4" w:rsidRPr="002B2D16">
        <w:t>-</w:t>
      </w:r>
      <w:r w:rsidR="00826A73" w:rsidRPr="002B2D16">
        <w:t>members.  By logging in as a member, the price will be adjusted to $0</w:t>
      </w:r>
      <w:r w:rsidRPr="002B2D16">
        <w:t xml:space="preserve"> in the shopping cart.  </w:t>
      </w:r>
      <w:r w:rsidR="00D05429" w:rsidRPr="002B2D16">
        <w:t xml:space="preserve">As orders are received, NCWM sends an e-mail to the </w:t>
      </w:r>
      <w:r w:rsidRPr="002B2D16">
        <w:t>customer</w:t>
      </w:r>
      <w:r w:rsidR="00D05429" w:rsidRPr="002B2D16">
        <w:t xml:space="preserve"> providing the credentials to log into the test site to take the online</w:t>
      </w:r>
      <w:r w:rsidR="00FC7DF4" w:rsidRPr="002B2D16">
        <w:t xml:space="preserve"> exam</w:t>
      </w:r>
      <w:r w:rsidR="00D05429" w:rsidRPr="002B2D16">
        <w:t>.</w:t>
      </w:r>
      <w:r w:rsidR="007F681D" w:rsidRPr="002B2D16">
        <w:t xml:space="preserve">  </w:t>
      </w:r>
      <w:r w:rsidR="004D3EE4">
        <w:t>A</w:t>
      </w:r>
      <w:r w:rsidR="001F499A" w:rsidRPr="002B2D16">
        <w:t xml:space="preserve">n applicant </w:t>
      </w:r>
      <w:r w:rsidR="004D3EE4">
        <w:t xml:space="preserve">who </w:t>
      </w:r>
      <w:r w:rsidR="001F499A" w:rsidRPr="002B2D16">
        <w:t>does not pass the exam in the first attempt</w:t>
      </w:r>
      <w:r w:rsidR="004D3EE4">
        <w:t xml:space="preserve"> </w:t>
      </w:r>
      <w:r w:rsidR="001F499A" w:rsidRPr="002B2D16">
        <w:t>may log in at a later date and have one retake</w:t>
      </w:r>
      <w:r w:rsidR="00C62560" w:rsidRPr="002B2D16">
        <w:t>.  After that, it will be necessary to reapply</w:t>
      </w:r>
      <w:r w:rsidR="001F499A" w:rsidRPr="002B2D16">
        <w:t xml:space="preserve">.  </w:t>
      </w:r>
      <w:r w:rsidR="007F681D" w:rsidRPr="002B2D16">
        <w:t xml:space="preserve">Certification is </w:t>
      </w:r>
      <w:r w:rsidR="001F499A" w:rsidRPr="002B2D16">
        <w:t>now available in three areas, including:</w:t>
      </w:r>
    </w:p>
    <w:p w:rsidR="001475E8" w:rsidRPr="002B2D16" w:rsidRDefault="001475E8" w:rsidP="00D05429"/>
    <w:p w:rsidR="001F499A" w:rsidRPr="002B2D16" w:rsidRDefault="001F499A" w:rsidP="001F499A">
      <w:pPr>
        <w:pStyle w:val="ListParagraph"/>
        <w:numPr>
          <w:ilvl w:val="0"/>
          <w:numId w:val="21"/>
        </w:numPr>
      </w:pPr>
      <w:r w:rsidRPr="002B2D16">
        <w:t>Retail Motor Fuel Dispensing Systems</w:t>
      </w:r>
      <w:r w:rsidR="0084481A">
        <w:t>;</w:t>
      </w:r>
    </w:p>
    <w:p w:rsidR="001F499A" w:rsidRPr="002B2D16" w:rsidRDefault="001F499A" w:rsidP="001F499A">
      <w:pPr>
        <w:pStyle w:val="ListParagraph"/>
        <w:numPr>
          <w:ilvl w:val="0"/>
          <w:numId w:val="21"/>
        </w:numPr>
      </w:pPr>
      <w:r w:rsidRPr="002B2D16">
        <w:t>Package Checking Basic</w:t>
      </w:r>
      <w:r w:rsidR="0084481A">
        <w:t>; and</w:t>
      </w:r>
    </w:p>
    <w:p w:rsidR="001F499A" w:rsidRPr="002B2D16" w:rsidRDefault="001F499A" w:rsidP="001F499A">
      <w:pPr>
        <w:pStyle w:val="ListParagraph"/>
        <w:numPr>
          <w:ilvl w:val="0"/>
          <w:numId w:val="21"/>
        </w:numPr>
      </w:pPr>
      <w:r w:rsidRPr="002B2D16">
        <w:t>Small Capacity Weighing Systems Class III</w:t>
      </w:r>
      <w:r w:rsidR="0084481A">
        <w:t>.</w:t>
      </w:r>
    </w:p>
    <w:p w:rsidR="005751D9" w:rsidRDefault="005751D9" w:rsidP="001F499A"/>
    <w:p w:rsidR="001F499A" w:rsidRPr="002B2D16" w:rsidRDefault="001F499A" w:rsidP="001F499A">
      <w:r w:rsidRPr="002B2D16">
        <w:t>See the report of the Professional Development Committee for information regarding additional exams under development.</w:t>
      </w:r>
    </w:p>
    <w:p w:rsidR="00DE4A53" w:rsidRPr="00380897" w:rsidRDefault="00D05429" w:rsidP="00380897">
      <w:pPr>
        <w:pStyle w:val="ItemHeading"/>
      </w:pPr>
      <w:bookmarkStart w:id="73" w:name="_Toc308082678"/>
      <w:bookmarkStart w:id="74" w:name="_Toc308082722"/>
      <w:bookmarkStart w:id="75" w:name="_Toc308083521"/>
      <w:bookmarkStart w:id="76" w:name="_Toc308083918"/>
      <w:bookmarkStart w:id="77" w:name="_Toc308424344"/>
      <w:bookmarkStart w:id="78" w:name="_Toc308424734"/>
      <w:bookmarkStart w:id="79" w:name="_Toc308425340"/>
      <w:bookmarkStart w:id="80" w:name="_Toc308595418"/>
      <w:bookmarkStart w:id="81" w:name="_Toc308595824"/>
      <w:bookmarkStart w:id="82" w:name="_Toc308596029"/>
      <w:bookmarkStart w:id="83" w:name="_Toc352859906"/>
      <w:r w:rsidRPr="00380897">
        <w:t>110-3</w:t>
      </w:r>
      <w:r w:rsidR="00DE4A53" w:rsidRPr="00380897">
        <w:tab/>
      </w:r>
      <w:r w:rsidR="001D10E6" w:rsidRPr="00380897">
        <w:t>I</w:t>
      </w:r>
      <w:r w:rsidR="001D10E6" w:rsidRPr="00380897">
        <w:tab/>
      </w:r>
      <w:r w:rsidRPr="00380897">
        <w:t>Meetings Update</w:t>
      </w:r>
      <w:bookmarkEnd w:id="73"/>
      <w:bookmarkEnd w:id="74"/>
      <w:bookmarkEnd w:id="75"/>
      <w:bookmarkEnd w:id="76"/>
      <w:bookmarkEnd w:id="77"/>
      <w:bookmarkEnd w:id="78"/>
      <w:bookmarkEnd w:id="79"/>
      <w:bookmarkEnd w:id="80"/>
      <w:bookmarkEnd w:id="81"/>
      <w:bookmarkEnd w:id="82"/>
      <w:bookmarkEnd w:id="83"/>
    </w:p>
    <w:p w:rsidR="00D05429" w:rsidRDefault="00D05429" w:rsidP="00D05429">
      <w:pPr>
        <w:pStyle w:val="BoldHeading"/>
      </w:pPr>
      <w:bookmarkStart w:id="84" w:name="_Toc320020621"/>
      <w:r w:rsidRPr="002B2D16">
        <w:t>Interim Meetings:</w:t>
      </w:r>
      <w:bookmarkEnd w:id="84"/>
    </w:p>
    <w:p w:rsidR="001475E8" w:rsidRPr="002B2D16" w:rsidRDefault="001475E8" w:rsidP="00D05429">
      <w:pPr>
        <w:pStyle w:val="BoldHeading"/>
      </w:pPr>
    </w:p>
    <w:p w:rsidR="00D05429" w:rsidRPr="002B2D16" w:rsidRDefault="00D05429" w:rsidP="0012660D">
      <w:pPr>
        <w:pStyle w:val="bulletedlist"/>
      </w:pPr>
      <w:r w:rsidRPr="002B2D16">
        <w:t>January 27 - 30, 2013</w:t>
      </w:r>
      <w:r w:rsidRPr="002B2D16">
        <w:tab/>
      </w:r>
      <w:r w:rsidR="00826A73" w:rsidRPr="002B2D16">
        <w:t xml:space="preserve">Francis Marion Hotel, </w:t>
      </w:r>
      <w:r w:rsidRPr="002B2D16">
        <w:t>Charleston, South Carolina</w:t>
      </w:r>
    </w:p>
    <w:p w:rsidR="00D05429" w:rsidRPr="002B2D16" w:rsidRDefault="00D05429" w:rsidP="0012660D">
      <w:pPr>
        <w:pStyle w:val="bulletedlist"/>
      </w:pPr>
      <w:r w:rsidRPr="002B2D16">
        <w:t xml:space="preserve">January </w:t>
      </w:r>
      <w:r w:rsidR="00826A73" w:rsidRPr="002B2D16">
        <w:t xml:space="preserve">19 - 22, </w:t>
      </w:r>
      <w:r w:rsidRPr="002B2D16">
        <w:t>2014</w:t>
      </w:r>
      <w:r w:rsidRPr="002B2D16">
        <w:tab/>
      </w:r>
      <w:r w:rsidR="00826A73" w:rsidRPr="002B2D16">
        <w:t xml:space="preserve">Hotel Albuquerque, </w:t>
      </w:r>
      <w:r w:rsidR="00917D24" w:rsidRPr="002B2D16">
        <w:t>Albuquerque, New Mexico</w:t>
      </w:r>
    </w:p>
    <w:p w:rsidR="00672DF9" w:rsidRPr="002B2D16" w:rsidRDefault="00672DF9" w:rsidP="0012660D">
      <w:pPr>
        <w:pStyle w:val="bulletedlist"/>
      </w:pPr>
      <w:r w:rsidRPr="002B2D16">
        <w:t>January 2015</w:t>
      </w:r>
      <w:r w:rsidRPr="002B2D16">
        <w:tab/>
      </w:r>
      <w:r w:rsidRPr="002B2D16">
        <w:tab/>
      </w:r>
      <w:r w:rsidR="002B2D16" w:rsidRPr="002B2D16">
        <w:t>Hotel to be determined in Tampa, Florida</w:t>
      </w:r>
    </w:p>
    <w:p w:rsidR="005751D9" w:rsidRDefault="005751D9" w:rsidP="00C62560">
      <w:pPr>
        <w:pStyle w:val="BoldHeading"/>
      </w:pPr>
      <w:bookmarkStart w:id="85" w:name="_Toc320020622"/>
    </w:p>
    <w:p w:rsidR="00D05429" w:rsidRDefault="00D05429" w:rsidP="001475E8">
      <w:pPr>
        <w:pStyle w:val="BoldHeading"/>
        <w:keepNext/>
      </w:pPr>
      <w:r w:rsidRPr="002B2D16">
        <w:lastRenderedPageBreak/>
        <w:t>Annual Meetings:</w:t>
      </w:r>
      <w:bookmarkEnd w:id="85"/>
    </w:p>
    <w:p w:rsidR="001475E8" w:rsidRPr="002B2D16" w:rsidRDefault="001475E8" w:rsidP="001475E8">
      <w:pPr>
        <w:pStyle w:val="BoldHeading"/>
        <w:keepNext/>
      </w:pPr>
    </w:p>
    <w:p w:rsidR="00D05429" w:rsidRPr="002B2D16" w:rsidRDefault="00D05429" w:rsidP="001475E8">
      <w:pPr>
        <w:pStyle w:val="bulletedlist"/>
        <w:keepNext/>
      </w:pPr>
      <w:r w:rsidRPr="002B2D16">
        <w:t>July 14</w:t>
      </w:r>
      <w:r w:rsidR="0065254E">
        <w:t xml:space="preserve"> </w:t>
      </w:r>
      <w:r w:rsidRPr="002B2D16">
        <w:t>-</w:t>
      </w:r>
      <w:r w:rsidR="0065254E">
        <w:t xml:space="preserve"> </w:t>
      </w:r>
      <w:r w:rsidRPr="002B2D16">
        <w:t>18, 2013</w:t>
      </w:r>
      <w:r w:rsidRPr="002B2D16">
        <w:tab/>
        <w:t>Seelbach Hilton Louisville, Louisville, Kentucky</w:t>
      </w:r>
    </w:p>
    <w:p w:rsidR="00672DF9" w:rsidRPr="002B2D16" w:rsidRDefault="00D05429" w:rsidP="001475E8">
      <w:pPr>
        <w:pStyle w:val="bulletedlist"/>
        <w:keepNext/>
      </w:pPr>
      <w:r w:rsidRPr="002B2D16">
        <w:t>July 2014</w:t>
      </w:r>
      <w:r w:rsidRPr="002B2D16">
        <w:tab/>
      </w:r>
      <w:r w:rsidRPr="002B2D16">
        <w:tab/>
      </w:r>
      <w:r w:rsidR="00C62560" w:rsidRPr="002B2D16">
        <w:t>The Westin, Detroit, Michigan</w:t>
      </w:r>
    </w:p>
    <w:p w:rsidR="00C62560" w:rsidRPr="002B2D16" w:rsidRDefault="00C62560" w:rsidP="0012660D">
      <w:pPr>
        <w:pStyle w:val="bulletedlist"/>
      </w:pPr>
      <w:r w:rsidRPr="002B2D16">
        <w:t>July 2015</w:t>
      </w:r>
      <w:r w:rsidRPr="002B2D16">
        <w:tab/>
      </w:r>
      <w:r w:rsidRPr="002B2D16">
        <w:tab/>
        <w:t>TBD</w:t>
      </w:r>
    </w:p>
    <w:p w:rsidR="00D05429" w:rsidRPr="002B2D16" w:rsidRDefault="00D05429" w:rsidP="00D05429">
      <w:r w:rsidRPr="002B2D16">
        <w:t>NCWM strives to plan meetings in locations that offer comfortable rooms and a variety of entertainm</w:t>
      </w:r>
      <w:r w:rsidR="00C67842" w:rsidRPr="002B2D16">
        <w:t xml:space="preserve">ent and dining options close by.  </w:t>
      </w:r>
      <w:r w:rsidRPr="002B2D16">
        <w:t>The following is a brief description of future planned events.</w:t>
      </w:r>
    </w:p>
    <w:p w:rsidR="005751D9" w:rsidRDefault="005751D9" w:rsidP="00D05429"/>
    <w:p w:rsidR="00D05429" w:rsidRPr="002B2D16" w:rsidRDefault="00D05429" w:rsidP="00D05429">
      <w:r w:rsidRPr="002B2D16">
        <w:t xml:space="preserve">The 2013 Interim Meeting will be at the Francis Marion Hotel in historic downtown Charleston, South Carolina.  It is truly a beautiful hotel situated perfectly for attendees to get the full Charleston experience.  The 2013 Annual Meeting will be held at </w:t>
      </w:r>
      <w:r w:rsidR="00491A2E" w:rsidRPr="002B2D16">
        <w:t xml:space="preserve">the Seelbach Hilton in Louisville, Kentucky.  The hotel was built in 1905 and is listed on the National </w:t>
      </w:r>
      <w:r w:rsidR="00824592" w:rsidRPr="002B2D16">
        <w:t>R</w:t>
      </w:r>
      <w:r w:rsidR="00491A2E" w:rsidRPr="002B2D16">
        <w:t xml:space="preserve">egister of Historic Places.  Attendees </w:t>
      </w:r>
      <w:r w:rsidR="00672DF9" w:rsidRPr="002B2D16">
        <w:t xml:space="preserve">can </w:t>
      </w:r>
      <w:r w:rsidR="00491A2E" w:rsidRPr="002B2D16">
        <w:t>simply walk out the door t</w:t>
      </w:r>
      <w:r w:rsidR="00672DF9" w:rsidRPr="002B2D16">
        <w:t xml:space="preserve">o experience Fourth Street Live where there </w:t>
      </w:r>
      <w:r w:rsidR="00824592" w:rsidRPr="002B2D16">
        <w:t>are</w:t>
      </w:r>
      <w:r w:rsidR="00672DF9" w:rsidRPr="002B2D16">
        <w:t xml:space="preserve"> plenty of restaurants and entertainment.</w:t>
      </w:r>
      <w:r w:rsidRPr="002B2D16">
        <w:t xml:space="preserve">  </w:t>
      </w:r>
    </w:p>
    <w:p w:rsidR="005751D9" w:rsidRDefault="005751D9" w:rsidP="00C62560"/>
    <w:p w:rsidR="00C62560" w:rsidRPr="002B2D16" w:rsidRDefault="00C62560" w:rsidP="00C62560">
      <w:r w:rsidRPr="002B2D16">
        <w:t>The board has selected Tampa, Florida</w:t>
      </w:r>
      <w:r w:rsidR="0084481A">
        <w:t>,</w:t>
      </w:r>
      <w:r w:rsidRPr="002B2D16">
        <w:t xml:space="preserve"> for the 2015 Interim Meeting.  A final decision will be made on the hotel for that event at the fall 2012 </w:t>
      </w:r>
      <w:r w:rsidR="0084481A">
        <w:t>BOD</w:t>
      </w:r>
      <w:r w:rsidR="0084481A" w:rsidRPr="002B2D16">
        <w:t xml:space="preserve"> </w:t>
      </w:r>
      <w:r w:rsidRPr="002B2D16">
        <w:t>meeting.</w:t>
      </w:r>
    </w:p>
    <w:p w:rsidR="005751D9" w:rsidRDefault="005751D9" w:rsidP="00825A7C">
      <w:pPr>
        <w:pStyle w:val="BoldHeading"/>
      </w:pPr>
      <w:bookmarkStart w:id="86" w:name="_Toc320020623"/>
    </w:p>
    <w:p w:rsidR="00825A7C" w:rsidRPr="002B2D16" w:rsidRDefault="00672DF9" w:rsidP="00825A7C">
      <w:pPr>
        <w:pStyle w:val="BoldHeading"/>
      </w:pPr>
      <w:r w:rsidRPr="002B2D16">
        <w:t>100</w:t>
      </w:r>
      <w:r w:rsidRPr="002B2D16">
        <w:rPr>
          <w:vertAlign w:val="superscript"/>
        </w:rPr>
        <w:t>th</w:t>
      </w:r>
      <w:r w:rsidRPr="002B2D16">
        <w:t xml:space="preserve"> NCWM Annual Meeting:</w:t>
      </w:r>
      <w:bookmarkEnd w:id="86"/>
      <w:r w:rsidRPr="002B2D16">
        <w:t xml:space="preserve"> </w:t>
      </w:r>
    </w:p>
    <w:p w:rsidR="00DE4A53" w:rsidRDefault="00672DF9" w:rsidP="00D05429">
      <w:r w:rsidRPr="002B2D16">
        <w:t>T</w:t>
      </w:r>
      <w:r w:rsidR="00D05429" w:rsidRPr="002B2D16">
        <w:t xml:space="preserve">he </w:t>
      </w:r>
      <w:r w:rsidRPr="002B2D16">
        <w:t>board</w:t>
      </w:r>
      <w:r w:rsidR="00D05429" w:rsidRPr="002B2D16">
        <w:t xml:space="preserve"> </w:t>
      </w:r>
      <w:r w:rsidRPr="002B2D16">
        <w:t>hopes</w:t>
      </w:r>
      <w:r w:rsidR="00D05429" w:rsidRPr="002B2D16">
        <w:t xml:space="preserve"> to make the 2015 Annual </w:t>
      </w:r>
      <w:r w:rsidR="00CB542C" w:rsidRPr="002B2D16">
        <w:t>M</w:t>
      </w:r>
      <w:r w:rsidR="00D05429" w:rsidRPr="002B2D16">
        <w:t>eeting a very special event</w:t>
      </w:r>
      <w:r w:rsidRPr="002B2D16">
        <w:t xml:space="preserve"> and one that you won’t want to miss</w:t>
      </w:r>
      <w:r w:rsidR="00D05429" w:rsidRPr="002B2D16">
        <w:t>.  In addition to addressing the business of the organization, NCWM will</w:t>
      </w:r>
      <w:r w:rsidR="00D05429">
        <w:t xml:space="preserve"> be celebrating its 100</w:t>
      </w:r>
      <w:r w:rsidR="00D05429" w:rsidRPr="00464D49">
        <w:rPr>
          <w:vertAlign w:val="superscript"/>
        </w:rPr>
        <w:t>th</w:t>
      </w:r>
      <w:r w:rsidR="00D05429">
        <w:t xml:space="preserve"> Annual Meeting 110</w:t>
      </w:r>
      <w:r w:rsidR="00464D49">
        <w:t> </w:t>
      </w:r>
      <w:r w:rsidR="00D05429">
        <w:t xml:space="preserve">years after our first meeting in 1905.  </w:t>
      </w:r>
      <w:r w:rsidR="001D10E6">
        <w:t xml:space="preserve">A </w:t>
      </w:r>
      <w:r w:rsidR="00D05429">
        <w:t xml:space="preserve">small work group </w:t>
      </w:r>
      <w:r w:rsidR="001D10E6">
        <w:t>is developing</w:t>
      </w:r>
      <w:r w:rsidR="00D05429">
        <w:t xml:space="preserve"> plans for the 100</w:t>
      </w:r>
      <w:r w:rsidR="00D05429" w:rsidRPr="00464D49">
        <w:rPr>
          <w:vertAlign w:val="superscript"/>
        </w:rPr>
        <w:t>th</w:t>
      </w:r>
      <w:r w:rsidR="00D05429">
        <w:t xml:space="preserve"> NCWM Annual Meeting in 2015.  The group will consider locations and special events to commemorate and bring excitement to the </w:t>
      </w:r>
      <w:r w:rsidR="00612B54">
        <w:t xml:space="preserve">occasion.  </w:t>
      </w:r>
      <w:r w:rsidR="00D05429" w:rsidRPr="00612B54">
        <w:t xml:space="preserve">Suggestions may be forwarded to Ms. </w:t>
      </w:r>
      <w:r w:rsidR="0084481A">
        <w:t xml:space="preserve">Luanne </w:t>
      </w:r>
      <w:r w:rsidR="00C62560">
        <w:t>Groenjes</w:t>
      </w:r>
      <w:r w:rsidR="00D05429" w:rsidRPr="00612B54">
        <w:t>, NCWM Office Manager, at (402</w:t>
      </w:r>
      <w:r w:rsidR="0084481A" w:rsidRPr="00612B54">
        <w:t>)</w:t>
      </w:r>
      <w:r w:rsidR="0084481A">
        <w:t> </w:t>
      </w:r>
      <w:r w:rsidR="00D05429" w:rsidRPr="00612B54">
        <w:t xml:space="preserve">434-4880 or </w:t>
      </w:r>
      <w:hyperlink r:id="rId17" w:history="1">
        <w:r w:rsidR="00464D49" w:rsidRPr="00464D49">
          <w:rPr>
            <w:rStyle w:val="Hyperlink"/>
          </w:rPr>
          <w:t>luanne.groenjes</w:t>
        </w:r>
        <w:r w:rsidR="00464D49" w:rsidRPr="004E7A5F">
          <w:rPr>
            <w:rStyle w:val="Hyperlink"/>
          </w:rPr>
          <w:t>@ncwm.net</w:t>
        </w:r>
      </w:hyperlink>
      <w:r w:rsidR="00D05429" w:rsidRPr="00612B54">
        <w:t>.</w:t>
      </w:r>
    </w:p>
    <w:p w:rsidR="00DE4A53" w:rsidRPr="00CC2668" w:rsidRDefault="00A13BE5" w:rsidP="00CC2668">
      <w:pPr>
        <w:pStyle w:val="ItemHeading"/>
      </w:pPr>
      <w:bookmarkStart w:id="87" w:name="_Toc308082679"/>
      <w:bookmarkStart w:id="88" w:name="_Toc308082723"/>
      <w:bookmarkStart w:id="89" w:name="_Toc308083522"/>
      <w:bookmarkStart w:id="90" w:name="_Toc308083919"/>
      <w:bookmarkStart w:id="91" w:name="_Toc308424345"/>
      <w:bookmarkStart w:id="92" w:name="_Toc308424735"/>
      <w:bookmarkStart w:id="93" w:name="_Toc308425341"/>
      <w:bookmarkStart w:id="94" w:name="_Toc308595419"/>
      <w:bookmarkStart w:id="95" w:name="_Toc308595825"/>
      <w:bookmarkStart w:id="96" w:name="_Toc308596030"/>
      <w:bookmarkStart w:id="97" w:name="_Toc352859907"/>
      <w:r w:rsidRPr="00CC2668">
        <w:t>110-4</w:t>
      </w:r>
      <w:r w:rsidR="00DE4A53" w:rsidRPr="00CC2668">
        <w:tab/>
      </w:r>
      <w:r w:rsidR="001D10E6" w:rsidRPr="00CC2668">
        <w:t>I</w:t>
      </w:r>
      <w:r w:rsidR="001D10E6" w:rsidRPr="00CC2668">
        <w:tab/>
      </w:r>
      <w:r w:rsidRPr="00CC2668">
        <w:t>Participation in International Standard Setting</w:t>
      </w:r>
      <w:bookmarkEnd w:id="87"/>
      <w:bookmarkEnd w:id="88"/>
      <w:bookmarkEnd w:id="89"/>
      <w:bookmarkEnd w:id="90"/>
      <w:bookmarkEnd w:id="91"/>
      <w:bookmarkEnd w:id="92"/>
      <w:bookmarkEnd w:id="93"/>
      <w:bookmarkEnd w:id="94"/>
      <w:bookmarkEnd w:id="95"/>
      <w:bookmarkEnd w:id="96"/>
      <w:bookmarkEnd w:id="97"/>
    </w:p>
    <w:p w:rsidR="001D10E6" w:rsidRDefault="001D10E6" w:rsidP="001475E8">
      <w:pPr>
        <w:pStyle w:val="BoldHeading"/>
      </w:pPr>
      <w:bookmarkStart w:id="98" w:name="_Toc320020624"/>
      <w:r>
        <w:t>Conformity to Type</w:t>
      </w:r>
      <w:bookmarkEnd w:id="98"/>
    </w:p>
    <w:p w:rsidR="00A13BE5" w:rsidRDefault="006562B6" w:rsidP="00A13BE5">
      <w:r>
        <w:t xml:space="preserve">International Organization of Legal Metrology (OIML) is considering development of </w:t>
      </w:r>
      <w:r w:rsidR="00464D49">
        <w:t xml:space="preserve">a </w:t>
      </w:r>
      <w:r w:rsidR="0084481A">
        <w:t>Conformity</w:t>
      </w:r>
      <w:r w:rsidR="00AE16E4">
        <w:t xml:space="preserve"> to Type (</w:t>
      </w:r>
      <w:r>
        <w:t>CTT</w:t>
      </w:r>
      <w:r w:rsidR="00AE16E4">
        <w:t>)</w:t>
      </w:r>
      <w:r>
        <w:t xml:space="preserve"> program.  </w:t>
      </w:r>
      <w:r w:rsidR="00A13BE5">
        <w:t xml:space="preserve">An OIML Seminar on CTT </w:t>
      </w:r>
      <w:r w:rsidR="00672DF9">
        <w:t xml:space="preserve">was held </w:t>
      </w:r>
      <w:r w:rsidR="00911468">
        <w:t>in June 2011 in Utrecht, The Netherlands</w:t>
      </w:r>
      <w:r w:rsidR="00A13BE5">
        <w:t xml:space="preserve">.  NCWM </w:t>
      </w:r>
      <w:r w:rsidR="00911468">
        <w:t>was</w:t>
      </w:r>
      <w:r w:rsidR="00A13BE5">
        <w:t xml:space="preserve"> invited to share its experience with the NTEP Conformity Assessment Program and in particular, the Verified Conformity Assessment Program (VCAP).  </w:t>
      </w:r>
      <w:r w:rsidR="00911468">
        <w:t xml:space="preserve">The presentation was given by </w:t>
      </w:r>
      <w:r w:rsidR="00EC3A7E">
        <w:t xml:space="preserve">Mr. </w:t>
      </w:r>
      <w:r w:rsidR="0084481A">
        <w:t xml:space="preserve">Don </w:t>
      </w:r>
      <w:r w:rsidR="00911468">
        <w:t xml:space="preserve">Onwiler, </w:t>
      </w:r>
      <w:r w:rsidR="001463D1">
        <w:t xml:space="preserve">NCWM </w:t>
      </w:r>
      <w:r w:rsidR="00911468">
        <w:t xml:space="preserve">Executive Director.  </w:t>
      </w:r>
      <w:r w:rsidR="00A13BE5">
        <w:t xml:space="preserve">NCWM is hopeful that the VCAP </w:t>
      </w:r>
      <w:r w:rsidR="00EC3A7E">
        <w:t>A</w:t>
      </w:r>
      <w:r w:rsidR="00A13BE5">
        <w:t xml:space="preserve">udit </w:t>
      </w:r>
      <w:r w:rsidR="00EC3A7E">
        <w:t>R</w:t>
      </w:r>
      <w:r w:rsidR="00A13BE5">
        <w:t>eports can also satisfy the needs of the OIML CTT at a significant savings to certificate holders.</w:t>
      </w:r>
      <w:r w:rsidR="00911468">
        <w:t xml:space="preserve">  </w:t>
      </w:r>
      <w:r w:rsidR="00EC3A7E">
        <w:t>Mr.</w:t>
      </w:r>
      <w:r w:rsidR="0084481A">
        <w:t xml:space="preserve"> Darrell</w:t>
      </w:r>
      <w:r w:rsidR="00EC3A7E">
        <w:t xml:space="preserve"> </w:t>
      </w:r>
      <w:r w:rsidR="00C9049C">
        <w:t>Flocken, Mettler-</w:t>
      </w:r>
      <w:r w:rsidR="00911468">
        <w:t>Toledo</w:t>
      </w:r>
      <w:r w:rsidR="00C9049C">
        <w:t xml:space="preserve">, </w:t>
      </w:r>
      <w:r w:rsidR="00AE46A3">
        <w:t>LLC</w:t>
      </w:r>
      <w:r w:rsidR="001463D1">
        <w:t>,</w:t>
      </w:r>
      <w:r w:rsidR="00911468">
        <w:t xml:space="preserve"> also presented with perspectives from the manufacturing industry.  Dr. </w:t>
      </w:r>
      <w:r w:rsidR="0084481A">
        <w:t xml:space="preserve">Charles </w:t>
      </w:r>
      <w:r w:rsidR="00911468">
        <w:t>Ehrlich</w:t>
      </w:r>
      <w:r w:rsidR="001463D1">
        <w:t>,</w:t>
      </w:r>
      <w:r w:rsidR="00911468">
        <w:t xml:space="preserve"> </w:t>
      </w:r>
      <w:r w:rsidR="00432661">
        <w:t>National Institute of Standards Technology (</w:t>
      </w:r>
      <w:r w:rsidR="00911468" w:rsidRPr="00432661">
        <w:t>NIST</w:t>
      </w:r>
      <w:r w:rsidR="00432661">
        <w:t>)</w:t>
      </w:r>
      <w:r w:rsidR="001463D1">
        <w:t xml:space="preserve">, </w:t>
      </w:r>
      <w:r w:rsidR="00432661">
        <w:t>Office of Weights and Measures (</w:t>
      </w:r>
      <w:r w:rsidR="001463D1">
        <w:t>OWM</w:t>
      </w:r>
      <w:r w:rsidR="00432661">
        <w:t>)</w:t>
      </w:r>
      <w:r w:rsidR="001463D1">
        <w:t>,</w:t>
      </w:r>
      <w:r w:rsidR="00911468">
        <w:t xml:space="preserve"> was in attendance and par</w:t>
      </w:r>
      <w:r w:rsidR="00EC3A7E">
        <w:t xml:space="preserve">ticipated in the discussions.  </w:t>
      </w:r>
      <w:r>
        <w:t>A subcommittee has been formed that will describe the United States and European programs</w:t>
      </w:r>
      <w:r w:rsidR="002B1194">
        <w:t>.</w:t>
      </w:r>
    </w:p>
    <w:p w:rsidR="005751D9" w:rsidRDefault="005751D9" w:rsidP="00612B54">
      <w:pPr>
        <w:pStyle w:val="BoldHeading"/>
      </w:pPr>
      <w:bookmarkStart w:id="99" w:name="_Toc320020625"/>
    </w:p>
    <w:p w:rsidR="006562B6" w:rsidRDefault="006562B6" w:rsidP="00612B54">
      <w:pPr>
        <w:pStyle w:val="BoldHeading"/>
      </w:pPr>
      <w:r>
        <w:t>Mutual Acceptance Arrangement (MAA)</w:t>
      </w:r>
      <w:bookmarkEnd w:id="99"/>
    </w:p>
    <w:p w:rsidR="006562B6" w:rsidRDefault="006562B6" w:rsidP="006562B6">
      <w:r>
        <w:t xml:space="preserve">Mr. </w:t>
      </w:r>
      <w:r w:rsidR="0084481A">
        <w:t xml:space="preserve">Jim </w:t>
      </w:r>
      <w:r>
        <w:t xml:space="preserve">Truex, NTEP Administrator, attended the Committee on Participant Review in Germany in 2011.  Resolutions were developed at that meeting for the amendment of B10, the certificate system under the MAA.  The spirit of the resolutions was to allow </w:t>
      </w:r>
      <w:r w:rsidR="00946E0B">
        <w:t xml:space="preserve">utilizing authorities to </w:t>
      </w:r>
      <w:r>
        <w:t>voluntar</w:t>
      </w:r>
      <w:r w:rsidR="00946E0B">
        <w:t>il</w:t>
      </w:r>
      <w:r>
        <w:t xml:space="preserve">y accept manufacturer test data under the MAA.  A draft amendment is being developed for vote in early 2012.  </w:t>
      </w:r>
      <w:r w:rsidRPr="00612B54">
        <w:rPr>
          <w:i/>
        </w:rPr>
        <w:t xml:space="preserve">See the NTEP Committee </w:t>
      </w:r>
      <w:r w:rsidR="0084481A">
        <w:rPr>
          <w:i/>
        </w:rPr>
        <w:t>Final</w:t>
      </w:r>
      <w:r w:rsidR="0084481A" w:rsidRPr="00612B54">
        <w:rPr>
          <w:i/>
        </w:rPr>
        <w:t xml:space="preserve"> </w:t>
      </w:r>
      <w:r w:rsidRPr="00612B54">
        <w:rPr>
          <w:i/>
        </w:rPr>
        <w:t>Meeting Report for more detail.</w:t>
      </w:r>
    </w:p>
    <w:p w:rsidR="005751D9" w:rsidRDefault="005751D9" w:rsidP="00C62560"/>
    <w:p w:rsidR="00DE4A53" w:rsidRPr="00DE4A53" w:rsidRDefault="0084481A" w:rsidP="00C62560">
      <w:r>
        <w:t>Dr</w:t>
      </w:r>
      <w:r w:rsidR="00C62560">
        <w:t>. Ehrlich, NIST</w:t>
      </w:r>
      <w:r>
        <w:t>,</w:t>
      </w:r>
      <w:r w:rsidR="00464D49">
        <w:t xml:space="preserve"> </w:t>
      </w:r>
      <w:r w:rsidR="00C62560">
        <w:t xml:space="preserve">OWM, gave a report of OIML activities.  An updated report is included in the 2012 NCWM Annual Report as an appendix to the report of the Board of Directors </w:t>
      </w:r>
      <w:r w:rsidR="00A13BE5">
        <w:t>(</w:t>
      </w:r>
      <w:r w:rsidR="00A13BE5" w:rsidRPr="001463D1">
        <w:t>see Appendix A</w:t>
      </w:r>
      <w:r w:rsidR="00A13BE5">
        <w:t>).</w:t>
      </w:r>
    </w:p>
    <w:p w:rsidR="00847EC1" w:rsidRPr="00F3504E" w:rsidRDefault="00A13BE5" w:rsidP="00847EC1">
      <w:pPr>
        <w:pStyle w:val="Heading1"/>
      </w:pPr>
      <w:bookmarkStart w:id="100" w:name="_Toc308424346"/>
      <w:bookmarkStart w:id="101" w:name="_Toc308424736"/>
      <w:bookmarkStart w:id="102" w:name="_Toc308425342"/>
      <w:bookmarkStart w:id="103" w:name="_Toc308595420"/>
      <w:bookmarkStart w:id="104" w:name="_Toc308595826"/>
      <w:bookmarkStart w:id="105" w:name="_Toc308596031"/>
      <w:bookmarkStart w:id="106" w:name="_Toc352859908"/>
      <w:bookmarkStart w:id="107" w:name="_Toc308082681"/>
      <w:bookmarkStart w:id="108" w:name="_Toc308082728"/>
      <w:bookmarkStart w:id="109" w:name="_Toc308083527"/>
      <w:bookmarkStart w:id="110" w:name="_Toc308083924"/>
      <w:r>
        <w:lastRenderedPageBreak/>
        <w:t>120</w:t>
      </w:r>
      <w:r w:rsidR="00847EC1" w:rsidRPr="00F3504E">
        <w:tab/>
      </w:r>
      <w:r w:rsidR="00640EBB">
        <w:t xml:space="preserve">Strategic Planning, Policies, and </w:t>
      </w:r>
      <w:r>
        <w:t>Bylaws</w:t>
      </w:r>
      <w:bookmarkEnd w:id="100"/>
      <w:bookmarkEnd w:id="101"/>
      <w:bookmarkEnd w:id="102"/>
      <w:bookmarkEnd w:id="103"/>
      <w:bookmarkEnd w:id="104"/>
      <w:bookmarkEnd w:id="105"/>
      <w:bookmarkEnd w:id="106"/>
      <w:r>
        <w:t xml:space="preserve"> </w:t>
      </w:r>
      <w:bookmarkEnd w:id="107"/>
      <w:bookmarkEnd w:id="108"/>
      <w:bookmarkEnd w:id="109"/>
      <w:bookmarkEnd w:id="110"/>
    </w:p>
    <w:p w:rsidR="00847EC1" w:rsidRPr="00CC2668" w:rsidRDefault="00A13BE5" w:rsidP="00CC2668">
      <w:pPr>
        <w:pStyle w:val="ItemHeading"/>
      </w:pPr>
      <w:bookmarkStart w:id="111" w:name="_Toc308082682"/>
      <w:bookmarkStart w:id="112" w:name="_Toc308082729"/>
      <w:bookmarkStart w:id="113" w:name="_Toc308083528"/>
      <w:bookmarkStart w:id="114" w:name="_Toc308083925"/>
      <w:bookmarkStart w:id="115" w:name="_Toc308424347"/>
      <w:bookmarkStart w:id="116" w:name="_Toc308424737"/>
      <w:bookmarkStart w:id="117" w:name="_Toc308425343"/>
      <w:bookmarkStart w:id="118" w:name="_Toc308595421"/>
      <w:bookmarkStart w:id="119" w:name="_Toc308595827"/>
      <w:bookmarkStart w:id="120" w:name="_Toc308596032"/>
      <w:bookmarkStart w:id="121" w:name="_Toc352859909"/>
      <w:r w:rsidRPr="00CC2668">
        <w:t>120-1</w:t>
      </w:r>
      <w:r w:rsidR="00847EC1" w:rsidRPr="00CC2668">
        <w:tab/>
      </w:r>
      <w:r w:rsidR="002B1194" w:rsidRPr="00CC2668">
        <w:t>I</w:t>
      </w:r>
      <w:r w:rsidR="002B1194" w:rsidRPr="00CC2668">
        <w:tab/>
      </w:r>
      <w:r w:rsidRPr="00CC2668">
        <w:t>Strategic Planning</w:t>
      </w:r>
      <w:bookmarkEnd w:id="111"/>
      <w:bookmarkEnd w:id="112"/>
      <w:bookmarkEnd w:id="113"/>
      <w:bookmarkEnd w:id="114"/>
      <w:bookmarkEnd w:id="115"/>
      <w:bookmarkEnd w:id="116"/>
      <w:bookmarkEnd w:id="117"/>
      <w:bookmarkEnd w:id="118"/>
      <w:bookmarkEnd w:id="119"/>
      <w:bookmarkEnd w:id="120"/>
      <w:bookmarkEnd w:id="121"/>
    </w:p>
    <w:p w:rsidR="00A13BE5" w:rsidRDefault="00A13BE5" w:rsidP="00A13BE5">
      <w:r>
        <w:t xml:space="preserve">The </w:t>
      </w:r>
      <w:r w:rsidR="00464D49">
        <w:t xml:space="preserve">Board </w:t>
      </w:r>
      <w:r>
        <w:t>review</w:t>
      </w:r>
      <w:r w:rsidR="002B1194">
        <w:t>ed</w:t>
      </w:r>
      <w:r>
        <w:t xml:space="preserve"> the </w:t>
      </w:r>
      <w:r w:rsidR="0084481A">
        <w:t xml:space="preserve">strategic plan </w:t>
      </w:r>
      <w:r>
        <w:t xml:space="preserve">at the January 2012 </w:t>
      </w:r>
      <w:r w:rsidR="00432661">
        <w:t>Interim M</w:t>
      </w:r>
      <w:r>
        <w:t>eeting</w:t>
      </w:r>
      <w:r w:rsidR="002B1194">
        <w:t xml:space="preserve"> and identified opportunities to update it.  </w:t>
      </w:r>
      <w:r w:rsidR="0084481A">
        <w:t>S</w:t>
      </w:r>
      <w:r w:rsidR="002B1194">
        <w:t>everal strategies have been successfully completed</w:t>
      </w:r>
      <w:r w:rsidR="0084481A">
        <w:t>,</w:t>
      </w:r>
      <w:r w:rsidR="002B1194">
        <w:t xml:space="preserve"> and </w:t>
      </w:r>
      <w:r w:rsidR="00464D49">
        <w:t>several new strategies were</w:t>
      </w:r>
      <w:r w:rsidR="00946E0B">
        <w:t xml:space="preserve"> </w:t>
      </w:r>
      <w:r w:rsidR="002B1194">
        <w:t>introduced new strategies</w:t>
      </w:r>
      <w:r>
        <w:t xml:space="preserve">.  Members are asked to provide input before </w:t>
      </w:r>
      <w:r w:rsidR="0084481A">
        <w:t xml:space="preserve">the January </w:t>
      </w:r>
      <w:r>
        <w:t>meeting on the five current goals in the strategic plan and any other goals that they beli</w:t>
      </w:r>
      <w:r w:rsidR="004F0090">
        <w:t xml:space="preserve">eve should be included.  </w:t>
      </w:r>
    </w:p>
    <w:p w:rsidR="005751D9" w:rsidRDefault="005751D9" w:rsidP="00A13BE5"/>
    <w:p w:rsidR="00A13BE5" w:rsidRDefault="00A13BE5" w:rsidP="00A13BE5">
      <w:r>
        <w:t>Five primary goals are contained in the strategic plan.</w:t>
      </w:r>
    </w:p>
    <w:p w:rsidR="00A13BE5" w:rsidRDefault="00A13BE5" w:rsidP="001E05C7">
      <w:pPr>
        <w:pStyle w:val="numberedlist"/>
      </w:pPr>
      <w:r>
        <w:t>Enhance NCWM as a national and international resource for measurement standards development.</w:t>
      </w:r>
    </w:p>
    <w:p w:rsidR="00A13BE5" w:rsidRDefault="00A13BE5" w:rsidP="001E05C7">
      <w:pPr>
        <w:pStyle w:val="numberedlist"/>
      </w:pPr>
      <w:r>
        <w:t>Promote uniform training for individuals involved in weights and measures.</w:t>
      </w:r>
    </w:p>
    <w:p w:rsidR="00A13BE5" w:rsidRDefault="00A13BE5" w:rsidP="001E05C7">
      <w:pPr>
        <w:pStyle w:val="numberedlist"/>
      </w:pPr>
      <w:r>
        <w:t>Continue to improve NTEP.</w:t>
      </w:r>
    </w:p>
    <w:p w:rsidR="00A13BE5" w:rsidRDefault="00A13BE5" w:rsidP="001E05C7">
      <w:pPr>
        <w:pStyle w:val="numberedlist"/>
      </w:pPr>
      <w:r>
        <w:t>Expand the role of NCWM as a resource for state and local weights and measures programs.</w:t>
      </w:r>
    </w:p>
    <w:p w:rsidR="00A13BE5" w:rsidRDefault="002B1194" w:rsidP="001E05C7">
      <w:pPr>
        <w:pStyle w:val="numberedlist"/>
      </w:pPr>
      <w:r>
        <w:t xml:space="preserve">Preserve the </w:t>
      </w:r>
      <w:r w:rsidR="00A13BE5">
        <w:t>financial stability of NCWM.</w:t>
      </w:r>
    </w:p>
    <w:p w:rsidR="005751D9" w:rsidRDefault="005751D9" w:rsidP="00824592"/>
    <w:p w:rsidR="00824592" w:rsidRDefault="00824592" w:rsidP="00824592">
      <w:r>
        <w:t xml:space="preserve">The </w:t>
      </w:r>
      <w:r w:rsidR="0084481A">
        <w:t xml:space="preserve">strategic plan </w:t>
      </w:r>
      <w:r>
        <w:t xml:space="preserve">in its entirety may be viewed in the Members Only area at </w:t>
      </w:r>
      <w:r w:rsidR="001E05C7" w:rsidRPr="0084481A">
        <w:rPr>
          <w:rStyle w:val="Hyperlink"/>
        </w:rPr>
        <w:t>www.</w:t>
      </w:r>
      <w:r w:rsidR="001E05C7" w:rsidRPr="00A97DA7">
        <w:rPr>
          <w:rStyle w:val="Hyperlink"/>
        </w:rPr>
        <w:t>ncwm.net/content/strategic-plan</w:t>
      </w:r>
      <w:r>
        <w:t>.</w:t>
      </w:r>
    </w:p>
    <w:p w:rsidR="005751D9" w:rsidRDefault="005751D9" w:rsidP="00080554">
      <w:pPr>
        <w:pStyle w:val="BoldHeading"/>
      </w:pPr>
      <w:bookmarkStart w:id="122" w:name="_Toc320020626"/>
    </w:p>
    <w:p w:rsidR="00C24B27" w:rsidRDefault="00C24B27" w:rsidP="00080554">
      <w:pPr>
        <w:pStyle w:val="BoldHeading"/>
      </w:pPr>
      <w:r>
        <w:t>NCWM as a National and International Resource:</w:t>
      </w:r>
      <w:bookmarkEnd w:id="122"/>
    </w:p>
    <w:p w:rsidR="00640EBB" w:rsidRDefault="002B1194" w:rsidP="00080554">
      <w:r>
        <w:t xml:space="preserve">A strategy under this goal was to implement the Online Position Forum.  </w:t>
      </w:r>
      <w:r w:rsidR="0065254E">
        <w:t xml:space="preserve">The forum </w:t>
      </w:r>
      <w:r>
        <w:t>was completed in 2011 and the strategy will now be to make improvements to the program and promote increased use of it by our membership.  Several ideas will be implemented to generate interest.  Additionally, guidance will be developed to assist committees in how to preview and use comments in a consistent manner.</w:t>
      </w:r>
    </w:p>
    <w:p w:rsidR="005751D9" w:rsidRDefault="005751D9" w:rsidP="00080554">
      <w:pPr>
        <w:pStyle w:val="BoldHeading"/>
      </w:pPr>
      <w:bookmarkStart w:id="123" w:name="_Toc320020627"/>
    </w:p>
    <w:p w:rsidR="005751D9" w:rsidRDefault="005751D9" w:rsidP="00080554">
      <w:pPr>
        <w:pStyle w:val="BoldHeading"/>
      </w:pPr>
    </w:p>
    <w:p w:rsidR="00A13BE5" w:rsidRDefault="002B1194" w:rsidP="00080554">
      <w:pPr>
        <w:pStyle w:val="BoldHeading"/>
      </w:pPr>
      <w:r>
        <w:t>Promote Uniform Training</w:t>
      </w:r>
      <w:r w:rsidR="00A13BE5">
        <w:t>:</w:t>
      </w:r>
      <w:bookmarkEnd w:id="123"/>
      <w:r w:rsidR="00A13BE5">
        <w:t xml:space="preserve">  </w:t>
      </w:r>
    </w:p>
    <w:p w:rsidR="00A13BE5" w:rsidRDefault="002B1194" w:rsidP="00080554">
      <w:r>
        <w:t xml:space="preserve">The </w:t>
      </w:r>
      <w:r w:rsidR="00C24B27">
        <w:t>Professional</w:t>
      </w:r>
      <w:r w:rsidR="00A13BE5">
        <w:t xml:space="preserve"> Certification Program </w:t>
      </w:r>
      <w:r>
        <w:t>is a top priority under this goal.</w:t>
      </w:r>
      <w:r w:rsidR="00B12D6A">
        <w:t xml:space="preserve">  </w:t>
      </w:r>
      <w:r w:rsidR="00A13BE5">
        <w:t xml:space="preserve">In 2011, the </w:t>
      </w:r>
      <w:r w:rsidR="00464D49">
        <w:t xml:space="preserve">Board </w:t>
      </w:r>
      <w:r w:rsidR="00A13BE5">
        <w:t xml:space="preserve">contracted the services of </w:t>
      </w:r>
      <w:r w:rsidR="00B12D6A">
        <w:t xml:space="preserve">Mr. </w:t>
      </w:r>
      <w:r>
        <w:t xml:space="preserve">Ross </w:t>
      </w:r>
      <w:r w:rsidR="00A13BE5">
        <w:t xml:space="preserve">Andersen to serve as Certification Exam Coordinator working with the </w:t>
      </w:r>
      <w:r w:rsidR="00B12D6A">
        <w:t xml:space="preserve">PDC.  </w:t>
      </w:r>
      <w:r w:rsidR="00A13BE5">
        <w:t xml:space="preserve">The </w:t>
      </w:r>
      <w:r w:rsidR="00464D49">
        <w:t xml:space="preserve">Board </w:t>
      </w:r>
      <w:r w:rsidR="00A13BE5">
        <w:t>believes this arrangement will greatly assist the PDC in developing a full line of certification exams.</w:t>
      </w:r>
    </w:p>
    <w:p w:rsidR="005751D9" w:rsidRDefault="005751D9" w:rsidP="00080554"/>
    <w:p w:rsidR="00C24B27" w:rsidRDefault="00C24B27" w:rsidP="00080554">
      <w:r>
        <w:t xml:space="preserve">Some states are expressing interest in using the Professional Certification Program as a prerequisite </w:t>
      </w:r>
      <w:r w:rsidR="00B12D6A">
        <w:t xml:space="preserve">to registering service agents.  </w:t>
      </w:r>
      <w:r>
        <w:t xml:space="preserve">It is unknown at this time whether the difficulty of the exams will be appropriate to test an individual’s expertise without </w:t>
      </w:r>
      <w:r w:rsidR="00D67282">
        <w:t>undue delay in becoming state-registered</w:t>
      </w:r>
      <w:r>
        <w:t xml:space="preserve">.  The </w:t>
      </w:r>
      <w:r w:rsidR="00D67282">
        <w:t xml:space="preserve">delay can be costly for service agencies because they need </w:t>
      </w:r>
      <w:r>
        <w:t xml:space="preserve">employees who are recognized by the state to work independently with the </w:t>
      </w:r>
      <w:r w:rsidR="00D67282">
        <w:t>privileges</w:t>
      </w:r>
      <w:r>
        <w:t xml:space="preserve"> of being </w:t>
      </w:r>
      <w:r w:rsidR="00D67282">
        <w:t>registered</w:t>
      </w:r>
      <w:r>
        <w:t>.</w:t>
      </w:r>
      <w:r w:rsidR="00D67282">
        <w:t xml:space="preserve">  To address these questions, NCWM has contacted state directors to generate a list of service agents from various states to voluntarily take the Retail Motor Fuel Dispenser </w:t>
      </w:r>
      <w:r w:rsidR="00B12D6A">
        <w:t>E</w:t>
      </w:r>
      <w:r w:rsidR="00D67282">
        <w:t xml:space="preserve">xam.  </w:t>
      </w:r>
    </w:p>
    <w:p w:rsidR="005751D9" w:rsidRDefault="005751D9" w:rsidP="00B12D6A">
      <w:pPr>
        <w:pStyle w:val="BoldHeading"/>
      </w:pPr>
      <w:bookmarkStart w:id="124" w:name="_Toc320020628"/>
    </w:p>
    <w:p w:rsidR="00A13BE5" w:rsidRDefault="002B1194" w:rsidP="00B12D6A">
      <w:pPr>
        <w:pStyle w:val="BoldHeading"/>
      </w:pPr>
      <w:r>
        <w:t>Continue to Support NTEP</w:t>
      </w:r>
      <w:r w:rsidR="00A13BE5">
        <w:t>:</w:t>
      </w:r>
      <w:bookmarkEnd w:id="124"/>
      <w:r w:rsidR="00A13BE5">
        <w:t xml:space="preserve">  </w:t>
      </w:r>
    </w:p>
    <w:p w:rsidR="00847EC1" w:rsidRDefault="002B1194" w:rsidP="00B12D6A">
      <w:r>
        <w:t xml:space="preserve">A </w:t>
      </w:r>
      <w:r w:rsidR="00A13BE5">
        <w:t xml:space="preserve">strategy of high priority </w:t>
      </w:r>
      <w:r>
        <w:t xml:space="preserve">under this goal </w:t>
      </w:r>
      <w:r w:rsidR="00A13BE5">
        <w:t>is to maintain viable support for NTEP labo</w:t>
      </w:r>
      <w:r w:rsidR="00B12D6A">
        <w:t xml:space="preserve">ratories.  Mr. </w:t>
      </w:r>
      <w:r w:rsidR="00D67282">
        <w:t xml:space="preserve">Truex, NTEP Administrator, monitors </w:t>
      </w:r>
      <w:r w:rsidR="00A13BE5">
        <w:t xml:space="preserve">the number of full-time </w:t>
      </w:r>
      <w:r>
        <w:t xml:space="preserve">equivalents </w:t>
      </w:r>
      <w:r w:rsidR="00A13BE5">
        <w:t>associated with the authorized laboratories and track</w:t>
      </w:r>
      <w:r w:rsidR="00D67282">
        <w:t>s</w:t>
      </w:r>
      <w:r w:rsidR="00A13BE5">
        <w:t xml:space="preserve"> evaluation time and backlog statistics to ensure that NTEP evaluations can be completed in a timely manner.</w:t>
      </w:r>
      <w:r w:rsidR="00D67282">
        <w:t xml:space="preserve">  He reports these statistics quarterly to the NTEP Committee and </w:t>
      </w:r>
      <w:r w:rsidR="0018363F">
        <w:t>BOD</w:t>
      </w:r>
      <w:r w:rsidR="00D67282">
        <w:t>.</w:t>
      </w:r>
    </w:p>
    <w:p w:rsidR="005751D9" w:rsidRDefault="005751D9" w:rsidP="00676C7F"/>
    <w:p w:rsidR="002B1194" w:rsidRDefault="002B1194" w:rsidP="00676C7F">
      <w:r>
        <w:t>NCWM has a contingency plan in place to ensure evaluation service</w:t>
      </w:r>
      <w:r w:rsidR="00946E0B">
        <w:t>s are maintained</w:t>
      </w:r>
      <w:r>
        <w:t xml:space="preserve"> </w:t>
      </w:r>
      <w:r w:rsidR="00946E0B">
        <w:t>for</w:t>
      </w:r>
      <w:r>
        <w:t xml:space="preserve"> NTEP applicants in the event that insufficient services were available under the current authorized laboratory system.  Another strategy toward this goal is the continued development of the Verified Conformity Assessment Program which has already successfully addressed load cells.  </w:t>
      </w:r>
      <w:r w:rsidRPr="00676C7F">
        <w:rPr>
          <w:i/>
        </w:rPr>
        <w:t xml:space="preserve">See the NTEP Committee </w:t>
      </w:r>
      <w:r w:rsidR="0018363F">
        <w:rPr>
          <w:i/>
        </w:rPr>
        <w:t>Final</w:t>
      </w:r>
      <w:r w:rsidR="0018363F" w:rsidRPr="00676C7F">
        <w:rPr>
          <w:i/>
        </w:rPr>
        <w:t xml:space="preserve"> </w:t>
      </w:r>
      <w:r w:rsidRPr="00676C7F">
        <w:rPr>
          <w:i/>
        </w:rPr>
        <w:t>Report for more details</w:t>
      </w:r>
      <w:r>
        <w:t>.</w:t>
      </w:r>
    </w:p>
    <w:p w:rsidR="005751D9" w:rsidRDefault="005751D9" w:rsidP="00676C7F">
      <w:pPr>
        <w:pStyle w:val="BoldHeading"/>
      </w:pPr>
      <w:bookmarkStart w:id="125" w:name="_Toc320020629"/>
    </w:p>
    <w:p w:rsidR="002B1194" w:rsidRDefault="002B1194" w:rsidP="00676C7F">
      <w:pPr>
        <w:pStyle w:val="BoldHeading"/>
      </w:pPr>
      <w:r>
        <w:t>Expand the Role of NCWM as a Resource to Officials:</w:t>
      </w:r>
      <w:bookmarkEnd w:id="125"/>
    </w:p>
    <w:p w:rsidR="002B1194" w:rsidRDefault="002B1194" w:rsidP="00676C7F">
      <w:r>
        <w:t>Of high importance under this goal is NCWM’s ability to gather and compile data that will demonstrate the impact of regulatory programs.  Efforts in this regard have been difficult or impossible because of differences in how jurisdictions acquire and maintain device, inspection, and compliance data.  The board is discussing methods of studying data that would not require massive changes in jurisdictional practices.</w:t>
      </w:r>
    </w:p>
    <w:p w:rsidR="005751D9" w:rsidRDefault="005751D9" w:rsidP="00676C7F"/>
    <w:p w:rsidR="002B1194" w:rsidRDefault="002B1194" w:rsidP="00676C7F">
      <w:r>
        <w:lastRenderedPageBreak/>
        <w:t>Many programs are experiencing severe budget cuts that are diminishing their effectiveness.  NCWM plans to develop a “toolkit” with the support of the Associate Membership Committee that can be used by program administrators to generate support for their programs.  This toolkit will contain materials including data supporting a regulatory presence, industry contacts that can be called upon to explain the necessity of a regulatory presence to ensure a level playing field for businesses and consumer protection, and a short video production.</w:t>
      </w:r>
    </w:p>
    <w:p w:rsidR="005751D9" w:rsidRDefault="005751D9" w:rsidP="00676C7F">
      <w:pPr>
        <w:pStyle w:val="BoldHeading"/>
      </w:pPr>
      <w:bookmarkStart w:id="126" w:name="_Toc320020630"/>
    </w:p>
    <w:p w:rsidR="002B1194" w:rsidRDefault="002B1194" w:rsidP="00676C7F">
      <w:pPr>
        <w:pStyle w:val="BoldHeading"/>
      </w:pPr>
      <w:r>
        <w:t>Preserve Financial Stability:</w:t>
      </w:r>
      <w:bookmarkEnd w:id="126"/>
      <w:r>
        <w:t xml:space="preserve"> </w:t>
      </w:r>
    </w:p>
    <w:p w:rsidR="002B1194" w:rsidRDefault="002B1194" w:rsidP="00676C7F">
      <w:r>
        <w:t xml:space="preserve">This goal was originally to “ensure” financial stability.  Financial reports of the past several years indicate that NCWM is financially stable barring any surprises.  However, NCWM must recognize that it does not have sufficient reserves at this time to fully implement the NTEP contingency plan that was developed to ensure continued evaluation services if the authorized state laboratories fell victim to budget cuts.  The board will study NCWM’s needs and establish a target for reserves for NTEP and other potential exposures.  </w:t>
      </w:r>
      <w:r w:rsidRPr="0018363F">
        <w:t xml:space="preserve">When that target is achieved, NCWM will be in </w:t>
      </w:r>
      <w:r w:rsidR="0018363F">
        <w:t xml:space="preserve">a </w:t>
      </w:r>
      <w:r w:rsidRPr="0018363F">
        <w:t>position to identify ways to improve services and/or reduce fees in support of its membership.</w:t>
      </w:r>
    </w:p>
    <w:p w:rsidR="001A28A6" w:rsidRPr="00F3504E" w:rsidRDefault="001A28A6" w:rsidP="00CC2668">
      <w:pPr>
        <w:pStyle w:val="ItemHeading"/>
      </w:pPr>
      <w:bookmarkStart w:id="127" w:name="_Toc308424348"/>
      <w:bookmarkStart w:id="128" w:name="_Toc308424738"/>
      <w:bookmarkStart w:id="129" w:name="_Toc308425344"/>
      <w:bookmarkStart w:id="130" w:name="_Toc308595422"/>
      <w:bookmarkStart w:id="131" w:name="_Toc308595828"/>
      <w:bookmarkStart w:id="132" w:name="_Toc308596033"/>
      <w:bookmarkStart w:id="133" w:name="_Toc352859910"/>
      <w:r>
        <w:t>120-2</w:t>
      </w:r>
      <w:r>
        <w:tab/>
      </w:r>
      <w:r w:rsidR="00E441FE">
        <w:t>I</w:t>
      </w:r>
      <w:r w:rsidR="00E441FE">
        <w:tab/>
      </w:r>
      <w:r>
        <w:t>Regional Support</w:t>
      </w:r>
      <w:bookmarkEnd w:id="127"/>
      <w:bookmarkEnd w:id="128"/>
      <w:bookmarkEnd w:id="129"/>
      <w:bookmarkEnd w:id="130"/>
      <w:bookmarkEnd w:id="131"/>
      <w:bookmarkEnd w:id="132"/>
      <w:bookmarkEnd w:id="133"/>
    </w:p>
    <w:p w:rsidR="001A28A6" w:rsidRDefault="001A28A6" w:rsidP="00464D49">
      <w:pPr>
        <w:pStyle w:val="BoldHeading"/>
        <w:keepNext/>
      </w:pPr>
      <w:bookmarkStart w:id="134" w:name="_Toc320020631"/>
      <w:r>
        <w:t>Shopping Cart Service for Regional Websites:</w:t>
      </w:r>
      <w:bookmarkEnd w:id="134"/>
    </w:p>
    <w:p w:rsidR="001A28A6" w:rsidRDefault="001A28A6" w:rsidP="00464D49">
      <w:pPr>
        <w:keepNext/>
      </w:pPr>
      <w:r>
        <w:t xml:space="preserve">NCWM hosts </w:t>
      </w:r>
      <w:r w:rsidR="001E05C7">
        <w:t>all four</w:t>
      </w:r>
      <w:r>
        <w:t xml:space="preserve"> regional websites.  In 2010, the Western Weights and Measures Association (WWMA) asked NCWM to create a shopping cart on their site for online meeting registrations.  WWMA reported to </w:t>
      </w:r>
      <w:r w:rsidRPr="008D4923">
        <w:rPr>
          <w:u w:color="82C42A"/>
        </w:rPr>
        <w:t>NCWM Board</w:t>
      </w:r>
      <w:r w:rsidRPr="008D4923">
        <w:t xml:space="preserve"> </w:t>
      </w:r>
      <w:r>
        <w:t xml:space="preserve">of Directors that the online meeting registrations worked very well for them.  It provides a means for WWMA members to pay dues and meeting registrations with credit cards.  The transaction is processed through </w:t>
      </w:r>
      <w:r w:rsidR="00BC173D">
        <w:t xml:space="preserve">the </w:t>
      </w:r>
      <w:r>
        <w:t>NCWM PayPal</w:t>
      </w:r>
      <w:r w:rsidR="00DF5D51" w:rsidRPr="00DF5D51">
        <w:rPr>
          <w:rFonts w:cs="Times New Roman"/>
          <w:vertAlign w:val="superscript"/>
        </w:rPr>
        <w:t>™</w:t>
      </w:r>
      <w:r>
        <w:t xml:space="preserve"> account</w:t>
      </w:r>
      <w:r w:rsidR="0018363F">
        <w:t>,</w:t>
      </w:r>
      <w:r>
        <w:t xml:space="preserve"> and NCWM transfers the funds to the region’s bank account, les</w:t>
      </w:r>
      <w:r w:rsidR="001E05C7">
        <w:t>s credit card fees of about 3.5</w:t>
      </w:r>
      <w:r w:rsidR="0018363F">
        <w:t> </w:t>
      </w:r>
      <w:r>
        <w:t xml:space="preserve">%.  </w:t>
      </w:r>
    </w:p>
    <w:p w:rsidR="001A28A6" w:rsidRDefault="001A28A6" w:rsidP="007B3C4B">
      <w:r>
        <w:t xml:space="preserve">Two additional regions, the </w:t>
      </w:r>
      <w:r w:rsidR="00A75CE5">
        <w:t>Central Weights and Measures Association (</w:t>
      </w:r>
      <w:r>
        <w:t>CWMA</w:t>
      </w:r>
      <w:r w:rsidR="00A75CE5">
        <w:t>)</w:t>
      </w:r>
      <w:r>
        <w:t xml:space="preserve"> and the </w:t>
      </w:r>
      <w:r w:rsidR="007B3C4B">
        <w:t xml:space="preserve">Southern Weights and Measures Association </w:t>
      </w:r>
      <w:r w:rsidR="00A75CE5">
        <w:t xml:space="preserve"> (SWMA) </w:t>
      </w:r>
      <w:r w:rsidR="00864CF0">
        <w:t>have</w:t>
      </w:r>
      <w:r>
        <w:t xml:space="preserve"> request</w:t>
      </w:r>
      <w:r w:rsidR="00864CF0">
        <w:t xml:space="preserve">ed </w:t>
      </w:r>
      <w:r>
        <w:t xml:space="preserve">online membership and meeting registration through their </w:t>
      </w:r>
      <w:r w:rsidR="007B3C4B">
        <w:t xml:space="preserve">websites.  </w:t>
      </w:r>
      <w:r w:rsidR="00864CF0">
        <w:t>This programming will be complete</w:t>
      </w:r>
      <w:r w:rsidR="00DF5D51">
        <w:t>d</w:t>
      </w:r>
      <w:r w:rsidR="00864CF0">
        <w:t xml:space="preserve"> in time for 2012 meeting registration</w:t>
      </w:r>
      <w:r w:rsidR="00DF5D51">
        <w:t>s</w:t>
      </w:r>
      <w:r w:rsidR="00864CF0">
        <w:t xml:space="preserve">.  </w:t>
      </w:r>
      <w:r>
        <w:t>Cost will vary according to the complexity of the project, but range</w:t>
      </w:r>
      <w:r w:rsidR="00946E0B">
        <w:t>s</w:t>
      </w:r>
      <w:r>
        <w:t xml:space="preserve"> from around $1</w:t>
      </w:r>
      <w:r w:rsidR="00DF5D51">
        <w:t>,</w:t>
      </w:r>
      <w:r>
        <w:t>200</w:t>
      </w:r>
      <w:r w:rsidR="00464D49">
        <w:t xml:space="preserve"> to</w:t>
      </w:r>
      <w:r w:rsidR="0018363F">
        <w:t> </w:t>
      </w:r>
      <w:r>
        <w:t>$1</w:t>
      </w:r>
      <w:r w:rsidR="00DF5D51">
        <w:t>,</w:t>
      </w:r>
      <w:r>
        <w:t>500.</w:t>
      </w:r>
    </w:p>
    <w:p w:rsidR="005751D9" w:rsidRDefault="005751D9" w:rsidP="007B3C4B">
      <w:pPr>
        <w:pStyle w:val="BoldHeading"/>
      </w:pPr>
      <w:bookmarkStart w:id="135" w:name="_Toc320020632"/>
    </w:p>
    <w:p w:rsidR="001A28A6" w:rsidRDefault="001A28A6" w:rsidP="007B3C4B">
      <w:pPr>
        <w:pStyle w:val="BoldHeading"/>
      </w:pPr>
      <w:r>
        <w:t>Meeting Documents on Regional Websites:</w:t>
      </w:r>
      <w:bookmarkEnd w:id="135"/>
    </w:p>
    <w:p w:rsidR="00E441FE" w:rsidRDefault="001A28A6" w:rsidP="00E441FE">
      <w:r>
        <w:t xml:space="preserve">In the fall of 2011, NCWM made efforts to be the clearinghouse for all new proposals being submitted </w:t>
      </w:r>
      <w:r w:rsidR="007B3C4B">
        <w:t xml:space="preserve">to the regional associations.  </w:t>
      </w:r>
      <w:r w:rsidR="00E441FE">
        <w:t xml:space="preserve">NCWM established a requirement that all </w:t>
      </w:r>
      <w:r>
        <w:t xml:space="preserve">proposals </w:t>
      </w:r>
      <w:r w:rsidR="00E441FE">
        <w:t xml:space="preserve">shall </w:t>
      </w:r>
      <w:r>
        <w:t>be submitted electronically to simplify report writing for regional committees.  A suggestion from a member prompted NCWM to post all new propo</w:t>
      </w:r>
      <w:r w:rsidR="007B3C4B">
        <w:t xml:space="preserve">sals on the regional websites.  </w:t>
      </w:r>
      <w:r>
        <w:t>This addition was very well received</w:t>
      </w:r>
      <w:r w:rsidR="0018363F">
        <w:t>,</w:t>
      </w:r>
      <w:r>
        <w:t xml:space="preserve"> and NCWM hopes to receive additional suggestions to improve services for members and regional associations.</w:t>
      </w:r>
      <w:r w:rsidR="00E441FE">
        <w:t xml:space="preserve">  </w:t>
      </w:r>
    </w:p>
    <w:p w:rsidR="005751D9" w:rsidRDefault="005751D9" w:rsidP="00676C7F"/>
    <w:p w:rsidR="001A28A6" w:rsidRPr="00B57D84" w:rsidRDefault="00E441FE" w:rsidP="00676C7F">
      <w:r>
        <w:t xml:space="preserve">Beginning in the fall 2012, just one template will be sent to each regional committee containing both the carryover items and the new proposals </w:t>
      </w:r>
      <w:r w:rsidRPr="008D4923">
        <w:rPr>
          <w:u w:color="82C42A"/>
        </w:rPr>
        <w:t>designated</w:t>
      </w:r>
      <w:r w:rsidRPr="008D4923">
        <w:t xml:space="preserve"> </w:t>
      </w:r>
      <w:r>
        <w:t xml:space="preserve">to the respective region.  Furthermore, each new item will be identically numbered and titled at each region.  This will not only streamline documentation for regions, but will also simplify the process for implementing regional reports into </w:t>
      </w:r>
      <w:r w:rsidRPr="00A75CE5">
        <w:t>NCWM Publication 15</w:t>
      </w:r>
      <w:r>
        <w:t xml:space="preserve">.  </w:t>
      </w:r>
      <w:r w:rsidRPr="008D4923">
        <w:rPr>
          <w:u w:color="82C42A"/>
        </w:rPr>
        <w:t>Staff</w:t>
      </w:r>
      <w:r w:rsidRPr="008D4923">
        <w:t xml:space="preserve"> </w:t>
      </w:r>
      <w:r>
        <w:t xml:space="preserve">expects that these improvements will enable them to make </w:t>
      </w:r>
      <w:r w:rsidRPr="00A75CE5">
        <w:t>NCWM Publication 15</w:t>
      </w:r>
      <w:r>
        <w:t xml:space="preserve"> available at an earlier date </w:t>
      </w:r>
      <w:r w:rsidR="00946E0B">
        <w:t>this</w:t>
      </w:r>
      <w:r>
        <w:t xml:space="preserve"> fall.</w:t>
      </w:r>
      <w:r w:rsidR="001A28A6">
        <w:t xml:space="preserve">  </w:t>
      </w:r>
    </w:p>
    <w:p w:rsidR="001A28A6" w:rsidRPr="00F3504E" w:rsidRDefault="001A28A6" w:rsidP="00CC2668">
      <w:pPr>
        <w:pStyle w:val="ItemHeading"/>
      </w:pPr>
      <w:bookmarkStart w:id="136" w:name="_Toc308424349"/>
      <w:bookmarkStart w:id="137" w:name="_Toc308424739"/>
      <w:bookmarkStart w:id="138" w:name="_Toc308425345"/>
      <w:bookmarkStart w:id="139" w:name="_Toc308595423"/>
      <w:bookmarkStart w:id="140" w:name="_Toc308595829"/>
      <w:bookmarkStart w:id="141" w:name="_Toc308596034"/>
      <w:bookmarkStart w:id="142" w:name="_Toc352859911"/>
      <w:r>
        <w:t>120-3</w:t>
      </w:r>
      <w:r>
        <w:tab/>
      </w:r>
      <w:r w:rsidR="00E441FE">
        <w:t>I</w:t>
      </w:r>
      <w:r w:rsidR="00E441FE">
        <w:tab/>
      </w:r>
      <w:r>
        <w:t>Standing Committees</w:t>
      </w:r>
      <w:bookmarkEnd w:id="136"/>
      <w:bookmarkEnd w:id="137"/>
      <w:bookmarkEnd w:id="138"/>
      <w:bookmarkEnd w:id="139"/>
      <w:bookmarkEnd w:id="140"/>
      <w:bookmarkEnd w:id="141"/>
      <w:bookmarkEnd w:id="142"/>
    </w:p>
    <w:p w:rsidR="001A28A6" w:rsidRDefault="001A28A6" w:rsidP="007B3C4B">
      <w:pPr>
        <w:pStyle w:val="BoldHeading"/>
      </w:pPr>
      <w:bookmarkStart w:id="143" w:name="_Toc320020633"/>
      <w:r>
        <w:t>Committee Orientation:</w:t>
      </w:r>
      <w:bookmarkEnd w:id="143"/>
    </w:p>
    <w:p w:rsidR="001A28A6" w:rsidRDefault="001A28A6" w:rsidP="007B3C4B">
      <w:r>
        <w:t>In 2010, NCWM began conducting Committee Orientation for committee cha</w:t>
      </w:r>
      <w:r w:rsidR="007B3C4B">
        <w:t xml:space="preserve">irs and new committee members.  </w:t>
      </w:r>
      <w:r>
        <w:t xml:space="preserve">It is held at </w:t>
      </w:r>
      <w:r w:rsidR="007B3C4B">
        <w:t>NIST</w:t>
      </w:r>
      <w:r w:rsidR="00DF5D51">
        <w:t>, OWM</w:t>
      </w:r>
      <w:r>
        <w:t xml:space="preserve"> in Gaithersburg, Maryland, to facilitate participation of all NIST </w:t>
      </w:r>
      <w:r w:rsidR="00DF5D51">
        <w:t>T</w:t>
      </w:r>
      <w:r>
        <w:t xml:space="preserve">echnical </w:t>
      </w:r>
      <w:r w:rsidR="00DF5D51">
        <w:t>A</w:t>
      </w:r>
      <w:r>
        <w:t xml:space="preserve">dvisors.  The program presented by NCWM Chairman and Executive Director includes a half-day session for committee chairs followed by a full day for the new committee members.  The focus is on leadership, administrative processes, roles and responsibilities, and review of </w:t>
      </w:r>
      <w:r w:rsidRPr="008D4923">
        <w:rPr>
          <w:i/>
          <w:u w:color="82C42A"/>
        </w:rPr>
        <w:t>NCWM Committee Member Handbook</w:t>
      </w:r>
      <w:r w:rsidRPr="008D4923">
        <w:t>.</w:t>
      </w:r>
      <w:r>
        <w:t xml:space="preserve">  Additionally, the committee chairs and NIST </w:t>
      </w:r>
      <w:r w:rsidR="00C674BE">
        <w:t>T</w:t>
      </w:r>
      <w:r>
        <w:t xml:space="preserve">echnical </w:t>
      </w:r>
      <w:r w:rsidR="00C674BE">
        <w:t>A</w:t>
      </w:r>
      <w:r>
        <w:t xml:space="preserve">dvisors review agenda items for the new members so that they are prepared in advance for the technical discussions and </w:t>
      </w:r>
      <w:r w:rsidR="007B3C4B">
        <w:t>O</w:t>
      </w:r>
      <w:r>
        <w:t xml:space="preserve">pen </w:t>
      </w:r>
      <w:r w:rsidR="007B3C4B">
        <w:t>H</w:t>
      </w:r>
      <w:r>
        <w:t>earings.  Because the response to the first meeting in 2010 was so positive, the orientation</w:t>
      </w:r>
      <w:r w:rsidR="00E441FE">
        <w:t xml:space="preserve"> is an annual event</w:t>
      </w:r>
      <w:r>
        <w:t xml:space="preserve">.  </w:t>
      </w:r>
    </w:p>
    <w:p w:rsidR="005751D9" w:rsidRDefault="005751D9" w:rsidP="007B3C4B">
      <w:pPr>
        <w:pStyle w:val="BoldHeading"/>
      </w:pPr>
      <w:bookmarkStart w:id="144" w:name="_Toc320020634"/>
    </w:p>
    <w:p w:rsidR="001A28A6" w:rsidRDefault="001A28A6" w:rsidP="00EC47EB">
      <w:pPr>
        <w:pStyle w:val="BoldHeading"/>
        <w:keepNext/>
      </w:pPr>
      <w:r>
        <w:lastRenderedPageBreak/>
        <w:t>Task Groups and Subcommittees:</w:t>
      </w:r>
      <w:bookmarkEnd w:id="144"/>
      <w:r>
        <w:t xml:space="preserve">  </w:t>
      </w:r>
    </w:p>
    <w:p w:rsidR="001A28A6" w:rsidRDefault="00E441FE" w:rsidP="00EC47EB">
      <w:pPr>
        <w:keepNext/>
      </w:pPr>
      <w:r>
        <w:t xml:space="preserve">Task groups and subcommittees are created via appointment by </w:t>
      </w:r>
      <w:r w:rsidR="00F956F6">
        <w:t xml:space="preserve">the </w:t>
      </w:r>
      <w:r>
        <w:t xml:space="preserve">NCWM Chairman.  A </w:t>
      </w:r>
      <w:r w:rsidR="001A28A6">
        <w:t>task group</w:t>
      </w:r>
      <w:r>
        <w:t xml:space="preserve"> is given a specific charge</w:t>
      </w:r>
      <w:r w:rsidR="0018363F">
        <w:t>,</w:t>
      </w:r>
      <w:r>
        <w:t xml:space="preserve"> and it</w:t>
      </w:r>
      <w:r w:rsidR="001A28A6">
        <w:t xml:space="preserve"> reports to the appropriate NCWM standing committee.  </w:t>
      </w:r>
      <w:r>
        <w:t xml:space="preserve">A </w:t>
      </w:r>
      <w:r w:rsidR="001A28A6">
        <w:t xml:space="preserve">task group will disband at the completion of </w:t>
      </w:r>
      <w:r>
        <w:t xml:space="preserve">its </w:t>
      </w:r>
      <w:r w:rsidR="001A28A6">
        <w:t xml:space="preserve">assignment.  </w:t>
      </w:r>
      <w:r>
        <w:t xml:space="preserve">A </w:t>
      </w:r>
      <w:r w:rsidR="001A28A6" w:rsidRPr="00C674BE">
        <w:t>subcommittee</w:t>
      </w:r>
      <w:r>
        <w:t xml:space="preserve"> is </w:t>
      </w:r>
      <w:r w:rsidR="001A28A6" w:rsidRPr="00C674BE">
        <w:t xml:space="preserve">charged with ongoing responsibilities in support of </w:t>
      </w:r>
      <w:r>
        <w:t xml:space="preserve">a standing committee in a specific field of expertise.  </w:t>
      </w:r>
    </w:p>
    <w:p w:rsidR="005751D9" w:rsidRDefault="005751D9" w:rsidP="007B3C4B"/>
    <w:p w:rsidR="001A28A6" w:rsidRDefault="001A28A6" w:rsidP="007B3C4B">
      <w:r>
        <w:t xml:space="preserve">NCWM </w:t>
      </w:r>
      <w:r w:rsidR="00E441FE">
        <w:t xml:space="preserve">offers resources </w:t>
      </w:r>
      <w:r>
        <w:t>to these task groups and subcommittees includ</w:t>
      </w:r>
      <w:r w:rsidR="00E441FE">
        <w:t>ing</w:t>
      </w:r>
      <w:r>
        <w:t xml:space="preserve"> meeting space </w:t>
      </w:r>
      <w:r w:rsidRPr="008D4923">
        <w:rPr>
          <w:u w:color="82C42A"/>
        </w:rPr>
        <w:t>at</w:t>
      </w:r>
      <w:r w:rsidRPr="008D4923">
        <w:t xml:space="preserve"> </w:t>
      </w:r>
      <w:r>
        <w:t>Interim and Annual Meetings, conference calling</w:t>
      </w:r>
      <w:r w:rsidR="0018363F">
        <w:t>,</w:t>
      </w:r>
      <w:r>
        <w:t xml:space="preserve"> web meeting services, dedicated e-mail </w:t>
      </w:r>
      <w:r w:rsidRPr="008D4923">
        <w:rPr>
          <w:u w:color="82C42A"/>
        </w:rPr>
        <w:t>listservs</w:t>
      </w:r>
      <w:r w:rsidRPr="008D4923">
        <w:t>,</w:t>
      </w:r>
      <w:r>
        <w:t xml:space="preserve"> a dedicated web page for posting and archiving documents related to their work, and broadcast e-mail service</w:t>
      </w:r>
      <w:r w:rsidR="007B3C4B">
        <w:t xml:space="preserve">s to reach targeted audiences.  </w:t>
      </w:r>
      <w:r>
        <w:t>Additionally, NIST</w:t>
      </w:r>
      <w:r w:rsidR="00C674BE">
        <w:t>, OWM</w:t>
      </w:r>
      <w:r>
        <w:t xml:space="preserve"> has provided technical advisors and web meeting forums.  All of these tools enable year-round progress of </w:t>
      </w:r>
      <w:r w:rsidRPr="008D4923">
        <w:rPr>
          <w:u w:color="82C42A"/>
        </w:rPr>
        <w:t>task group</w:t>
      </w:r>
      <w:r w:rsidRPr="008D4923">
        <w:t xml:space="preserve"> </w:t>
      </w:r>
      <w:r>
        <w:t xml:space="preserve">and </w:t>
      </w:r>
      <w:r w:rsidR="007B3C4B">
        <w:t>s</w:t>
      </w:r>
      <w:r>
        <w:t>ubcommittee work.</w:t>
      </w:r>
    </w:p>
    <w:p w:rsidR="005751D9" w:rsidRDefault="005751D9" w:rsidP="007B3C4B"/>
    <w:p w:rsidR="001A28A6" w:rsidRDefault="001A28A6" w:rsidP="007B3C4B">
      <w:r>
        <w:t xml:space="preserve">The board expresses great appreciation to the volunteers who serve on these important </w:t>
      </w:r>
      <w:r w:rsidR="00C674BE">
        <w:t xml:space="preserve">task </w:t>
      </w:r>
      <w:r>
        <w:t>groups</w:t>
      </w:r>
      <w:r w:rsidR="00C674BE">
        <w:t xml:space="preserve"> and subcommittees</w:t>
      </w:r>
      <w:r>
        <w:t xml:space="preserve"> in support of the work of this organization.</w:t>
      </w:r>
    </w:p>
    <w:p w:rsidR="001A28A6" w:rsidRPr="00036EA7" w:rsidRDefault="007B3C4B" w:rsidP="00A75CE5">
      <w:pPr>
        <w:pStyle w:val="bulletedlist"/>
        <w:keepNext/>
        <w:spacing w:before="120"/>
        <w:rPr>
          <w:b/>
        </w:rPr>
      </w:pPr>
      <w:r w:rsidRPr="00036EA7">
        <w:rPr>
          <w:b/>
        </w:rPr>
        <w:t xml:space="preserve">Task Group on </w:t>
      </w:r>
      <w:r w:rsidR="001A28A6" w:rsidRPr="00036EA7">
        <w:rPr>
          <w:b/>
        </w:rPr>
        <w:t>Printer Ink and Toner Cartridge</w:t>
      </w:r>
      <w:r w:rsidRPr="00036EA7">
        <w:rPr>
          <w:b/>
        </w:rPr>
        <w:t>s</w:t>
      </w:r>
      <w:r w:rsidR="001A28A6" w:rsidRPr="00036EA7">
        <w:rPr>
          <w:b/>
        </w:rPr>
        <w:t xml:space="preserve">:  </w:t>
      </w:r>
    </w:p>
    <w:p w:rsidR="0012660D" w:rsidRDefault="001A28A6" w:rsidP="00464D49">
      <w:pPr>
        <w:pStyle w:val="BulletedIndent"/>
        <w:keepNext/>
        <w:spacing w:after="120"/>
      </w:pPr>
      <w:r>
        <w:t xml:space="preserve">The group reports to </w:t>
      </w:r>
      <w:r w:rsidR="005B0195">
        <w:t xml:space="preserve">the </w:t>
      </w:r>
      <w:r w:rsidR="00AE16E4">
        <w:t>Laws and Regulations (</w:t>
      </w:r>
      <w:r w:rsidR="005B0195">
        <w:t>L&amp;R</w:t>
      </w:r>
      <w:r w:rsidR="00AE16E4">
        <w:t>)</w:t>
      </w:r>
      <w:r>
        <w:t xml:space="preserve"> </w:t>
      </w:r>
      <w:r w:rsidR="00C9049C">
        <w:t xml:space="preserve">Committee </w:t>
      </w:r>
      <w:r>
        <w:t xml:space="preserve">and is addressing </w:t>
      </w:r>
      <w:r w:rsidRPr="008D4923">
        <w:rPr>
          <w:u w:color="82C42A"/>
        </w:rPr>
        <w:t>method</w:t>
      </w:r>
      <w:r w:rsidRPr="008D4923">
        <w:t xml:space="preserve"> </w:t>
      </w:r>
      <w:r>
        <w:t>of sale and net quantity labeling re</w:t>
      </w:r>
      <w:r w:rsidR="005B0195">
        <w:t xml:space="preserve">quirements.  </w:t>
      </w:r>
      <w:r>
        <w:t>For more information, contact</w:t>
      </w:r>
      <w:r w:rsidR="0012660D">
        <w:t>:</w:t>
      </w:r>
    </w:p>
    <w:p w:rsidR="00036EA7" w:rsidRPr="00036EA7" w:rsidRDefault="00036EA7" w:rsidP="00464D49">
      <w:pPr>
        <w:pStyle w:val="BulletedIndent"/>
        <w:keepNext/>
        <w:rPr>
          <w:b/>
        </w:rPr>
      </w:pPr>
      <w:r w:rsidRPr="00036EA7">
        <w:rPr>
          <w:b/>
        </w:rPr>
        <w:t>Chair</w:t>
      </w:r>
    </w:p>
    <w:p w:rsidR="0012660D" w:rsidRDefault="005B0195" w:rsidP="00464D49">
      <w:pPr>
        <w:pStyle w:val="BulletedIndent"/>
        <w:keepNext/>
      </w:pPr>
      <w:r>
        <w:t xml:space="preserve">Ms. </w:t>
      </w:r>
      <w:r w:rsidR="00C22289">
        <w:t>Judy Cardin</w:t>
      </w:r>
    </w:p>
    <w:p w:rsidR="0012660D" w:rsidRDefault="00F54302" w:rsidP="00464D49">
      <w:pPr>
        <w:pStyle w:val="BulletedIndent"/>
        <w:keepNext/>
      </w:pPr>
      <w:r>
        <w:t>Wisconsin Department of Agriculture, Trade and Consumer Protection</w:t>
      </w:r>
    </w:p>
    <w:p w:rsidR="00F54302" w:rsidRDefault="00F54302" w:rsidP="00464D49">
      <w:pPr>
        <w:pStyle w:val="BulletedIndent"/>
        <w:keepNext/>
      </w:pPr>
      <w:r>
        <w:t>P</w:t>
      </w:r>
      <w:r w:rsidR="00E716BF">
        <w:t>.</w:t>
      </w:r>
      <w:r>
        <w:t>O</w:t>
      </w:r>
      <w:r w:rsidR="00E716BF">
        <w:t>.</w:t>
      </w:r>
      <w:r>
        <w:t xml:space="preserve"> Box 8911</w:t>
      </w:r>
    </w:p>
    <w:p w:rsidR="0012660D" w:rsidRDefault="00F54302" w:rsidP="00464D49">
      <w:pPr>
        <w:pStyle w:val="BulletedIndent"/>
        <w:keepNext/>
      </w:pPr>
      <w:r>
        <w:t>Madison, WI  53708-08911</w:t>
      </w:r>
    </w:p>
    <w:p w:rsidR="0012660D" w:rsidRDefault="0012660D" w:rsidP="00464D49">
      <w:pPr>
        <w:pStyle w:val="BulletedIndent"/>
        <w:keepNext/>
      </w:pPr>
      <w:r>
        <w:t>Phone:</w:t>
      </w:r>
      <w:r w:rsidR="0075128C">
        <w:t xml:space="preserve"> </w:t>
      </w:r>
      <w:r w:rsidR="001A28A6">
        <w:t xml:space="preserve"> </w:t>
      </w:r>
      <w:r w:rsidR="005B0195">
        <w:t>(</w:t>
      </w:r>
      <w:r w:rsidR="00F54302">
        <w:t>608</w:t>
      </w:r>
      <w:r w:rsidR="005B0195">
        <w:t>)</w:t>
      </w:r>
      <w:r w:rsidR="00F54302">
        <w:t xml:space="preserve"> 224-4945</w:t>
      </w:r>
      <w:r w:rsidR="005B0195">
        <w:t xml:space="preserve"> </w:t>
      </w:r>
    </w:p>
    <w:p w:rsidR="0012660D" w:rsidRDefault="0012660D" w:rsidP="00464D49">
      <w:pPr>
        <w:pStyle w:val="BulletedIndent"/>
        <w:keepNext/>
      </w:pPr>
      <w:r>
        <w:t xml:space="preserve">Fax: </w:t>
      </w:r>
      <w:r w:rsidR="0075128C">
        <w:t xml:space="preserve"> </w:t>
      </w:r>
      <w:r>
        <w:t>(</w:t>
      </w:r>
      <w:r w:rsidR="00F54302">
        <w:t>608</w:t>
      </w:r>
      <w:r>
        <w:t>)</w:t>
      </w:r>
      <w:r w:rsidR="00F54302">
        <w:t xml:space="preserve"> 224-4939</w:t>
      </w:r>
      <w:r>
        <w:t xml:space="preserve"> </w:t>
      </w:r>
    </w:p>
    <w:p w:rsidR="001A28A6" w:rsidRPr="00F54302" w:rsidRDefault="0012660D" w:rsidP="00464D49">
      <w:pPr>
        <w:pStyle w:val="BulletedIndent"/>
        <w:keepNext/>
        <w:rPr>
          <w:u w:val="single"/>
        </w:rPr>
      </w:pPr>
      <w:r>
        <w:t>E</w:t>
      </w:r>
      <w:r w:rsidR="0018363F">
        <w:t>-</w:t>
      </w:r>
      <w:r>
        <w:t>mail</w:t>
      </w:r>
      <w:r w:rsidRPr="00A75CE5">
        <w:t xml:space="preserve">: </w:t>
      </w:r>
      <w:r w:rsidR="0075128C" w:rsidRPr="00A75CE5">
        <w:t xml:space="preserve"> </w:t>
      </w:r>
      <w:r w:rsidR="00F54302" w:rsidRPr="0075128C">
        <w:rPr>
          <w:rStyle w:val="Hyperlink"/>
        </w:rPr>
        <w:t>judy.cardin@datcp.state.wi.us</w:t>
      </w:r>
    </w:p>
    <w:p w:rsidR="001A28A6" w:rsidRPr="00036EA7" w:rsidRDefault="001A28A6" w:rsidP="00A75CE5">
      <w:pPr>
        <w:pStyle w:val="bulletedlist"/>
        <w:spacing w:before="120"/>
        <w:rPr>
          <w:b/>
        </w:rPr>
      </w:pPr>
      <w:r w:rsidRPr="00036EA7">
        <w:rPr>
          <w:b/>
        </w:rPr>
        <w:t xml:space="preserve">Fuels and Lubricants Subcommittee: </w:t>
      </w:r>
    </w:p>
    <w:p w:rsidR="00036EA7" w:rsidRDefault="001A28A6" w:rsidP="008B4F1D">
      <w:pPr>
        <w:pStyle w:val="BulletedIndent"/>
        <w:spacing w:after="120"/>
      </w:pPr>
      <w:r>
        <w:t xml:space="preserve">This group reports to the </w:t>
      </w:r>
      <w:r w:rsidR="00652D8B">
        <w:t>L&amp;R</w:t>
      </w:r>
      <w:r w:rsidR="00C9049C">
        <w:t xml:space="preserve"> Committee</w:t>
      </w:r>
      <w:r w:rsidR="00652D8B">
        <w:t xml:space="preserve">.  </w:t>
      </w:r>
      <w:r w:rsidR="00036EA7">
        <w:t>For more information, contact:</w:t>
      </w:r>
    </w:p>
    <w:p w:rsidR="00036EA7" w:rsidRPr="00036EA7" w:rsidRDefault="00036EA7" w:rsidP="00036EA7">
      <w:pPr>
        <w:pStyle w:val="BulletedIndent"/>
        <w:rPr>
          <w:b/>
        </w:rPr>
      </w:pPr>
      <w:r w:rsidRPr="00036EA7">
        <w:rPr>
          <w:b/>
        </w:rPr>
        <w:t>Chair</w:t>
      </w:r>
    </w:p>
    <w:p w:rsidR="00036EA7" w:rsidRDefault="00652D8B" w:rsidP="00036EA7">
      <w:pPr>
        <w:pStyle w:val="BulletedIndent"/>
      </w:pPr>
      <w:r>
        <w:t xml:space="preserve">Mr. </w:t>
      </w:r>
      <w:r w:rsidR="001A28A6">
        <w:t>Ronald Hayes</w:t>
      </w:r>
    </w:p>
    <w:p w:rsidR="00036EA7" w:rsidRDefault="001A28A6" w:rsidP="00036EA7">
      <w:pPr>
        <w:pStyle w:val="BulletedIndent"/>
      </w:pPr>
      <w:r>
        <w:t>Missouri Department of Agriculture</w:t>
      </w:r>
    </w:p>
    <w:p w:rsidR="00036EA7" w:rsidRDefault="00036EA7" w:rsidP="00036EA7">
      <w:pPr>
        <w:pStyle w:val="BulletedIndent"/>
      </w:pPr>
      <w:r>
        <w:t>1616 Missouri Blvd</w:t>
      </w:r>
    </w:p>
    <w:p w:rsidR="00036EA7" w:rsidRDefault="00036EA7" w:rsidP="00036EA7">
      <w:pPr>
        <w:pStyle w:val="BulletedIndent"/>
      </w:pPr>
      <w:r>
        <w:t>P.O. Box 630</w:t>
      </w:r>
    </w:p>
    <w:p w:rsidR="00036EA7" w:rsidRDefault="00036EA7" w:rsidP="00036EA7">
      <w:pPr>
        <w:pStyle w:val="BulletedIndent"/>
      </w:pPr>
      <w:r>
        <w:t>Jefferson City, MO 65102</w:t>
      </w:r>
    </w:p>
    <w:p w:rsidR="00036EA7" w:rsidRDefault="00036EA7" w:rsidP="00036EA7">
      <w:pPr>
        <w:pStyle w:val="BulletedIndent"/>
      </w:pPr>
      <w:r>
        <w:t>Phone:</w:t>
      </w:r>
      <w:r w:rsidR="00E716BF">
        <w:t xml:space="preserve"> </w:t>
      </w:r>
      <w:r>
        <w:t xml:space="preserve"> </w:t>
      </w:r>
      <w:r w:rsidR="00652D8B">
        <w:t>(573) 751-4316</w:t>
      </w:r>
    </w:p>
    <w:p w:rsidR="00036EA7" w:rsidRDefault="00036EA7" w:rsidP="00E0381B">
      <w:pPr>
        <w:pStyle w:val="BulletedIndent"/>
      </w:pPr>
      <w:r>
        <w:t xml:space="preserve">Fax: </w:t>
      </w:r>
      <w:r w:rsidR="00E716BF">
        <w:t xml:space="preserve"> </w:t>
      </w:r>
      <w:r>
        <w:t>(573) 751-0281</w:t>
      </w:r>
    </w:p>
    <w:p w:rsidR="001A28A6" w:rsidRDefault="00036EA7" w:rsidP="00036EA7">
      <w:pPr>
        <w:pStyle w:val="BulletedIndent"/>
      </w:pPr>
      <w:r>
        <w:t>E</w:t>
      </w:r>
      <w:r w:rsidR="0018363F">
        <w:t>-</w:t>
      </w:r>
      <w:r w:rsidR="00652D8B">
        <w:t>mail</w:t>
      </w:r>
      <w:r w:rsidR="0094672B">
        <w:t>:</w:t>
      </w:r>
      <w:r w:rsidR="00652D8B">
        <w:t xml:space="preserve"> </w:t>
      </w:r>
      <w:r w:rsidR="005972A9">
        <w:t xml:space="preserve"> </w:t>
      </w:r>
      <w:r w:rsidR="001A28A6" w:rsidRPr="0018363F">
        <w:rPr>
          <w:rStyle w:val="Hyperlink"/>
        </w:rPr>
        <w:t>ron.hayes@mda.mo.gov</w:t>
      </w:r>
    </w:p>
    <w:p w:rsidR="001A28A6" w:rsidRPr="00036EA7" w:rsidRDefault="001A28A6" w:rsidP="00A75CE5">
      <w:pPr>
        <w:pStyle w:val="bulletedlist"/>
        <w:spacing w:before="120"/>
        <w:rPr>
          <w:b/>
        </w:rPr>
      </w:pPr>
      <w:r w:rsidRPr="00036EA7">
        <w:rPr>
          <w:b/>
        </w:rPr>
        <w:t xml:space="preserve">Packaging and Labeling Subcommittee:  </w:t>
      </w:r>
    </w:p>
    <w:p w:rsidR="000C1030" w:rsidRDefault="001A28A6" w:rsidP="008B4F1D">
      <w:pPr>
        <w:pStyle w:val="BulletedIndent"/>
        <w:spacing w:after="120"/>
      </w:pPr>
      <w:r>
        <w:t xml:space="preserve">The group reports to the </w:t>
      </w:r>
      <w:r w:rsidR="00652D8B">
        <w:t>L&amp;R</w:t>
      </w:r>
      <w:r w:rsidR="00C9049C">
        <w:t xml:space="preserve"> Committee</w:t>
      </w:r>
      <w:r w:rsidR="00652D8B">
        <w:t xml:space="preserve">.  </w:t>
      </w:r>
      <w:r>
        <w:t>For more information, contact</w:t>
      </w:r>
      <w:r w:rsidR="000C1030">
        <w:t>:</w:t>
      </w:r>
    </w:p>
    <w:p w:rsidR="000C1030" w:rsidRPr="000C1030" w:rsidRDefault="000C1030" w:rsidP="000C1030">
      <w:pPr>
        <w:pStyle w:val="BulletedIndent"/>
        <w:rPr>
          <w:b/>
        </w:rPr>
      </w:pPr>
      <w:r w:rsidRPr="000C1030">
        <w:rPr>
          <w:b/>
        </w:rPr>
        <w:t>Chair</w:t>
      </w:r>
    </w:p>
    <w:p w:rsidR="000C1030" w:rsidRDefault="00652D8B" w:rsidP="000C1030">
      <w:pPr>
        <w:pStyle w:val="BulletedIndent"/>
      </w:pPr>
      <w:r>
        <w:t xml:space="preserve">Mr. </w:t>
      </w:r>
      <w:r w:rsidR="001A28A6">
        <w:t>Chris</w:t>
      </w:r>
      <w:r w:rsidR="000C1030">
        <w:t>topher Guay</w:t>
      </w:r>
    </w:p>
    <w:p w:rsidR="000C1030" w:rsidRDefault="001A28A6" w:rsidP="000C1030">
      <w:pPr>
        <w:pStyle w:val="BulletedIndent"/>
      </w:pPr>
      <w:r>
        <w:t>Procter and Gamble, Co.</w:t>
      </w:r>
    </w:p>
    <w:p w:rsidR="000C1030" w:rsidRDefault="000C1030" w:rsidP="000C1030">
      <w:pPr>
        <w:pStyle w:val="BulletedIndent"/>
      </w:pPr>
      <w:r w:rsidRPr="000C1030">
        <w:t>One Procter and Gamble Plaza</w:t>
      </w:r>
    </w:p>
    <w:p w:rsidR="000C1030" w:rsidRDefault="000C1030" w:rsidP="000C1030">
      <w:pPr>
        <w:pStyle w:val="BulletedIndent"/>
      </w:pPr>
      <w:r>
        <w:t>Cincinnati, OH 45202</w:t>
      </w:r>
    </w:p>
    <w:p w:rsidR="000C1030" w:rsidRDefault="000C1030" w:rsidP="000C1030">
      <w:pPr>
        <w:pStyle w:val="BulletedIndent"/>
      </w:pPr>
      <w:r>
        <w:t xml:space="preserve">Phone: </w:t>
      </w:r>
      <w:r w:rsidR="005972A9">
        <w:t xml:space="preserve"> </w:t>
      </w:r>
      <w:r w:rsidR="00652D8B">
        <w:t>(513) 983-0530</w:t>
      </w:r>
    </w:p>
    <w:p w:rsidR="000C1030" w:rsidRDefault="000C1030" w:rsidP="000C1030">
      <w:pPr>
        <w:pStyle w:val="BulletedIndent"/>
      </w:pPr>
      <w:r>
        <w:t xml:space="preserve">Fax: </w:t>
      </w:r>
      <w:r w:rsidR="005972A9">
        <w:t xml:space="preserve"> </w:t>
      </w:r>
      <w:r>
        <w:t>(513) 983-8984</w:t>
      </w:r>
    </w:p>
    <w:p w:rsidR="003811F3" w:rsidRDefault="000C1030" w:rsidP="000C1030">
      <w:pPr>
        <w:pStyle w:val="BulletedIndent"/>
      </w:pPr>
      <w:r>
        <w:t>E</w:t>
      </w:r>
      <w:r w:rsidR="0018363F">
        <w:t>-</w:t>
      </w:r>
      <w:r w:rsidR="00652D8B">
        <w:t>mail</w:t>
      </w:r>
      <w:r w:rsidR="0094672B">
        <w:t>:</w:t>
      </w:r>
      <w:r w:rsidR="00652D8B">
        <w:t xml:space="preserve"> </w:t>
      </w:r>
      <w:r w:rsidR="001A28A6" w:rsidRPr="0018363F">
        <w:rPr>
          <w:rStyle w:val="Hyperlink"/>
        </w:rPr>
        <w:t>guay.cb@pg.com</w:t>
      </w:r>
    </w:p>
    <w:p w:rsidR="006818AE" w:rsidRPr="00F3504E" w:rsidRDefault="006818AE" w:rsidP="00CC2668">
      <w:pPr>
        <w:pStyle w:val="ItemHeading"/>
      </w:pPr>
      <w:bookmarkStart w:id="145" w:name="_Toc308424350"/>
      <w:bookmarkStart w:id="146" w:name="_Toc308424740"/>
      <w:bookmarkStart w:id="147" w:name="_Toc308425346"/>
      <w:bookmarkStart w:id="148" w:name="_Toc308595424"/>
      <w:bookmarkStart w:id="149" w:name="_Toc308595830"/>
      <w:bookmarkStart w:id="150" w:name="_Toc308596035"/>
      <w:bookmarkStart w:id="151" w:name="_Toc352859912"/>
      <w:r>
        <w:lastRenderedPageBreak/>
        <w:t>12</w:t>
      </w:r>
      <w:r w:rsidR="001A28A6">
        <w:t>0</w:t>
      </w:r>
      <w:r>
        <w:t>-</w:t>
      </w:r>
      <w:r w:rsidR="001A28A6">
        <w:t>4</w:t>
      </w:r>
      <w:r>
        <w:tab/>
      </w:r>
      <w:r w:rsidR="00E441FE">
        <w:t>I</w:t>
      </w:r>
      <w:r w:rsidR="00E441FE">
        <w:tab/>
      </w:r>
      <w:r>
        <w:t>NCWM Publications 15 and 16</w:t>
      </w:r>
      <w:bookmarkEnd w:id="145"/>
      <w:bookmarkEnd w:id="146"/>
      <w:bookmarkEnd w:id="147"/>
      <w:bookmarkEnd w:id="148"/>
      <w:bookmarkEnd w:id="149"/>
      <w:bookmarkEnd w:id="150"/>
      <w:bookmarkEnd w:id="151"/>
    </w:p>
    <w:p w:rsidR="006818AE" w:rsidRDefault="0012660D" w:rsidP="006818AE">
      <w:r w:rsidRPr="00A75CE5">
        <w:t xml:space="preserve">NCWM </w:t>
      </w:r>
      <w:r w:rsidR="006818AE" w:rsidRPr="00A75CE5">
        <w:t>Publications 15</w:t>
      </w:r>
      <w:r w:rsidR="006818AE">
        <w:t xml:space="preserve"> and </w:t>
      </w:r>
      <w:r w:rsidR="006818AE" w:rsidRPr="00A75CE5">
        <w:t>16</w:t>
      </w:r>
      <w:r w:rsidR="006818AE">
        <w:t xml:space="preserve"> are documents that provide the agendas and reports for NCWM Interim and Annual Meetings.  Though they are NCWM publications, NIST</w:t>
      </w:r>
      <w:r w:rsidR="00C674BE">
        <w:t>, OWM</w:t>
      </w:r>
      <w:r w:rsidR="006818AE">
        <w:t xml:space="preserve"> has supported NCWM by preparing and publishing the documents.  NIST</w:t>
      </w:r>
      <w:r>
        <w:t xml:space="preserve">, </w:t>
      </w:r>
      <w:r w:rsidR="00C674BE">
        <w:t>OWM</w:t>
      </w:r>
      <w:r w:rsidR="006818AE">
        <w:t xml:space="preserve"> has less staff dedicated to </w:t>
      </w:r>
      <w:r>
        <w:t xml:space="preserve">publications than in the past.  </w:t>
      </w:r>
      <w:r w:rsidR="006818AE">
        <w:t>That, combined with the cumbersome process they are subjected to when publishing documents</w:t>
      </w:r>
      <w:r w:rsidR="00E441FE">
        <w:t>,</w:t>
      </w:r>
      <w:r w:rsidR="006818AE">
        <w:t xml:space="preserve"> </w:t>
      </w:r>
      <w:r w:rsidR="00B74904">
        <w:t xml:space="preserve">has </w:t>
      </w:r>
      <w:r w:rsidR="006818AE">
        <w:t xml:space="preserve">prompted NCWM to </w:t>
      </w:r>
      <w:r w:rsidR="00C9049C">
        <w:t>assume this responsibility</w:t>
      </w:r>
      <w:r w:rsidR="006818AE">
        <w:t xml:space="preserve">.  </w:t>
      </w:r>
      <w:r w:rsidR="0059171E">
        <w:t xml:space="preserve">As of </w:t>
      </w:r>
      <w:r w:rsidR="006818AE">
        <w:t>the fall of 2011, NCWM</w:t>
      </w:r>
      <w:r w:rsidR="00C9049C">
        <w:t xml:space="preserve"> </w:t>
      </w:r>
      <w:r w:rsidR="0059171E">
        <w:t xml:space="preserve">assumed </w:t>
      </w:r>
      <w:r w:rsidR="00C9049C">
        <w:t>responsib</w:t>
      </w:r>
      <w:r w:rsidR="0059171E">
        <w:t>ility</w:t>
      </w:r>
      <w:r w:rsidR="00C9049C">
        <w:t xml:space="preserve"> for </w:t>
      </w:r>
      <w:r w:rsidR="00C9049C" w:rsidRPr="00A75CE5">
        <w:t>NCWM Publication</w:t>
      </w:r>
      <w:r w:rsidR="00B74904" w:rsidRPr="00A75CE5">
        <w:t>s</w:t>
      </w:r>
      <w:r w:rsidR="00C9049C" w:rsidRPr="00A75CE5">
        <w:t xml:space="preserve"> 15</w:t>
      </w:r>
      <w:r w:rsidR="00C9049C" w:rsidRPr="0026202D">
        <w:t xml:space="preserve"> and </w:t>
      </w:r>
      <w:r w:rsidR="00C9049C" w:rsidRPr="00A75CE5">
        <w:t>16</w:t>
      </w:r>
      <w:r w:rsidR="006818AE">
        <w:t xml:space="preserve">.  </w:t>
      </w:r>
      <w:r w:rsidR="00C9049C">
        <w:t>As a result, NIST</w:t>
      </w:r>
      <w:r w:rsidR="00C674BE">
        <w:t>, OWM</w:t>
      </w:r>
      <w:r w:rsidR="006818AE">
        <w:t xml:space="preserve"> staff will </w:t>
      </w:r>
      <w:r w:rsidR="0059171E">
        <w:t>be able to devote more resources to t</w:t>
      </w:r>
      <w:r w:rsidR="006818AE">
        <w:t xml:space="preserve">raining development and other publications such as </w:t>
      </w:r>
      <w:r w:rsidR="006818AE" w:rsidRPr="00A75CE5">
        <w:t>NCWM Annual Report</w:t>
      </w:r>
      <w:r w:rsidR="006818AE" w:rsidRPr="0026202D">
        <w:t xml:space="preserve">, </w:t>
      </w:r>
      <w:r w:rsidR="006818AE" w:rsidRPr="00A75CE5">
        <w:t>NIST Handbooks 44, 130</w:t>
      </w:r>
      <w:r w:rsidR="006818AE" w:rsidRPr="0026202D">
        <w:t xml:space="preserve"> and </w:t>
      </w:r>
      <w:r w:rsidR="006818AE" w:rsidRPr="00A75CE5">
        <w:t>133</w:t>
      </w:r>
      <w:r w:rsidR="006818AE" w:rsidRPr="0026202D">
        <w:t>,</w:t>
      </w:r>
      <w:r w:rsidR="006818AE">
        <w:t xml:space="preserve"> </w:t>
      </w:r>
      <w:r>
        <w:t>National Type Evaluation Technical Committee</w:t>
      </w:r>
      <w:r w:rsidR="006818AE">
        <w:t xml:space="preserve"> Sector Reports, etc.  </w:t>
      </w:r>
    </w:p>
    <w:p w:rsidR="005751D9" w:rsidRDefault="005751D9" w:rsidP="006818AE"/>
    <w:p w:rsidR="006818AE" w:rsidRDefault="006818AE" w:rsidP="006818AE">
      <w:r>
        <w:t xml:space="preserve">This change in responsibilities does affect </w:t>
      </w:r>
      <w:r w:rsidRPr="008D4923">
        <w:rPr>
          <w:u w:color="82C42A"/>
        </w:rPr>
        <w:t>flow</w:t>
      </w:r>
      <w:r w:rsidRPr="008D4923">
        <w:t xml:space="preserve"> </w:t>
      </w:r>
      <w:r>
        <w:t xml:space="preserve">of information and documents through the fall season in preparation for regional meetings and submitting reports at their completion.  The </w:t>
      </w:r>
      <w:r w:rsidRPr="00855A4D">
        <w:t>2012</w:t>
      </w:r>
      <w:r w:rsidRPr="0012660D">
        <w:rPr>
          <w:i/>
        </w:rPr>
        <w:t xml:space="preserve"> </w:t>
      </w:r>
      <w:r w:rsidR="0012660D" w:rsidRPr="00A75CE5">
        <w:t xml:space="preserve">NCWM </w:t>
      </w:r>
      <w:r w:rsidRPr="00A75CE5">
        <w:t>Publication 15</w:t>
      </w:r>
      <w:r>
        <w:t xml:space="preserve"> represent</w:t>
      </w:r>
      <w:r w:rsidR="0059171E">
        <w:t>ed</w:t>
      </w:r>
      <w:r>
        <w:t xml:space="preserve"> NCWM’s first product under this new initiative.  The processes to reach this final product </w:t>
      </w:r>
      <w:r w:rsidR="00E441FE">
        <w:t>ha</w:t>
      </w:r>
      <w:r w:rsidR="00B74904">
        <w:t>ve</w:t>
      </w:r>
      <w:r w:rsidR="00E441FE">
        <w:t xml:space="preserve"> been </w:t>
      </w:r>
      <w:r>
        <w:t>examined and refined based on experience and input from regional and national committee members, NIST</w:t>
      </w:r>
      <w:r w:rsidR="00B74E29">
        <w:t>, OWM</w:t>
      </w:r>
      <w:r>
        <w:t xml:space="preserve"> staff, and </w:t>
      </w:r>
      <w:r w:rsidR="00B74E29">
        <w:t>the</w:t>
      </w:r>
      <w:r>
        <w:t xml:space="preserve"> members.</w:t>
      </w:r>
    </w:p>
    <w:p w:rsidR="005751D9" w:rsidRDefault="005751D9" w:rsidP="006818AE"/>
    <w:p w:rsidR="006818AE" w:rsidRDefault="006818AE" w:rsidP="006818AE">
      <w:r>
        <w:t>There w</w:t>
      </w:r>
      <w:r w:rsidR="0059171E">
        <w:t>ere</w:t>
      </w:r>
      <w:r>
        <w:t xml:space="preserve"> less shifting of responsibilities in the development of </w:t>
      </w:r>
      <w:r w:rsidR="0012660D" w:rsidRPr="00A75CE5">
        <w:t xml:space="preserve">NCWM </w:t>
      </w:r>
      <w:r w:rsidRPr="00A75CE5">
        <w:t>Publication 16</w:t>
      </w:r>
      <w:r>
        <w:t xml:space="preserve">.  The committees </w:t>
      </w:r>
      <w:r w:rsidR="00C9049C">
        <w:t>retain</w:t>
      </w:r>
      <w:r w:rsidR="0059171E">
        <w:t>ed</w:t>
      </w:r>
      <w:r w:rsidR="00C9049C">
        <w:t xml:space="preserve"> responsibility</w:t>
      </w:r>
      <w:r>
        <w:t xml:space="preserve"> for developing the final reports for </w:t>
      </w:r>
      <w:r w:rsidR="0012660D" w:rsidRPr="00A75CE5">
        <w:t xml:space="preserve">NCWM </w:t>
      </w:r>
      <w:r w:rsidRPr="00A75CE5">
        <w:t>Publication 16</w:t>
      </w:r>
      <w:r w:rsidRPr="002B2D16">
        <w:t xml:space="preserve">.  Once completed, they submit </w:t>
      </w:r>
      <w:r w:rsidRPr="008D4923">
        <w:rPr>
          <w:u w:color="82C42A"/>
        </w:rPr>
        <w:t>those</w:t>
      </w:r>
      <w:r w:rsidRPr="008D4923">
        <w:t xml:space="preserve"> </w:t>
      </w:r>
      <w:r w:rsidRPr="002B2D16">
        <w:t xml:space="preserve">reports to NCWM for inclusion in </w:t>
      </w:r>
      <w:r w:rsidR="0012660D" w:rsidRPr="00A75CE5">
        <w:t xml:space="preserve">NCWM </w:t>
      </w:r>
      <w:r w:rsidRPr="00A75CE5">
        <w:t>Publication 16</w:t>
      </w:r>
      <w:r w:rsidR="00E441FE" w:rsidRPr="002B2D16">
        <w:t xml:space="preserve">.  </w:t>
      </w:r>
      <w:r w:rsidR="0059171E" w:rsidRPr="002B2D16">
        <w:t xml:space="preserve">The shift of responsibility to NCWM in producing </w:t>
      </w:r>
      <w:r w:rsidR="0059171E" w:rsidRPr="00A75CE5">
        <w:t>NCWM Publication 16</w:t>
      </w:r>
      <w:r w:rsidR="0059171E" w:rsidRPr="002B2D16">
        <w:t xml:space="preserve"> proved highly successful, resulting in publication and posting of the 2012 </w:t>
      </w:r>
      <w:r w:rsidR="0059171E" w:rsidRPr="00A75CE5">
        <w:t>NCWM Publication 16</w:t>
      </w:r>
      <w:r w:rsidR="0059171E" w:rsidRPr="002B2D16">
        <w:rPr>
          <w:i/>
        </w:rPr>
        <w:t xml:space="preserve"> </w:t>
      </w:r>
      <w:r w:rsidR="0059171E" w:rsidRPr="002B2D16">
        <w:t>before April 2012 and enabling the access of the On-Line Position Forum for comment/position input by members a full month earlier than that occurring in the prior year</w:t>
      </w:r>
      <w:r w:rsidR="00E441FE" w:rsidRPr="002B2D16">
        <w:t>.</w:t>
      </w:r>
    </w:p>
    <w:p w:rsidR="006818AE" w:rsidRDefault="006818AE" w:rsidP="00CC2668">
      <w:pPr>
        <w:pStyle w:val="ItemHeading"/>
      </w:pPr>
      <w:bookmarkStart w:id="152" w:name="_Toc308424351"/>
      <w:bookmarkStart w:id="153" w:name="_Toc308424741"/>
      <w:bookmarkStart w:id="154" w:name="_Toc308425347"/>
      <w:bookmarkStart w:id="155" w:name="_Toc308595425"/>
      <w:bookmarkStart w:id="156" w:name="_Toc308595831"/>
      <w:bookmarkStart w:id="157" w:name="_Toc308596036"/>
      <w:bookmarkStart w:id="158" w:name="_Toc352859913"/>
      <w:r>
        <w:t>12</w:t>
      </w:r>
      <w:r w:rsidR="001A28A6">
        <w:t>0</w:t>
      </w:r>
      <w:r>
        <w:t>-</w:t>
      </w:r>
      <w:r w:rsidR="001A28A6">
        <w:t>5</w:t>
      </w:r>
      <w:r>
        <w:tab/>
      </w:r>
      <w:r w:rsidR="00E441FE">
        <w:t>V</w:t>
      </w:r>
      <w:r w:rsidR="00E441FE">
        <w:tab/>
      </w:r>
      <w:r>
        <w:t>NCWM Bylaws Administrative Updates</w:t>
      </w:r>
      <w:bookmarkEnd w:id="152"/>
      <w:bookmarkEnd w:id="153"/>
      <w:bookmarkEnd w:id="154"/>
      <w:bookmarkEnd w:id="155"/>
      <w:bookmarkEnd w:id="156"/>
      <w:bookmarkEnd w:id="157"/>
      <w:bookmarkEnd w:id="158"/>
    </w:p>
    <w:p w:rsidR="0059171E" w:rsidRDefault="0059171E" w:rsidP="00CC2668">
      <w:pPr>
        <w:jc w:val="center"/>
      </w:pPr>
      <w:r w:rsidRPr="00CC2668">
        <w:t>(This item was adopted</w:t>
      </w:r>
      <w:r w:rsidR="00302788" w:rsidRPr="00CC2668">
        <w:t>.</w:t>
      </w:r>
      <w:r w:rsidRPr="00CC2668">
        <w:t>)</w:t>
      </w:r>
    </w:p>
    <w:p w:rsidR="00CC2668" w:rsidRPr="00CC2668" w:rsidRDefault="00CC2668" w:rsidP="00CC2668">
      <w:pPr>
        <w:jc w:val="center"/>
      </w:pPr>
    </w:p>
    <w:p w:rsidR="00855A4D" w:rsidRDefault="001A28A6" w:rsidP="00855A4D">
      <w:pPr>
        <w:pStyle w:val="BoldHeading"/>
      </w:pPr>
      <w:bookmarkStart w:id="159" w:name="_Toc320020635"/>
      <w:r w:rsidRPr="0061795A">
        <w:t>Source:</w:t>
      </w:r>
      <w:bookmarkEnd w:id="159"/>
      <w:r>
        <w:tab/>
      </w:r>
    </w:p>
    <w:p w:rsidR="001A28A6" w:rsidRDefault="001A28A6" w:rsidP="00855A4D">
      <w:r>
        <w:t>NCWM Board of Directors</w:t>
      </w:r>
      <w:r w:rsidR="00884333">
        <w:t xml:space="preserve"> (2012)</w:t>
      </w:r>
    </w:p>
    <w:p w:rsidR="00855A4D" w:rsidRDefault="001A28A6" w:rsidP="00855A4D">
      <w:pPr>
        <w:pStyle w:val="BoldHeading"/>
      </w:pPr>
      <w:bookmarkStart w:id="160" w:name="_Toc320020636"/>
      <w:r w:rsidRPr="0061795A">
        <w:t>Purpose:</w:t>
      </w:r>
      <w:bookmarkEnd w:id="160"/>
      <w:r w:rsidRPr="0061795A">
        <w:t xml:space="preserve"> </w:t>
      </w:r>
      <w:r>
        <w:t xml:space="preserve"> </w:t>
      </w:r>
    </w:p>
    <w:p w:rsidR="001A28A6" w:rsidRDefault="001A28A6" w:rsidP="00855A4D">
      <w:r>
        <w:t xml:space="preserve">Update bylaws </w:t>
      </w:r>
      <w:r w:rsidRPr="008D4923">
        <w:rPr>
          <w:u w:color="82C42A"/>
        </w:rPr>
        <w:t>to reflect</w:t>
      </w:r>
      <w:r w:rsidRPr="008D4923">
        <w:t xml:space="preserve"> </w:t>
      </w:r>
      <w:r>
        <w:t xml:space="preserve">new management procedures, shifting responsibilities, and changes </w:t>
      </w:r>
      <w:r w:rsidRPr="008D4923">
        <w:rPr>
          <w:u w:color="82C42A"/>
        </w:rPr>
        <w:t>to</w:t>
      </w:r>
      <w:r w:rsidRPr="008D4923">
        <w:t xml:space="preserve"> </w:t>
      </w:r>
      <w:r>
        <w:t xml:space="preserve">policy. </w:t>
      </w:r>
    </w:p>
    <w:p w:rsidR="00855A4D" w:rsidRDefault="001A28A6" w:rsidP="00855A4D">
      <w:pPr>
        <w:pStyle w:val="BoldHeading"/>
      </w:pPr>
      <w:bookmarkStart w:id="161" w:name="_Toc320020637"/>
      <w:r>
        <w:t>Item Under Consideration:</w:t>
      </w:r>
      <w:bookmarkEnd w:id="161"/>
      <w:r>
        <w:t xml:space="preserve">  </w:t>
      </w:r>
    </w:p>
    <w:p w:rsidR="001A28A6" w:rsidRPr="00585ED0" w:rsidRDefault="001A28A6" w:rsidP="00676C7F">
      <w:r w:rsidRPr="00585ED0">
        <w:t>Amend various sections throughout NCWM bylaws as follows:</w:t>
      </w:r>
    </w:p>
    <w:p w:rsidR="00731EF0" w:rsidRPr="00585ED0" w:rsidRDefault="00731EF0" w:rsidP="00585ED0">
      <w:pPr>
        <w:pStyle w:val="I-Normal"/>
        <w:rPr>
          <w:b/>
        </w:rPr>
      </w:pPr>
      <w:r w:rsidRPr="00585ED0">
        <w:rPr>
          <w:b/>
        </w:rPr>
        <w:t>Article IV - Membership Fees and Records</w:t>
      </w:r>
    </w:p>
    <w:p w:rsidR="00731EF0" w:rsidRPr="00585ED0" w:rsidRDefault="00731EF0" w:rsidP="00585ED0">
      <w:pPr>
        <w:pStyle w:val="I-Normal"/>
        <w:rPr>
          <w:b/>
        </w:rPr>
      </w:pPr>
      <w:r w:rsidRPr="00585ED0">
        <w:rPr>
          <w:b/>
        </w:rPr>
        <w:t xml:space="preserve">Section 2 - Membership Records </w:t>
      </w:r>
    </w:p>
    <w:p w:rsidR="00731EF0" w:rsidRPr="00585ED0" w:rsidRDefault="00731EF0" w:rsidP="00585ED0">
      <w:pPr>
        <w:pStyle w:val="I-Normal"/>
        <w:rPr>
          <w:b/>
        </w:rPr>
      </w:pPr>
      <w:r>
        <w:t xml:space="preserve">The </w:t>
      </w:r>
      <w:r w:rsidRPr="00585ED0">
        <w:rPr>
          <w:b/>
          <w:strike/>
        </w:rPr>
        <w:t>Board of Directors shall designate an individual or organization to be responsible for membership, including collection of membership fees and maintenance of membership records.</w:t>
      </w:r>
      <w:r>
        <w:t xml:space="preserve"> </w:t>
      </w:r>
      <w:r w:rsidRPr="008D4923">
        <w:rPr>
          <w:b/>
          <w:u w:val="single"/>
        </w:rPr>
        <w:t>corporation</w:t>
      </w:r>
      <w:r w:rsidRPr="00585ED0">
        <w:rPr>
          <w:b/>
          <w:u w:val="single"/>
        </w:rPr>
        <w:t xml:space="preserve"> shall collect membership fees and maintain membership records.</w:t>
      </w:r>
    </w:p>
    <w:p w:rsidR="005751D9" w:rsidRDefault="005751D9" w:rsidP="00585ED0">
      <w:pPr>
        <w:pStyle w:val="I-Normal"/>
        <w:rPr>
          <w:b/>
        </w:rPr>
      </w:pPr>
    </w:p>
    <w:p w:rsidR="00731EF0" w:rsidRPr="00585ED0" w:rsidRDefault="00731EF0" w:rsidP="00585ED0">
      <w:pPr>
        <w:pStyle w:val="I-Normal"/>
        <w:rPr>
          <w:b/>
        </w:rPr>
      </w:pPr>
      <w:r w:rsidRPr="00585ED0">
        <w:rPr>
          <w:b/>
        </w:rPr>
        <w:t>Article V - Use of the Insignia</w:t>
      </w:r>
    </w:p>
    <w:p w:rsidR="00731EF0" w:rsidRPr="001C09CF" w:rsidRDefault="00731EF0" w:rsidP="00585ED0">
      <w:pPr>
        <w:pStyle w:val="I-Normal"/>
      </w:pPr>
      <w:r>
        <w:t xml:space="preserve">The insignia of the Corporation </w:t>
      </w:r>
      <w:r w:rsidRPr="00585ED0">
        <w:rPr>
          <w:b/>
          <w:strike/>
        </w:rPr>
        <w:t>may be used or displayed only by members of the Corporation with express written approval from the Board of Directors.</w:t>
      </w:r>
      <w:r w:rsidR="001C09CF" w:rsidRPr="00585ED0">
        <w:rPr>
          <w:b/>
        </w:rPr>
        <w:t xml:space="preserve"> </w:t>
      </w:r>
      <w:r w:rsidR="001C09CF" w:rsidRPr="00585ED0">
        <w:rPr>
          <w:b/>
          <w:u w:val="single"/>
        </w:rPr>
        <w:t>is trademarked.  Use or display of the insignia by members is allowed except that the Corporation may prohibit any use that is deemed by the Corporation to be inappropriate.</w:t>
      </w:r>
      <w:r w:rsidR="001C09CF" w:rsidRPr="00585ED0">
        <w:rPr>
          <w:b/>
        </w:rPr>
        <w:t xml:space="preserve"> </w:t>
      </w:r>
      <w:r w:rsidR="001C09CF">
        <w:t xml:space="preserve"> </w:t>
      </w:r>
    </w:p>
    <w:p w:rsidR="005751D9" w:rsidRDefault="005751D9" w:rsidP="00585ED0">
      <w:pPr>
        <w:pStyle w:val="I-Normal"/>
        <w:rPr>
          <w:b/>
        </w:rPr>
      </w:pPr>
    </w:p>
    <w:p w:rsidR="00731EF0" w:rsidRPr="00585ED0" w:rsidRDefault="00731EF0" w:rsidP="00585ED0">
      <w:pPr>
        <w:pStyle w:val="I-Normal"/>
        <w:rPr>
          <w:b/>
        </w:rPr>
      </w:pPr>
      <w:r w:rsidRPr="00585ED0">
        <w:rPr>
          <w:b/>
        </w:rPr>
        <w:t>Article VI - Directors</w:t>
      </w:r>
    </w:p>
    <w:p w:rsidR="005751D9" w:rsidRDefault="005751D9" w:rsidP="00585ED0">
      <w:pPr>
        <w:pStyle w:val="I-Normal"/>
        <w:rPr>
          <w:b/>
        </w:rPr>
      </w:pPr>
    </w:p>
    <w:p w:rsidR="00731EF0" w:rsidRPr="00585ED0" w:rsidRDefault="00731EF0" w:rsidP="00585ED0">
      <w:pPr>
        <w:pStyle w:val="I-Normal"/>
        <w:rPr>
          <w:b/>
        </w:rPr>
      </w:pPr>
      <w:r w:rsidRPr="00585ED0">
        <w:rPr>
          <w:b/>
        </w:rPr>
        <w:t>Section 4 - Insurance and Indemnification of Directors</w:t>
      </w:r>
    </w:p>
    <w:p w:rsidR="00731EF0" w:rsidRPr="00A213E3" w:rsidRDefault="00A213E3" w:rsidP="00A213E3">
      <w:pPr>
        <w:pStyle w:val="I-Normal"/>
        <w:rPr>
          <w:b/>
        </w:rPr>
      </w:pPr>
      <w:r>
        <w:rPr>
          <w:b/>
        </w:rPr>
        <w:t>A.</w:t>
      </w:r>
      <w:r>
        <w:rPr>
          <w:b/>
        </w:rPr>
        <w:tab/>
      </w:r>
      <w:r w:rsidR="00731EF0" w:rsidRPr="00A213E3">
        <w:rPr>
          <w:b/>
        </w:rPr>
        <w:t xml:space="preserve">Insurance </w:t>
      </w:r>
      <w:r w:rsidRPr="00557CC1">
        <w:rPr>
          <w:b/>
        </w:rPr>
        <w:t>and Indemnification of Directors</w:t>
      </w:r>
    </w:p>
    <w:p w:rsidR="00731EF0" w:rsidRPr="00585ED0" w:rsidRDefault="00731EF0" w:rsidP="00585ED0">
      <w:pPr>
        <w:pStyle w:val="I-NORMAL1indent"/>
      </w:pPr>
      <w:r w:rsidRPr="00585ED0">
        <w:t xml:space="preserve">The </w:t>
      </w:r>
      <w:r w:rsidRPr="00585ED0">
        <w:rPr>
          <w:b/>
          <w:strike/>
        </w:rPr>
        <w:t>Board of Directors</w:t>
      </w:r>
      <w:r w:rsidRPr="00585ED0">
        <w:t xml:space="preserve"> </w:t>
      </w:r>
      <w:r w:rsidRPr="00585ED0">
        <w:rPr>
          <w:b/>
          <w:u w:val="single"/>
        </w:rPr>
        <w:t>Corporation</w:t>
      </w:r>
      <w:r w:rsidRPr="00585ED0">
        <w:t xml:space="preserve"> is authorized to purchase insurance, including but not limited to, general liability insurance, errors and omissions insurance, and directors and officers liability insurance, together with any other insurance deemed by the Board to be reasonable, in such sums and for such premiums as the </w:t>
      </w:r>
      <w:r w:rsidRPr="00585ED0">
        <w:rPr>
          <w:b/>
          <w:strike/>
        </w:rPr>
        <w:t>Board</w:t>
      </w:r>
      <w:r w:rsidRPr="00585ED0">
        <w:t xml:space="preserve"> </w:t>
      </w:r>
      <w:r w:rsidRPr="00585ED0">
        <w:rPr>
          <w:b/>
          <w:u w:val="single"/>
        </w:rPr>
        <w:t>Corporation</w:t>
      </w:r>
      <w:r w:rsidRPr="00585ED0">
        <w:t xml:space="preserve"> determines are appropriate.</w:t>
      </w:r>
    </w:p>
    <w:p w:rsidR="005751D9" w:rsidRDefault="005751D9" w:rsidP="00585ED0">
      <w:pPr>
        <w:pStyle w:val="I-Normal"/>
        <w:rPr>
          <w:b/>
        </w:rPr>
      </w:pPr>
    </w:p>
    <w:p w:rsidR="001C09CF" w:rsidRPr="00585ED0" w:rsidRDefault="001C09CF" w:rsidP="00585ED0">
      <w:pPr>
        <w:pStyle w:val="I-Normal"/>
        <w:rPr>
          <w:b/>
        </w:rPr>
      </w:pPr>
      <w:r w:rsidRPr="00585ED0">
        <w:rPr>
          <w:b/>
        </w:rPr>
        <w:lastRenderedPageBreak/>
        <w:t xml:space="preserve">Article VII - Duties of the Directors and </w:t>
      </w:r>
      <w:r w:rsidRPr="008D4923">
        <w:rPr>
          <w:b/>
          <w:u w:color="82C42A"/>
        </w:rPr>
        <w:t>Appointive</w:t>
      </w:r>
      <w:r w:rsidRPr="008D4923">
        <w:rPr>
          <w:b/>
        </w:rPr>
        <w:t xml:space="preserve"> </w:t>
      </w:r>
      <w:r w:rsidRPr="00585ED0">
        <w:rPr>
          <w:b/>
        </w:rPr>
        <w:t>Officials</w:t>
      </w:r>
    </w:p>
    <w:p w:rsidR="005751D9" w:rsidRDefault="005751D9" w:rsidP="00585ED0">
      <w:pPr>
        <w:pStyle w:val="I-Normal"/>
        <w:rPr>
          <w:b/>
        </w:rPr>
      </w:pPr>
    </w:p>
    <w:p w:rsidR="001C09CF" w:rsidRPr="00585ED0" w:rsidRDefault="001C09CF" w:rsidP="00585ED0">
      <w:pPr>
        <w:pStyle w:val="I-Normal"/>
        <w:rPr>
          <w:b/>
        </w:rPr>
      </w:pPr>
      <w:r w:rsidRPr="00585ED0">
        <w:rPr>
          <w:b/>
        </w:rPr>
        <w:t>Section 1 - Chairman</w:t>
      </w:r>
    </w:p>
    <w:p w:rsidR="001C09CF" w:rsidRDefault="001C09CF" w:rsidP="00585ED0">
      <w:pPr>
        <w:pStyle w:val="I-Normal"/>
      </w:pPr>
      <w:r>
        <w:t xml:space="preserve">The Corporation Chairman </w:t>
      </w:r>
      <w:r w:rsidRPr="001C09CF">
        <w:rPr>
          <w:b/>
          <w:strike/>
        </w:rPr>
        <w:t>has the role of Chief Executive Officer of the Corporation and, as such,</w:t>
      </w:r>
      <w:r>
        <w:t xml:space="preserve"> has </w:t>
      </w:r>
      <w:r w:rsidRPr="001C09CF">
        <w:rPr>
          <w:b/>
          <w:strike/>
        </w:rPr>
        <w:t>the</w:t>
      </w:r>
      <w:r>
        <w:t xml:space="preserve"> broad authority </w:t>
      </w:r>
      <w:r w:rsidRPr="001C09CF">
        <w:rPr>
          <w:b/>
          <w:strike/>
        </w:rPr>
        <w:t>customarily associated with that role,</w:t>
      </w:r>
      <w:r>
        <w:t xml:space="preserve"> including, but not limited to, the authority to make policy decisions on behalf of the Corporation and take such actions as are necessary to put these decisions into effect. The Chairman is the principal presiding officer at the meetings of the Corporation and of the Board of Directors, makes appointments to the several standing and special purpose committees, and appoints other Corporation officials </w:t>
      </w:r>
      <w:r w:rsidRPr="008D4923">
        <w:rPr>
          <w:u w:color="82C42A"/>
        </w:rPr>
        <w:t>to serve</w:t>
      </w:r>
      <w:r w:rsidRPr="008D4923">
        <w:t xml:space="preserve"> </w:t>
      </w:r>
      <w:r>
        <w:t>during his or her term of office.</w:t>
      </w:r>
    </w:p>
    <w:p w:rsidR="001C09CF" w:rsidRPr="001C09CF" w:rsidRDefault="001C09CF" w:rsidP="00585ED0">
      <w:pPr>
        <w:pStyle w:val="I-Normal"/>
        <w:rPr>
          <w:b/>
          <w:strike/>
        </w:rPr>
      </w:pPr>
      <w:r w:rsidRPr="001C09CF">
        <w:rPr>
          <w:b/>
          <w:strike/>
        </w:rPr>
        <w:t>All contracts or other obligations requiring Corporation funding must be signed by the Chairman or his or her designee.</w:t>
      </w:r>
    </w:p>
    <w:p w:rsidR="005751D9" w:rsidRDefault="005751D9" w:rsidP="00585ED0">
      <w:pPr>
        <w:pStyle w:val="I-Normal"/>
        <w:rPr>
          <w:b/>
        </w:rPr>
      </w:pPr>
    </w:p>
    <w:p w:rsidR="001C09CF" w:rsidRPr="001C09CF" w:rsidRDefault="001C09CF" w:rsidP="00585ED0">
      <w:pPr>
        <w:pStyle w:val="I-Normal"/>
        <w:rPr>
          <w:b/>
        </w:rPr>
      </w:pPr>
      <w:r w:rsidRPr="001C09CF">
        <w:rPr>
          <w:b/>
        </w:rPr>
        <w:t xml:space="preserve">Section 5 - Treasurer </w:t>
      </w:r>
    </w:p>
    <w:p w:rsidR="001C09CF" w:rsidRDefault="001C09CF" w:rsidP="00585ED0">
      <w:pPr>
        <w:pStyle w:val="I-Normal"/>
      </w:pPr>
      <w:r>
        <w:t>The Treasurer ensures the integrity of the fiscal affairs of the Corporation and serves on the Board of Directors of the Corporation. The Treasurer performs other duties as assigned by the Chairman.</w:t>
      </w:r>
    </w:p>
    <w:p w:rsidR="001C09CF" w:rsidRDefault="001C09CF" w:rsidP="00585ED0">
      <w:pPr>
        <w:pStyle w:val="I-Normal"/>
        <w:rPr>
          <w:b/>
          <w:strike/>
        </w:rPr>
      </w:pPr>
      <w:r w:rsidRPr="001C09CF">
        <w:rPr>
          <w:b/>
          <w:strike/>
        </w:rPr>
        <w:t>The Treasurer may appoint, with approval of the Board, an assistant to assist the Treasurer in the discharge of his or her duties.</w:t>
      </w:r>
    </w:p>
    <w:p w:rsidR="005751D9" w:rsidRDefault="005751D9" w:rsidP="00585ED0">
      <w:pPr>
        <w:pStyle w:val="I-Normal"/>
        <w:rPr>
          <w:b/>
        </w:rPr>
      </w:pPr>
    </w:p>
    <w:p w:rsidR="001C09CF" w:rsidRPr="00585ED0" w:rsidRDefault="001C09CF" w:rsidP="00585ED0">
      <w:pPr>
        <w:pStyle w:val="I-Normal"/>
        <w:rPr>
          <w:b/>
        </w:rPr>
      </w:pPr>
      <w:r w:rsidRPr="00585ED0">
        <w:rPr>
          <w:b/>
        </w:rPr>
        <w:t>Article IX - Committees</w:t>
      </w:r>
    </w:p>
    <w:p w:rsidR="005751D9" w:rsidRDefault="005751D9" w:rsidP="00585ED0">
      <w:pPr>
        <w:pStyle w:val="I-Normal"/>
        <w:rPr>
          <w:b/>
        </w:rPr>
      </w:pPr>
    </w:p>
    <w:p w:rsidR="001C09CF" w:rsidRPr="00585ED0" w:rsidRDefault="001C09CF" w:rsidP="00585ED0">
      <w:pPr>
        <w:pStyle w:val="I-Normal"/>
        <w:rPr>
          <w:b/>
        </w:rPr>
      </w:pPr>
      <w:r w:rsidRPr="00585ED0">
        <w:rPr>
          <w:b/>
        </w:rPr>
        <w:t>Section 1 - Special Purpose Committees</w:t>
      </w:r>
    </w:p>
    <w:p w:rsidR="001C09CF" w:rsidRDefault="001C09CF" w:rsidP="00585ED0">
      <w:pPr>
        <w:pStyle w:val="I-Normal"/>
      </w:pPr>
      <w:r>
        <w:t>The Special Purpose Committees consist of the following:</w:t>
      </w:r>
    </w:p>
    <w:p w:rsidR="001C09CF" w:rsidRPr="001C09CF" w:rsidRDefault="00A213E3" w:rsidP="00585ED0">
      <w:pPr>
        <w:pStyle w:val="I-BYLAWletters"/>
      </w:pPr>
      <w:r>
        <w:t>A.</w:t>
      </w:r>
      <w:r>
        <w:tab/>
      </w:r>
      <w:r w:rsidR="001C09CF" w:rsidRPr="001C09CF">
        <w:t>Nominating Committee</w:t>
      </w:r>
    </w:p>
    <w:p w:rsidR="001C09CF" w:rsidRDefault="001C09CF" w:rsidP="00585ED0">
      <w:pPr>
        <w:pStyle w:val="I-NORMAL1indent"/>
      </w:pPr>
      <w:r>
        <w:t xml:space="preserve">The Nominating Committee (referenced in Article VI, Section 3) shall be appointed annually by the Chairman and shall consist of the most recent active Past Chairman of the Corporation as Committee Chairman and six active members, to include at least one member representing each of the four regions. The nominating committee shall make recommendations to the Corporation for nominations for the Board of Directors. The nominating committee shall give due weight and consideration to the recommendation of the Associate Membership Committee regarding the Associate Director nomination.  </w:t>
      </w:r>
    </w:p>
    <w:p w:rsidR="001C09CF" w:rsidRPr="00585ED0" w:rsidRDefault="00A213E3" w:rsidP="00585ED0">
      <w:pPr>
        <w:pStyle w:val="I-BYLAWletters"/>
        <w:rPr>
          <w:strike/>
        </w:rPr>
      </w:pPr>
      <w:r>
        <w:rPr>
          <w:strike/>
        </w:rPr>
        <w:t>B.</w:t>
      </w:r>
      <w:r w:rsidRPr="00A213E3">
        <w:tab/>
      </w:r>
      <w:r w:rsidR="001C09CF" w:rsidRPr="00585ED0">
        <w:rPr>
          <w:strike/>
        </w:rPr>
        <w:t>Resolutions Committee</w:t>
      </w:r>
    </w:p>
    <w:p w:rsidR="001C09CF" w:rsidRPr="00585ED0" w:rsidRDefault="001C09CF" w:rsidP="00585ED0">
      <w:pPr>
        <w:pStyle w:val="I-NORMAL1indent"/>
        <w:rPr>
          <w:b/>
          <w:strike/>
        </w:rPr>
      </w:pPr>
      <w:r w:rsidRPr="00585ED0">
        <w:rPr>
          <w:b/>
          <w:strike/>
        </w:rPr>
        <w:t xml:space="preserve">The Resolutions Committee shall be appointed by the Chairman and shall consist of three members appointed for 3-year staggered terms. </w:t>
      </w:r>
    </w:p>
    <w:p w:rsidR="001C09CF" w:rsidRPr="001C09CF" w:rsidRDefault="00A213E3" w:rsidP="00585ED0">
      <w:pPr>
        <w:pStyle w:val="I-BYLAWletters"/>
      </w:pPr>
      <w:r w:rsidRPr="00A213E3">
        <w:rPr>
          <w:strike/>
        </w:rPr>
        <w:t>C</w:t>
      </w:r>
      <w:r w:rsidRPr="00A213E3">
        <w:rPr>
          <w:u w:val="single"/>
        </w:rPr>
        <w:t>B</w:t>
      </w:r>
      <w:r w:rsidRPr="00A213E3">
        <w:t>.</w:t>
      </w:r>
      <w:r w:rsidRPr="00A213E3">
        <w:tab/>
      </w:r>
      <w:r w:rsidR="001C09CF" w:rsidRPr="001C09CF">
        <w:t>Finance Committee</w:t>
      </w:r>
    </w:p>
    <w:p w:rsidR="00A213E3" w:rsidRDefault="001C09CF" w:rsidP="007A1BF9">
      <w:pPr>
        <w:pStyle w:val="I-NORMAL1indent"/>
      </w:pPr>
      <w:r>
        <w:t xml:space="preserve">The Finance Committee shall be comprised of the </w:t>
      </w:r>
      <w:r w:rsidRPr="00585ED0">
        <w:rPr>
          <w:b/>
          <w:u w:val="single"/>
        </w:rPr>
        <w:t>Chairman-Elect, Nominated Chairman-Elect,</w:t>
      </w:r>
      <w:r>
        <w:t xml:space="preserve"> Treasurer, </w:t>
      </w:r>
      <w:r w:rsidRPr="00585ED0">
        <w:rPr>
          <w:b/>
          <w:strike/>
        </w:rPr>
        <w:t>and the two At-Large Directors</w:t>
      </w:r>
      <w:r w:rsidRPr="00585ED0">
        <w:rPr>
          <w:b/>
        </w:rPr>
        <w:t xml:space="preserve"> </w:t>
      </w:r>
      <w:r w:rsidRPr="00585ED0">
        <w:rPr>
          <w:b/>
          <w:u w:val="single"/>
        </w:rPr>
        <w:t>Director representing the Associate Membership Committee, and the Executive Director</w:t>
      </w:r>
      <w:r>
        <w:t xml:space="preserve">. Each member's term on the Finance Committee shall coincide with the member's term </w:t>
      </w:r>
      <w:r w:rsidRPr="00585ED0">
        <w:rPr>
          <w:b/>
          <w:strike/>
        </w:rPr>
        <w:t>as Director</w:t>
      </w:r>
      <w:r w:rsidRPr="00585ED0">
        <w:rPr>
          <w:b/>
        </w:rPr>
        <w:t xml:space="preserve"> </w:t>
      </w:r>
      <w:r w:rsidRPr="00585ED0">
        <w:rPr>
          <w:b/>
          <w:u w:val="single"/>
        </w:rPr>
        <w:t xml:space="preserve">of </w:t>
      </w:r>
      <w:r w:rsidRPr="008D4923">
        <w:rPr>
          <w:b/>
          <w:u w:val="single"/>
        </w:rPr>
        <w:t>office</w:t>
      </w:r>
      <w:r w:rsidRPr="00CC2668">
        <w:rPr>
          <w:u w:val="single"/>
        </w:rPr>
        <w:t>.</w:t>
      </w:r>
    </w:p>
    <w:p w:rsidR="001C09CF" w:rsidRPr="001C09CF" w:rsidRDefault="001C09CF" w:rsidP="00585ED0">
      <w:pPr>
        <w:pStyle w:val="I-BYLAWletters"/>
      </w:pPr>
      <w:r w:rsidRPr="001C09CF">
        <w:t>Section 3 - National Type Evaluation Program (NTEP) Committee</w:t>
      </w:r>
    </w:p>
    <w:p w:rsidR="001C09CF" w:rsidRDefault="001C09CF" w:rsidP="00585ED0">
      <w:pPr>
        <w:pStyle w:val="I-Normal"/>
      </w:pPr>
      <w:r>
        <w:t xml:space="preserve">The NTEP Committee is comprised of five members: the Immediate Past Chairman, the Chairman and the Chair-Elect of the Conference and two regional Directors </w:t>
      </w:r>
      <w:r w:rsidRPr="008D4923">
        <w:rPr>
          <w:u w:color="82C42A"/>
        </w:rPr>
        <w:t>from</w:t>
      </w:r>
      <w:r w:rsidRPr="008D4923">
        <w:t xml:space="preserve"> </w:t>
      </w:r>
      <w:r>
        <w:t xml:space="preserve">the Board of Directors. The NTEP Committee must include at least one member from each of the four regions. </w:t>
      </w:r>
      <w:r w:rsidR="009E6F71" w:rsidRPr="009E6F71">
        <w:rPr>
          <w:b/>
          <w:strike/>
        </w:rPr>
        <w:t>(</w:t>
      </w:r>
      <w:r w:rsidR="009E6F71" w:rsidRPr="008D4923">
        <w:rPr>
          <w:b/>
          <w:strike/>
          <w:u w:color="82C42A"/>
        </w:rPr>
        <w:t>amendment</w:t>
      </w:r>
      <w:r w:rsidR="009E6F71" w:rsidRPr="008D4923">
        <w:rPr>
          <w:b/>
          <w:strike/>
        </w:rPr>
        <w:t xml:space="preserve"> </w:t>
      </w:r>
      <w:r w:rsidR="009E6F71" w:rsidRPr="009E6F71">
        <w:rPr>
          <w:b/>
          <w:strike/>
        </w:rPr>
        <w:t>passed July, 2001)</w:t>
      </w:r>
      <w:r w:rsidR="009E6F71">
        <w:t xml:space="preserve"> </w:t>
      </w:r>
      <w:r w:rsidRPr="009E6F71">
        <w:rPr>
          <w:b/>
          <w:u w:val="single"/>
        </w:rPr>
        <w:t xml:space="preserve">The NTEP Administrator shall serve in an advisory role </w:t>
      </w:r>
      <w:r w:rsidR="00824592" w:rsidRPr="008D4923">
        <w:rPr>
          <w:b/>
          <w:u w:val="single"/>
        </w:rPr>
        <w:t>to</w:t>
      </w:r>
      <w:r w:rsidR="00824592">
        <w:rPr>
          <w:b/>
          <w:u w:val="single"/>
        </w:rPr>
        <w:t xml:space="preserve"> </w:t>
      </w:r>
      <w:r w:rsidRPr="009E6F71">
        <w:rPr>
          <w:b/>
          <w:u w:val="single"/>
        </w:rPr>
        <w:t>the NTEP Committee.</w:t>
      </w:r>
      <w:r>
        <w:t xml:space="preserve"> </w:t>
      </w:r>
    </w:p>
    <w:p w:rsidR="005751D9" w:rsidRDefault="005751D9" w:rsidP="00585ED0">
      <w:pPr>
        <w:pStyle w:val="I-Normal"/>
      </w:pPr>
    </w:p>
    <w:p w:rsidR="001C09CF" w:rsidRDefault="001C09CF" w:rsidP="00585ED0">
      <w:pPr>
        <w:pStyle w:val="I-Normal"/>
      </w:pPr>
      <w:r>
        <w:t xml:space="preserve">The NTEP Committee </w:t>
      </w:r>
      <w:r w:rsidRPr="009E6F71">
        <w:rPr>
          <w:b/>
          <w:strike/>
        </w:rPr>
        <w:t>fixes</w:t>
      </w:r>
      <w:r>
        <w:t xml:space="preserve"> </w:t>
      </w:r>
      <w:r w:rsidRPr="009E6F71">
        <w:rPr>
          <w:b/>
          <w:u w:val="single"/>
        </w:rPr>
        <w:t xml:space="preserve">may develop recommendations to the Board of Directors for NTEP fees including, but not limited to application fees to obtain </w:t>
      </w:r>
      <w:r w:rsidRPr="008D4923">
        <w:rPr>
          <w:b/>
          <w:u w:val="single"/>
        </w:rPr>
        <w:t>a</w:t>
      </w:r>
      <w:r w:rsidRPr="009E6F71">
        <w:rPr>
          <w:b/>
          <w:u w:val="single"/>
        </w:rPr>
        <w:t xml:space="preserve"> NTEP Certificate of Conformance and</w:t>
      </w:r>
      <w:r>
        <w:t xml:space="preserve"> the annual maintenance fee for retaining a </w:t>
      </w:r>
      <w:r w:rsidRPr="009E6F71">
        <w:rPr>
          <w:b/>
          <w:strike/>
        </w:rPr>
        <w:t>National Type Evaluation Program</w:t>
      </w:r>
      <w:r>
        <w:t xml:space="preserve"> </w:t>
      </w:r>
      <w:r w:rsidRPr="009E6F71">
        <w:rPr>
          <w:b/>
          <w:u w:val="single"/>
        </w:rPr>
        <w:t>NTEP</w:t>
      </w:r>
      <w:r>
        <w:t xml:space="preserve"> Certificate of Conformance. The NTEP Committee is responsible for the operation of the NTEP program with respect to its fiscal management, providing guidance related to the activities of the program and establishing policy and procedures.  </w:t>
      </w:r>
    </w:p>
    <w:p w:rsidR="005751D9" w:rsidRDefault="005751D9" w:rsidP="00585ED0">
      <w:pPr>
        <w:pStyle w:val="I-Normal"/>
      </w:pPr>
    </w:p>
    <w:p w:rsidR="001C09CF" w:rsidRDefault="001C09CF" w:rsidP="00585ED0">
      <w:pPr>
        <w:pStyle w:val="I-Normal"/>
      </w:pPr>
      <w:r>
        <w:t xml:space="preserve">Through the Chairman of the NTEP Committee, members are appointed from the Advisory, Active, and Associate Members </w:t>
      </w:r>
      <w:r w:rsidRPr="008D4923">
        <w:rPr>
          <w:u w:color="82C42A"/>
        </w:rPr>
        <w:t>to</w:t>
      </w:r>
      <w:r w:rsidRPr="008D4923">
        <w:t xml:space="preserve"> </w:t>
      </w:r>
      <w:r>
        <w:t>the Technical Committees of the National Type Evaluation Program. The Associate members represent the interest of manufacturers, retail sales organizations, and users of commercial devices. The Active members represent the interest of government officials and the consumer. These committees make technical, policy, and procedural recommendations to the NTEP Committee for implementation.</w:t>
      </w:r>
    </w:p>
    <w:p w:rsidR="005751D9" w:rsidRDefault="005751D9" w:rsidP="00585ED0">
      <w:pPr>
        <w:pStyle w:val="I-Normal"/>
        <w:rPr>
          <w:b/>
        </w:rPr>
      </w:pPr>
    </w:p>
    <w:p w:rsidR="009E6F71" w:rsidRPr="009E6F71" w:rsidRDefault="009E6F71" w:rsidP="00CC2668">
      <w:pPr>
        <w:pStyle w:val="I-Normal"/>
        <w:keepNext/>
        <w:rPr>
          <w:b/>
        </w:rPr>
      </w:pPr>
      <w:r w:rsidRPr="009E6F71">
        <w:rPr>
          <w:b/>
        </w:rPr>
        <w:lastRenderedPageBreak/>
        <w:t xml:space="preserve">Section </w:t>
      </w:r>
      <w:r>
        <w:rPr>
          <w:b/>
        </w:rPr>
        <w:t>5</w:t>
      </w:r>
      <w:r w:rsidRPr="009E6F71">
        <w:rPr>
          <w:b/>
        </w:rPr>
        <w:t xml:space="preserve"> - Duties and Fields of Operation of Board of Directors and Committees</w:t>
      </w:r>
    </w:p>
    <w:p w:rsidR="009E6F71" w:rsidRPr="009E6F71" w:rsidRDefault="00A213E3" w:rsidP="00CC2668">
      <w:pPr>
        <w:pStyle w:val="I-BYLAWletters"/>
        <w:keepNext/>
      </w:pPr>
      <w:r>
        <w:t>A.</w:t>
      </w:r>
      <w:r>
        <w:tab/>
      </w:r>
      <w:r w:rsidR="009E6F71" w:rsidRPr="009E6F71">
        <w:t xml:space="preserve">Board of Directors </w:t>
      </w:r>
    </w:p>
    <w:p w:rsidR="009E6F71" w:rsidRDefault="009E6F71" w:rsidP="00585ED0">
      <w:pPr>
        <w:pStyle w:val="I-NORMAL1indent"/>
      </w:pPr>
      <w:r>
        <w:t xml:space="preserve">The Board of Directors is the governing body of the Corporation and is authorized to make all decisions relating thereto, including but not limited to the following: </w:t>
      </w:r>
    </w:p>
    <w:p w:rsidR="009E6F71" w:rsidRPr="009E6F71" w:rsidRDefault="00A213E3" w:rsidP="00A213E3">
      <w:pPr>
        <w:pStyle w:val="I-BYLAWs"/>
        <w:numPr>
          <w:ilvl w:val="0"/>
          <w:numId w:val="0"/>
        </w:numPr>
        <w:ind w:left="1080" w:hanging="360"/>
      </w:pPr>
      <w:r>
        <w:t>1.</w:t>
      </w:r>
      <w:r>
        <w:tab/>
      </w:r>
      <w:r w:rsidR="009E6F71" w:rsidRPr="009E6F71">
        <w:t xml:space="preserve">conducts the business of the National Conference on Weights and Measures, Inc., as a Corporation, which at a minimum includes (a) overseeing the preparation and filing of the biennial report and fee with the Nebraska Secretary of State in compliance with Neb. Rev. Stat. Section 21-301. </w:t>
      </w:r>
    </w:p>
    <w:p w:rsidR="009E6F71" w:rsidRPr="009E6F71" w:rsidRDefault="00A213E3" w:rsidP="00A213E3">
      <w:pPr>
        <w:pStyle w:val="I-BYLAWs"/>
        <w:numPr>
          <w:ilvl w:val="0"/>
          <w:numId w:val="0"/>
        </w:numPr>
        <w:ind w:left="1080" w:hanging="360"/>
      </w:pPr>
      <w:r>
        <w:t>2.</w:t>
      </w:r>
      <w:r>
        <w:tab/>
      </w:r>
      <w:r w:rsidR="009E6F71" w:rsidRPr="009E6F71">
        <w:t>reviews and approves the budget;</w:t>
      </w:r>
    </w:p>
    <w:p w:rsidR="009E6F71" w:rsidRPr="009E6F71" w:rsidRDefault="00A213E3" w:rsidP="00A213E3">
      <w:pPr>
        <w:pStyle w:val="I-BYLAWs"/>
        <w:numPr>
          <w:ilvl w:val="0"/>
          <w:numId w:val="0"/>
        </w:numPr>
        <w:ind w:left="1080" w:hanging="360"/>
      </w:pPr>
      <w:r>
        <w:t>3.</w:t>
      </w:r>
      <w:r>
        <w:tab/>
      </w:r>
      <w:r w:rsidR="009E6F71" w:rsidRPr="009E6F71">
        <w:t xml:space="preserve">selects the place and dates, </w:t>
      </w:r>
      <w:r w:rsidR="009E6F71" w:rsidRPr="009E6F71">
        <w:rPr>
          <w:b/>
          <w:strike/>
        </w:rPr>
        <w:t>and also fixes the registration fee</w:t>
      </w:r>
      <w:r w:rsidR="009E6F71" w:rsidRPr="009E6F71">
        <w:t xml:space="preserve"> for each meeting of the Corporation;</w:t>
      </w:r>
    </w:p>
    <w:p w:rsidR="009E6F71" w:rsidRPr="009E6F71" w:rsidRDefault="00A213E3" w:rsidP="00A213E3">
      <w:pPr>
        <w:pStyle w:val="I-BYLAWs"/>
        <w:numPr>
          <w:ilvl w:val="0"/>
          <w:numId w:val="0"/>
        </w:numPr>
        <w:ind w:left="1080" w:hanging="360"/>
      </w:pPr>
      <w:r>
        <w:t>4.</w:t>
      </w:r>
      <w:r>
        <w:tab/>
      </w:r>
      <w:r w:rsidR="009E6F71" w:rsidRPr="009E6F71">
        <w:t xml:space="preserve">fixes </w:t>
      </w:r>
      <w:r w:rsidR="009E6F71" w:rsidRPr="009E6F71">
        <w:rPr>
          <w:b/>
          <w:u w:val="single"/>
        </w:rPr>
        <w:t>all fees including but not limited to meeting registrations, fees associated with NTEP administration, publications, and</w:t>
      </w:r>
      <w:r w:rsidR="00824592">
        <w:t xml:space="preserve"> the annual membership fee; </w:t>
      </w:r>
      <w:r w:rsidR="00824592" w:rsidRPr="00824592">
        <w:rPr>
          <w:b/>
          <w:strike/>
        </w:rPr>
        <w:t>and</w:t>
      </w:r>
    </w:p>
    <w:p w:rsidR="009E6F71" w:rsidRPr="009E6F71" w:rsidRDefault="00A213E3" w:rsidP="00A213E3">
      <w:pPr>
        <w:pStyle w:val="I-BYLAWs"/>
        <w:numPr>
          <w:ilvl w:val="0"/>
          <w:numId w:val="0"/>
        </w:numPr>
        <w:ind w:left="1080" w:hanging="360"/>
      </w:pPr>
      <w:r>
        <w:t>5.</w:t>
      </w:r>
      <w:r>
        <w:tab/>
      </w:r>
      <w:r w:rsidR="009E6F71" w:rsidRPr="009E6F71">
        <w:t>advises the responsible individual or organization,  as designated by the Chairman, with respect to the programs for the meetings of the Corporation and its committees, and makes recommendations to the Corporation, the Corporation officers, and the committee chairmen</w:t>
      </w:r>
      <w:r w:rsidR="00824592" w:rsidRPr="00824592">
        <w:rPr>
          <w:b/>
          <w:u w:val="single"/>
        </w:rPr>
        <w:t>; and</w:t>
      </w:r>
      <w:r w:rsidR="009E6F71" w:rsidRPr="009E6F71">
        <w:t>.</w:t>
      </w:r>
    </w:p>
    <w:p w:rsidR="009E6F71" w:rsidRPr="00585ED0" w:rsidRDefault="00A213E3" w:rsidP="00585ED0">
      <w:pPr>
        <w:pStyle w:val="I-NORMAL1indent"/>
        <w:ind w:left="1080" w:hanging="360"/>
        <w:rPr>
          <w:b/>
          <w:u w:val="single"/>
        </w:rPr>
      </w:pPr>
      <w:r>
        <w:rPr>
          <w:b/>
          <w:u w:val="single"/>
        </w:rPr>
        <w:t>6.</w:t>
      </w:r>
      <w:r w:rsidRPr="00A213E3">
        <w:rPr>
          <w:b/>
        </w:rPr>
        <w:tab/>
      </w:r>
      <w:r w:rsidR="009E6F71" w:rsidRPr="00585ED0">
        <w:rPr>
          <w:b/>
          <w:u w:val="single"/>
        </w:rPr>
        <w:t xml:space="preserve">reviews an annual audit report prepared by an external auditor whose services are retained by the corporation to assess the accuracy of the financial statements, the accounting principles used, and evaluate overall financial statement presentation. </w:t>
      </w:r>
    </w:p>
    <w:p w:rsidR="005751D9" w:rsidRDefault="005751D9" w:rsidP="00B63F8E">
      <w:pPr>
        <w:pStyle w:val="I-NORMAL1indent"/>
      </w:pPr>
    </w:p>
    <w:p w:rsidR="009E6F71" w:rsidRDefault="009E6F71" w:rsidP="00B63F8E">
      <w:pPr>
        <w:pStyle w:val="I-NORMAL1indent"/>
      </w:pPr>
      <w:r>
        <w:t>The Board of Directors, in the interval between meetings of the Corporation:</w:t>
      </w:r>
    </w:p>
    <w:p w:rsidR="009E6F71" w:rsidRDefault="00B63F8E" w:rsidP="00B63F8E">
      <w:pPr>
        <w:pStyle w:val="I-BYLAWs"/>
        <w:numPr>
          <w:ilvl w:val="0"/>
          <w:numId w:val="0"/>
        </w:numPr>
        <w:ind w:left="1080" w:hanging="360"/>
      </w:pPr>
      <w:r>
        <w:t>1.</w:t>
      </w:r>
      <w:r>
        <w:tab/>
      </w:r>
      <w:r w:rsidR="009E6F71">
        <w:t>authorizes meetings of Corporation committees in accordance with the provisions of Article VIII, Section 3</w:t>
      </w:r>
      <w:r w:rsidR="0026202D">
        <w:t xml:space="preserve">; </w:t>
      </w:r>
    </w:p>
    <w:p w:rsidR="009E6F71" w:rsidRPr="00B63F8E" w:rsidRDefault="00B63F8E" w:rsidP="00B63F8E">
      <w:pPr>
        <w:pStyle w:val="I-BYLAWs"/>
        <w:numPr>
          <w:ilvl w:val="0"/>
          <w:numId w:val="0"/>
        </w:numPr>
        <w:ind w:left="1080" w:hanging="360"/>
      </w:pPr>
      <w:r>
        <w:t>2.</w:t>
      </w:r>
      <w:r>
        <w:tab/>
      </w:r>
      <w:r w:rsidR="009E6F71" w:rsidRPr="00B63F8E">
        <w:t>authorizes expenditures that are not in the budget</w:t>
      </w:r>
      <w:r w:rsidR="0026202D">
        <w:t>;</w:t>
      </w:r>
      <w:r w:rsidR="0026202D" w:rsidRPr="00B63F8E">
        <w:t xml:space="preserve"> </w:t>
      </w:r>
      <w:r w:rsidR="009E6F71" w:rsidRPr="00B63F8E">
        <w:t xml:space="preserve">and </w:t>
      </w:r>
    </w:p>
    <w:p w:rsidR="009E6F71" w:rsidRPr="00B63F8E" w:rsidRDefault="00B63F8E" w:rsidP="00B63F8E">
      <w:pPr>
        <w:pStyle w:val="I-BYLAWs"/>
        <w:numPr>
          <w:ilvl w:val="0"/>
          <w:numId w:val="0"/>
        </w:numPr>
        <w:ind w:left="1080" w:hanging="360"/>
      </w:pPr>
      <w:r>
        <w:t>3.</w:t>
      </w:r>
      <w:r>
        <w:tab/>
      </w:r>
      <w:r w:rsidR="009E6F71" w:rsidRPr="00B63F8E">
        <w:t xml:space="preserve">acts for the Corporation in all routine or emergency situations that may arise. </w:t>
      </w:r>
    </w:p>
    <w:p w:rsidR="009E6F71" w:rsidRDefault="009E6F71" w:rsidP="00A15A66">
      <w:pPr>
        <w:pStyle w:val="I-NORMAL1indent"/>
      </w:pPr>
      <w:r>
        <w:t xml:space="preserve">Special meetings of the Board may be held at the discretion of the Chairman, and may take place in any manner technologically possible, including, but not limited to, telephone conference calls and electronic mail. A quorum shall consist of </w:t>
      </w:r>
      <w:r w:rsidR="00A75CE5">
        <w:t>seven</w:t>
      </w:r>
      <w:r>
        <w:t xml:space="preserve"> members of the Board. Voting may be cast in any manner prescribed by the Chairman. All questions before the Board of Directors will be decided whenever practical, by voice vote or by ballot, and will be decided on the basis of the majority of votes cast.</w:t>
      </w:r>
    </w:p>
    <w:p w:rsidR="005751D9" w:rsidRDefault="005751D9" w:rsidP="00A15A66">
      <w:pPr>
        <w:pStyle w:val="I-NORMAL1indent"/>
      </w:pPr>
    </w:p>
    <w:p w:rsidR="009E6F71" w:rsidRDefault="009E6F71" w:rsidP="00A15A66">
      <w:pPr>
        <w:pStyle w:val="I-NORMAL1indent"/>
      </w:pPr>
      <w:r>
        <w:t xml:space="preserve">The Board serves as a policy and coordinating body in matters of national and international significance which may include such areas as metrication; the interaction with organizations such as the International Organization of Legal Metrology (OIML), American National Standards Institute (ANSI), International Organization for Standardization (ISO), </w:t>
      </w:r>
      <w:r w:rsidRPr="00A11B9A">
        <w:rPr>
          <w:b/>
          <w:strike/>
        </w:rPr>
        <w:t>American Society for Testing and Materials (ASTM)</w:t>
      </w:r>
      <w:r w:rsidR="00A11B9A">
        <w:t xml:space="preserve"> </w:t>
      </w:r>
      <w:r w:rsidRPr="00A11B9A">
        <w:rPr>
          <w:b/>
          <w:u w:val="single"/>
        </w:rPr>
        <w:t>ASTM International</w:t>
      </w:r>
      <w:r>
        <w:t xml:space="preserve">, National Conference of Standards Laboratories (NCSL), and such internal matters  as may be required, </w:t>
      </w:r>
      <w:r w:rsidRPr="00A11B9A">
        <w:rPr>
          <w:b/>
          <w:strike/>
        </w:rPr>
        <w:t>including, for example, the Retiree Organization</w:t>
      </w:r>
      <w:r>
        <w:t>.</w:t>
      </w:r>
    </w:p>
    <w:p w:rsidR="009E6F71" w:rsidRDefault="009E6F71" w:rsidP="00A15A66">
      <w:pPr>
        <w:pStyle w:val="I-NORMAL1indent"/>
      </w:pPr>
      <w:r>
        <w:t>The Chairman, on behalf of the Board, annually presents a re</w:t>
      </w:r>
      <w:r w:rsidR="00B63F8E">
        <w:t>port on Corporation activities.</w:t>
      </w:r>
    </w:p>
    <w:p w:rsidR="009E6F71" w:rsidRPr="00B63F8E" w:rsidRDefault="00B63F8E" w:rsidP="008C1E1C">
      <w:pPr>
        <w:pStyle w:val="I-BYLAWletters"/>
        <w:keepNext/>
        <w:rPr>
          <w:strike/>
        </w:rPr>
      </w:pPr>
      <w:r w:rsidRPr="00B63F8E">
        <w:rPr>
          <w:strike/>
        </w:rPr>
        <w:t>F.</w:t>
      </w:r>
      <w:r w:rsidRPr="00B63F8E">
        <w:tab/>
      </w:r>
      <w:r w:rsidR="009E6F71" w:rsidRPr="00B63F8E">
        <w:rPr>
          <w:strike/>
        </w:rPr>
        <w:t xml:space="preserve">Resolutions Committee </w:t>
      </w:r>
    </w:p>
    <w:p w:rsidR="00B63F8E" w:rsidRPr="00A15A66" w:rsidRDefault="009E6F71" w:rsidP="008C1E1C">
      <w:pPr>
        <w:pStyle w:val="I-NORMAL1indent"/>
        <w:keepNext/>
        <w:rPr>
          <w:b/>
          <w:strike/>
        </w:rPr>
      </w:pPr>
      <w:r w:rsidRPr="00A15A66">
        <w:rPr>
          <w:b/>
          <w:strike/>
        </w:rPr>
        <w:t>Each year at the Annual Meeting of the Corporation, the Resolutions Committee presents for Corporation action such resolutions as it has been directed by the Corporation to prepare, and such additional resolutions as are deemed appropriate by the Committee.</w:t>
      </w:r>
    </w:p>
    <w:p w:rsidR="009E6F71" w:rsidRDefault="00824592" w:rsidP="00B63F8E">
      <w:pPr>
        <w:pStyle w:val="I-BYLAWletters"/>
      </w:pPr>
      <w:r>
        <w:rPr>
          <w:strike/>
        </w:rPr>
        <w:t>G</w:t>
      </w:r>
      <w:r w:rsidR="00B63F8E">
        <w:rPr>
          <w:u w:val="single"/>
        </w:rPr>
        <w:t>F</w:t>
      </w:r>
      <w:r w:rsidR="00B63F8E" w:rsidRPr="00B63F8E">
        <w:t>.</w:t>
      </w:r>
      <w:r w:rsidR="00B63F8E" w:rsidRPr="00B63F8E">
        <w:tab/>
      </w:r>
      <w:r w:rsidR="009E6F71">
        <w:t xml:space="preserve">Finance Committee </w:t>
      </w:r>
    </w:p>
    <w:p w:rsidR="009E6F71" w:rsidRDefault="009E6F71" w:rsidP="00A15A66">
      <w:pPr>
        <w:pStyle w:val="I-NORMAL1indent"/>
        <w:rPr>
          <w:b/>
          <w:u w:val="single"/>
        </w:rPr>
      </w:pPr>
      <w:r>
        <w:t xml:space="preserve">The Finance Committee </w:t>
      </w:r>
      <w:r w:rsidRPr="00A15A66">
        <w:rPr>
          <w:b/>
          <w:strike/>
        </w:rPr>
        <w:t>may appoint an external auditor to audit the books of the Corporation and, if an auditor is appointed, will evaluate the recommendations of the auditor and recommend an action thereon to the Board.</w:t>
      </w:r>
      <w:r w:rsidR="00A11B9A" w:rsidRPr="00A11B9A">
        <w:t xml:space="preserve"> </w:t>
      </w:r>
      <w:r w:rsidR="00A11B9A" w:rsidRPr="00A15A66">
        <w:rPr>
          <w:b/>
          <w:u w:val="single"/>
        </w:rPr>
        <w:t>provides review and preliminary approval of the draft budget before it is presented to the Board of Directors for final approval.</w:t>
      </w:r>
    </w:p>
    <w:p w:rsidR="005751D9" w:rsidRDefault="005751D9" w:rsidP="008547A6">
      <w:pPr>
        <w:pStyle w:val="BoldHeading"/>
      </w:pPr>
      <w:bookmarkStart w:id="162" w:name="_Toc320020638"/>
    </w:p>
    <w:p w:rsidR="008547A6" w:rsidRDefault="0018363F" w:rsidP="008547A6">
      <w:pPr>
        <w:pStyle w:val="BoldHeading"/>
      </w:pPr>
      <w:r>
        <w:t>Background</w:t>
      </w:r>
      <w:r w:rsidR="008547A6">
        <w:t>/Discussion:</w:t>
      </w:r>
      <w:bookmarkEnd w:id="162"/>
    </w:p>
    <w:p w:rsidR="008547A6" w:rsidRDefault="008547A6" w:rsidP="008547A6">
      <w:r>
        <w:t xml:space="preserve">In 2010, the bylaws were amended after thorough legal review to reflect NCWM as a Nebraska corporation and to provide additional liability protections.  In 2011, the bylaws were amended following a parliamentarian review of voting procedures.  </w:t>
      </w:r>
    </w:p>
    <w:p w:rsidR="005751D9" w:rsidRDefault="005751D9" w:rsidP="008547A6"/>
    <w:p w:rsidR="008547A6" w:rsidRPr="001C09CF" w:rsidRDefault="008547A6" w:rsidP="008547A6">
      <w:r>
        <w:lastRenderedPageBreak/>
        <w:t xml:space="preserve">This year, NCWM conducted </w:t>
      </w:r>
      <w:r w:rsidR="00E441FE">
        <w:t xml:space="preserve">an </w:t>
      </w:r>
      <w:r>
        <w:t>administrative review of the bylaws to determine if amendments are needed to reflect new management procedures, shifting of responsibilities, and changes in policy.  Based on that review, the board is presenting the above excerpts of NCWM bylaws with proposed amendments.</w:t>
      </w:r>
    </w:p>
    <w:p w:rsidR="00847EC1" w:rsidRPr="00F3504E" w:rsidRDefault="00A13BE5" w:rsidP="00847EC1">
      <w:pPr>
        <w:pStyle w:val="Heading1"/>
      </w:pPr>
      <w:bookmarkStart w:id="163" w:name="_Toc308082683"/>
      <w:bookmarkStart w:id="164" w:name="_Toc308082730"/>
      <w:bookmarkStart w:id="165" w:name="_Toc308083529"/>
      <w:bookmarkStart w:id="166" w:name="_Toc308083926"/>
      <w:bookmarkStart w:id="167" w:name="_Toc308424352"/>
      <w:bookmarkStart w:id="168" w:name="_Toc308424742"/>
      <w:bookmarkStart w:id="169" w:name="_Toc308425348"/>
      <w:bookmarkStart w:id="170" w:name="_Toc308595426"/>
      <w:bookmarkStart w:id="171" w:name="_Toc308595832"/>
      <w:bookmarkStart w:id="172" w:name="_Toc308596037"/>
      <w:bookmarkStart w:id="173" w:name="_Toc352859914"/>
      <w:r>
        <w:t>130</w:t>
      </w:r>
      <w:r w:rsidR="00847EC1" w:rsidRPr="00F3504E">
        <w:tab/>
      </w:r>
      <w:r>
        <w:t>Financials</w:t>
      </w:r>
      <w:bookmarkEnd w:id="163"/>
      <w:bookmarkEnd w:id="164"/>
      <w:bookmarkEnd w:id="165"/>
      <w:bookmarkEnd w:id="166"/>
      <w:bookmarkEnd w:id="167"/>
      <w:bookmarkEnd w:id="168"/>
      <w:bookmarkEnd w:id="169"/>
      <w:bookmarkEnd w:id="170"/>
      <w:bookmarkEnd w:id="171"/>
      <w:bookmarkEnd w:id="172"/>
      <w:bookmarkEnd w:id="173"/>
    </w:p>
    <w:p w:rsidR="00847EC1" w:rsidRPr="00F3504E" w:rsidRDefault="00A13BE5" w:rsidP="00CC2668">
      <w:pPr>
        <w:pStyle w:val="ItemHeading"/>
      </w:pPr>
      <w:bookmarkStart w:id="174" w:name="_Toc308082684"/>
      <w:bookmarkStart w:id="175" w:name="_Toc308082731"/>
      <w:bookmarkStart w:id="176" w:name="_Toc308083530"/>
      <w:bookmarkStart w:id="177" w:name="_Toc308083927"/>
      <w:bookmarkStart w:id="178" w:name="_Toc308424353"/>
      <w:bookmarkStart w:id="179" w:name="_Toc308424743"/>
      <w:bookmarkStart w:id="180" w:name="_Toc308425349"/>
      <w:bookmarkStart w:id="181" w:name="_Toc308595427"/>
      <w:bookmarkStart w:id="182" w:name="_Toc308595833"/>
      <w:bookmarkStart w:id="183" w:name="_Toc308596038"/>
      <w:bookmarkStart w:id="184" w:name="_Toc352859915"/>
      <w:r>
        <w:t>130-1</w:t>
      </w:r>
      <w:r w:rsidR="00847EC1">
        <w:tab/>
      </w:r>
      <w:r w:rsidR="00E441FE">
        <w:t>I</w:t>
      </w:r>
      <w:r w:rsidR="00E441FE">
        <w:tab/>
      </w:r>
      <w:r>
        <w:t>Financial Report</w:t>
      </w:r>
      <w:bookmarkEnd w:id="174"/>
      <w:bookmarkEnd w:id="175"/>
      <w:bookmarkEnd w:id="176"/>
      <w:bookmarkEnd w:id="177"/>
      <w:bookmarkEnd w:id="178"/>
      <w:bookmarkEnd w:id="179"/>
      <w:bookmarkEnd w:id="180"/>
      <w:bookmarkEnd w:id="181"/>
      <w:bookmarkEnd w:id="182"/>
      <w:bookmarkEnd w:id="183"/>
      <w:bookmarkEnd w:id="184"/>
    </w:p>
    <w:p w:rsidR="00A13BE5" w:rsidRDefault="00A13BE5" w:rsidP="00855A4D">
      <w:r>
        <w:t xml:space="preserve">NCWM operates on a fiscal year of October 1 through September 30.  Budgets are set to be conservative on projected revenues and realistic on anticipated expenses.  </w:t>
      </w:r>
    </w:p>
    <w:p w:rsidR="005751D9" w:rsidRDefault="005751D9" w:rsidP="004008FF"/>
    <w:p w:rsidR="00352ED3" w:rsidRDefault="00A13BE5" w:rsidP="004008FF">
      <w:r>
        <w:t>Below is a graphic view of the past 1</w:t>
      </w:r>
      <w:r w:rsidR="00115525">
        <w:t>1</w:t>
      </w:r>
      <w:r>
        <w:t xml:space="preserve"> fiscal years based on year-end audit reports.  The spike in expenses in 2008 reflects the cost of the management transition.  The management company was still under contract that year while NCWM hire</w:t>
      </w:r>
      <w:r w:rsidR="00913D2D">
        <w:t xml:space="preserve">d employees, </w:t>
      </w:r>
      <w:r>
        <w:t xml:space="preserve">procured office space, furniture, computers, etc.  The graph shows significant savings in the following years of 2009 </w:t>
      </w:r>
      <w:r w:rsidR="00115525">
        <w:t>- 2011</w:t>
      </w:r>
      <w:r>
        <w:t xml:space="preserve"> even though NCWM </w:t>
      </w:r>
      <w:r w:rsidR="00115525">
        <w:t xml:space="preserve">has </w:t>
      </w:r>
      <w:r>
        <w:t xml:space="preserve">invested significantly in new initiatives during that time.  Those </w:t>
      </w:r>
      <w:r w:rsidR="00855A4D">
        <w:t>initiatives include NCWM</w:t>
      </w:r>
      <w:r w:rsidR="00115525">
        <w:t xml:space="preserve"> and regional </w:t>
      </w:r>
      <w:r>
        <w:t>website</w:t>
      </w:r>
      <w:r w:rsidR="00115525">
        <w:t xml:space="preserve"> development</w:t>
      </w:r>
      <w:r>
        <w:t>,</w:t>
      </w:r>
      <w:r w:rsidR="00115525">
        <w:t xml:space="preserve"> the Online Position </w:t>
      </w:r>
      <w:r w:rsidR="00855A4D">
        <w:t>F</w:t>
      </w:r>
      <w:r w:rsidR="00115525">
        <w:t>orum,</w:t>
      </w:r>
      <w:r>
        <w:t xml:space="preserve"> the </w:t>
      </w:r>
      <w:r w:rsidR="00855A4D">
        <w:t>Professional</w:t>
      </w:r>
      <w:r>
        <w:t xml:space="preserve"> Certification Program, and other improvements to </w:t>
      </w:r>
      <w:r w:rsidRPr="004008FF">
        <w:t>services.</w:t>
      </w:r>
    </w:p>
    <w:p w:rsidR="00EC47EB" w:rsidRDefault="00EC47EB" w:rsidP="004008FF"/>
    <w:p w:rsidR="00847EC1" w:rsidRDefault="009576AC" w:rsidP="00F92C5A">
      <w:r>
        <w:rPr>
          <w:noProof/>
        </w:rPr>
        <w:drawing>
          <wp:inline distT="0" distB="0" distL="0" distR="0" wp14:anchorId="2DD98DEE" wp14:editId="0E26B583">
            <wp:extent cx="5943600" cy="4175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18">
                      <a:extLst>
                        <a:ext uri="{28A0092B-C50C-407E-A947-70E740481C1C}">
                          <a14:useLocalDpi xmlns:a14="http://schemas.microsoft.com/office/drawing/2010/main" val="0"/>
                        </a:ext>
                      </a:extLst>
                    </a:blip>
                    <a:stretch>
                      <a:fillRect/>
                    </a:stretch>
                  </pic:blipFill>
                  <pic:spPr>
                    <a:xfrm>
                      <a:off x="0" y="0"/>
                      <a:ext cx="5943600" cy="4175125"/>
                    </a:xfrm>
                    <a:prstGeom prst="rect">
                      <a:avLst/>
                    </a:prstGeom>
                  </pic:spPr>
                </pic:pic>
              </a:graphicData>
            </a:graphic>
          </wp:inline>
        </w:drawing>
      </w:r>
    </w:p>
    <w:p w:rsidR="005751D9" w:rsidRDefault="005751D9" w:rsidP="00A13BE5"/>
    <w:p w:rsidR="00A13BE5" w:rsidRPr="002B2D16" w:rsidRDefault="00A13BE5" w:rsidP="00CC2668">
      <w:pPr>
        <w:keepNext/>
      </w:pPr>
      <w:r w:rsidRPr="00C65687">
        <w:lastRenderedPageBreak/>
        <w:t xml:space="preserve">The following is the balance sheet as </w:t>
      </w:r>
      <w:r w:rsidRPr="002B2D16">
        <w:t xml:space="preserve">of </w:t>
      </w:r>
      <w:r w:rsidR="00352ED3" w:rsidRPr="002B2D16">
        <w:t>June 30, 2012</w:t>
      </w:r>
      <w:r w:rsidRPr="002B2D16">
        <w:t xml:space="preserve"> in comparison with the same time the previous year.</w:t>
      </w:r>
    </w:p>
    <w:tbl>
      <w:tblPr>
        <w:tblStyle w:val="TableGrid"/>
        <w:tblW w:w="9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2"/>
        <w:gridCol w:w="2233"/>
        <w:gridCol w:w="262"/>
        <w:gridCol w:w="2234"/>
      </w:tblGrid>
      <w:tr w:rsidR="00E441FE" w:rsidRPr="002B2D16" w:rsidTr="00E441FE">
        <w:tc>
          <w:tcPr>
            <w:tcW w:w="4922" w:type="dxa"/>
          </w:tcPr>
          <w:p w:rsidR="005751D9" w:rsidRDefault="005751D9" w:rsidP="00CC2668">
            <w:pPr>
              <w:pStyle w:val="TableText"/>
              <w:keepNext/>
              <w:rPr>
                <w:b/>
              </w:rPr>
            </w:pPr>
          </w:p>
          <w:p w:rsidR="00E441FE" w:rsidRPr="002B2D16" w:rsidRDefault="00E441FE" w:rsidP="00CC2668">
            <w:pPr>
              <w:pStyle w:val="TableText"/>
              <w:keepNext/>
              <w:rPr>
                <w:b/>
              </w:rPr>
            </w:pPr>
            <w:r w:rsidRPr="002B2D16">
              <w:rPr>
                <w:b/>
              </w:rPr>
              <w:t>ASSETS</w:t>
            </w:r>
          </w:p>
        </w:tc>
        <w:tc>
          <w:tcPr>
            <w:tcW w:w="2233" w:type="dxa"/>
            <w:tcBorders>
              <w:bottom w:val="single" w:sz="4" w:space="0" w:color="auto"/>
            </w:tcBorders>
          </w:tcPr>
          <w:p w:rsidR="005751D9" w:rsidRDefault="005751D9" w:rsidP="00CC2668">
            <w:pPr>
              <w:pStyle w:val="TableText"/>
              <w:keepNext/>
              <w:jc w:val="center"/>
              <w:rPr>
                <w:b/>
              </w:rPr>
            </w:pPr>
          </w:p>
          <w:p w:rsidR="00E441FE" w:rsidRPr="002B2D16" w:rsidRDefault="006303BD" w:rsidP="00CC2668">
            <w:pPr>
              <w:pStyle w:val="TableText"/>
              <w:keepNext/>
              <w:jc w:val="center"/>
              <w:rPr>
                <w:b/>
              </w:rPr>
            </w:pPr>
            <w:r w:rsidRPr="002B2D16">
              <w:rPr>
                <w:b/>
              </w:rPr>
              <w:t>June 30, 2012</w:t>
            </w:r>
          </w:p>
        </w:tc>
        <w:tc>
          <w:tcPr>
            <w:tcW w:w="262" w:type="dxa"/>
          </w:tcPr>
          <w:p w:rsidR="00E441FE" w:rsidRPr="002B2D16" w:rsidRDefault="00E441FE" w:rsidP="00CC2668">
            <w:pPr>
              <w:pStyle w:val="TableText"/>
              <w:keepNext/>
              <w:jc w:val="center"/>
              <w:rPr>
                <w:b/>
              </w:rPr>
            </w:pPr>
          </w:p>
        </w:tc>
        <w:tc>
          <w:tcPr>
            <w:tcW w:w="2234" w:type="dxa"/>
            <w:tcBorders>
              <w:bottom w:val="single" w:sz="4" w:space="0" w:color="auto"/>
            </w:tcBorders>
          </w:tcPr>
          <w:p w:rsidR="005751D9" w:rsidRDefault="005751D9" w:rsidP="00CC2668">
            <w:pPr>
              <w:pStyle w:val="TableText"/>
              <w:keepNext/>
              <w:jc w:val="center"/>
              <w:rPr>
                <w:b/>
              </w:rPr>
            </w:pPr>
          </w:p>
          <w:p w:rsidR="00E441FE" w:rsidRPr="002B2D16" w:rsidRDefault="006303BD" w:rsidP="00CC2668">
            <w:pPr>
              <w:pStyle w:val="TableText"/>
              <w:keepNext/>
              <w:jc w:val="center"/>
              <w:rPr>
                <w:b/>
              </w:rPr>
            </w:pPr>
            <w:r w:rsidRPr="002B2D16">
              <w:rPr>
                <w:b/>
              </w:rPr>
              <w:t>June 30 2011</w:t>
            </w:r>
          </w:p>
        </w:tc>
      </w:tr>
      <w:tr w:rsidR="00E441FE" w:rsidRPr="002B2D16" w:rsidTr="00E441FE">
        <w:tc>
          <w:tcPr>
            <w:tcW w:w="4922" w:type="dxa"/>
          </w:tcPr>
          <w:p w:rsidR="00E441FE" w:rsidRPr="002B2D16" w:rsidRDefault="00E441FE" w:rsidP="00CC2668">
            <w:pPr>
              <w:pStyle w:val="TableText"/>
              <w:keepNext/>
              <w:ind w:left="360"/>
            </w:pPr>
            <w:r w:rsidRPr="002B2D16">
              <w:t>Current Assets</w:t>
            </w:r>
          </w:p>
        </w:tc>
        <w:tc>
          <w:tcPr>
            <w:tcW w:w="2233" w:type="dxa"/>
            <w:tcBorders>
              <w:top w:val="single" w:sz="4" w:space="0" w:color="auto"/>
            </w:tcBorders>
          </w:tcPr>
          <w:p w:rsidR="00E441FE" w:rsidRPr="002B2D16" w:rsidRDefault="006303BD" w:rsidP="00CC2668">
            <w:pPr>
              <w:pStyle w:val="TableText"/>
              <w:keepNext/>
              <w:tabs>
                <w:tab w:val="left" w:pos="0"/>
                <w:tab w:val="right" w:pos="2016"/>
              </w:tabs>
            </w:pPr>
            <w:r w:rsidRPr="002B2D16">
              <w:t>$</w:t>
            </w:r>
            <w:r w:rsidR="00E441FE" w:rsidRPr="002B2D16">
              <w:tab/>
            </w:r>
          </w:p>
        </w:tc>
        <w:tc>
          <w:tcPr>
            <w:tcW w:w="262" w:type="dxa"/>
          </w:tcPr>
          <w:p w:rsidR="00E441FE" w:rsidRPr="002B2D16" w:rsidRDefault="00E441FE" w:rsidP="00CC2668">
            <w:pPr>
              <w:pStyle w:val="TableText"/>
              <w:keepNext/>
              <w:tabs>
                <w:tab w:val="left" w:pos="0"/>
              </w:tabs>
            </w:pPr>
          </w:p>
        </w:tc>
        <w:tc>
          <w:tcPr>
            <w:tcW w:w="2234" w:type="dxa"/>
            <w:tcBorders>
              <w:top w:val="single" w:sz="4" w:space="0" w:color="auto"/>
            </w:tcBorders>
          </w:tcPr>
          <w:p w:rsidR="00E441FE" w:rsidRPr="002B2D16" w:rsidRDefault="006303BD" w:rsidP="00CC2668">
            <w:pPr>
              <w:pStyle w:val="TableText"/>
              <w:keepNext/>
              <w:tabs>
                <w:tab w:val="left" w:pos="0"/>
                <w:tab w:val="right" w:pos="2016"/>
              </w:tabs>
            </w:pPr>
            <w:r w:rsidRPr="002B2D16">
              <w:t>$</w:t>
            </w:r>
          </w:p>
        </w:tc>
      </w:tr>
      <w:tr w:rsidR="00E441FE" w:rsidRPr="002B2D16" w:rsidTr="00E441FE">
        <w:tc>
          <w:tcPr>
            <w:tcW w:w="4922" w:type="dxa"/>
          </w:tcPr>
          <w:p w:rsidR="00E441FE" w:rsidRPr="002B2D16" w:rsidRDefault="00E441FE" w:rsidP="00CC2668">
            <w:pPr>
              <w:pStyle w:val="TableText"/>
              <w:keepNext/>
              <w:ind w:left="720"/>
            </w:pPr>
            <w:r w:rsidRPr="002B2D16">
              <w:t>Checking/Savings</w:t>
            </w:r>
          </w:p>
        </w:tc>
        <w:tc>
          <w:tcPr>
            <w:tcW w:w="2233" w:type="dxa"/>
          </w:tcPr>
          <w:p w:rsidR="00E441FE" w:rsidRPr="002B2D16" w:rsidRDefault="00E441FE" w:rsidP="00CC2668">
            <w:pPr>
              <w:pStyle w:val="TableText"/>
              <w:keepNext/>
              <w:tabs>
                <w:tab w:val="left" w:pos="0"/>
                <w:tab w:val="right" w:pos="2016"/>
              </w:tabs>
            </w:pPr>
          </w:p>
        </w:tc>
        <w:tc>
          <w:tcPr>
            <w:tcW w:w="262" w:type="dxa"/>
          </w:tcPr>
          <w:p w:rsidR="00E441FE" w:rsidRPr="002B2D16" w:rsidRDefault="00E441FE" w:rsidP="00CC2668">
            <w:pPr>
              <w:pStyle w:val="TableText"/>
              <w:keepNext/>
              <w:tabs>
                <w:tab w:val="left" w:pos="0"/>
              </w:tabs>
            </w:pPr>
          </w:p>
        </w:tc>
        <w:tc>
          <w:tcPr>
            <w:tcW w:w="2234" w:type="dxa"/>
          </w:tcPr>
          <w:p w:rsidR="00E441FE" w:rsidRPr="002B2D16" w:rsidRDefault="00E441FE" w:rsidP="00CC2668">
            <w:pPr>
              <w:pStyle w:val="TableText"/>
              <w:keepNext/>
              <w:tabs>
                <w:tab w:val="left" w:pos="0"/>
                <w:tab w:val="right" w:pos="2016"/>
              </w:tabs>
            </w:pPr>
          </w:p>
        </w:tc>
      </w:tr>
      <w:tr w:rsidR="00E441FE" w:rsidRPr="002B2D16" w:rsidTr="006303BD">
        <w:tc>
          <w:tcPr>
            <w:tcW w:w="4922" w:type="dxa"/>
          </w:tcPr>
          <w:p w:rsidR="00E441FE" w:rsidRPr="002B2D16" w:rsidRDefault="00E441FE" w:rsidP="00CC2668">
            <w:pPr>
              <w:pStyle w:val="TableText"/>
              <w:keepNext/>
              <w:ind w:left="1080"/>
            </w:pPr>
            <w:r w:rsidRPr="002B2D16">
              <w:t>Associate Member Fund</w:t>
            </w:r>
          </w:p>
        </w:tc>
        <w:tc>
          <w:tcPr>
            <w:tcW w:w="2233" w:type="dxa"/>
          </w:tcPr>
          <w:p w:rsidR="00E441FE" w:rsidRPr="002B2D16" w:rsidRDefault="006303BD" w:rsidP="00CC2668">
            <w:pPr>
              <w:pStyle w:val="TableText"/>
              <w:keepNext/>
              <w:tabs>
                <w:tab w:val="left" w:pos="0"/>
                <w:tab w:val="right" w:pos="2016"/>
              </w:tabs>
            </w:pPr>
            <w:r w:rsidRPr="002B2D16">
              <w:tab/>
              <w:t>20,601.39</w:t>
            </w:r>
          </w:p>
        </w:tc>
        <w:tc>
          <w:tcPr>
            <w:tcW w:w="262" w:type="dxa"/>
          </w:tcPr>
          <w:p w:rsidR="00E441FE" w:rsidRPr="002B2D16" w:rsidRDefault="00E441FE" w:rsidP="00CC2668">
            <w:pPr>
              <w:pStyle w:val="TableText"/>
              <w:keepNext/>
              <w:tabs>
                <w:tab w:val="left" w:pos="0"/>
              </w:tabs>
            </w:pPr>
          </w:p>
        </w:tc>
        <w:tc>
          <w:tcPr>
            <w:tcW w:w="2234" w:type="dxa"/>
          </w:tcPr>
          <w:p w:rsidR="00E441FE" w:rsidRPr="002B2D16" w:rsidRDefault="006303BD" w:rsidP="00CC2668">
            <w:pPr>
              <w:pStyle w:val="TableText"/>
              <w:keepNext/>
              <w:tabs>
                <w:tab w:val="left" w:pos="0"/>
                <w:tab w:val="right" w:pos="2016"/>
              </w:tabs>
              <w:jc w:val="right"/>
            </w:pPr>
            <w:r w:rsidRPr="002B2D16">
              <w:t>18,451.85</w:t>
            </w:r>
          </w:p>
        </w:tc>
      </w:tr>
      <w:tr w:rsidR="00E441FE" w:rsidRPr="002B2D16" w:rsidTr="00E441FE">
        <w:tc>
          <w:tcPr>
            <w:tcW w:w="4922" w:type="dxa"/>
          </w:tcPr>
          <w:p w:rsidR="00E441FE" w:rsidRPr="002B2D16" w:rsidRDefault="00E441FE" w:rsidP="00CC2668">
            <w:pPr>
              <w:pStyle w:val="TableText"/>
              <w:keepNext/>
              <w:ind w:left="1080"/>
            </w:pPr>
            <w:r w:rsidRPr="002B2D16">
              <w:t>Certificates of Deposit</w:t>
            </w:r>
          </w:p>
        </w:tc>
        <w:tc>
          <w:tcPr>
            <w:tcW w:w="2233" w:type="dxa"/>
          </w:tcPr>
          <w:p w:rsidR="00E441FE" w:rsidRPr="002B2D16" w:rsidRDefault="00E441FE" w:rsidP="00CC2668">
            <w:pPr>
              <w:pStyle w:val="TableText"/>
              <w:keepNext/>
              <w:tabs>
                <w:tab w:val="left" w:pos="0"/>
                <w:tab w:val="right" w:pos="2016"/>
              </w:tabs>
            </w:pPr>
            <w:r w:rsidRPr="002B2D16">
              <w:tab/>
            </w:r>
            <w:r w:rsidR="006303BD" w:rsidRPr="002B2D16">
              <w:t>1,126,348.07</w:t>
            </w:r>
          </w:p>
        </w:tc>
        <w:tc>
          <w:tcPr>
            <w:tcW w:w="262" w:type="dxa"/>
          </w:tcPr>
          <w:p w:rsidR="00E441FE" w:rsidRPr="002B2D16" w:rsidRDefault="00E441FE" w:rsidP="00CC2668">
            <w:pPr>
              <w:pStyle w:val="TableText"/>
              <w:keepNext/>
              <w:tabs>
                <w:tab w:val="left" w:pos="0"/>
              </w:tabs>
            </w:pPr>
          </w:p>
        </w:tc>
        <w:tc>
          <w:tcPr>
            <w:tcW w:w="2234" w:type="dxa"/>
          </w:tcPr>
          <w:p w:rsidR="00E441FE" w:rsidRPr="002B2D16" w:rsidRDefault="00E441FE" w:rsidP="00CC2668">
            <w:pPr>
              <w:pStyle w:val="TableText"/>
              <w:keepNext/>
              <w:tabs>
                <w:tab w:val="left" w:pos="0"/>
                <w:tab w:val="right" w:pos="2016"/>
              </w:tabs>
            </w:pPr>
            <w:r w:rsidRPr="002B2D16">
              <w:tab/>
            </w:r>
            <w:r w:rsidR="006303BD" w:rsidRPr="002B2D16">
              <w:t>954,265.98</w:t>
            </w:r>
          </w:p>
        </w:tc>
      </w:tr>
      <w:tr w:rsidR="00E441FE" w:rsidRPr="002B2D16" w:rsidTr="00E441FE">
        <w:tc>
          <w:tcPr>
            <w:tcW w:w="4922" w:type="dxa"/>
          </w:tcPr>
          <w:p w:rsidR="00E441FE" w:rsidRPr="002B2D16" w:rsidRDefault="00E441FE" w:rsidP="00CC2668">
            <w:pPr>
              <w:pStyle w:val="TableText"/>
              <w:keepNext/>
              <w:ind w:left="1080"/>
            </w:pPr>
            <w:r w:rsidRPr="002B2D16">
              <w:t>Checking</w:t>
            </w:r>
          </w:p>
        </w:tc>
        <w:tc>
          <w:tcPr>
            <w:tcW w:w="2233" w:type="dxa"/>
          </w:tcPr>
          <w:p w:rsidR="00E441FE" w:rsidRPr="002B2D16" w:rsidRDefault="00E441FE" w:rsidP="00CC2668">
            <w:pPr>
              <w:pStyle w:val="TableText"/>
              <w:keepNext/>
              <w:tabs>
                <w:tab w:val="left" w:pos="0"/>
                <w:tab w:val="right" w:pos="2016"/>
              </w:tabs>
            </w:pPr>
            <w:r w:rsidRPr="002B2D16">
              <w:tab/>
            </w:r>
            <w:r w:rsidR="006303BD" w:rsidRPr="002B2D16">
              <w:t>34,796.11</w:t>
            </w:r>
          </w:p>
        </w:tc>
        <w:tc>
          <w:tcPr>
            <w:tcW w:w="262" w:type="dxa"/>
          </w:tcPr>
          <w:p w:rsidR="00E441FE" w:rsidRPr="002B2D16" w:rsidRDefault="00E441FE" w:rsidP="00CC2668">
            <w:pPr>
              <w:pStyle w:val="TableText"/>
              <w:keepNext/>
              <w:tabs>
                <w:tab w:val="left" w:pos="0"/>
              </w:tabs>
            </w:pPr>
          </w:p>
        </w:tc>
        <w:tc>
          <w:tcPr>
            <w:tcW w:w="2234" w:type="dxa"/>
          </w:tcPr>
          <w:p w:rsidR="00E441FE" w:rsidRPr="002B2D16" w:rsidRDefault="00E441FE" w:rsidP="00CC2668">
            <w:pPr>
              <w:pStyle w:val="TableText"/>
              <w:keepNext/>
              <w:tabs>
                <w:tab w:val="left" w:pos="0"/>
                <w:tab w:val="right" w:pos="2016"/>
              </w:tabs>
            </w:pPr>
            <w:r w:rsidRPr="002B2D16">
              <w:tab/>
            </w:r>
            <w:r w:rsidR="008C1E1C">
              <w:rPr>
                <w:rFonts w:cs="Times New Roman"/>
              </w:rPr>
              <w:t>−</w:t>
            </w:r>
            <w:r w:rsidR="006303BD" w:rsidRPr="002B2D16">
              <w:t>24,857.69</w:t>
            </w:r>
          </w:p>
        </w:tc>
      </w:tr>
      <w:tr w:rsidR="00E441FE" w:rsidRPr="002B2D16" w:rsidTr="00E441FE">
        <w:tc>
          <w:tcPr>
            <w:tcW w:w="4922" w:type="dxa"/>
          </w:tcPr>
          <w:p w:rsidR="00E441FE" w:rsidRPr="002B2D16" w:rsidRDefault="00E441FE" w:rsidP="00CC2668">
            <w:pPr>
              <w:pStyle w:val="TableText"/>
              <w:keepNext/>
              <w:ind w:left="1080"/>
            </w:pPr>
            <w:r w:rsidRPr="002B2D16">
              <w:t>Savings</w:t>
            </w:r>
          </w:p>
        </w:tc>
        <w:tc>
          <w:tcPr>
            <w:tcW w:w="2233" w:type="dxa"/>
            <w:tcBorders>
              <w:bottom w:val="single" w:sz="4" w:space="0" w:color="auto"/>
            </w:tcBorders>
          </w:tcPr>
          <w:p w:rsidR="00E441FE" w:rsidRPr="002B2D16" w:rsidRDefault="00E441FE" w:rsidP="00CC2668">
            <w:pPr>
              <w:pStyle w:val="TableText"/>
              <w:keepNext/>
              <w:tabs>
                <w:tab w:val="left" w:pos="0"/>
                <w:tab w:val="right" w:pos="2016"/>
              </w:tabs>
            </w:pPr>
            <w:r w:rsidRPr="002B2D16">
              <w:tab/>
            </w:r>
            <w:r w:rsidR="006303BD" w:rsidRPr="002B2D16">
              <w:t>129,601.52</w:t>
            </w:r>
          </w:p>
        </w:tc>
        <w:tc>
          <w:tcPr>
            <w:tcW w:w="262" w:type="dxa"/>
          </w:tcPr>
          <w:p w:rsidR="00E441FE" w:rsidRPr="002B2D16" w:rsidRDefault="00E441FE" w:rsidP="00CC2668">
            <w:pPr>
              <w:pStyle w:val="TableText"/>
              <w:keepNext/>
              <w:tabs>
                <w:tab w:val="left" w:pos="0"/>
              </w:tabs>
            </w:pPr>
          </w:p>
        </w:tc>
        <w:tc>
          <w:tcPr>
            <w:tcW w:w="2234" w:type="dxa"/>
            <w:tcBorders>
              <w:bottom w:val="single" w:sz="4" w:space="0" w:color="auto"/>
            </w:tcBorders>
          </w:tcPr>
          <w:p w:rsidR="00E441FE" w:rsidRPr="002B2D16" w:rsidRDefault="00E441FE" w:rsidP="00CC2668">
            <w:pPr>
              <w:pStyle w:val="TableText"/>
              <w:keepNext/>
              <w:tabs>
                <w:tab w:val="left" w:pos="0"/>
                <w:tab w:val="right" w:pos="2016"/>
              </w:tabs>
            </w:pPr>
            <w:r w:rsidRPr="002B2D16">
              <w:tab/>
            </w:r>
            <w:r w:rsidR="006303BD" w:rsidRPr="002B2D16">
              <w:t>208,118.33</w:t>
            </w:r>
          </w:p>
        </w:tc>
      </w:tr>
      <w:tr w:rsidR="00E441FE" w:rsidRPr="002B2D16" w:rsidTr="00E441FE">
        <w:tc>
          <w:tcPr>
            <w:tcW w:w="4922" w:type="dxa"/>
          </w:tcPr>
          <w:p w:rsidR="00E441FE" w:rsidRPr="002B2D16" w:rsidRDefault="00E441FE" w:rsidP="00E441FE">
            <w:pPr>
              <w:pStyle w:val="TableText"/>
              <w:ind w:left="720"/>
            </w:pPr>
            <w:r w:rsidRPr="002B2D16">
              <w:t>Total Checking/Savings</w:t>
            </w:r>
          </w:p>
        </w:tc>
        <w:tc>
          <w:tcPr>
            <w:tcW w:w="2233" w:type="dxa"/>
            <w:tcBorders>
              <w:top w:val="single" w:sz="4" w:space="0" w:color="auto"/>
            </w:tcBorders>
          </w:tcPr>
          <w:p w:rsidR="00E441FE" w:rsidRPr="002B2D16" w:rsidRDefault="00E441FE" w:rsidP="006303BD">
            <w:pPr>
              <w:pStyle w:val="TableText"/>
              <w:tabs>
                <w:tab w:val="left" w:pos="0"/>
                <w:tab w:val="right" w:pos="2016"/>
              </w:tabs>
            </w:pPr>
            <w:r w:rsidRPr="002B2D16">
              <w:t xml:space="preserve">$ </w:t>
            </w:r>
            <w:r w:rsidRPr="002B2D16">
              <w:tab/>
            </w:r>
            <w:r w:rsidR="006303BD" w:rsidRPr="002B2D16">
              <w:t>1,311,347.09</w:t>
            </w:r>
          </w:p>
        </w:tc>
        <w:tc>
          <w:tcPr>
            <w:tcW w:w="262" w:type="dxa"/>
          </w:tcPr>
          <w:p w:rsidR="00E441FE" w:rsidRPr="002B2D16" w:rsidRDefault="00E441FE" w:rsidP="00E441FE">
            <w:pPr>
              <w:pStyle w:val="TableText"/>
              <w:tabs>
                <w:tab w:val="left" w:pos="0"/>
              </w:tabs>
            </w:pPr>
          </w:p>
        </w:tc>
        <w:tc>
          <w:tcPr>
            <w:tcW w:w="2234" w:type="dxa"/>
            <w:tcBorders>
              <w:top w:val="single" w:sz="4" w:space="0" w:color="auto"/>
            </w:tcBorders>
          </w:tcPr>
          <w:p w:rsidR="00E441FE" w:rsidRPr="002B2D16" w:rsidRDefault="00E441FE" w:rsidP="006303BD">
            <w:pPr>
              <w:pStyle w:val="TableText"/>
              <w:tabs>
                <w:tab w:val="left" w:pos="0"/>
                <w:tab w:val="right" w:pos="2016"/>
              </w:tabs>
            </w:pPr>
            <w:r w:rsidRPr="002B2D16">
              <w:t xml:space="preserve">$ </w:t>
            </w:r>
            <w:r w:rsidRPr="002B2D16">
              <w:tab/>
            </w:r>
            <w:r w:rsidR="006303BD" w:rsidRPr="002B2D16">
              <w:t>1,155,978.47</w:t>
            </w:r>
          </w:p>
        </w:tc>
      </w:tr>
      <w:tr w:rsidR="00E441FE" w:rsidRPr="002B2D16" w:rsidTr="00E441FE">
        <w:tc>
          <w:tcPr>
            <w:tcW w:w="4922" w:type="dxa"/>
          </w:tcPr>
          <w:p w:rsidR="00E441FE" w:rsidRPr="002B2D16" w:rsidRDefault="00E441FE" w:rsidP="00E441FE">
            <w:pPr>
              <w:pStyle w:val="TableText"/>
              <w:ind w:left="720"/>
            </w:pPr>
          </w:p>
        </w:tc>
        <w:tc>
          <w:tcPr>
            <w:tcW w:w="2233" w:type="dxa"/>
          </w:tcPr>
          <w:p w:rsidR="00E441FE" w:rsidRPr="002B2D16" w:rsidRDefault="00E441FE" w:rsidP="00E441FE">
            <w:pPr>
              <w:pStyle w:val="TableText"/>
              <w:tabs>
                <w:tab w:val="left" w:pos="0"/>
                <w:tab w:val="right" w:pos="2016"/>
              </w:tabs>
            </w:pPr>
          </w:p>
        </w:tc>
        <w:tc>
          <w:tcPr>
            <w:tcW w:w="262" w:type="dxa"/>
          </w:tcPr>
          <w:p w:rsidR="00E441FE" w:rsidRPr="002B2D16" w:rsidRDefault="00E441FE" w:rsidP="00E441FE">
            <w:pPr>
              <w:pStyle w:val="TableText"/>
              <w:tabs>
                <w:tab w:val="left" w:pos="0"/>
              </w:tabs>
            </w:pPr>
          </w:p>
        </w:tc>
        <w:tc>
          <w:tcPr>
            <w:tcW w:w="2234" w:type="dxa"/>
          </w:tcPr>
          <w:p w:rsidR="00E441FE" w:rsidRPr="002B2D16" w:rsidRDefault="00E441FE" w:rsidP="00E441FE">
            <w:pPr>
              <w:pStyle w:val="TableText"/>
              <w:tabs>
                <w:tab w:val="left" w:pos="0"/>
                <w:tab w:val="right" w:pos="2016"/>
              </w:tabs>
            </w:pPr>
          </w:p>
        </w:tc>
      </w:tr>
      <w:tr w:rsidR="00E441FE" w:rsidRPr="002B2D16" w:rsidTr="00E441FE">
        <w:tc>
          <w:tcPr>
            <w:tcW w:w="4922" w:type="dxa"/>
          </w:tcPr>
          <w:p w:rsidR="00E441FE" w:rsidRPr="002B2D16" w:rsidRDefault="00E441FE" w:rsidP="00E441FE">
            <w:pPr>
              <w:pStyle w:val="TableText"/>
              <w:ind w:left="720"/>
            </w:pPr>
            <w:r w:rsidRPr="002B2D16">
              <w:t>Accounts Receivable</w:t>
            </w:r>
          </w:p>
        </w:tc>
        <w:tc>
          <w:tcPr>
            <w:tcW w:w="2233" w:type="dxa"/>
          </w:tcPr>
          <w:p w:rsidR="00E441FE" w:rsidRPr="002B2D16" w:rsidRDefault="00E441FE" w:rsidP="006303BD">
            <w:pPr>
              <w:pStyle w:val="TableText"/>
              <w:tabs>
                <w:tab w:val="left" w:pos="0"/>
                <w:tab w:val="right" w:pos="2016"/>
              </w:tabs>
            </w:pPr>
            <w:r w:rsidRPr="002B2D16">
              <w:tab/>
            </w:r>
            <w:r w:rsidR="006303BD" w:rsidRPr="002B2D16">
              <w:t>2,905.00</w:t>
            </w:r>
          </w:p>
        </w:tc>
        <w:tc>
          <w:tcPr>
            <w:tcW w:w="262" w:type="dxa"/>
          </w:tcPr>
          <w:p w:rsidR="00E441FE" w:rsidRPr="002B2D16" w:rsidRDefault="00E441FE" w:rsidP="00E441FE">
            <w:pPr>
              <w:pStyle w:val="TableText"/>
              <w:tabs>
                <w:tab w:val="left" w:pos="0"/>
              </w:tabs>
            </w:pPr>
          </w:p>
        </w:tc>
        <w:tc>
          <w:tcPr>
            <w:tcW w:w="2234" w:type="dxa"/>
          </w:tcPr>
          <w:p w:rsidR="00E441FE" w:rsidRPr="002B2D16" w:rsidRDefault="00E441FE" w:rsidP="006303BD">
            <w:pPr>
              <w:pStyle w:val="TableText"/>
              <w:tabs>
                <w:tab w:val="left" w:pos="0"/>
                <w:tab w:val="right" w:pos="2016"/>
              </w:tabs>
            </w:pPr>
            <w:r w:rsidRPr="002B2D16">
              <w:tab/>
            </w:r>
            <w:r w:rsidR="006303BD" w:rsidRPr="002B2D16">
              <w:t>960</w:t>
            </w:r>
            <w:r w:rsidRPr="002B2D16">
              <w:t>.00</w:t>
            </w:r>
          </w:p>
        </w:tc>
      </w:tr>
      <w:tr w:rsidR="00E441FE" w:rsidRPr="002B2D16" w:rsidTr="00E441FE">
        <w:tc>
          <w:tcPr>
            <w:tcW w:w="4922" w:type="dxa"/>
          </w:tcPr>
          <w:p w:rsidR="00E441FE" w:rsidRPr="002B2D16" w:rsidRDefault="00E441FE" w:rsidP="00E441FE">
            <w:pPr>
              <w:pStyle w:val="TableText"/>
              <w:ind w:left="720"/>
            </w:pPr>
          </w:p>
        </w:tc>
        <w:tc>
          <w:tcPr>
            <w:tcW w:w="2233" w:type="dxa"/>
          </w:tcPr>
          <w:p w:rsidR="00E441FE" w:rsidRPr="002B2D16" w:rsidRDefault="00E441FE" w:rsidP="00E441FE">
            <w:pPr>
              <w:pStyle w:val="TableText"/>
              <w:tabs>
                <w:tab w:val="left" w:pos="0"/>
                <w:tab w:val="right" w:pos="2016"/>
              </w:tabs>
            </w:pPr>
          </w:p>
        </w:tc>
        <w:tc>
          <w:tcPr>
            <w:tcW w:w="262" w:type="dxa"/>
          </w:tcPr>
          <w:p w:rsidR="00E441FE" w:rsidRPr="002B2D16" w:rsidRDefault="00E441FE" w:rsidP="00E441FE">
            <w:pPr>
              <w:pStyle w:val="TableText"/>
              <w:tabs>
                <w:tab w:val="left" w:pos="0"/>
              </w:tabs>
            </w:pPr>
          </w:p>
        </w:tc>
        <w:tc>
          <w:tcPr>
            <w:tcW w:w="2234" w:type="dxa"/>
          </w:tcPr>
          <w:p w:rsidR="00E441FE" w:rsidRPr="002B2D16" w:rsidRDefault="00E441FE" w:rsidP="00E441FE">
            <w:pPr>
              <w:pStyle w:val="TableText"/>
              <w:tabs>
                <w:tab w:val="left" w:pos="0"/>
                <w:tab w:val="right" w:pos="2016"/>
              </w:tabs>
            </w:pPr>
          </w:p>
        </w:tc>
      </w:tr>
      <w:tr w:rsidR="00E441FE" w:rsidRPr="002B2D16" w:rsidTr="00E441FE">
        <w:tc>
          <w:tcPr>
            <w:tcW w:w="4922" w:type="dxa"/>
          </w:tcPr>
          <w:p w:rsidR="00E441FE" w:rsidRPr="002B2D16" w:rsidRDefault="00E441FE" w:rsidP="00E441FE">
            <w:pPr>
              <w:pStyle w:val="TableText"/>
              <w:ind w:left="720"/>
            </w:pPr>
            <w:r w:rsidRPr="002B2D16">
              <w:t>Other Current Assets</w:t>
            </w:r>
          </w:p>
        </w:tc>
        <w:tc>
          <w:tcPr>
            <w:tcW w:w="2233" w:type="dxa"/>
          </w:tcPr>
          <w:p w:rsidR="00E441FE" w:rsidRPr="002B2D16" w:rsidRDefault="00E441FE" w:rsidP="006303BD">
            <w:pPr>
              <w:pStyle w:val="TableText"/>
              <w:tabs>
                <w:tab w:val="left" w:pos="0"/>
                <w:tab w:val="right" w:pos="2016"/>
              </w:tabs>
            </w:pPr>
            <w:r w:rsidRPr="002B2D16">
              <w:tab/>
            </w:r>
            <w:r w:rsidR="006303BD" w:rsidRPr="002B2D16">
              <w:t>38,808.22</w:t>
            </w:r>
          </w:p>
        </w:tc>
        <w:tc>
          <w:tcPr>
            <w:tcW w:w="262" w:type="dxa"/>
          </w:tcPr>
          <w:p w:rsidR="00E441FE" w:rsidRPr="002B2D16" w:rsidRDefault="00E441FE" w:rsidP="00E441FE">
            <w:pPr>
              <w:pStyle w:val="TableText"/>
              <w:tabs>
                <w:tab w:val="left" w:pos="0"/>
              </w:tabs>
            </w:pPr>
          </w:p>
        </w:tc>
        <w:tc>
          <w:tcPr>
            <w:tcW w:w="2234" w:type="dxa"/>
          </w:tcPr>
          <w:p w:rsidR="00E441FE" w:rsidRPr="002B2D16" w:rsidRDefault="00E441FE" w:rsidP="006303BD">
            <w:pPr>
              <w:pStyle w:val="TableText"/>
              <w:tabs>
                <w:tab w:val="left" w:pos="0"/>
                <w:tab w:val="right" w:pos="2016"/>
              </w:tabs>
            </w:pPr>
            <w:r w:rsidRPr="002B2D16">
              <w:tab/>
            </w:r>
            <w:r w:rsidR="006303BD" w:rsidRPr="002B2D16">
              <w:t>51,589.87</w:t>
            </w:r>
          </w:p>
        </w:tc>
      </w:tr>
      <w:tr w:rsidR="00E441FE" w:rsidRPr="002B2D16" w:rsidTr="00E441FE">
        <w:tc>
          <w:tcPr>
            <w:tcW w:w="4922" w:type="dxa"/>
          </w:tcPr>
          <w:p w:rsidR="00E441FE" w:rsidRPr="002B2D16" w:rsidRDefault="00E441FE" w:rsidP="00E441FE">
            <w:pPr>
              <w:pStyle w:val="TableText"/>
              <w:ind w:left="720"/>
            </w:pPr>
          </w:p>
        </w:tc>
        <w:tc>
          <w:tcPr>
            <w:tcW w:w="2233" w:type="dxa"/>
          </w:tcPr>
          <w:p w:rsidR="00E441FE" w:rsidRPr="002B2D16" w:rsidRDefault="00E441FE" w:rsidP="00E441FE">
            <w:pPr>
              <w:pStyle w:val="TableText"/>
              <w:tabs>
                <w:tab w:val="left" w:pos="0"/>
                <w:tab w:val="right" w:pos="2016"/>
              </w:tabs>
            </w:pPr>
          </w:p>
        </w:tc>
        <w:tc>
          <w:tcPr>
            <w:tcW w:w="262" w:type="dxa"/>
          </w:tcPr>
          <w:p w:rsidR="00E441FE" w:rsidRPr="002B2D16" w:rsidRDefault="00E441FE" w:rsidP="00E441FE">
            <w:pPr>
              <w:pStyle w:val="TableText"/>
              <w:tabs>
                <w:tab w:val="left" w:pos="0"/>
              </w:tabs>
            </w:pPr>
          </w:p>
        </w:tc>
        <w:tc>
          <w:tcPr>
            <w:tcW w:w="2234" w:type="dxa"/>
          </w:tcPr>
          <w:p w:rsidR="00E441FE" w:rsidRPr="002B2D16" w:rsidRDefault="00E441FE" w:rsidP="00E441FE">
            <w:pPr>
              <w:pStyle w:val="TableText"/>
              <w:tabs>
                <w:tab w:val="left" w:pos="0"/>
                <w:tab w:val="right" w:pos="2016"/>
              </w:tabs>
            </w:pPr>
          </w:p>
        </w:tc>
      </w:tr>
      <w:tr w:rsidR="00E441FE" w:rsidRPr="002B2D16" w:rsidTr="00E441FE">
        <w:tc>
          <w:tcPr>
            <w:tcW w:w="4922" w:type="dxa"/>
          </w:tcPr>
          <w:p w:rsidR="00E441FE" w:rsidRPr="002B2D16" w:rsidRDefault="00E441FE" w:rsidP="00E441FE">
            <w:pPr>
              <w:pStyle w:val="TableText"/>
              <w:ind w:left="720"/>
            </w:pPr>
            <w:r w:rsidRPr="002B2D16">
              <w:t>Other Assets</w:t>
            </w:r>
          </w:p>
        </w:tc>
        <w:tc>
          <w:tcPr>
            <w:tcW w:w="2233" w:type="dxa"/>
          </w:tcPr>
          <w:p w:rsidR="00E441FE" w:rsidRPr="002B2D16" w:rsidRDefault="00E441FE" w:rsidP="006303BD">
            <w:pPr>
              <w:pStyle w:val="TableText"/>
              <w:tabs>
                <w:tab w:val="left" w:pos="0"/>
                <w:tab w:val="right" w:pos="2016"/>
              </w:tabs>
            </w:pPr>
            <w:r w:rsidRPr="002B2D16">
              <w:tab/>
            </w:r>
            <w:r w:rsidR="006303BD" w:rsidRPr="002B2D16">
              <w:t>7,352.30</w:t>
            </w:r>
          </w:p>
        </w:tc>
        <w:tc>
          <w:tcPr>
            <w:tcW w:w="262" w:type="dxa"/>
          </w:tcPr>
          <w:p w:rsidR="00E441FE" w:rsidRPr="002B2D16" w:rsidRDefault="00E441FE" w:rsidP="00E441FE">
            <w:pPr>
              <w:pStyle w:val="TableText"/>
              <w:tabs>
                <w:tab w:val="left" w:pos="0"/>
              </w:tabs>
            </w:pPr>
          </w:p>
        </w:tc>
        <w:tc>
          <w:tcPr>
            <w:tcW w:w="2234" w:type="dxa"/>
          </w:tcPr>
          <w:p w:rsidR="00E441FE" w:rsidRPr="002B2D16" w:rsidRDefault="00E441FE" w:rsidP="006303BD">
            <w:pPr>
              <w:pStyle w:val="TableText"/>
              <w:tabs>
                <w:tab w:val="left" w:pos="0"/>
                <w:tab w:val="right" w:pos="2016"/>
              </w:tabs>
            </w:pPr>
            <w:r w:rsidRPr="002B2D16">
              <w:tab/>
            </w:r>
            <w:r w:rsidR="006303BD" w:rsidRPr="002B2D16">
              <w:t>8,617.67</w:t>
            </w:r>
          </w:p>
        </w:tc>
      </w:tr>
      <w:tr w:rsidR="00E441FE" w:rsidRPr="002B2D16" w:rsidTr="00E441FE">
        <w:tc>
          <w:tcPr>
            <w:tcW w:w="4922" w:type="dxa"/>
          </w:tcPr>
          <w:p w:rsidR="00E441FE" w:rsidRPr="002B2D16" w:rsidRDefault="00E441FE" w:rsidP="00E441FE">
            <w:pPr>
              <w:pStyle w:val="TableText"/>
              <w:ind w:left="720"/>
            </w:pPr>
          </w:p>
        </w:tc>
        <w:tc>
          <w:tcPr>
            <w:tcW w:w="2233" w:type="dxa"/>
          </w:tcPr>
          <w:p w:rsidR="00E441FE" w:rsidRPr="002B2D16" w:rsidRDefault="00E441FE" w:rsidP="00E441FE">
            <w:pPr>
              <w:pStyle w:val="TableText"/>
              <w:tabs>
                <w:tab w:val="left" w:pos="0"/>
                <w:tab w:val="right" w:pos="2016"/>
              </w:tabs>
            </w:pPr>
          </w:p>
        </w:tc>
        <w:tc>
          <w:tcPr>
            <w:tcW w:w="262" w:type="dxa"/>
          </w:tcPr>
          <w:p w:rsidR="00E441FE" w:rsidRPr="002B2D16" w:rsidRDefault="00E441FE" w:rsidP="00E441FE">
            <w:pPr>
              <w:pStyle w:val="TableText"/>
              <w:tabs>
                <w:tab w:val="left" w:pos="0"/>
              </w:tabs>
            </w:pPr>
          </w:p>
        </w:tc>
        <w:tc>
          <w:tcPr>
            <w:tcW w:w="2234" w:type="dxa"/>
          </w:tcPr>
          <w:p w:rsidR="00E441FE" w:rsidRPr="002B2D16" w:rsidRDefault="00E441FE" w:rsidP="00E441FE">
            <w:pPr>
              <w:pStyle w:val="TableText"/>
              <w:tabs>
                <w:tab w:val="left" w:pos="0"/>
                <w:tab w:val="right" w:pos="2016"/>
              </w:tabs>
            </w:pPr>
          </w:p>
        </w:tc>
      </w:tr>
      <w:tr w:rsidR="00E441FE" w:rsidRPr="002B2D16" w:rsidTr="00E441FE">
        <w:tc>
          <w:tcPr>
            <w:tcW w:w="4922" w:type="dxa"/>
          </w:tcPr>
          <w:p w:rsidR="00E441FE" w:rsidRPr="002B2D16" w:rsidRDefault="00E441FE" w:rsidP="00E441FE">
            <w:pPr>
              <w:pStyle w:val="TableText"/>
              <w:rPr>
                <w:b/>
              </w:rPr>
            </w:pPr>
            <w:r w:rsidRPr="002B2D16">
              <w:rPr>
                <w:b/>
              </w:rPr>
              <w:t>TOTAL ASSETS</w:t>
            </w:r>
          </w:p>
        </w:tc>
        <w:tc>
          <w:tcPr>
            <w:tcW w:w="2233" w:type="dxa"/>
            <w:tcBorders>
              <w:bottom w:val="double" w:sz="4" w:space="0" w:color="auto"/>
            </w:tcBorders>
          </w:tcPr>
          <w:p w:rsidR="00E441FE" w:rsidRPr="002B2D16" w:rsidRDefault="00E441FE" w:rsidP="006303BD">
            <w:pPr>
              <w:pStyle w:val="TableText"/>
              <w:tabs>
                <w:tab w:val="left" w:pos="0"/>
                <w:tab w:val="right" w:pos="2016"/>
              </w:tabs>
              <w:rPr>
                <w:b/>
              </w:rPr>
            </w:pPr>
            <w:r w:rsidRPr="002B2D16">
              <w:rPr>
                <w:b/>
              </w:rPr>
              <w:t xml:space="preserve">$ </w:t>
            </w:r>
            <w:r w:rsidRPr="002B2D16">
              <w:rPr>
                <w:b/>
              </w:rPr>
              <w:tab/>
            </w:r>
            <w:r w:rsidR="006303BD" w:rsidRPr="002B2D16">
              <w:rPr>
                <w:b/>
              </w:rPr>
              <w:t>1,360,412.61</w:t>
            </w:r>
          </w:p>
        </w:tc>
        <w:tc>
          <w:tcPr>
            <w:tcW w:w="262" w:type="dxa"/>
          </w:tcPr>
          <w:p w:rsidR="00E441FE" w:rsidRPr="002B2D16" w:rsidRDefault="00E441FE" w:rsidP="00E441FE">
            <w:pPr>
              <w:pStyle w:val="TableText"/>
              <w:tabs>
                <w:tab w:val="left" w:pos="0"/>
              </w:tabs>
              <w:rPr>
                <w:b/>
              </w:rPr>
            </w:pPr>
          </w:p>
        </w:tc>
        <w:tc>
          <w:tcPr>
            <w:tcW w:w="2234" w:type="dxa"/>
            <w:tcBorders>
              <w:bottom w:val="double" w:sz="4" w:space="0" w:color="auto"/>
            </w:tcBorders>
          </w:tcPr>
          <w:p w:rsidR="00E441FE" w:rsidRPr="002B2D16" w:rsidRDefault="00E441FE" w:rsidP="006303BD">
            <w:pPr>
              <w:pStyle w:val="TableText"/>
              <w:tabs>
                <w:tab w:val="left" w:pos="0"/>
                <w:tab w:val="right" w:pos="2016"/>
              </w:tabs>
              <w:rPr>
                <w:b/>
              </w:rPr>
            </w:pPr>
            <w:r w:rsidRPr="002B2D16">
              <w:rPr>
                <w:b/>
              </w:rPr>
              <w:t>$</w:t>
            </w:r>
            <w:r w:rsidRPr="002B2D16">
              <w:rPr>
                <w:b/>
              </w:rPr>
              <w:tab/>
            </w:r>
            <w:r w:rsidR="006303BD" w:rsidRPr="002B2D16">
              <w:rPr>
                <w:b/>
              </w:rPr>
              <w:t>1,217,146.01</w:t>
            </w:r>
          </w:p>
        </w:tc>
      </w:tr>
      <w:tr w:rsidR="00E441FE" w:rsidRPr="002B2D16" w:rsidTr="00E441FE">
        <w:tc>
          <w:tcPr>
            <w:tcW w:w="4922" w:type="dxa"/>
          </w:tcPr>
          <w:p w:rsidR="00E441FE" w:rsidRPr="002B2D16" w:rsidRDefault="00E441FE" w:rsidP="00E441FE">
            <w:pPr>
              <w:pStyle w:val="TableText"/>
              <w:ind w:left="720"/>
            </w:pPr>
          </w:p>
        </w:tc>
        <w:tc>
          <w:tcPr>
            <w:tcW w:w="2233" w:type="dxa"/>
            <w:tcBorders>
              <w:top w:val="double" w:sz="4" w:space="0" w:color="auto"/>
            </w:tcBorders>
          </w:tcPr>
          <w:p w:rsidR="00E441FE" w:rsidRPr="002B2D16" w:rsidRDefault="00E441FE" w:rsidP="00E441FE">
            <w:pPr>
              <w:pStyle w:val="TableText"/>
            </w:pPr>
          </w:p>
        </w:tc>
        <w:tc>
          <w:tcPr>
            <w:tcW w:w="262" w:type="dxa"/>
          </w:tcPr>
          <w:p w:rsidR="00E441FE" w:rsidRPr="002B2D16" w:rsidRDefault="00E441FE" w:rsidP="00E441FE">
            <w:pPr>
              <w:pStyle w:val="TableText"/>
            </w:pPr>
          </w:p>
        </w:tc>
        <w:tc>
          <w:tcPr>
            <w:tcW w:w="2234" w:type="dxa"/>
            <w:tcBorders>
              <w:top w:val="double" w:sz="4" w:space="0" w:color="auto"/>
            </w:tcBorders>
          </w:tcPr>
          <w:p w:rsidR="00E441FE" w:rsidRPr="002B2D16" w:rsidRDefault="00E441FE" w:rsidP="00E441FE">
            <w:pPr>
              <w:pStyle w:val="TableText"/>
            </w:pPr>
          </w:p>
        </w:tc>
      </w:tr>
      <w:tr w:rsidR="00E441FE" w:rsidRPr="002B2D16" w:rsidTr="00E441FE">
        <w:tc>
          <w:tcPr>
            <w:tcW w:w="4922" w:type="dxa"/>
          </w:tcPr>
          <w:p w:rsidR="00E441FE" w:rsidRPr="002B2D16" w:rsidRDefault="00E441FE" w:rsidP="00E441FE">
            <w:pPr>
              <w:pStyle w:val="TableText"/>
              <w:rPr>
                <w:b/>
              </w:rPr>
            </w:pPr>
            <w:r w:rsidRPr="002B2D16">
              <w:rPr>
                <w:b/>
              </w:rPr>
              <w:t>LIABILITIES &amp; EQUITY</w:t>
            </w:r>
          </w:p>
        </w:tc>
        <w:tc>
          <w:tcPr>
            <w:tcW w:w="2233" w:type="dxa"/>
          </w:tcPr>
          <w:p w:rsidR="00E441FE" w:rsidRPr="002B2D16" w:rsidRDefault="00E441FE" w:rsidP="00E441FE">
            <w:pPr>
              <w:pStyle w:val="TableText"/>
            </w:pPr>
          </w:p>
        </w:tc>
        <w:tc>
          <w:tcPr>
            <w:tcW w:w="262" w:type="dxa"/>
          </w:tcPr>
          <w:p w:rsidR="00E441FE" w:rsidRPr="002B2D16" w:rsidRDefault="00E441FE" w:rsidP="00E441FE">
            <w:pPr>
              <w:pStyle w:val="TableText"/>
            </w:pPr>
          </w:p>
        </w:tc>
        <w:tc>
          <w:tcPr>
            <w:tcW w:w="2234" w:type="dxa"/>
          </w:tcPr>
          <w:p w:rsidR="00E441FE" w:rsidRPr="002B2D16" w:rsidRDefault="00E441FE" w:rsidP="00E441FE">
            <w:pPr>
              <w:pStyle w:val="TableText"/>
            </w:pPr>
          </w:p>
        </w:tc>
      </w:tr>
      <w:tr w:rsidR="00E441FE" w:rsidRPr="002B2D16" w:rsidTr="00E441FE">
        <w:tc>
          <w:tcPr>
            <w:tcW w:w="4922" w:type="dxa"/>
          </w:tcPr>
          <w:p w:rsidR="00E441FE" w:rsidRPr="002B2D16" w:rsidRDefault="00E441FE" w:rsidP="00E441FE">
            <w:pPr>
              <w:pStyle w:val="TableText"/>
              <w:ind w:left="360"/>
            </w:pPr>
            <w:r w:rsidRPr="002B2D16">
              <w:t>Liabilities</w:t>
            </w:r>
          </w:p>
        </w:tc>
        <w:tc>
          <w:tcPr>
            <w:tcW w:w="2233" w:type="dxa"/>
          </w:tcPr>
          <w:p w:rsidR="00E441FE" w:rsidRPr="002B2D16" w:rsidRDefault="0026202D" w:rsidP="00E441FE">
            <w:pPr>
              <w:pStyle w:val="TableText"/>
              <w:tabs>
                <w:tab w:val="right" w:pos="2008"/>
              </w:tabs>
            </w:pPr>
            <w:r>
              <w:t>$</w:t>
            </w:r>
          </w:p>
        </w:tc>
        <w:tc>
          <w:tcPr>
            <w:tcW w:w="262" w:type="dxa"/>
          </w:tcPr>
          <w:p w:rsidR="00E441FE" w:rsidRPr="002B2D16" w:rsidRDefault="00E441FE" w:rsidP="00E441FE">
            <w:pPr>
              <w:pStyle w:val="TableText"/>
            </w:pPr>
          </w:p>
        </w:tc>
        <w:tc>
          <w:tcPr>
            <w:tcW w:w="2234" w:type="dxa"/>
          </w:tcPr>
          <w:p w:rsidR="00E441FE" w:rsidRPr="002B2D16" w:rsidRDefault="00E441FE" w:rsidP="00E441FE">
            <w:pPr>
              <w:pStyle w:val="TableText"/>
              <w:tabs>
                <w:tab w:val="right" w:pos="2017"/>
              </w:tabs>
            </w:pPr>
          </w:p>
        </w:tc>
      </w:tr>
      <w:tr w:rsidR="00E441FE" w:rsidRPr="002B2D16" w:rsidTr="00E441FE">
        <w:tc>
          <w:tcPr>
            <w:tcW w:w="4922" w:type="dxa"/>
          </w:tcPr>
          <w:p w:rsidR="00E441FE" w:rsidRPr="002B2D16" w:rsidRDefault="00E441FE" w:rsidP="00E441FE">
            <w:pPr>
              <w:pStyle w:val="TableText"/>
              <w:ind w:left="720"/>
            </w:pPr>
            <w:r w:rsidRPr="002B2D16">
              <w:t>Current Liabilities</w:t>
            </w:r>
          </w:p>
        </w:tc>
        <w:tc>
          <w:tcPr>
            <w:tcW w:w="2233" w:type="dxa"/>
          </w:tcPr>
          <w:p w:rsidR="00E441FE" w:rsidRPr="002B2D16" w:rsidRDefault="00E441FE" w:rsidP="006303BD">
            <w:pPr>
              <w:pStyle w:val="TableText"/>
              <w:jc w:val="right"/>
            </w:pPr>
            <w:r w:rsidRPr="002B2D16">
              <w:tab/>
            </w:r>
            <w:r w:rsidR="006303BD" w:rsidRPr="002B2D16">
              <w:t>21,499.43</w:t>
            </w:r>
          </w:p>
        </w:tc>
        <w:tc>
          <w:tcPr>
            <w:tcW w:w="262" w:type="dxa"/>
          </w:tcPr>
          <w:p w:rsidR="00E441FE" w:rsidRPr="002B2D16" w:rsidRDefault="00E441FE" w:rsidP="00676C7F">
            <w:pPr>
              <w:pStyle w:val="TableText"/>
              <w:jc w:val="right"/>
            </w:pPr>
          </w:p>
        </w:tc>
        <w:tc>
          <w:tcPr>
            <w:tcW w:w="2234" w:type="dxa"/>
          </w:tcPr>
          <w:p w:rsidR="00E441FE" w:rsidRPr="002B2D16" w:rsidRDefault="00E441FE" w:rsidP="006303BD">
            <w:pPr>
              <w:pStyle w:val="TableText"/>
              <w:jc w:val="right"/>
            </w:pPr>
            <w:r w:rsidRPr="002B2D16">
              <w:tab/>
            </w:r>
            <w:r w:rsidR="006303BD" w:rsidRPr="002B2D16">
              <w:t>10,891.87</w:t>
            </w:r>
          </w:p>
        </w:tc>
      </w:tr>
      <w:tr w:rsidR="00E441FE" w:rsidRPr="002B2D16" w:rsidTr="00E441FE">
        <w:tc>
          <w:tcPr>
            <w:tcW w:w="4922" w:type="dxa"/>
          </w:tcPr>
          <w:p w:rsidR="00E441FE" w:rsidRPr="002B2D16" w:rsidRDefault="00E441FE" w:rsidP="00E441FE">
            <w:pPr>
              <w:pStyle w:val="TableText"/>
              <w:ind w:left="720"/>
            </w:pPr>
          </w:p>
        </w:tc>
        <w:tc>
          <w:tcPr>
            <w:tcW w:w="2233" w:type="dxa"/>
            <w:tcBorders>
              <w:bottom w:val="single" w:sz="4" w:space="0" w:color="auto"/>
            </w:tcBorders>
          </w:tcPr>
          <w:p w:rsidR="00E441FE" w:rsidRPr="002B2D16" w:rsidRDefault="00E441FE" w:rsidP="00E441FE">
            <w:pPr>
              <w:pStyle w:val="TableText"/>
            </w:pPr>
          </w:p>
        </w:tc>
        <w:tc>
          <w:tcPr>
            <w:tcW w:w="262" w:type="dxa"/>
            <w:tcBorders>
              <w:bottom w:val="single" w:sz="4" w:space="0" w:color="auto"/>
            </w:tcBorders>
          </w:tcPr>
          <w:p w:rsidR="00E441FE" w:rsidRPr="002B2D16" w:rsidRDefault="00E441FE" w:rsidP="00E441FE">
            <w:pPr>
              <w:pStyle w:val="TableText"/>
            </w:pPr>
          </w:p>
        </w:tc>
        <w:tc>
          <w:tcPr>
            <w:tcW w:w="2234" w:type="dxa"/>
            <w:tcBorders>
              <w:bottom w:val="single" w:sz="4" w:space="0" w:color="auto"/>
            </w:tcBorders>
          </w:tcPr>
          <w:p w:rsidR="00E441FE" w:rsidRPr="002B2D16" w:rsidRDefault="00E441FE" w:rsidP="00E441FE">
            <w:pPr>
              <w:pStyle w:val="TableText"/>
            </w:pPr>
          </w:p>
        </w:tc>
      </w:tr>
      <w:tr w:rsidR="00E441FE" w:rsidRPr="002B2D16" w:rsidTr="00E441FE">
        <w:tc>
          <w:tcPr>
            <w:tcW w:w="4922" w:type="dxa"/>
          </w:tcPr>
          <w:p w:rsidR="00E441FE" w:rsidRPr="002B2D16" w:rsidRDefault="00E441FE" w:rsidP="00E441FE">
            <w:pPr>
              <w:pStyle w:val="TableText"/>
              <w:ind w:left="360"/>
            </w:pPr>
            <w:r w:rsidRPr="002B2D16">
              <w:t>Total Liabilities</w:t>
            </w:r>
          </w:p>
        </w:tc>
        <w:tc>
          <w:tcPr>
            <w:tcW w:w="2233" w:type="dxa"/>
            <w:tcBorders>
              <w:top w:val="single" w:sz="4" w:space="0" w:color="auto"/>
            </w:tcBorders>
          </w:tcPr>
          <w:p w:rsidR="00E441FE" w:rsidRPr="002B2D16" w:rsidRDefault="0026202D" w:rsidP="006303BD">
            <w:pPr>
              <w:pStyle w:val="TableText"/>
              <w:tabs>
                <w:tab w:val="right" w:pos="2008"/>
              </w:tabs>
            </w:pPr>
            <w:r>
              <w:t>$</w:t>
            </w:r>
            <w:r w:rsidR="00E441FE" w:rsidRPr="002B2D16">
              <w:tab/>
            </w:r>
            <w:r w:rsidR="006303BD" w:rsidRPr="002B2D16">
              <w:t>21.499.43</w:t>
            </w:r>
          </w:p>
        </w:tc>
        <w:tc>
          <w:tcPr>
            <w:tcW w:w="262" w:type="dxa"/>
            <w:tcBorders>
              <w:top w:val="single" w:sz="4" w:space="0" w:color="auto"/>
            </w:tcBorders>
          </w:tcPr>
          <w:p w:rsidR="00E441FE" w:rsidRPr="002B2D16" w:rsidRDefault="00E441FE" w:rsidP="00E441FE">
            <w:pPr>
              <w:pStyle w:val="TableText"/>
            </w:pPr>
          </w:p>
        </w:tc>
        <w:tc>
          <w:tcPr>
            <w:tcW w:w="2234" w:type="dxa"/>
            <w:tcBorders>
              <w:top w:val="single" w:sz="4" w:space="0" w:color="auto"/>
            </w:tcBorders>
          </w:tcPr>
          <w:p w:rsidR="00E441FE" w:rsidRPr="002B2D16" w:rsidRDefault="00E441FE" w:rsidP="006303BD">
            <w:pPr>
              <w:pStyle w:val="TableText"/>
              <w:tabs>
                <w:tab w:val="right" w:pos="2017"/>
              </w:tabs>
            </w:pPr>
            <w:r w:rsidRPr="002B2D16">
              <w:tab/>
            </w:r>
            <w:r w:rsidR="006303BD" w:rsidRPr="002B2D16">
              <w:t>10,891.87</w:t>
            </w:r>
          </w:p>
        </w:tc>
      </w:tr>
      <w:tr w:rsidR="00E441FE" w:rsidRPr="002B2D16" w:rsidTr="00E441FE">
        <w:tc>
          <w:tcPr>
            <w:tcW w:w="4922" w:type="dxa"/>
          </w:tcPr>
          <w:p w:rsidR="00E441FE" w:rsidRPr="002B2D16" w:rsidRDefault="00E441FE" w:rsidP="00E441FE">
            <w:pPr>
              <w:pStyle w:val="TableText"/>
              <w:ind w:left="720"/>
            </w:pPr>
          </w:p>
        </w:tc>
        <w:tc>
          <w:tcPr>
            <w:tcW w:w="2233" w:type="dxa"/>
          </w:tcPr>
          <w:p w:rsidR="00E441FE" w:rsidRPr="002B2D16" w:rsidRDefault="00E441FE" w:rsidP="00E441FE">
            <w:pPr>
              <w:pStyle w:val="TableText"/>
            </w:pPr>
          </w:p>
        </w:tc>
        <w:tc>
          <w:tcPr>
            <w:tcW w:w="262" w:type="dxa"/>
          </w:tcPr>
          <w:p w:rsidR="00E441FE" w:rsidRPr="002B2D16" w:rsidRDefault="00E441FE" w:rsidP="00E441FE">
            <w:pPr>
              <w:pStyle w:val="TableText"/>
            </w:pPr>
          </w:p>
        </w:tc>
        <w:tc>
          <w:tcPr>
            <w:tcW w:w="2234" w:type="dxa"/>
          </w:tcPr>
          <w:p w:rsidR="00E441FE" w:rsidRPr="002B2D16" w:rsidRDefault="00E441FE" w:rsidP="00E441FE">
            <w:pPr>
              <w:pStyle w:val="TableText"/>
            </w:pPr>
          </w:p>
        </w:tc>
      </w:tr>
      <w:tr w:rsidR="00E441FE" w:rsidRPr="002B2D16" w:rsidTr="00E441FE">
        <w:tc>
          <w:tcPr>
            <w:tcW w:w="4922" w:type="dxa"/>
          </w:tcPr>
          <w:p w:rsidR="00E441FE" w:rsidRPr="002B2D16" w:rsidRDefault="00E441FE" w:rsidP="00E441FE">
            <w:pPr>
              <w:pStyle w:val="TableText"/>
              <w:ind w:left="360"/>
            </w:pPr>
            <w:r w:rsidRPr="002B2D16">
              <w:t>Equity</w:t>
            </w:r>
          </w:p>
        </w:tc>
        <w:tc>
          <w:tcPr>
            <w:tcW w:w="2233" w:type="dxa"/>
          </w:tcPr>
          <w:p w:rsidR="00E441FE" w:rsidRPr="002B2D16" w:rsidRDefault="00E441FE" w:rsidP="00E441FE">
            <w:pPr>
              <w:pStyle w:val="TableText"/>
            </w:pPr>
          </w:p>
        </w:tc>
        <w:tc>
          <w:tcPr>
            <w:tcW w:w="262" w:type="dxa"/>
          </w:tcPr>
          <w:p w:rsidR="00E441FE" w:rsidRPr="002B2D16" w:rsidRDefault="00E441FE" w:rsidP="00E441FE">
            <w:pPr>
              <w:pStyle w:val="TableText"/>
            </w:pPr>
          </w:p>
        </w:tc>
        <w:tc>
          <w:tcPr>
            <w:tcW w:w="2234" w:type="dxa"/>
          </w:tcPr>
          <w:p w:rsidR="00E441FE" w:rsidRPr="002B2D16" w:rsidRDefault="00E441FE" w:rsidP="00E441FE">
            <w:pPr>
              <w:pStyle w:val="TableText"/>
            </w:pPr>
          </w:p>
        </w:tc>
      </w:tr>
      <w:tr w:rsidR="00E441FE" w:rsidRPr="002B2D16" w:rsidTr="00E441FE">
        <w:tc>
          <w:tcPr>
            <w:tcW w:w="4922" w:type="dxa"/>
          </w:tcPr>
          <w:p w:rsidR="00E441FE" w:rsidRPr="002B2D16" w:rsidRDefault="00E441FE" w:rsidP="00E441FE">
            <w:pPr>
              <w:pStyle w:val="TableText"/>
              <w:ind w:left="720"/>
            </w:pPr>
            <w:r w:rsidRPr="002B2D16">
              <w:t>Unrestricted Net Assets</w:t>
            </w:r>
          </w:p>
        </w:tc>
        <w:tc>
          <w:tcPr>
            <w:tcW w:w="2233" w:type="dxa"/>
          </w:tcPr>
          <w:p w:rsidR="00E441FE" w:rsidRPr="002B2D16" w:rsidRDefault="00E441FE" w:rsidP="006303BD">
            <w:pPr>
              <w:pStyle w:val="TableText"/>
              <w:tabs>
                <w:tab w:val="right" w:pos="2008"/>
              </w:tabs>
            </w:pPr>
            <w:r w:rsidRPr="002B2D16">
              <w:tab/>
            </w:r>
            <w:r w:rsidR="006303BD" w:rsidRPr="002B2D16">
              <w:t>1,095,648.60</w:t>
            </w:r>
          </w:p>
        </w:tc>
        <w:tc>
          <w:tcPr>
            <w:tcW w:w="262" w:type="dxa"/>
          </w:tcPr>
          <w:p w:rsidR="00E441FE" w:rsidRPr="002B2D16" w:rsidRDefault="00E441FE" w:rsidP="00E441FE">
            <w:pPr>
              <w:pStyle w:val="TableText"/>
              <w:tabs>
                <w:tab w:val="right" w:pos="2008"/>
              </w:tabs>
            </w:pPr>
          </w:p>
        </w:tc>
        <w:tc>
          <w:tcPr>
            <w:tcW w:w="2234" w:type="dxa"/>
          </w:tcPr>
          <w:p w:rsidR="00E441FE" w:rsidRPr="002B2D16" w:rsidRDefault="00E441FE" w:rsidP="006303BD">
            <w:pPr>
              <w:pStyle w:val="TableText"/>
              <w:tabs>
                <w:tab w:val="right" w:pos="2018"/>
              </w:tabs>
            </w:pPr>
            <w:r w:rsidRPr="002B2D16">
              <w:tab/>
            </w:r>
            <w:r w:rsidR="006303BD" w:rsidRPr="002B2D16">
              <w:t>931,421.51</w:t>
            </w:r>
          </w:p>
        </w:tc>
      </w:tr>
      <w:tr w:rsidR="00E441FE" w:rsidRPr="002B2D16" w:rsidTr="00E441FE">
        <w:tc>
          <w:tcPr>
            <w:tcW w:w="4922" w:type="dxa"/>
          </w:tcPr>
          <w:p w:rsidR="00E441FE" w:rsidRPr="002B2D16" w:rsidRDefault="00E441FE" w:rsidP="00E441FE">
            <w:pPr>
              <w:pStyle w:val="TableText"/>
              <w:ind w:left="720"/>
            </w:pPr>
            <w:r w:rsidRPr="002B2D16">
              <w:t>Net Income</w:t>
            </w:r>
          </w:p>
        </w:tc>
        <w:tc>
          <w:tcPr>
            <w:tcW w:w="2233" w:type="dxa"/>
            <w:tcBorders>
              <w:bottom w:val="single" w:sz="4" w:space="0" w:color="auto"/>
            </w:tcBorders>
          </w:tcPr>
          <w:p w:rsidR="00E441FE" w:rsidRPr="002B2D16" w:rsidRDefault="00E441FE" w:rsidP="006303BD">
            <w:pPr>
              <w:pStyle w:val="TableText"/>
              <w:tabs>
                <w:tab w:val="right" w:pos="2008"/>
              </w:tabs>
            </w:pPr>
            <w:r w:rsidRPr="002B2D16">
              <w:tab/>
            </w:r>
            <w:r w:rsidR="006303BD" w:rsidRPr="002B2D16">
              <w:t>243,264.58</w:t>
            </w:r>
          </w:p>
        </w:tc>
        <w:tc>
          <w:tcPr>
            <w:tcW w:w="262" w:type="dxa"/>
            <w:tcBorders>
              <w:bottom w:val="single" w:sz="4" w:space="0" w:color="auto"/>
            </w:tcBorders>
          </w:tcPr>
          <w:p w:rsidR="00E441FE" w:rsidRPr="002B2D16" w:rsidRDefault="00E441FE" w:rsidP="00E441FE">
            <w:pPr>
              <w:pStyle w:val="TableText"/>
              <w:tabs>
                <w:tab w:val="right" w:pos="2008"/>
              </w:tabs>
            </w:pPr>
          </w:p>
        </w:tc>
        <w:tc>
          <w:tcPr>
            <w:tcW w:w="2234" w:type="dxa"/>
            <w:tcBorders>
              <w:bottom w:val="single" w:sz="4" w:space="0" w:color="auto"/>
            </w:tcBorders>
          </w:tcPr>
          <w:p w:rsidR="00E441FE" w:rsidRPr="002B2D16" w:rsidRDefault="00E441FE" w:rsidP="006303BD">
            <w:pPr>
              <w:pStyle w:val="TableText"/>
              <w:tabs>
                <w:tab w:val="right" w:pos="2018"/>
              </w:tabs>
            </w:pPr>
            <w:r w:rsidRPr="002B2D16">
              <w:tab/>
            </w:r>
            <w:r w:rsidR="006303BD" w:rsidRPr="002B2D16">
              <w:t>274,832.63</w:t>
            </w:r>
          </w:p>
        </w:tc>
      </w:tr>
      <w:tr w:rsidR="00E441FE" w:rsidRPr="002B2D16" w:rsidTr="00E441FE">
        <w:tc>
          <w:tcPr>
            <w:tcW w:w="4922" w:type="dxa"/>
          </w:tcPr>
          <w:p w:rsidR="00E441FE" w:rsidRPr="002B2D16" w:rsidRDefault="00E441FE" w:rsidP="00E441FE">
            <w:pPr>
              <w:pStyle w:val="TableText"/>
              <w:ind w:left="360"/>
            </w:pPr>
            <w:r w:rsidRPr="002B2D16">
              <w:t>Total Equity</w:t>
            </w:r>
          </w:p>
        </w:tc>
        <w:tc>
          <w:tcPr>
            <w:tcW w:w="2233" w:type="dxa"/>
            <w:tcBorders>
              <w:top w:val="single" w:sz="4" w:space="0" w:color="auto"/>
              <w:bottom w:val="single" w:sz="4" w:space="0" w:color="auto"/>
            </w:tcBorders>
          </w:tcPr>
          <w:p w:rsidR="00E441FE" w:rsidRPr="002B2D16" w:rsidRDefault="0026202D" w:rsidP="006303BD">
            <w:pPr>
              <w:pStyle w:val="TableText"/>
              <w:tabs>
                <w:tab w:val="right" w:pos="2008"/>
              </w:tabs>
            </w:pPr>
            <w:r>
              <w:t>$</w:t>
            </w:r>
            <w:r w:rsidR="00E441FE" w:rsidRPr="002B2D16">
              <w:tab/>
            </w:r>
            <w:r w:rsidR="006303BD" w:rsidRPr="002B2D16">
              <w:t>1,338,913.18</w:t>
            </w:r>
          </w:p>
        </w:tc>
        <w:tc>
          <w:tcPr>
            <w:tcW w:w="262" w:type="dxa"/>
            <w:tcBorders>
              <w:top w:val="single" w:sz="4" w:space="0" w:color="auto"/>
              <w:bottom w:val="single" w:sz="4" w:space="0" w:color="auto"/>
            </w:tcBorders>
          </w:tcPr>
          <w:p w:rsidR="00E441FE" w:rsidRPr="002B2D16" w:rsidRDefault="00E441FE" w:rsidP="00E441FE">
            <w:pPr>
              <w:pStyle w:val="TableText"/>
            </w:pPr>
          </w:p>
        </w:tc>
        <w:tc>
          <w:tcPr>
            <w:tcW w:w="2234" w:type="dxa"/>
            <w:tcBorders>
              <w:top w:val="single" w:sz="4" w:space="0" w:color="auto"/>
              <w:bottom w:val="single" w:sz="4" w:space="0" w:color="auto"/>
            </w:tcBorders>
          </w:tcPr>
          <w:p w:rsidR="00E441FE" w:rsidRPr="002B2D16" w:rsidRDefault="006303BD" w:rsidP="00E441FE">
            <w:pPr>
              <w:pStyle w:val="TableText"/>
              <w:tabs>
                <w:tab w:val="right" w:pos="2018"/>
              </w:tabs>
            </w:pPr>
            <w:r w:rsidRPr="002B2D16">
              <w:tab/>
              <w:t>1,206,254.14</w:t>
            </w:r>
          </w:p>
        </w:tc>
      </w:tr>
      <w:tr w:rsidR="00E441FE" w:rsidRPr="002B2D16" w:rsidTr="00E441FE">
        <w:tc>
          <w:tcPr>
            <w:tcW w:w="4922" w:type="dxa"/>
          </w:tcPr>
          <w:p w:rsidR="00E441FE" w:rsidRPr="002B2D16" w:rsidRDefault="00E441FE" w:rsidP="00E441FE">
            <w:pPr>
              <w:pStyle w:val="TableText"/>
              <w:ind w:left="720"/>
            </w:pPr>
          </w:p>
        </w:tc>
        <w:tc>
          <w:tcPr>
            <w:tcW w:w="2233" w:type="dxa"/>
            <w:tcBorders>
              <w:top w:val="single" w:sz="4" w:space="0" w:color="auto"/>
            </w:tcBorders>
          </w:tcPr>
          <w:p w:rsidR="00E441FE" w:rsidRPr="002B2D16" w:rsidRDefault="00E441FE" w:rsidP="00E441FE">
            <w:pPr>
              <w:pStyle w:val="TableText"/>
            </w:pPr>
          </w:p>
        </w:tc>
        <w:tc>
          <w:tcPr>
            <w:tcW w:w="262" w:type="dxa"/>
            <w:tcBorders>
              <w:top w:val="single" w:sz="4" w:space="0" w:color="auto"/>
            </w:tcBorders>
          </w:tcPr>
          <w:p w:rsidR="00E441FE" w:rsidRPr="002B2D16" w:rsidRDefault="00E441FE" w:rsidP="00E441FE">
            <w:pPr>
              <w:pStyle w:val="TableText"/>
            </w:pPr>
          </w:p>
        </w:tc>
        <w:tc>
          <w:tcPr>
            <w:tcW w:w="2234" w:type="dxa"/>
            <w:tcBorders>
              <w:top w:val="single" w:sz="4" w:space="0" w:color="auto"/>
            </w:tcBorders>
          </w:tcPr>
          <w:p w:rsidR="00E441FE" w:rsidRPr="002B2D16" w:rsidRDefault="00E441FE" w:rsidP="00E441FE">
            <w:pPr>
              <w:pStyle w:val="TableText"/>
              <w:tabs>
                <w:tab w:val="right" w:pos="2018"/>
              </w:tabs>
            </w:pPr>
          </w:p>
        </w:tc>
      </w:tr>
      <w:tr w:rsidR="00E441FE" w:rsidRPr="00F3504E" w:rsidTr="00E441FE">
        <w:tc>
          <w:tcPr>
            <w:tcW w:w="4922" w:type="dxa"/>
          </w:tcPr>
          <w:p w:rsidR="00E441FE" w:rsidRPr="002B2D16" w:rsidRDefault="00E441FE" w:rsidP="00E441FE">
            <w:pPr>
              <w:pStyle w:val="TableText"/>
              <w:rPr>
                <w:b/>
              </w:rPr>
            </w:pPr>
            <w:r w:rsidRPr="002B2D16">
              <w:rPr>
                <w:b/>
              </w:rPr>
              <w:t>TOTAL LIABILITIES &amp; EQUITY</w:t>
            </w:r>
          </w:p>
        </w:tc>
        <w:tc>
          <w:tcPr>
            <w:tcW w:w="2233" w:type="dxa"/>
            <w:tcBorders>
              <w:bottom w:val="double" w:sz="4" w:space="0" w:color="auto"/>
            </w:tcBorders>
          </w:tcPr>
          <w:p w:rsidR="00E441FE" w:rsidRPr="002B2D16" w:rsidRDefault="00E441FE" w:rsidP="00E441FE">
            <w:pPr>
              <w:pStyle w:val="TableText"/>
              <w:tabs>
                <w:tab w:val="right" w:pos="2008"/>
              </w:tabs>
              <w:rPr>
                <w:b/>
              </w:rPr>
            </w:pPr>
            <w:r w:rsidRPr="002B2D16">
              <w:rPr>
                <w:b/>
              </w:rPr>
              <w:t>$</w:t>
            </w:r>
            <w:r w:rsidR="006303BD" w:rsidRPr="002B2D16">
              <w:rPr>
                <w:b/>
              </w:rPr>
              <w:tab/>
              <w:t>1,360,412.61</w:t>
            </w:r>
          </w:p>
        </w:tc>
        <w:tc>
          <w:tcPr>
            <w:tcW w:w="262" w:type="dxa"/>
            <w:tcBorders>
              <w:bottom w:val="double" w:sz="4" w:space="0" w:color="auto"/>
            </w:tcBorders>
          </w:tcPr>
          <w:p w:rsidR="00E441FE" w:rsidRPr="002B2D16" w:rsidRDefault="00E441FE" w:rsidP="00E441FE">
            <w:pPr>
              <w:pStyle w:val="TableText"/>
              <w:rPr>
                <w:b/>
              </w:rPr>
            </w:pPr>
          </w:p>
        </w:tc>
        <w:tc>
          <w:tcPr>
            <w:tcW w:w="2234" w:type="dxa"/>
            <w:tcBorders>
              <w:bottom w:val="double" w:sz="4" w:space="0" w:color="auto"/>
            </w:tcBorders>
          </w:tcPr>
          <w:p w:rsidR="00E441FE" w:rsidRPr="002B2D16" w:rsidRDefault="00E441FE" w:rsidP="00E441FE">
            <w:pPr>
              <w:pStyle w:val="TableText"/>
              <w:tabs>
                <w:tab w:val="right" w:pos="2018"/>
              </w:tabs>
              <w:rPr>
                <w:b/>
              </w:rPr>
            </w:pPr>
            <w:r w:rsidRPr="002B2D16">
              <w:rPr>
                <w:b/>
              </w:rPr>
              <w:t>$</w:t>
            </w:r>
            <w:r w:rsidR="006303BD" w:rsidRPr="002B2D16">
              <w:rPr>
                <w:b/>
              </w:rPr>
              <w:tab/>
              <w:t>1,217,146.01</w:t>
            </w:r>
          </w:p>
        </w:tc>
      </w:tr>
    </w:tbl>
    <w:tbl>
      <w:tblPr>
        <w:tblW w:w="0" w:type="auto"/>
        <w:tblInd w:w="108" w:type="dxa"/>
        <w:tblBorders>
          <w:top w:val="single" w:sz="8" w:space="0" w:color="auto"/>
          <w:left w:val="single" w:sz="8" w:space="0" w:color="auto"/>
          <w:bottom w:val="single" w:sz="4" w:space="0" w:color="auto"/>
          <w:right w:val="single" w:sz="8" w:space="0" w:color="auto"/>
        </w:tblBorders>
        <w:tblLook w:val="04A0" w:firstRow="1" w:lastRow="0" w:firstColumn="1" w:lastColumn="0" w:noHBand="0" w:noVBand="1"/>
      </w:tblPr>
      <w:tblGrid>
        <w:gridCol w:w="4687"/>
      </w:tblGrid>
      <w:tr w:rsidR="00A51EE5" w:rsidRPr="00F3504E" w:rsidTr="00A51EE5">
        <w:tc>
          <w:tcPr>
            <w:tcW w:w="4687" w:type="dxa"/>
            <w:tcBorders>
              <w:top w:val="nil"/>
              <w:left w:val="nil"/>
              <w:bottom w:val="single" w:sz="8" w:space="0" w:color="auto"/>
              <w:right w:val="nil"/>
            </w:tcBorders>
          </w:tcPr>
          <w:p w:rsidR="00CC2668" w:rsidRDefault="00CC2668" w:rsidP="00A51EE5">
            <w:pPr>
              <w:pStyle w:val="TableText"/>
            </w:pPr>
          </w:p>
          <w:p w:rsidR="00CC2668" w:rsidRDefault="00CC2668" w:rsidP="00A51EE5">
            <w:pPr>
              <w:pStyle w:val="TableText"/>
            </w:pPr>
          </w:p>
          <w:p w:rsidR="00CC2668" w:rsidRDefault="00CC2668" w:rsidP="00A51EE5">
            <w:pPr>
              <w:pStyle w:val="TableText"/>
            </w:pPr>
          </w:p>
          <w:p w:rsidR="00CC2668" w:rsidRDefault="00CC2668" w:rsidP="00A51EE5">
            <w:pPr>
              <w:pStyle w:val="TableText"/>
            </w:pPr>
          </w:p>
          <w:p w:rsidR="00A51EE5" w:rsidRPr="00F3504E" w:rsidRDefault="00771DDB" w:rsidP="00A51EE5">
            <w:pPr>
              <w:pStyle w:val="TableText"/>
            </w:pPr>
            <w:r>
              <w:t xml:space="preserve"> </w:t>
            </w:r>
            <w:bookmarkEnd w:id="40"/>
            <w:bookmarkEnd w:id="41"/>
            <w:bookmarkEnd w:id="42"/>
            <w:bookmarkEnd w:id="43"/>
            <w:bookmarkEnd w:id="44"/>
            <w:bookmarkEnd w:id="45"/>
            <w:bookmarkEnd w:id="46"/>
            <w:bookmarkEnd w:id="47"/>
          </w:p>
        </w:tc>
      </w:tr>
    </w:tbl>
    <w:p w:rsidR="00DE4A53" w:rsidRPr="00F3504E" w:rsidRDefault="00DE4A53" w:rsidP="00DE4A53">
      <w:pPr>
        <w:pStyle w:val="CommitteeMemberNames"/>
        <w:spacing w:before="120"/>
      </w:pPr>
      <w:r>
        <w:t xml:space="preserve">Mr. Kurt Floren, Los Angeles County, California </w:t>
      </w:r>
      <w:r w:rsidRPr="00F3504E">
        <w:t xml:space="preserve">| </w:t>
      </w:r>
      <w:r>
        <w:t>Chairman</w:t>
      </w:r>
    </w:p>
    <w:p w:rsidR="00DE4A53" w:rsidRPr="00F3504E" w:rsidRDefault="00DE4A53" w:rsidP="00DE4A53">
      <w:pPr>
        <w:pStyle w:val="CommitteeMemberNames"/>
      </w:pPr>
      <w:r>
        <w:t>Mr. Stephen Benjamin, North Carolina</w:t>
      </w:r>
      <w:r w:rsidRPr="00F3504E">
        <w:t xml:space="preserve"> | </w:t>
      </w:r>
      <w:r>
        <w:t>Chairman-Elect</w:t>
      </w:r>
    </w:p>
    <w:p w:rsidR="00DE4A53" w:rsidRPr="00F3504E" w:rsidRDefault="00DE4A53" w:rsidP="00DE4A53">
      <w:pPr>
        <w:pStyle w:val="CommitteeMemberNames"/>
      </w:pPr>
      <w:r>
        <w:t xml:space="preserve">Mr. Tim Tyson, Kansas </w:t>
      </w:r>
      <w:r w:rsidRPr="00F3504E">
        <w:t xml:space="preserve">| </w:t>
      </w:r>
      <w:r>
        <w:t>NTEP Committee Chair</w:t>
      </w:r>
    </w:p>
    <w:p w:rsidR="00DE4A53" w:rsidRPr="00F3504E" w:rsidRDefault="00DE4A53" w:rsidP="00DE4A53">
      <w:pPr>
        <w:pStyle w:val="CommitteeMemberNames"/>
      </w:pPr>
      <w:r>
        <w:t xml:space="preserve">Mr. Mark Coyne, City of Brockton, Massachusetts </w:t>
      </w:r>
      <w:r w:rsidRPr="00F3504E">
        <w:t xml:space="preserve">| </w:t>
      </w:r>
      <w:r>
        <w:t>Treasurer</w:t>
      </w:r>
      <w:r w:rsidRPr="00F3504E">
        <w:t xml:space="preserve"> </w:t>
      </w:r>
    </w:p>
    <w:p w:rsidR="00DE4A53" w:rsidRPr="00F3504E" w:rsidRDefault="00DE4A53" w:rsidP="00DE4A53">
      <w:pPr>
        <w:pStyle w:val="CommitteeMemberNames"/>
      </w:pPr>
      <w:r>
        <w:t xml:space="preserve">Mr. Brett Saum, San Luis Obispo County, California </w:t>
      </w:r>
      <w:r w:rsidRPr="00F3504E">
        <w:t xml:space="preserve">| </w:t>
      </w:r>
      <w:r>
        <w:t>Active Membership - Western</w:t>
      </w:r>
    </w:p>
    <w:p w:rsidR="00DE4A53" w:rsidRPr="00F3504E" w:rsidRDefault="00DE4A53" w:rsidP="00DE4A53">
      <w:pPr>
        <w:pStyle w:val="CommitteeMemberNames"/>
      </w:pPr>
      <w:r>
        <w:t xml:space="preserve">Mr. Ronald Hayes, Missouri </w:t>
      </w:r>
      <w:r w:rsidRPr="00F3504E">
        <w:t xml:space="preserve">| </w:t>
      </w:r>
      <w:r>
        <w:t>Active Membership - Central</w:t>
      </w:r>
    </w:p>
    <w:p w:rsidR="00DE4A53" w:rsidRPr="00F3504E" w:rsidRDefault="00DE4A53" w:rsidP="00DE4A53">
      <w:pPr>
        <w:pStyle w:val="CommitteeMemberNames"/>
      </w:pPr>
      <w:r>
        <w:t xml:space="preserve">Mr. Terence McBride, Memphis, Tennessee </w:t>
      </w:r>
      <w:r w:rsidRPr="00F3504E">
        <w:t xml:space="preserve">| </w:t>
      </w:r>
      <w:r>
        <w:t>Active Membership - Southern</w:t>
      </w:r>
    </w:p>
    <w:p w:rsidR="00DE4A53" w:rsidRPr="00F3504E" w:rsidRDefault="00DE4A53" w:rsidP="00DE4A53">
      <w:pPr>
        <w:pStyle w:val="CommitteeMemberNames"/>
      </w:pPr>
      <w:r>
        <w:t>Mr. James Cassidy, City of Cambridge, Massachusetts</w:t>
      </w:r>
      <w:r w:rsidRPr="00F3504E">
        <w:t xml:space="preserve"> | </w:t>
      </w:r>
      <w:r>
        <w:t>Active Membership - Northeastern</w:t>
      </w:r>
    </w:p>
    <w:p w:rsidR="00DE4A53" w:rsidRPr="00F3504E" w:rsidRDefault="00DE4A53" w:rsidP="00DE4A53">
      <w:pPr>
        <w:pStyle w:val="CommitteeMemberNames"/>
      </w:pPr>
      <w:r>
        <w:t xml:space="preserve">Mr. John Gaccione, Westchester County, New York </w:t>
      </w:r>
      <w:r w:rsidRPr="00F3504E">
        <w:t xml:space="preserve">| </w:t>
      </w:r>
      <w:r>
        <w:t>At-Large</w:t>
      </w:r>
    </w:p>
    <w:p w:rsidR="00DE4A53" w:rsidRPr="00F3504E" w:rsidRDefault="00DE4A53" w:rsidP="00DE4A53">
      <w:pPr>
        <w:pStyle w:val="CommitteeMemberNames"/>
      </w:pPr>
      <w:r>
        <w:t xml:space="preserve">Mr. Stephen Langford, Cardinal Scale Manufacturing, Co. </w:t>
      </w:r>
      <w:r w:rsidRPr="00F3504E">
        <w:t xml:space="preserve">| </w:t>
      </w:r>
      <w:r>
        <w:t>At-Large</w:t>
      </w:r>
    </w:p>
    <w:p w:rsidR="00DE4A53" w:rsidRPr="00F3504E" w:rsidRDefault="00DE4A53" w:rsidP="00DE4A53">
      <w:pPr>
        <w:pStyle w:val="CommitteeMemberNames"/>
      </w:pPr>
      <w:r>
        <w:t xml:space="preserve">Mr. Gordon Johnson, Gilbarco, Inc. </w:t>
      </w:r>
      <w:r w:rsidRPr="00F3504E">
        <w:t xml:space="preserve">| </w:t>
      </w:r>
      <w:r>
        <w:t>Associate Membership</w:t>
      </w:r>
    </w:p>
    <w:p w:rsidR="00DE4A53" w:rsidRPr="00F3504E" w:rsidRDefault="00DE4A53" w:rsidP="00DE4A53">
      <w:pPr>
        <w:pStyle w:val="CommitteeMemberNames"/>
      </w:pPr>
    </w:p>
    <w:p w:rsidR="00DE4A53" w:rsidRPr="00F3504E" w:rsidRDefault="00DE4A53" w:rsidP="00DE4A53">
      <w:pPr>
        <w:pStyle w:val="CommitteeMemberNames"/>
      </w:pPr>
      <w:r w:rsidRPr="00F3504E">
        <w:t xml:space="preserve">Ms. Carol </w:t>
      </w:r>
      <w:r w:rsidRPr="008D4923">
        <w:rPr>
          <w:u w:color="82C42A"/>
        </w:rPr>
        <w:t>Hockert</w:t>
      </w:r>
      <w:r w:rsidRPr="008D4923">
        <w:t>,</w:t>
      </w:r>
      <w:r w:rsidRPr="00F3504E">
        <w:t xml:space="preserve"> NIST, </w:t>
      </w:r>
      <w:r w:rsidR="00913D2D">
        <w:t>OWM</w:t>
      </w:r>
      <w:r w:rsidR="00C9049C">
        <w:t xml:space="preserve"> </w:t>
      </w:r>
      <w:r w:rsidRPr="00F3504E">
        <w:t>| Executive Secretary</w:t>
      </w:r>
    </w:p>
    <w:p w:rsidR="00DE4A53" w:rsidRPr="00F3504E" w:rsidRDefault="00DE4A53" w:rsidP="00DE4A53">
      <w:pPr>
        <w:pStyle w:val="CommitteeMemberNames"/>
      </w:pPr>
      <w:r w:rsidRPr="00F3504E">
        <w:t>Mr. Don Onwiler, NCWM Headquarters | Executive Director</w:t>
      </w:r>
    </w:p>
    <w:p w:rsidR="00DE4A53" w:rsidRPr="00F3504E" w:rsidRDefault="00DE4A53" w:rsidP="00DE4A53">
      <w:pPr>
        <w:pStyle w:val="CommitteeMemberNames"/>
      </w:pPr>
      <w:r w:rsidRPr="00F3504E">
        <w:t>Mr. Gilles Vinet, Measurement Canada | Board of Directors Advisor</w:t>
      </w:r>
    </w:p>
    <w:p w:rsidR="00DE4A53" w:rsidRPr="00F3504E" w:rsidRDefault="00DE4A53" w:rsidP="00DE4A53">
      <w:pPr>
        <w:pStyle w:val="CommitteeMemberNames"/>
      </w:pPr>
      <w:r w:rsidRPr="00F3504E">
        <w:t>Mr. Jim Truex, NCWM Headquarters | NTEP Administrator</w:t>
      </w:r>
    </w:p>
    <w:p w:rsidR="00DE4A53" w:rsidRPr="00F3504E" w:rsidRDefault="00DE4A53" w:rsidP="00DE4A53">
      <w:pPr>
        <w:pStyle w:val="CommitteeMemberNames"/>
      </w:pPr>
    </w:p>
    <w:p w:rsidR="00240975" w:rsidRPr="00A47368" w:rsidRDefault="00DE4A53" w:rsidP="00CC2668">
      <w:pPr>
        <w:pStyle w:val="CommitteeMemberNames"/>
        <w:jc w:val="left"/>
      </w:pPr>
      <w:r w:rsidRPr="00D55959">
        <w:rPr>
          <w:b/>
          <w:sz w:val="24"/>
          <w:szCs w:val="24"/>
        </w:rPr>
        <w:t>Board of Directors</w:t>
      </w:r>
    </w:p>
    <w:sectPr w:rsidR="00240975" w:rsidRPr="00A47368" w:rsidSect="00CC2668">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8B3" w:rsidRDefault="00C658B3" w:rsidP="0082263A">
      <w:r>
        <w:separator/>
      </w:r>
    </w:p>
  </w:endnote>
  <w:endnote w:type="continuationSeparator" w:id="0">
    <w:p w:rsidR="00C658B3" w:rsidRDefault="00C658B3"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23158"/>
      <w:docPartObj>
        <w:docPartGallery w:val="Page Numbers (Bottom of Page)"/>
        <w:docPartUnique/>
      </w:docPartObj>
    </w:sdtPr>
    <w:sdtEndPr/>
    <w:sdtContent>
      <w:p w:rsidR="00232329" w:rsidRPr="00787052" w:rsidRDefault="00232329" w:rsidP="00EF74FC">
        <w:pPr>
          <w:pStyle w:val="Footer1"/>
        </w:pPr>
        <w:r>
          <w:t xml:space="preserve">BOD - </w:t>
        </w:r>
        <w:r w:rsidRPr="00787052">
          <w:fldChar w:fldCharType="begin"/>
        </w:r>
        <w:r w:rsidRPr="00787052">
          <w:instrText xml:space="preserve"> PAGE   \* MERGEFORMAT </w:instrText>
        </w:r>
        <w:r w:rsidRPr="00787052">
          <w:fldChar w:fldCharType="separate"/>
        </w:r>
        <w:r w:rsidR="00E1283B">
          <w:rPr>
            <w:noProof/>
          </w:rPr>
          <w:t>2</w:t>
        </w:r>
        <w:r w:rsidRPr="00787052">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397418"/>
      <w:docPartObj>
        <w:docPartGallery w:val="Page Numbers (Bottom of Page)"/>
        <w:docPartUnique/>
      </w:docPartObj>
    </w:sdtPr>
    <w:sdtEndPr>
      <w:rPr>
        <w:noProof/>
      </w:rPr>
    </w:sdtEndPr>
    <w:sdtContent>
      <w:p w:rsidR="00232329" w:rsidRDefault="00232329" w:rsidP="00CC2668">
        <w:pPr>
          <w:pStyle w:val="Footer"/>
          <w:jc w:val="center"/>
        </w:pPr>
        <w:r>
          <w:t xml:space="preserve">BOD - </w:t>
        </w:r>
        <w:r>
          <w:fldChar w:fldCharType="begin"/>
        </w:r>
        <w:r>
          <w:instrText xml:space="preserve"> PAGE   \* MERGEFORMAT </w:instrText>
        </w:r>
        <w:r>
          <w:fldChar w:fldCharType="separate"/>
        </w:r>
        <w:r w:rsidR="00E1283B">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3B" w:rsidRDefault="00E12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8B3" w:rsidRDefault="00C658B3" w:rsidP="0082263A">
      <w:r>
        <w:separator/>
      </w:r>
    </w:p>
  </w:footnote>
  <w:footnote w:type="continuationSeparator" w:id="0">
    <w:p w:rsidR="00C658B3" w:rsidRDefault="00C658B3"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329" w:rsidRDefault="00232329" w:rsidP="000E4913">
    <w:pPr>
      <w:pStyle w:val="Header"/>
      <w:tabs>
        <w:tab w:val="clear" w:pos="4680"/>
      </w:tabs>
      <w:jc w:val="left"/>
    </w:pPr>
    <w:r>
      <w:t xml:space="preserve">BOD 2012 </w:t>
    </w:r>
    <w:r w:rsidR="00E1283B">
      <w:t>Final</w:t>
    </w:r>
    <w:r>
      <w:t xml:space="preserve"> Report</w:t>
    </w:r>
    <w:bookmarkStart w:id="185" w:name="_GoBack"/>
    <w:bookmarkEnd w:id="18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329" w:rsidRPr="00CC2668" w:rsidRDefault="00232329" w:rsidP="00CC2668">
    <w:pPr>
      <w:pStyle w:val="Header"/>
      <w:jc w:val="right"/>
    </w:pPr>
    <w:r>
      <w:t>BOD 2012 Final Report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83B" w:rsidRDefault="00E128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17B6"/>
    <w:multiLevelType w:val="hybridMultilevel"/>
    <w:tmpl w:val="95A0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1E2AC4"/>
    <w:multiLevelType w:val="multilevel"/>
    <w:tmpl w:val="A0A683B4"/>
    <w:lvl w:ilvl="0">
      <w:start w:val="1"/>
      <w:numFmt w:val="upperRoman"/>
      <w:pStyle w:val="article"/>
      <w:suff w:val="nothing"/>
      <w:lvlText w:val="Article %1 - "/>
      <w:lvlJc w:val="left"/>
      <w:pPr>
        <w:ind w:left="0" w:firstLine="0"/>
      </w:pPr>
      <w:rPr>
        <w:rFonts w:hint="default"/>
      </w:rPr>
    </w:lvl>
    <w:lvl w:ilvl="1">
      <w:start w:val="1"/>
      <w:numFmt w:val="decimal"/>
      <w:pStyle w:val="section"/>
      <w:suff w:val="nothing"/>
      <w:lvlText w:val="Section %2 - "/>
      <w:lvlJc w:val="left"/>
      <w:pPr>
        <w:ind w:left="0" w:firstLine="0"/>
      </w:pPr>
      <w:rPr>
        <w:rFonts w:hint="default"/>
      </w:rPr>
    </w:lvl>
    <w:lvl w:ilvl="2">
      <w:start w:val="1"/>
      <w:numFmt w:val="upperLetter"/>
      <w:pStyle w:val="letters"/>
      <w:lvlText w:val="%3."/>
      <w:lvlJc w:val="left"/>
      <w:pPr>
        <w:ind w:left="360" w:hanging="360"/>
      </w:pPr>
      <w:rPr>
        <w:rFonts w:hint="default"/>
        <w:strike w:val="0"/>
      </w:rPr>
    </w:lvl>
    <w:lvl w:ilvl="3">
      <w:start w:val="1"/>
      <w:numFmt w:val="decimal"/>
      <w:pStyle w:val="numbers"/>
      <w:lvlText w:val="%4."/>
      <w:lvlJc w:val="left"/>
      <w:pPr>
        <w:ind w:left="810" w:hanging="360"/>
      </w:pPr>
      <w:rPr>
        <w:rFonts w:hint="default"/>
        <w:b w:val="0"/>
      </w:rPr>
    </w:lvl>
    <w:lvl w:ilvl="4">
      <w:start w:val="1"/>
      <w:numFmt w:val="lowerLetter"/>
      <w:pStyle w:val="lowercaseletters"/>
      <w:lvlText w:val="%5."/>
      <w:lvlJc w:val="left"/>
      <w:pPr>
        <w:ind w:left="1080" w:hanging="360"/>
      </w:pPr>
      <w:rPr>
        <w:rFonts w:hint="default"/>
      </w:rPr>
    </w:lvl>
    <w:lvl w:ilvl="5">
      <w:start w:val="9"/>
      <w:numFmt w:val="decimal"/>
      <w:lvlRestart w:val="2"/>
      <w:pStyle w:val="sectionletter"/>
      <w:suff w:val="nothing"/>
      <w:lvlText w:val="Section %6A -"/>
      <w:lvlJc w:val="left"/>
      <w:pPr>
        <w:ind w:left="0" w:firstLine="0"/>
      </w:pPr>
      <w:rPr>
        <w:rFonts w:hint="default"/>
      </w:rPr>
    </w:lvl>
    <w:lvl w:ilvl="6">
      <w:start w:val="9"/>
      <w:numFmt w:val="decimal"/>
      <w:lvlRestart w:val="2"/>
      <w:pStyle w:val="sectionletterB"/>
      <w:suff w:val="nothing"/>
      <w:lvlText w:val="Section %7B -"/>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2200CD4"/>
    <w:multiLevelType w:val="hybridMultilevel"/>
    <w:tmpl w:val="AC68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47F41"/>
    <w:multiLevelType w:val="hybridMultilevel"/>
    <w:tmpl w:val="55D65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29CE03A3"/>
    <w:multiLevelType w:val="multilevel"/>
    <w:tmpl w:val="8200A45A"/>
    <w:lvl w:ilvl="0">
      <w:start w:val="1"/>
      <w:numFmt w:val="lowerLetter"/>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4F46BD"/>
    <w:multiLevelType w:val="hybridMultilevel"/>
    <w:tmpl w:val="8BFA91DE"/>
    <w:lvl w:ilvl="0" w:tplc="6DB090FA">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657CE7"/>
    <w:multiLevelType w:val="hybridMultilevel"/>
    <w:tmpl w:val="DA00D098"/>
    <w:lvl w:ilvl="0" w:tplc="82E62A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2A4089"/>
    <w:multiLevelType w:val="hybridMultilevel"/>
    <w:tmpl w:val="2BDAA8AE"/>
    <w:lvl w:ilvl="0" w:tplc="9F6689F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FF1BFC"/>
    <w:multiLevelType w:val="hybridMultilevel"/>
    <w:tmpl w:val="95B254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13">
    <w:nsid w:val="627E518A"/>
    <w:multiLevelType w:val="multilevel"/>
    <w:tmpl w:val="BB72AF60"/>
    <w:lvl w:ilvl="0">
      <w:start w:val="1"/>
      <w:numFmt w:val="lowerLetter"/>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65703DE2"/>
    <w:multiLevelType w:val="hybridMultilevel"/>
    <w:tmpl w:val="6E52B0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7A36C5"/>
    <w:multiLevelType w:val="hybridMultilevel"/>
    <w:tmpl w:val="62F60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A65E96"/>
    <w:multiLevelType w:val="hybridMultilevel"/>
    <w:tmpl w:val="BC36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num w:numId="1">
    <w:abstractNumId w:val="6"/>
  </w:num>
  <w:num w:numId="2">
    <w:abstractNumId w:val="8"/>
  </w:num>
  <w:num w:numId="3">
    <w:abstractNumId w:val="7"/>
  </w:num>
  <w:num w:numId="4">
    <w:abstractNumId w:val="17"/>
  </w:num>
  <w:num w:numId="5">
    <w:abstractNumId w:val="6"/>
  </w:num>
  <w:num w:numId="6">
    <w:abstractNumId w:val="4"/>
  </w:num>
  <w:num w:numId="7">
    <w:abstractNumId w:val="12"/>
  </w:num>
  <w:num w:numId="8">
    <w:abstractNumId w:val="10"/>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9"/>
    </w:lvlOverride>
    <w:lvlOverride w:ilvl="6">
      <w:startOverride w:val="9"/>
    </w:lvlOverride>
    <w:lvlOverride w:ilvl="7">
      <w:startOverride w:val="1"/>
    </w:lvlOverride>
    <w:lvlOverride w:ilvl="8">
      <w:startOverride w:val="1"/>
    </w:lvlOverride>
  </w:num>
  <w:num w:numId="11">
    <w:abstractNumId w:val="11"/>
  </w:num>
  <w:num w:numId="12">
    <w:abstractNumId w:val="16"/>
  </w:num>
  <w:num w:numId="13">
    <w:abstractNumId w:val="0"/>
  </w:num>
  <w:num w:numId="14">
    <w:abstractNumId w:val="3"/>
  </w:num>
  <w:num w:numId="15">
    <w:abstractNumId w:val="5"/>
  </w:num>
  <w:num w:numId="16">
    <w:abstractNumId w:val="13"/>
  </w:num>
  <w:num w:numId="17">
    <w:abstractNumId w:val="15"/>
  </w:num>
  <w:num w:numId="18">
    <w:abstractNumId w:val="9"/>
  </w:num>
  <w:num w:numId="19">
    <w:abstractNumId w:val="7"/>
    <w:lvlOverride w:ilvl="0">
      <w:startOverride w:val="1"/>
    </w:lvlOverride>
  </w:num>
  <w:num w:numId="20">
    <w:abstractNumId w:val="14"/>
  </w:num>
  <w:num w:numId="2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D1"/>
    <w:rsid w:val="000006B8"/>
    <w:rsid w:val="00005885"/>
    <w:rsid w:val="000062DC"/>
    <w:rsid w:val="000268F8"/>
    <w:rsid w:val="00036EA7"/>
    <w:rsid w:val="00042104"/>
    <w:rsid w:val="000444C0"/>
    <w:rsid w:val="0004566C"/>
    <w:rsid w:val="00051E59"/>
    <w:rsid w:val="0006209F"/>
    <w:rsid w:val="0006341E"/>
    <w:rsid w:val="000648D1"/>
    <w:rsid w:val="00080554"/>
    <w:rsid w:val="00084507"/>
    <w:rsid w:val="00095079"/>
    <w:rsid w:val="0009577F"/>
    <w:rsid w:val="000A61D0"/>
    <w:rsid w:val="000B0616"/>
    <w:rsid w:val="000C1030"/>
    <w:rsid w:val="000C247F"/>
    <w:rsid w:val="000C7B7D"/>
    <w:rsid w:val="000E0A14"/>
    <w:rsid w:val="000E1767"/>
    <w:rsid w:val="000E4913"/>
    <w:rsid w:val="000E6C9C"/>
    <w:rsid w:val="00105E26"/>
    <w:rsid w:val="0011315C"/>
    <w:rsid w:val="00115525"/>
    <w:rsid w:val="00120F77"/>
    <w:rsid w:val="00122ABD"/>
    <w:rsid w:val="00125727"/>
    <w:rsid w:val="001262E2"/>
    <w:rsid w:val="0012660D"/>
    <w:rsid w:val="001463D1"/>
    <w:rsid w:val="001475E8"/>
    <w:rsid w:val="001503D2"/>
    <w:rsid w:val="001543F9"/>
    <w:rsid w:val="001548BE"/>
    <w:rsid w:val="00154FDA"/>
    <w:rsid w:val="00156B12"/>
    <w:rsid w:val="00160741"/>
    <w:rsid w:val="0016242A"/>
    <w:rsid w:val="00165356"/>
    <w:rsid w:val="00166B4C"/>
    <w:rsid w:val="001718F1"/>
    <w:rsid w:val="0018363F"/>
    <w:rsid w:val="0018441E"/>
    <w:rsid w:val="00197F52"/>
    <w:rsid w:val="001A14F1"/>
    <w:rsid w:val="001A28A6"/>
    <w:rsid w:val="001A464F"/>
    <w:rsid w:val="001B44EE"/>
    <w:rsid w:val="001C09CF"/>
    <w:rsid w:val="001D10E6"/>
    <w:rsid w:val="001D4156"/>
    <w:rsid w:val="001E05C7"/>
    <w:rsid w:val="001E10B4"/>
    <w:rsid w:val="001E1D87"/>
    <w:rsid w:val="001F499A"/>
    <w:rsid w:val="001F49B6"/>
    <w:rsid w:val="001F4A10"/>
    <w:rsid w:val="0020095D"/>
    <w:rsid w:val="00212223"/>
    <w:rsid w:val="002203C6"/>
    <w:rsid w:val="002224ED"/>
    <w:rsid w:val="002314B3"/>
    <w:rsid w:val="002317A1"/>
    <w:rsid w:val="00232329"/>
    <w:rsid w:val="00233C4C"/>
    <w:rsid w:val="00240975"/>
    <w:rsid w:val="00250046"/>
    <w:rsid w:val="002551C1"/>
    <w:rsid w:val="0026202D"/>
    <w:rsid w:val="002627A8"/>
    <w:rsid w:val="0027694A"/>
    <w:rsid w:val="00277369"/>
    <w:rsid w:val="00282F28"/>
    <w:rsid w:val="002927CC"/>
    <w:rsid w:val="002B1194"/>
    <w:rsid w:val="002B2D16"/>
    <w:rsid w:val="002C0518"/>
    <w:rsid w:val="002C329A"/>
    <w:rsid w:val="002C42FE"/>
    <w:rsid w:val="002C4E7F"/>
    <w:rsid w:val="002D071A"/>
    <w:rsid w:val="002E1244"/>
    <w:rsid w:val="002E76DC"/>
    <w:rsid w:val="002F714B"/>
    <w:rsid w:val="0030050C"/>
    <w:rsid w:val="003009AD"/>
    <w:rsid w:val="00302788"/>
    <w:rsid w:val="00306486"/>
    <w:rsid w:val="00341505"/>
    <w:rsid w:val="00352ED3"/>
    <w:rsid w:val="00360EEF"/>
    <w:rsid w:val="00361AA7"/>
    <w:rsid w:val="00362947"/>
    <w:rsid w:val="00366438"/>
    <w:rsid w:val="00375AC2"/>
    <w:rsid w:val="00380897"/>
    <w:rsid w:val="003811F3"/>
    <w:rsid w:val="0038520D"/>
    <w:rsid w:val="00395B07"/>
    <w:rsid w:val="003B5D9A"/>
    <w:rsid w:val="003B6DE6"/>
    <w:rsid w:val="003B7CB5"/>
    <w:rsid w:val="003C4B56"/>
    <w:rsid w:val="003C74EE"/>
    <w:rsid w:val="003D4E93"/>
    <w:rsid w:val="003E6380"/>
    <w:rsid w:val="003F0B6C"/>
    <w:rsid w:val="004008FF"/>
    <w:rsid w:val="00431469"/>
    <w:rsid w:val="00432661"/>
    <w:rsid w:val="004437DB"/>
    <w:rsid w:val="00443A38"/>
    <w:rsid w:val="004520A4"/>
    <w:rsid w:val="00464D49"/>
    <w:rsid w:val="00464D7B"/>
    <w:rsid w:val="00491A2E"/>
    <w:rsid w:val="00492D9A"/>
    <w:rsid w:val="004A36E1"/>
    <w:rsid w:val="004B7C9A"/>
    <w:rsid w:val="004D3EE4"/>
    <w:rsid w:val="004E0DF0"/>
    <w:rsid w:val="004E7267"/>
    <w:rsid w:val="004F0090"/>
    <w:rsid w:val="00502DB9"/>
    <w:rsid w:val="005074B2"/>
    <w:rsid w:val="005253AD"/>
    <w:rsid w:val="005274E5"/>
    <w:rsid w:val="00527FB6"/>
    <w:rsid w:val="00530B61"/>
    <w:rsid w:val="00536310"/>
    <w:rsid w:val="00537C38"/>
    <w:rsid w:val="00546F74"/>
    <w:rsid w:val="00554377"/>
    <w:rsid w:val="00556E92"/>
    <w:rsid w:val="00557CC1"/>
    <w:rsid w:val="0056509E"/>
    <w:rsid w:val="005751D9"/>
    <w:rsid w:val="0057775C"/>
    <w:rsid w:val="005850C6"/>
    <w:rsid w:val="00585ED0"/>
    <w:rsid w:val="00587193"/>
    <w:rsid w:val="0059027E"/>
    <w:rsid w:val="0059171E"/>
    <w:rsid w:val="00593662"/>
    <w:rsid w:val="005972A9"/>
    <w:rsid w:val="005A5535"/>
    <w:rsid w:val="005A6C16"/>
    <w:rsid w:val="005A6EC6"/>
    <w:rsid w:val="005B0195"/>
    <w:rsid w:val="005B58BE"/>
    <w:rsid w:val="005D4239"/>
    <w:rsid w:val="005E5F2A"/>
    <w:rsid w:val="005F120A"/>
    <w:rsid w:val="005F1BED"/>
    <w:rsid w:val="00600E30"/>
    <w:rsid w:val="00606397"/>
    <w:rsid w:val="006106A3"/>
    <w:rsid w:val="00612B54"/>
    <w:rsid w:val="006136A4"/>
    <w:rsid w:val="0061795A"/>
    <w:rsid w:val="00620DBF"/>
    <w:rsid w:val="006245D4"/>
    <w:rsid w:val="00626892"/>
    <w:rsid w:val="006303BD"/>
    <w:rsid w:val="006327A5"/>
    <w:rsid w:val="00636695"/>
    <w:rsid w:val="00640455"/>
    <w:rsid w:val="00640EBB"/>
    <w:rsid w:val="00651272"/>
    <w:rsid w:val="0065254E"/>
    <w:rsid w:val="00652D8B"/>
    <w:rsid w:val="00652FD1"/>
    <w:rsid w:val="006562B6"/>
    <w:rsid w:val="00661D93"/>
    <w:rsid w:val="006638E5"/>
    <w:rsid w:val="006706D6"/>
    <w:rsid w:val="00670A3E"/>
    <w:rsid w:val="00672DF9"/>
    <w:rsid w:val="00676C7F"/>
    <w:rsid w:val="00681246"/>
    <w:rsid w:val="006818AE"/>
    <w:rsid w:val="00697DDB"/>
    <w:rsid w:val="006A225A"/>
    <w:rsid w:val="006A6A74"/>
    <w:rsid w:val="006B71DE"/>
    <w:rsid w:val="006E0091"/>
    <w:rsid w:val="006F1D68"/>
    <w:rsid w:val="0070015D"/>
    <w:rsid w:val="00700796"/>
    <w:rsid w:val="0070265F"/>
    <w:rsid w:val="007048D6"/>
    <w:rsid w:val="00715734"/>
    <w:rsid w:val="00731EF0"/>
    <w:rsid w:val="00736916"/>
    <w:rsid w:val="0075128C"/>
    <w:rsid w:val="00753782"/>
    <w:rsid w:val="00755220"/>
    <w:rsid w:val="007577F6"/>
    <w:rsid w:val="00760D3E"/>
    <w:rsid w:val="00763754"/>
    <w:rsid w:val="00767CC7"/>
    <w:rsid w:val="00771DDB"/>
    <w:rsid w:val="00774033"/>
    <w:rsid w:val="00780C80"/>
    <w:rsid w:val="00780ECB"/>
    <w:rsid w:val="00787052"/>
    <w:rsid w:val="00794578"/>
    <w:rsid w:val="007A1BF9"/>
    <w:rsid w:val="007A375A"/>
    <w:rsid w:val="007A5CE6"/>
    <w:rsid w:val="007A7BC9"/>
    <w:rsid w:val="007B245B"/>
    <w:rsid w:val="007B3C4B"/>
    <w:rsid w:val="007D5F0A"/>
    <w:rsid w:val="007E05C1"/>
    <w:rsid w:val="007E09CD"/>
    <w:rsid w:val="007F411C"/>
    <w:rsid w:val="007F681D"/>
    <w:rsid w:val="007F6A99"/>
    <w:rsid w:val="00801258"/>
    <w:rsid w:val="008048A1"/>
    <w:rsid w:val="00804B83"/>
    <w:rsid w:val="00811C65"/>
    <w:rsid w:val="00817E6E"/>
    <w:rsid w:val="00822151"/>
    <w:rsid w:val="0082263A"/>
    <w:rsid w:val="00824592"/>
    <w:rsid w:val="00825A7C"/>
    <w:rsid w:val="00826A73"/>
    <w:rsid w:val="00833499"/>
    <w:rsid w:val="008335AA"/>
    <w:rsid w:val="00835D5B"/>
    <w:rsid w:val="00837197"/>
    <w:rsid w:val="0084092B"/>
    <w:rsid w:val="00844232"/>
    <w:rsid w:val="0084481A"/>
    <w:rsid w:val="00847EC1"/>
    <w:rsid w:val="008547A6"/>
    <w:rsid w:val="00855A4D"/>
    <w:rsid w:val="00864CF0"/>
    <w:rsid w:val="00876685"/>
    <w:rsid w:val="00884333"/>
    <w:rsid w:val="00884959"/>
    <w:rsid w:val="00894ACD"/>
    <w:rsid w:val="008A0188"/>
    <w:rsid w:val="008A0334"/>
    <w:rsid w:val="008A0C4C"/>
    <w:rsid w:val="008B0AC2"/>
    <w:rsid w:val="008B3856"/>
    <w:rsid w:val="008B4CFC"/>
    <w:rsid w:val="008B4F1D"/>
    <w:rsid w:val="008C1E1C"/>
    <w:rsid w:val="008C3D6D"/>
    <w:rsid w:val="008C5C0A"/>
    <w:rsid w:val="008C7A34"/>
    <w:rsid w:val="008D08FA"/>
    <w:rsid w:val="008D4923"/>
    <w:rsid w:val="008D7981"/>
    <w:rsid w:val="008E3CBB"/>
    <w:rsid w:val="008E5794"/>
    <w:rsid w:val="008F2795"/>
    <w:rsid w:val="008F5D69"/>
    <w:rsid w:val="0090164D"/>
    <w:rsid w:val="00911468"/>
    <w:rsid w:val="00913D2D"/>
    <w:rsid w:val="00917362"/>
    <w:rsid w:val="00917D24"/>
    <w:rsid w:val="00922570"/>
    <w:rsid w:val="009248BF"/>
    <w:rsid w:val="009344B7"/>
    <w:rsid w:val="00941276"/>
    <w:rsid w:val="0094672B"/>
    <w:rsid w:val="00946E0B"/>
    <w:rsid w:val="00947682"/>
    <w:rsid w:val="009576AC"/>
    <w:rsid w:val="009718F2"/>
    <w:rsid w:val="009917C6"/>
    <w:rsid w:val="009A61F2"/>
    <w:rsid w:val="009B1F79"/>
    <w:rsid w:val="009C08CF"/>
    <w:rsid w:val="009C231A"/>
    <w:rsid w:val="009E6F71"/>
    <w:rsid w:val="009E7B9C"/>
    <w:rsid w:val="009F276F"/>
    <w:rsid w:val="009F54B0"/>
    <w:rsid w:val="00A10561"/>
    <w:rsid w:val="00A11B9A"/>
    <w:rsid w:val="00A13BE5"/>
    <w:rsid w:val="00A15A66"/>
    <w:rsid w:val="00A213E3"/>
    <w:rsid w:val="00A329E2"/>
    <w:rsid w:val="00A47368"/>
    <w:rsid w:val="00A51ACB"/>
    <w:rsid w:val="00A51EE5"/>
    <w:rsid w:val="00A60523"/>
    <w:rsid w:val="00A6314B"/>
    <w:rsid w:val="00A70F22"/>
    <w:rsid w:val="00A74743"/>
    <w:rsid w:val="00A757AA"/>
    <w:rsid w:val="00A75CE5"/>
    <w:rsid w:val="00A75FBE"/>
    <w:rsid w:val="00A94C85"/>
    <w:rsid w:val="00A97DA7"/>
    <w:rsid w:val="00AB5C37"/>
    <w:rsid w:val="00AB7D5C"/>
    <w:rsid w:val="00AC4A02"/>
    <w:rsid w:val="00AC7576"/>
    <w:rsid w:val="00AD2F5D"/>
    <w:rsid w:val="00AD339F"/>
    <w:rsid w:val="00AE16E4"/>
    <w:rsid w:val="00AE46A3"/>
    <w:rsid w:val="00B12D6A"/>
    <w:rsid w:val="00B165F7"/>
    <w:rsid w:val="00B21768"/>
    <w:rsid w:val="00B27000"/>
    <w:rsid w:val="00B30FEC"/>
    <w:rsid w:val="00B36A89"/>
    <w:rsid w:val="00B467BA"/>
    <w:rsid w:val="00B52195"/>
    <w:rsid w:val="00B57D84"/>
    <w:rsid w:val="00B63F8E"/>
    <w:rsid w:val="00B70CFD"/>
    <w:rsid w:val="00B74904"/>
    <w:rsid w:val="00B74E29"/>
    <w:rsid w:val="00B76348"/>
    <w:rsid w:val="00B84EB4"/>
    <w:rsid w:val="00B96418"/>
    <w:rsid w:val="00BA2B3D"/>
    <w:rsid w:val="00BC173D"/>
    <w:rsid w:val="00BD290B"/>
    <w:rsid w:val="00BE6494"/>
    <w:rsid w:val="00BE7E6D"/>
    <w:rsid w:val="00C02747"/>
    <w:rsid w:val="00C03DA8"/>
    <w:rsid w:val="00C04926"/>
    <w:rsid w:val="00C16BDF"/>
    <w:rsid w:val="00C2191A"/>
    <w:rsid w:val="00C22289"/>
    <w:rsid w:val="00C2289A"/>
    <w:rsid w:val="00C23F14"/>
    <w:rsid w:val="00C241FA"/>
    <w:rsid w:val="00C24B27"/>
    <w:rsid w:val="00C359A1"/>
    <w:rsid w:val="00C41814"/>
    <w:rsid w:val="00C447E8"/>
    <w:rsid w:val="00C530C9"/>
    <w:rsid w:val="00C53D67"/>
    <w:rsid w:val="00C62560"/>
    <w:rsid w:val="00C658B3"/>
    <w:rsid w:val="00C674BE"/>
    <w:rsid w:val="00C67842"/>
    <w:rsid w:val="00C7067C"/>
    <w:rsid w:val="00C70C04"/>
    <w:rsid w:val="00C760AF"/>
    <w:rsid w:val="00C76925"/>
    <w:rsid w:val="00C86481"/>
    <w:rsid w:val="00C9049C"/>
    <w:rsid w:val="00CB542C"/>
    <w:rsid w:val="00CB63B9"/>
    <w:rsid w:val="00CC2668"/>
    <w:rsid w:val="00CF21C7"/>
    <w:rsid w:val="00CF29A5"/>
    <w:rsid w:val="00D05429"/>
    <w:rsid w:val="00D11C1B"/>
    <w:rsid w:val="00D23265"/>
    <w:rsid w:val="00D317E1"/>
    <w:rsid w:val="00D4762C"/>
    <w:rsid w:val="00D535E8"/>
    <w:rsid w:val="00D5559D"/>
    <w:rsid w:val="00D55959"/>
    <w:rsid w:val="00D67282"/>
    <w:rsid w:val="00D673F6"/>
    <w:rsid w:val="00D704BB"/>
    <w:rsid w:val="00D72333"/>
    <w:rsid w:val="00D72DCD"/>
    <w:rsid w:val="00D75C82"/>
    <w:rsid w:val="00D83047"/>
    <w:rsid w:val="00D8673C"/>
    <w:rsid w:val="00D95037"/>
    <w:rsid w:val="00D97D15"/>
    <w:rsid w:val="00DB0C30"/>
    <w:rsid w:val="00DB7C7D"/>
    <w:rsid w:val="00DC2B83"/>
    <w:rsid w:val="00DC3310"/>
    <w:rsid w:val="00DC3A37"/>
    <w:rsid w:val="00DC4028"/>
    <w:rsid w:val="00DD46AF"/>
    <w:rsid w:val="00DE4A53"/>
    <w:rsid w:val="00DF07B3"/>
    <w:rsid w:val="00DF5D51"/>
    <w:rsid w:val="00E0381B"/>
    <w:rsid w:val="00E06316"/>
    <w:rsid w:val="00E06652"/>
    <w:rsid w:val="00E1283B"/>
    <w:rsid w:val="00E17520"/>
    <w:rsid w:val="00E20FAA"/>
    <w:rsid w:val="00E23327"/>
    <w:rsid w:val="00E244FE"/>
    <w:rsid w:val="00E252B3"/>
    <w:rsid w:val="00E30CDC"/>
    <w:rsid w:val="00E33C1B"/>
    <w:rsid w:val="00E441FE"/>
    <w:rsid w:val="00E53CB0"/>
    <w:rsid w:val="00E56C1A"/>
    <w:rsid w:val="00E62F12"/>
    <w:rsid w:val="00E65EE7"/>
    <w:rsid w:val="00E716BF"/>
    <w:rsid w:val="00E7415A"/>
    <w:rsid w:val="00E76EAB"/>
    <w:rsid w:val="00E800B3"/>
    <w:rsid w:val="00E819BA"/>
    <w:rsid w:val="00E85C9C"/>
    <w:rsid w:val="00E91F9F"/>
    <w:rsid w:val="00E9281C"/>
    <w:rsid w:val="00EA306C"/>
    <w:rsid w:val="00EC3A7E"/>
    <w:rsid w:val="00EC47EB"/>
    <w:rsid w:val="00ED4A95"/>
    <w:rsid w:val="00ED6E2E"/>
    <w:rsid w:val="00EE10C7"/>
    <w:rsid w:val="00EF5B43"/>
    <w:rsid w:val="00EF74FC"/>
    <w:rsid w:val="00EF7F83"/>
    <w:rsid w:val="00F01EC5"/>
    <w:rsid w:val="00F12DDF"/>
    <w:rsid w:val="00F20AB5"/>
    <w:rsid w:val="00F236B8"/>
    <w:rsid w:val="00F30787"/>
    <w:rsid w:val="00F3504E"/>
    <w:rsid w:val="00F364F7"/>
    <w:rsid w:val="00F54302"/>
    <w:rsid w:val="00F607E4"/>
    <w:rsid w:val="00F66083"/>
    <w:rsid w:val="00F7005C"/>
    <w:rsid w:val="00F8516A"/>
    <w:rsid w:val="00F8763B"/>
    <w:rsid w:val="00F92C5A"/>
    <w:rsid w:val="00F956F6"/>
    <w:rsid w:val="00FA1CB0"/>
    <w:rsid w:val="00FA66FA"/>
    <w:rsid w:val="00FB561C"/>
    <w:rsid w:val="00FC17C1"/>
    <w:rsid w:val="00FC3AE5"/>
    <w:rsid w:val="00FC630F"/>
    <w:rsid w:val="00FC7DF4"/>
    <w:rsid w:val="00FD48E4"/>
    <w:rsid w:val="00FE7723"/>
    <w:rsid w:val="00FF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1D9"/>
    <w:pPr>
      <w:spacing w:after="0" w:line="240" w:lineRule="auto"/>
      <w:jc w:val="both"/>
    </w:pPr>
    <w:rPr>
      <w:rFonts w:ascii="Times New Roman" w:hAnsi="Times New Roman"/>
      <w:sz w:val="20"/>
    </w:rPr>
  </w:style>
  <w:style w:type="paragraph" w:styleId="Heading1">
    <w:name w:val="heading 1"/>
    <w:aliases w:val="Subject Serie"/>
    <w:next w:val="Normal"/>
    <w:link w:val="Heading1Char"/>
    <w:uiPriority w:val="9"/>
    <w:qFormat/>
    <w:rsid w:val="00166B4C"/>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paragraph" w:styleId="Heading5">
    <w:name w:val="heading 5"/>
    <w:basedOn w:val="Normal"/>
    <w:next w:val="Normal"/>
    <w:link w:val="Heading5Char"/>
    <w:uiPriority w:val="9"/>
    <w:unhideWhenUsed/>
    <w:qFormat/>
    <w:rsid w:val="00D2326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Serie Char"/>
    <w:basedOn w:val="DefaultParagraphFont"/>
    <w:link w:val="Heading1"/>
    <w:uiPriority w:val="9"/>
    <w:rsid w:val="00166B4C"/>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aliases w:val="Numbered List"/>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8D08FA"/>
    <w:pPr>
      <w:tabs>
        <w:tab w:val="left" w:pos="540"/>
        <w:tab w:val="left" w:pos="900"/>
        <w:tab w:val="left" w:pos="1325"/>
        <w:tab w:val="left" w:pos="1714"/>
        <w:tab w:val="right" w:leader="dot" w:pos="9360"/>
      </w:tabs>
      <w:ind w:left="547"/>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D6E2E"/>
    <w:pPr>
      <w:tabs>
        <w:tab w:val="left" w:pos="547"/>
        <w:tab w:val="right" w:leader="dot" w:pos="9360"/>
      </w:tabs>
      <w:spacing w:before="80" w:after="80"/>
      <w:ind w:left="540" w:hanging="54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8D08FA"/>
    <w:pPr>
      <w:tabs>
        <w:tab w:val="left" w:pos="1800"/>
        <w:tab w:val="right" w:leader="dot" w:pos="9360"/>
      </w:tabs>
      <w:ind w:left="1800" w:hanging="1253"/>
      <w:jc w:val="left"/>
    </w:pPr>
    <w:rPr>
      <w:rFonts w:eastAsia="Arial Unicode MS" w:cs="Arial Unicode MS"/>
      <w:noProof/>
      <w:color w:val="000000" w:themeColor="text1"/>
      <w:lang w:eastAsia="ja-JP"/>
    </w:rPr>
  </w:style>
  <w:style w:type="paragraph" w:customStyle="1" w:styleId="CommitteeMemberNames">
    <w:name w:val="Committee Member Names"/>
    <w:basedOn w:val="Normal"/>
    <w:qFormat/>
    <w:rsid w:val="00AB5C37"/>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CC2668"/>
    <w:pPr>
      <w:spacing w:before="360" w:after="24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B27000"/>
    <w:pPr>
      <w:tabs>
        <w:tab w:val="right" w:leader="dot" w:pos="9350"/>
      </w:tabs>
      <w:ind w:left="2304" w:hanging="504"/>
    </w:pPr>
    <w:rPr>
      <w:color w:val="000000" w:themeColor="text1"/>
    </w:rPr>
  </w:style>
  <w:style w:type="paragraph" w:customStyle="1" w:styleId="ItemHeadingSecondary">
    <w:name w:val="Item Heading Secondary"/>
    <w:basedOn w:val="ItemHeading"/>
    <w:qFormat/>
    <w:rsid w:val="00A70F22"/>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6327A5"/>
    <w:pPr>
      <w:spacing w:before="600" w:after="120"/>
    </w:pPr>
    <w:rPr>
      <w:rFonts w:ascii="Times New Roman Bold" w:hAnsi="Times New Roman Bold"/>
    </w:rPr>
  </w:style>
  <w:style w:type="paragraph" w:customStyle="1" w:styleId="AgendaItems">
    <w:name w:val="Agenda Items"/>
    <w:basedOn w:val="Normal"/>
    <w:qFormat/>
    <w:rsid w:val="001F49B6"/>
    <w:pPr>
      <w:numPr>
        <w:numId w:val="5"/>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rPr>
      <w:b/>
    </w:rPr>
  </w:style>
  <w:style w:type="paragraph" w:customStyle="1" w:styleId="numberedlist">
    <w:name w:val="numbered list"/>
    <w:basedOn w:val="ListParagraph"/>
    <w:qFormat/>
    <w:rsid w:val="00736916"/>
    <w:pPr>
      <w:numPr>
        <w:numId w:val="3"/>
      </w:numPr>
    </w:pPr>
  </w:style>
  <w:style w:type="paragraph" w:customStyle="1" w:styleId="bulletedlist">
    <w:name w:val="bulleted list"/>
    <w:basedOn w:val="ListParagraph"/>
    <w:qFormat/>
    <w:rsid w:val="001475E8"/>
    <w:pPr>
      <w:numPr>
        <w:numId w:val="2"/>
      </w:numPr>
      <w:spacing w:after="240"/>
      <w:contextualSpacing w:val="0"/>
    </w:pPr>
  </w:style>
  <w:style w:type="paragraph" w:customStyle="1" w:styleId="submitterinformation">
    <w:name w:val="submitter information"/>
    <w:basedOn w:val="Normal"/>
    <w:qFormat/>
    <w:rsid w:val="00771DDB"/>
    <w:pPr>
      <w:jc w:val="center"/>
    </w:pPr>
  </w:style>
  <w:style w:type="paragraph" w:customStyle="1" w:styleId="NumberSeriesLevel1">
    <w:name w:val="Number Series Level 1"/>
    <w:basedOn w:val="Normal"/>
    <w:qFormat/>
    <w:rsid w:val="005A6EC6"/>
    <w:pPr>
      <w:numPr>
        <w:numId w:val="4"/>
      </w:numPr>
      <w:spacing w:after="120"/>
    </w:pPr>
    <w:rPr>
      <w:rFonts w:eastAsia="Calibri" w:cs="Times New Roman"/>
      <w:b/>
    </w:rPr>
  </w:style>
  <w:style w:type="paragraph" w:customStyle="1" w:styleId="NumberSeriesLevel2">
    <w:name w:val="Number Series Level 2"/>
    <w:basedOn w:val="Normal"/>
    <w:qFormat/>
    <w:rsid w:val="005A6EC6"/>
    <w:pPr>
      <w:numPr>
        <w:ilvl w:val="1"/>
        <w:numId w:val="4"/>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6"/>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7"/>
      </w:numPr>
      <w:spacing w:after="120" w:line="240" w:lineRule="auto"/>
    </w:pPr>
    <w:rPr>
      <w:rFonts w:ascii="Times New Roman" w:hAnsi="Times New Roman"/>
      <w:sz w:val="20"/>
    </w:rPr>
  </w:style>
  <w:style w:type="character" w:customStyle="1" w:styleId="Heading7Char">
    <w:name w:val="Heading 7 Char"/>
    <w:basedOn w:val="DefaultParagraphFont"/>
    <w:rsid w:val="00652FD1"/>
    <w:rPr>
      <w:rFonts w:ascii="Times New Roman Bold" w:hAnsi="Times New Roman Bold"/>
      <w:b/>
      <w:sz w:val="20"/>
    </w:rPr>
  </w:style>
  <w:style w:type="character" w:customStyle="1" w:styleId="Heading5Char">
    <w:name w:val="Heading 5 Char"/>
    <w:basedOn w:val="DefaultParagraphFont"/>
    <w:link w:val="Heading5"/>
    <w:uiPriority w:val="9"/>
    <w:rsid w:val="00D23265"/>
    <w:rPr>
      <w:rFonts w:asciiTheme="majorHAnsi" w:eastAsiaTheme="majorEastAsia" w:hAnsiTheme="majorHAnsi" w:cstheme="majorBidi"/>
      <w:color w:val="243F60" w:themeColor="accent1" w:themeShade="7F"/>
      <w:sz w:val="20"/>
    </w:rPr>
  </w:style>
  <w:style w:type="paragraph" w:customStyle="1" w:styleId="HB44Level1Indent">
    <w:name w:val="HB 44 Level 1 Indent"/>
    <w:basedOn w:val="HB44Level1Letters"/>
    <w:qFormat/>
    <w:rsid w:val="00D23265"/>
    <w:pPr>
      <w:ind w:left="720" w:firstLine="0"/>
    </w:pPr>
  </w:style>
  <w:style w:type="paragraph" w:customStyle="1" w:styleId="HB44Level2Indent">
    <w:name w:val="HB 44 Level 2 Indent"/>
    <w:basedOn w:val="HB44Level1Indent"/>
    <w:qFormat/>
    <w:rsid w:val="009B1F79"/>
    <w:pPr>
      <w:ind w:left="1080"/>
    </w:pPr>
  </w:style>
  <w:style w:type="paragraph" w:customStyle="1" w:styleId="HB44Level3Indent">
    <w:name w:val="HB 44 Level 3 Indent"/>
    <w:basedOn w:val="HB44Level2Indent"/>
    <w:qFormat/>
    <w:rsid w:val="009B1F79"/>
    <w:pPr>
      <w:ind w:left="1440"/>
    </w:pPr>
  </w:style>
  <w:style w:type="paragraph" w:customStyle="1" w:styleId="article">
    <w:name w:val="article"/>
    <w:basedOn w:val="Normal"/>
    <w:qFormat/>
    <w:rsid w:val="0061795A"/>
    <w:pPr>
      <w:numPr>
        <w:numId w:val="9"/>
      </w:numPr>
      <w:spacing w:before="240"/>
    </w:pPr>
    <w:rPr>
      <w:rFonts w:eastAsia="Calibri" w:cs="Times New Roman"/>
      <w:b/>
      <w:sz w:val="30"/>
      <w:szCs w:val="28"/>
    </w:rPr>
  </w:style>
  <w:style w:type="paragraph" w:customStyle="1" w:styleId="section">
    <w:name w:val="section"/>
    <w:basedOn w:val="Normal"/>
    <w:qFormat/>
    <w:rsid w:val="0061795A"/>
    <w:pPr>
      <w:numPr>
        <w:ilvl w:val="1"/>
        <w:numId w:val="9"/>
      </w:numPr>
      <w:spacing w:before="240"/>
    </w:pPr>
    <w:rPr>
      <w:rFonts w:eastAsia="Calibri" w:cs="Times New Roman"/>
      <w:b/>
      <w:sz w:val="24"/>
      <w:szCs w:val="24"/>
    </w:rPr>
  </w:style>
  <w:style w:type="paragraph" w:customStyle="1" w:styleId="copy">
    <w:name w:val="copy"/>
    <w:basedOn w:val="Normal"/>
    <w:qFormat/>
    <w:rsid w:val="0061795A"/>
    <w:pPr>
      <w:spacing w:after="120"/>
    </w:pPr>
    <w:rPr>
      <w:rFonts w:eastAsia="Calibri" w:cs="Times New Roman"/>
    </w:rPr>
  </w:style>
  <w:style w:type="paragraph" w:customStyle="1" w:styleId="letters">
    <w:name w:val="letters"/>
    <w:basedOn w:val="Normal"/>
    <w:qFormat/>
    <w:rsid w:val="0061795A"/>
    <w:pPr>
      <w:numPr>
        <w:ilvl w:val="2"/>
        <w:numId w:val="9"/>
      </w:numPr>
      <w:spacing w:after="120"/>
    </w:pPr>
    <w:rPr>
      <w:rFonts w:eastAsia="Calibri" w:cs="Times New Roman"/>
    </w:rPr>
  </w:style>
  <w:style w:type="paragraph" w:customStyle="1" w:styleId="numbers">
    <w:name w:val="numbers"/>
    <w:basedOn w:val="Normal"/>
    <w:qFormat/>
    <w:rsid w:val="0061795A"/>
    <w:pPr>
      <w:numPr>
        <w:ilvl w:val="3"/>
        <w:numId w:val="9"/>
      </w:numPr>
      <w:spacing w:after="120"/>
    </w:pPr>
    <w:rPr>
      <w:rFonts w:eastAsia="Calibri" w:cs="Times New Roman"/>
    </w:rPr>
  </w:style>
  <w:style w:type="paragraph" w:customStyle="1" w:styleId="indentedcopy">
    <w:name w:val="indented copy"/>
    <w:basedOn w:val="copy"/>
    <w:qFormat/>
    <w:rsid w:val="0061795A"/>
    <w:pPr>
      <w:ind w:left="360"/>
    </w:pPr>
  </w:style>
  <w:style w:type="paragraph" w:customStyle="1" w:styleId="lowercaseletters">
    <w:name w:val="lower case letters"/>
    <w:basedOn w:val="Normal"/>
    <w:qFormat/>
    <w:rsid w:val="0061795A"/>
    <w:pPr>
      <w:numPr>
        <w:ilvl w:val="4"/>
        <w:numId w:val="9"/>
      </w:numPr>
      <w:spacing w:after="120"/>
    </w:pPr>
    <w:rPr>
      <w:rFonts w:eastAsia="Calibri" w:cs="Times New Roman"/>
    </w:rPr>
  </w:style>
  <w:style w:type="paragraph" w:customStyle="1" w:styleId="sectionletter">
    <w:name w:val="section #letter"/>
    <w:basedOn w:val="section"/>
    <w:qFormat/>
    <w:rsid w:val="0061795A"/>
    <w:pPr>
      <w:numPr>
        <w:ilvl w:val="5"/>
      </w:numPr>
    </w:pPr>
  </w:style>
  <w:style w:type="paragraph" w:customStyle="1" w:styleId="sectionletterB">
    <w:name w:val="section #letterB"/>
    <w:basedOn w:val="sectionletter"/>
    <w:qFormat/>
    <w:rsid w:val="0061795A"/>
    <w:pPr>
      <w:numPr>
        <w:ilvl w:val="6"/>
      </w:numPr>
    </w:pPr>
  </w:style>
  <w:style w:type="paragraph" w:customStyle="1" w:styleId="BulletedIndent">
    <w:name w:val="Bulleted Indent"/>
    <w:basedOn w:val="Normal"/>
    <w:qFormat/>
    <w:rsid w:val="00036EA7"/>
    <w:pPr>
      <w:ind w:left="720"/>
    </w:pPr>
  </w:style>
  <w:style w:type="paragraph" w:customStyle="1" w:styleId="I-Normal">
    <w:name w:val="I - Normal"/>
    <w:basedOn w:val="Normal"/>
    <w:qFormat/>
    <w:rsid w:val="00585ED0"/>
    <w:pPr>
      <w:ind w:left="360"/>
    </w:pPr>
  </w:style>
  <w:style w:type="paragraph" w:customStyle="1" w:styleId="I-BYLAWletters">
    <w:name w:val="I - BYLAW letters"/>
    <w:basedOn w:val="I-Normal"/>
    <w:qFormat/>
    <w:rsid w:val="00585ED0"/>
    <w:pPr>
      <w:ind w:left="720" w:hanging="360"/>
    </w:pPr>
    <w:rPr>
      <w:b/>
    </w:rPr>
  </w:style>
  <w:style w:type="paragraph" w:customStyle="1" w:styleId="I-NORMAL1indent">
    <w:name w:val="I - NORMAL 1 indent"/>
    <w:basedOn w:val="Normal"/>
    <w:qFormat/>
    <w:rsid w:val="00585ED0"/>
    <w:pPr>
      <w:ind w:left="720"/>
    </w:pPr>
  </w:style>
  <w:style w:type="paragraph" w:customStyle="1" w:styleId="I-BYLAWs">
    <w:name w:val="I - BYLAW #s"/>
    <w:basedOn w:val="numbers"/>
    <w:qFormat/>
    <w:rsid w:val="00585ED0"/>
    <w:pPr>
      <w:ind w:left="1080"/>
    </w:pPr>
  </w:style>
  <w:style w:type="paragraph" w:customStyle="1" w:styleId="IntroHeading">
    <w:name w:val="Intro Heading"/>
    <w:basedOn w:val="Heading1"/>
    <w:qFormat/>
    <w:rsid w:val="0027694A"/>
  </w:style>
  <w:style w:type="paragraph" w:customStyle="1" w:styleId="RomanSecondaryHeading">
    <w:name w:val="Roman Secondary Heading"/>
    <w:basedOn w:val="BoldHeading"/>
    <w:qFormat/>
    <w:rsid w:val="00240975"/>
  </w:style>
  <w:style w:type="paragraph" w:customStyle="1" w:styleId="IntentionallyBlank">
    <w:name w:val="Intentionally Blank"/>
    <w:basedOn w:val="Normal"/>
    <w:qFormat/>
    <w:rsid w:val="00240975"/>
    <w:pPr>
      <w:spacing w:before="3240"/>
      <w:jc w:val="center"/>
    </w:pPr>
    <w:rPr>
      <w:caps/>
    </w:rPr>
  </w:style>
  <w:style w:type="paragraph" w:customStyle="1" w:styleId="agenda">
    <w:name w:val="agenda"/>
    <w:basedOn w:val="Heading1"/>
    <w:qFormat/>
    <w:rsid w:val="006327A5"/>
    <w:pPr>
      <w:spacing w:before="120" w:after="120"/>
    </w:pPr>
  </w:style>
  <w:style w:type="paragraph" w:customStyle="1" w:styleId="AppendixHeading-TOC">
    <w:name w:val="Appendix Heading - TOC"/>
    <w:basedOn w:val="AppendixHeading"/>
    <w:qFormat/>
    <w:rsid w:val="006327A5"/>
  </w:style>
  <w:style w:type="character" w:styleId="Strong">
    <w:name w:val="Strong"/>
    <w:basedOn w:val="DefaultParagraphFont"/>
    <w:uiPriority w:val="22"/>
    <w:qFormat/>
    <w:rsid w:val="00A47368"/>
    <w:rPr>
      <w:b/>
      <w:bCs/>
    </w:rPr>
  </w:style>
  <w:style w:type="character" w:styleId="CommentReference">
    <w:name w:val="annotation reference"/>
    <w:basedOn w:val="DefaultParagraphFont"/>
    <w:uiPriority w:val="99"/>
    <w:semiHidden/>
    <w:unhideWhenUsed/>
    <w:rsid w:val="0026202D"/>
    <w:rPr>
      <w:sz w:val="16"/>
      <w:szCs w:val="16"/>
    </w:rPr>
  </w:style>
  <w:style w:type="paragraph" w:styleId="CommentText">
    <w:name w:val="annotation text"/>
    <w:basedOn w:val="Normal"/>
    <w:link w:val="CommentTextChar"/>
    <w:uiPriority w:val="99"/>
    <w:semiHidden/>
    <w:unhideWhenUsed/>
    <w:rsid w:val="0026202D"/>
    <w:rPr>
      <w:szCs w:val="20"/>
    </w:rPr>
  </w:style>
  <w:style w:type="character" w:customStyle="1" w:styleId="CommentTextChar">
    <w:name w:val="Comment Text Char"/>
    <w:basedOn w:val="DefaultParagraphFont"/>
    <w:link w:val="CommentText"/>
    <w:uiPriority w:val="99"/>
    <w:semiHidden/>
    <w:rsid w:val="0026202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6202D"/>
    <w:rPr>
      <w:b/>
      <w:bCs/>
    </w:rPr>
  </w:style>
  <w:style w:type="character" w:customStyle="1" w:styleId="CommentSubjectChar">
    <w:name w:val="Comment Subject Char"/>
    <w:basedOn w:val="CommentTextChar"/>
    <w:link w:val="CommentSubject"/>
    <w:uiPriority w:val="99"/>
    <w:semiHidden/>
    <w:rsid w:val="0026202D"/>
    <w:rPr>
      <w:rFonts w:ascii="Times New Roman" w:hAnsi="Times New Roman"/>
      <w:b/>
      <w:bCs/>
      <w:sz w:val="20"/>
      <w:szCs w:val="20"/>
    </w:rPr>
  </w:style>
  <w:style w:type="character" w:styleId="FollowedHyperlink">
    <w:name w:val="FollowedHyperlink"/>
    <w:basedOn w:val="DefaultParagraphFont"/>
    <w:uiPriority w:val="99"/>
    <w:semiHidden/>
    <w:unhideWhenUsed/>
    <w:rsid w:val="00B270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1D9"/>
    <w:pPr>
      <w:spacing w:after="0" w:line="240" w:lineRule="auto"/>
      <w:jc w:val="both"/>
    </w:pPr>
    <w:rPr>
      <w:rFonts w:ascii="Times New Roman" w:hAnsi="Times New Roman"/>
      <w:sz w:val="20"/>
    </w:rPr>
  </w:style>
  <w:style w:type="paragraph" w:styleId="Heading1">
    <w:name w:val="heading 1"/>
    <w:aliases w:val="Subject Serie"/>
    <w:next w:val="Normal"/>
    <w:link w:val="Heading1Char"/>
    <w:uiPriority w:val="9"/>
    <w:qFormat/>
    <w:rsid w:val="00166B4C"/>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paragraph" w:styleId="Heading5">
    <w:name w:val="heading 5"/>
    <w:basedOn w:val="Normal"/>
    <w:next w:val="Normal"/>
    <w:link w:val="Heading5Char"/>
    <w:uiPriority w:val="9"/>
    <w:unhideWhenUsed/>
    <w:qFormat/>
    <w:rsid w:val="00D2326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ject Serie Char"/>
    <w:basedOn w:val="DefaultParagraphFont"/>
    <w:link w:val="Heading1"/>
    <w:uiPriority w:val="9"/>
    <w:rsid w:val="00166B4C"/>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aliases w:val="Numbered List"/>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8D08FA"/>
    <w:pPr>
      <w:tabs>
        <w:tab w:val="left" w:pos="540"/>
        <w:tab w:val="left" w:pos="900"/>
        <w:tab w:val="left" w:pos="1325"/>
        <w:tab w:val="left" w:pos="1714"/>
        <w:tab w:val="right" w:leader="dot" w:pos="9360"/>
      </w:tabs>
      <w:ind w:left="547"/>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D6E2E"/>
    <w:pPr>
      <w:tabs>
        <w:tab w:val="left" w:pos="547"/>
        <w:tab w:val="right" w:leader="dot" w:pos="9360"/>
      </w:tabs>
      <w:spacing w:before="80" w:after="80"/>
      <w:ind w:left="540" w:hanging="54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8D08FA"/>
    <w:pPr>
      <w:tabs>
        <w:tab w:val="left" w:pos="1800"/>
        <w:tab w:val="right" w:leader="dot" w:pos="9360"/>
      </w:tabs>
      <w:ind w:left="1800" w:hanging="1253"/>
      <w:jc w:val="left"/>
    </w:pPr>
    <w:rPr>
      <w:rFonts w:eastAsia="Arial Unicode MS" w:cs="Arial Unicode MS"/>
      <w:noProof/>
      <w:color w:val="000000" w:themeColor="text1"/>
      <w:lang w:eastAsia="ja-JP"/>
    </w:rPr>
  </w:style>
  <w:style w:type="paragraph" w:customStyle="1" w:styleId="CommitteeMemberNames">
    <w:name w:val="Committee Member Names"/>
    <w:basedOn w:val="Normal"/>
    <w:qFormat/>
    <w:rsid w:val="00AB5C37"/>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CC2668"/>
    <w:pPr>
      <w:spacing w:before="360" w:after="240"/>
      <w:ind w:left="907" w:hanging="907"/>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B27000"/>
    <w:pPr>
      <w:tabs>
        <w:tab w:val="right" w:leader="dot" w:pos="9350"/>
      </w:tabs>
      <w:ind w:left="2304" w:hanging="504"/>
    </w:pPr>
    <w:rPr>
      <w:color w:val="000000" w:themeColor="text1"/>
    </w:rPr>
  </w:style>
  <w:style w:type="paragraph" w:customStyle="1" w:styleId="ItemHeadingSecondary">
    <w:name w:val="Item Heading Secondary"/>
    <w:basedOn w:val="ItemHeading"/>
    <w:qFormat/>
    <w:rsid w:val="00A70F22"/>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6327A5"/>
    <w:pPr>
      <w:spacing w:before="600" w:after="120"/>
    </w:pPr>
    <w:rPr>
      <w:rFonts w:ascii="Times New Roman Bold" w:hAnsi="Times New Roman Bold"/>
    </w:rPr>
  </w:style>
  <w:style w:type="paragraph" w:customStyle="1" w:styleId="AgendaItems">
    <w:name w:val="Agenda Items"/>
    <w:basedOn w:val="Normal"/>
    <w:qFormat/>
    <w:rsid w:val="001F49B6"/>
    <w:pPr>
      <w:numPr>
        <w:numId w:val="5"/>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rPr>
      <w:b/>
    </w:rPr>
  </w:style>
  <w:style w:type="paragraph" w:customStyle="1" w:styleId="numberedlist">
    <w:name w:val="numbered list"/>
    <w:basedOn w:val="ListParagraph"/>
    <w:qFormat/>
    <w:rsid w:val="00736916"/>
    <w:pPr>
      <w:numPr>
        <w:numId w:val="3"/>
      </w:numPr>
    </w:pPr>
  </w:style>
  <w:style w:type="paragraph" w:customStyle="1" w:styleId="bulletedlist">
    <w:name w:val="bulleted list"/>
    <w:basedOn w:val="ListParagraph"/>
    <w:qFormat/>
    <w:rsid w:val="001475E8"/>
    <w:pPr>
      <w:numPr>
        <w:numId w:val="2"/>
      </w:numPr>
      <w:spacing w:after="240"/>
      <w:contextualSpacing w:val="0"/>
    </w:pPr>
  </w:style>
  <w:style w:type="paragraph" w:customStyle="1" w:styleId="submitterinformation">
    <w:name w:val="submitter information"/>
    <w:basedOn w:val="Normal"/>
    <w:qFormat/>
    <w:rsid w:val="00771DDB"/>
    <w:pPr>
      <w:jc w:val="center"/>
    </w:pPr>
  </w:style>
  <w:style w:type="paragraph" w:customStyle="1" w:styleId="NumberSeriesLevel1">
    <w:name w:val="Number Series Level 1"/>
    <w:basedOn w:val="Normal"/>
    <w:qFormat/>
    <w:rsid w:val="005A6EC6"/>
    <w:pPr>
      <w:numPr>
        <w:numId w:val="4"/>
      </w:numPr>
      <w:spacing w:after="120"/>
    </w:pPr>
    <w:rPr>
      <w:rFonts w:eastAsia="Calibri" w:cs="Times New Roman"/>
      <w:b/>
    </w:rPr>
  </w:style>
  <w:style w:type="paragraph" w:customStyle="1" w:styleId="NumberSeriesLevel2">
    <w:name w:val="Number Series Level 2"/>
    <w:basedOn w:val="Normal"/>
    <w:qFormat/>
    <w:rsid w:val="005A6EC6"/>
    <w:pPr>
      <w:numPr>
        <w:ilvl w:val="1"/>
        <w:numId w:val="4"/>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6"/>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7"/>
      </w:numPr>
      <w:spacing w:after="120" w:line="240" w:lineRule="auto"/>
    </w:pPr>
    <w:rPr>
      <w:rFonts w:ascii="Times New Roman" w:hAnsi="Times New Roman"/>
      <w:sz w:val="20"/>
    </w:rPr>
  </w:style>
  <w:style w:type="character" w:customStyle="1" w:styleId="Heading7Char">
    <w:name w:val="Heading 7 Char"/>
    <w:basedOn w:val="DefaultParagraphFont"/>
    <w:rsid w:val="00652FD1"/>
    <w:rPr>
      <w:rFonts w:ascii="Times New Roman Bold" w:hAnsi="Times New Roman Bold"/>
      <w:b/>
      <w:sz w:val="20"/>
    </w:rPr>
  </w:style>
  <w:style w:type="character" w:customStyle="1" w:styleId="Heading5Char">
    <w:name w:val="Heading 5 Char"/>
    <w:basedOn w:val="DefaultParagraphFont"/>
    <w:link w:val="Heading5"/>
    <w:uiPriority w:val="9"/>
    <w:rsid w:val="00D23265"/>
    <w:rPr>
      <w:rFonts w:asciiTheme="majorHAnsi" w:eastAsiaTheme="majorEastAsia" w:hAnsiTheme="majorHAnsi" w:cstheme="majorBidi"/>
      <w:color w:val="243F60" w:themeColor="accent1" w:themeShade="7F"/>
      <w:sz w:val="20"/>
    </w:rPr>
  </w:style>
  <w:style w:type="paragraph" w:customStyle="1" w:styleId="HB44Level1Indent">
    <w:name w:val="HB 44 Level 1 Indent"/>
    <w:basedOn w:val="HB44Level1Letters"/>
    <w:qFormat/>
    <w:rsid w:val="00D23265"/>
    <w:pPr>
      <w:ind w:left="720" w:firstLine="0"/>
    </w:pPr>
  </w:style>
  <w:style w:type="paragraph" w:customStyle="1" w:styleId="HB44Level2Indent">
    <w:name w:val="HB 44 Level 2 Indent"/>
    <w:basedOn w:val="HB44Level1Indent"/>
    <w:qFormat/>
    <w:rsid w:val="009B1F79"/>
    <w:pPr>
      <w:ind w:left="1080"/>
    </w:pPr>
  </w:style>
  <w:style w:type="paragraph" w:customStyle="1" w:styleId="HB44Level3Indent">
    <w:name w:val="HB 44 Level 3 Indent"/>
    <w:basedOn w:val="HB44Level2Indent"/>
    <w:qFormat/>
    <w:rsid w:val="009B1F79"/>
    <w:pPr>
      <w:ind w:left="1440"/>
    </w:pPr>
  </w:style>
  <w:style w:type="paragraph" w:customStyle="1" w:styleId="article">
    <w:name w:val="article"/>
    <w:basedOn w:val="Normal"/>
    <w:qFormat/>
    <w:rsid w:val="0061795A"/>
    <w:pPr>
      <w:numPr>
        <w:numId w:val="9"/>
      </w:numPr>
      <w:spacing w:before="240"/>
    </w:pPr>
    <w:rPr>
      <w:rFonts w:eastAsia="Calibri" w:cs="Times New Roman"/>
      <w:b/>
      <w:sz w:val="30"/>
      <w:szCs w:val="28"/>
    </w:rPr>
  </w:style>
  <w:style w:type="paragraph" w:customStyle="1" w:styleId="section">
    <w:name w:val="section"/>
    <w:basedOn w:val="Normal"/>
    <w:qFormat/>
    <w:rsid w:val="0061795A"/>
    <w:pPr>
      <w:numPr>
        <w:ilvl w:val="1"/>
        <w:numId w:val="9"/>
      </w:numPr>
      <w:spacing w:before="240"/>
    </w:pPr>
    <w:rPr>
      <w:rFonts w:eastAsia="Calibri" w:cs="Times New Roman"/>
      <w:b/>
      <w:sz w:val="24"/>
      <w:szCs w:val="24"/>
    </w:rPr>
  </w:style>
  <w:style w:type="paragraph" w:customStyle="1" w:styleId="copy">
    <w:name w:val="copy"/>
    <w:basedOn w:val="Normal"/>
    <w:qFormat/>
    <w:rsid w:val="0061795A"/>
    <w:pPr>
      <w:spacing w:after="120"/>
    </w:pPr>
    <w:rPr>
      <w:rFonts w:eastAsia="Calibri" w:cs="Times New Roman"/>
    </w:rPr>
  </w:style>
  <w:style w:type="paragraph" w:customStyle="1" w:styleId="letters">
    <w:name w:val="letters"/>
    <w:basedOn w:val="Normal"/>
    <w:qFormat/>
    <w:rsid w:val="0061795A"/>
    <w:pPr>
      <w:numPr>
        <w:ilvl w:val="2"/>
        <w:numId w:val="9"/>
      </w:numPr>
      <w:spacing w:after="120"/>
    </w:pPr>
    <w:rPr>
      <w:rFonts w:eastAsia="Calibri" w:cs="Times New Roman"/>
    </w:rPr>
  </w:style>
  <w:style w:type="paragraph" w:customStyle="1" w:styleId="numbers">
    <w:name w:val="numbers"/>
    <w:basedOn w:val="Normal"/>
    <w:qFormat/>
    <w:rsid w:val="0061795A"/>
    <w:pPr>
      <w:numPr>
        <w:ilvl w:val="3"/>
        <w:numId w:val="9"/>
      </w:numPr>
      <w:spacing w:after="120"/>
    </w:pPr>
    <w:rPr>
      <w:rFonts w:eastAsia="Calibri" w:cs="Times New Roman"/>
    </w:rPr>
  </w:style>
  <w:style w:type="paragraph" w:customStyle="1" w:styleId="indentedcopy">
    <w:name w:val="indented copy"/>
    <w:basedOn w:val="copy"/>
    <w:qFormat/>
    <w:rsid w:val="0061795A"/>
    <w:pPr>
      <w:ind w:left="360"/>
    </w:pPr>
  </w:style>
  <w:style w:type="paragraph" w:customStyle="1" w:styleId="lowercaseletters">
    <w:name w:val="lower case letters"/>
    <w:basedOn w:val="Normal"/>
    <w:qFormat/>
    <w:rsid w:val="0061795A"/>
    <w:pPr>
      <w:numPr>
        <w:ilvl w:val="4"/>
        <w:numId w:val="9"/>
      </w:numPr>
      <w:spacing w:after="120"/>
    </w:pPr>
    <w:rPr>
      <w:rFonts w:eastAsia="Calibri" w:cs="Times New Roman"/>
    </w:rPr>
  </w:style>
  <w:style w:type="paragraph" w:customStyle="1" w:styleId="sectionletter">
    <w:name w:val="section #letter"/>
    <w:basedOn w:val="section"/>
    <w:qFormat/>
    <w:rsid w:val="0061795A"/>
    <w:pPr>
      <w:numPr>
        <w:ilvl w:val="5"/>
      </w:numPr>
    </w:pPr>
  </w:style>
  <w:style w:type="paragraph" w:customStyle="1" w:styleId="sectionletterB">
    <w:name w:val="section #letterB"/>
    <w:basedOn w:val="sectionletter"/>
    <w:qFormat/>
    <w:rsid w:val="0061795A"/>
    <w:pPr>
      <w:numPr>
        <w:ilvl w:val="6"/>
      </w:numPr>
    </w:pPr>
  </w:style>
  <w:style w:type="paragraph" w:customStyle="1" w:styleId="BulletedIndent">
    <w:name w:val="Bulleted Indent"/>
    <w:basedOn w:val="Normal"/>
    <w:qFormat/>
    <w:rsid w:val="00036EA7"/>
    <w:pPr>
      <w:ind w:left="720"/>
    </w:pPr>
  </w:style>
  <w:style w:type="paragraph" w:customStyle="1" w:styleId="I-Normal">
    <w:name w:val="I - Normal"/>
    <w:basedOn w:val="Normal"/>
    <w:qFormat/>
    <w:rsid w:val="00585ED0"/>
    <w:pPr>
      <w:ind w:left="360"/>
    </w:pPr>
  </w:style>
  <w:style w:type="paragraph" w:customStyle="1" w:styleId="I-BYLAWletters">
    <w:name w:val="I - BYLAW letters"/>
    <w:basedOn w:val="I-Normal"/>
    <w:qFormat/>
    <w:rsid w:val="00585ED0"/>
    <w:pPr>
      <w:ind w:left="720" w:hanging="360"/>
    </w:pPr>
    <w:rPr>
      <w:b/>
    </w:rPr>
  </w:style>
  <w:style w:type="paragraph" w:customStyle="1" w:styleId="I-NORMAL1indent">
    <w:name w:val="I - NORMAL 1 indent"/>
    <w:basedOn w:val="Normal"/>
    <w:qFormat/>
    <w:rsid w:val="00585ED0"/>
    <w:pPr>
      <w:ind w:left="720"/>
    </w:pPr>
  </w:style>
  <w:style w:type="paragraph" w:customStyle="1" w:styleId="I-BYLAWs">
    <w:name w:val="I - BYLAW #s"/>
    <w:basedOn w:val="numbers"/>
    <w:qFormat/>
    <w:rsid w:val="00585ED0"/>
    <w:pPr>
      <w:ind w:left="1080"/>
    </w:pPr>
  </w:style>
  <w:style w:type="paragraph" w:customStyle="1" w:styleId="IntroHeading">
    <w:name w:val="Intro Heading"/>
    <w:basedOn w:val="Heading1"/>
    <w:qFormat/>
    <w:rsid w:val="0027694A"/>
  </w:style>
  <w:style w:type="paragraph" w:customStyle="1" w:styleId="RomanSecondaryHeading">
    <w:name w:val="Roman Secondary Heading"/>
    <w:basedOn w:val="BoldHeading"/>
    <w:qFormat/>
    <w:rsid w:val="00240975"/>
  </w:style>
  <w:style w:type="paragraph" w:customStyle="1" w:styleId="IntentionallyBlank">
    <w:name w:val="Intentionally Blank"/>
    <w:basedOn w:val="Normal"/>
    <w:qFormat/>
    <w:rsid w:val="00240975"/>
    <w:pPr>
      <w:spacing w:before="3240"/>
      <w:jc w:val="center"/>
    </w:pPr>
    <w:rPr>
      <w:caps/>
    </w:rPr>
  </w:style>
  <w:style w:type="paragraph" w:customStyle="1" w:styleId="agenda">
    <w:name w:val="agenda"/>
    <w:basedOn w:val="Heading1"/>
    <w:qFormat/>
    <w:rsid w:val="006327A5"/>
    <w:pPr>
      <w:spacing w:before="120" w:after="120"/>
    </w:pPr>
  </w:style>
  <w:style w:type="paragraph" w:customStyle="1" w:styleId="AppendixHeading-TOC">
    <w:name w:val="Appendix Heading - TOC"/>
    <w:basedOn w:val="AppendixHeading"/>
    <w:qFormat/>
    <w:rsid w:val="006327A5"/>
  </w:style>
  <w:style w:type="character" w:styleId="Strong">
    <w:name w:val="Strong"/>
    <w:basedOn w:val="DefaultParagraphFont"/>
    <w:uiPriority w:val="22"/>
    <w:qFormat/>
    <w:rsid w:val="00A47368"/>
    <w:rPr>
      <w:b/>
      <w:bCs/>
    </w:rPr>
  </w:style>
  <w:style w:type="character" w:styleId="CommentReference">
    <w:name w:val="annotation reference"/>
    <w:basedOn w:val="DefaultParagraphFont"/>
    <w:uiPriority w:val="99"/>
    <w:semiHidden/>
    <w:unhideWhenUsed/>
    <w:rsid w:val="0026202D"/>
    <w:rPr>
      <w:sz w:val="16"/>
      <w:szCs w:val="16"/>
    </w:rPr>
  </w:style>
  <w:style w:type="paragraph" w:styleId="CommentText">
    <w:name w:val="annotation text"/>
    <w:basedOn w:val="Normal"/>
    <w:link w:val="CommentTextChar"/>
    <w:uiPriority w:val="99"/>
    <w:semiHidden/>
    <w:unhideWhenUsed/>
    <w:rsid w:val="0026202D"/>
    <w:rPr>
      <w:szCs w:val="20"/>
    </w:rPr>
  </w:style>
  <w:style w:type="character" w:customStyle="1" w:styleId="CommentTextChar">
    <w:name w:val="Comment Text Char"/>
    <w:basedOn w:val="DefaultParagraphFont"/>
    <w:link w:val="CommentText"/>
    <w:uiPriority w:val="99"/>
    <w:semiHidden/>
    <w:rsid w:val="0026202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6202D"/>
    <w:rPr>
      <w:b/>
      <w:bCs/>
    </w:rPr>
  </w:style>
  <w:style w:type="character" w:customStyle="1" w:styleId="CommentSubjectChar">
    <w:name w:val="Comment Subject Char"/>
    <w:basedOn w:val="CommentTextChar"/>
    <w:link w:val="CommentSubject"/>
    <w:uiPriority w:val="99"/>
    <w:semiHidden/>
    <w:rsid w:val="0026202D"/>
    <w:rPr>
      <w:rFonts w:ascii="Times New Roman" w:hAnsi="Times New Roman"/>
      <w:b/>
      <w:bCs/>
      <w:sz w:val="20"/>
      <w:szCs w:val="20"/>
    </w:rPr>
  </w:style>
  <w:style w:type="character" w:styleId="FollowedHyperlink">
    <w:name w:val="FollowedHyperlink"/>
    <w:basedOn w:val="DefaultParagraphFont"/>
    <w:uiPriority w:val="99"/>
    <w:semiHidden/>
    <w:unhideWhenUsed/>
    <w:rsid w:val="00B27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4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06-bod-appdx-a-12-annual-final.docx"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06-bod-appdx-a-12-annual-final.docx" TargetMode="External"/><Relationship Id="rId17" Type="http://schemas.openxmlformats.org/officeDocument/2006/relationships/hyperlink" Target="mailto:luanne.groenjes@ncwm.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cwm.net/examination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06-bod-appdx-a-12-annual-final.docx"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06-bod-appdx-b-12-annual-final.docx" TargetMode="External"/><Relationship Id="rId23" Type="http://schemas.openxmlformats.org/officeDocument/2006/relationships/header" Target="header3.xml"/><Relationship Id="rId10" Type="http://schemas.openxmlformats.org/officeDocument/2006/relationships/hyperlink" Target="06-bod-appdx-a-12-annual-final.doc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06-bod-appdx-a-12-annual-final.docx" TargetMode="External"/><Relationship Id="rId14" Type="http://schemas.openxmlformats.org/officeDocument/2006/relationships/hyperlink" Target="06-bod-appdx-b-12-annual-final.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B083E-9CBA-452A-83F5-56DF09D00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14</Pages>
  <Words>5830</Words>
  <Characters>35043</Characters>
  <Application>Microsoft Office Word</Application>
  <DocSecurity>0</DocSecurity>
  <Lines>1401</Lines>
  <Paragraphs>504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Crown, Linda D.</cp:lastModifiedBy>
  <cp:revision>29</cp:revision>
  <cp:lastPrinted>2012-08-29T17:56:00Z</cp:lastPrinted>
  <dcterms:created xsi:type="dcterms:W3CDTF">2012-12-17T16:16:00Z</dcterms:created>
  <dcterms:modified xsi:type="dcterms:W3CDTF">2013-06-27T19:36:00Z</dcterms:modified>
</cp:coreProperties>
</file>