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FA9" w:rsidRDefault="00A34FA9" w:rsidP="00A34FA9">
      <w:pPr>
        <w:tabs>
          <w:tab w:val="right" w:leader="dot" w:pos="9360"/>
        </w:tabs>
        <w:rPr>
          <w:b/>
          <w:bCs/>
          <w:noProof/>
          <w:sz w:val="12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0"/>
      </w:tblGrid>
      <w:tr w:rsidR="00A34FA9" w:rsidTr="00A91BF4">
        <w:tc>
          <w:tcPr>
            <w:tcW w:w="9350" w:type="dxa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</w:tcPr>
          <w:p w:rsidR="00A34FA9" w:rsidRDefault="00A34FA9" w:rsidP="00A91BF4">
            <w:pPr>
              <w:keepNext/>
              <w:jc w:val="center"/>
              <w:rPr>
                <w:b/>
                <w:bCs/>
                <w:sz w:val="12"/>
              </w:rPr>
            </w:pPr>
          </w:p>
        </w:tc>
      </w:tr>
      <w:tr w:rsidR="00A34FA9" w:rsidTr="00A91BF4">
        <w:tc>
          <w:tcPr>
            <w:tcW w:w="93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A34FA9" w:rsidRPr="008F0613" w:rsidRDefault="00A34FA9" w:rsidP="00A91BF4">
            <w:pPr>
              <w:pStyle w:val="Heading1"/>
              <w:outlineLvl w:val="0"/>
            </w:pPr>
            <w:bookmarkStart w:id="1" w:name="_Toc464111539"/>
            <w:bookmarkStart w:id="2" w:name="_Toc464123742"/>
            <w:bookmarkStart w:id="3" w:name="_Toc496108440"/>
            <w:r>
              <w:rPr>
                <w:rFonts w:ascii="ZWAdobeF" w:hAnsi="ZWAdobeF" w:cs="ZWAdobeF"/>
                <w:b w:val="0"/>
                <w:sz w:val="2"/>
                <w:szCs w:val="2"/>
              </w:rPr>
              <w:t>4B</w:t>
            </w:r>
            <w:r>
              <w:t>2017 Amendments</w:t>
            </w:r>
            <w:bookmarkEnd w:id="1"/>
            <w:bookmarkEnd w:id="2"/>
            <w:bookmarkEnd w:id="3"/>
          </w:p>
        </w:tc>
      </w:tr>
    </w:tbl>
    <w:p w:rsidR="00A34FA9" w:rsidRDefault="00A34FA9" w:rsidP="00A34FA9">
      <w:pPr>
        <w:spacing w:before="240" w:after="360"/>
      </w:pPr>
      <w:r w:rsidRPr="001E1218">
        <w:t xml:space="preserve">The following table </w:t>
      </w:r>
      <w:r>
        <w:t xml:space="preserve">indicates the items </w:t>
      </w:r>
      <w:r w:rsidRPr="001E1218">
        <w:t xml:space="preserve">amended by the </w:t>
      </w:r>
      <w:r>
        <w:t>102</w:t>
      </w:r>
      <w:r>
        <w:rPr>
          <w:rFonts w:ascii="ZWAdobeF" w:hAnsi="ZWAdobeF" w:cs="ZWAdobeF"/>
          <w:color w:val="auto"/>
          <w:sz w:val="2"/>
          <w:szCs w:val="2"/>
        </w:rPr>
        <w:t>P</w:t>
      </w:r>
      <w:r>
        <w:rPr>
          <w:vertAlign w:val="superscript"/>
        </w:rPr>
        <w:t>nd</w:t>
      </w:r>
      <w:r>
        <w:rPr>
          <w:rFonts w:ascii="ZWAdobeF" w:hAnsi="ZWAdobeF" w:cs="ZWAdobeF"/>
          <w:color w:val="auto"/>
          <w:sz w:val="2"/>
          <w:szCs w:val="2"/>
        </w:rPr>
        <w:t>PP</w:t>
      </w:r>
      <w:r w:rsidRPr="001E1218">
        <w:rPr>
          <w:vertAlign w:val="superscript"/>
        </w:rPr>
        <w:t xml:space="preserve"> </w:t>
      </w:r>
      <w:proofErr w:type="gramStart"/>
      <w:r>
        <w:rPr>
          <w:rFonts w:ascii="ZWAdobeF" w:hAnsi="ZWAdobeF" w:cs="ZWAdobeF"/>
          <w:color w:val="auto"/>
          <w:sz w:val="2"/>
          <w:szCs w:val="2"/>
        </w:rPr>
        <w:t>P</w:t>
      </w:r>
      <w:r w:rsidRPr="001E1218">
        <w:t>(</w:t>
      </w:r>
      <w:proofErr w:type="gramEnd"/>
      <w:r w:rsidRPr="001E1218">
        <w:t>20</w:t>
      </w:r>
      <w:r>
        <w:t>17)</w:t>
      </w:r>
      <w:r w:rsidRPr="001E1218">
        <w:t xml:space="preserve"> National Conference on Weights and Measures (NCWM).  As appropriate, the text on the cited pages indicates the changes to </w:t>
      </w:r>
      <w:r>
        <w:t>a Handbook 133</w:t>
      </w:r>
      <w:r w:rsidRPr="001E1218">
        <w:t xml:space="preserve"> section, or paragraph as “Added 20</w:t>
      </w:r>
      <w:r>
        <w:t>17</w:t>
      </w:r>
      <w:r w:rsidRPr="001E1218">
        <w:t>” or “Amended 20</w:t>
      </w:r>
      <w:r>
        <w:t>17</w:t>
      </w:r>
      <w:r w:rsidRPr="001E1218">
        <w:t>.”  Unless otherwise noted, the effective date of the regulations added or amended in 201</w:t>
      </w:r>
      <w:r>
        <w:t>7</w:t>
      </w:r>
      <w:r w:rsidRPr="001E1218">
        <w:t xml:space="preserve"> is January 1, 201</w:t>
      </w:r>
      <w:r>
        <w:t>8</w:t>
      </w:r>
      <w:r w:rsidRPr="001E1218">
        <w:t>.</w:t>
      </w:r>
    </w:p>
    <w:tbl>
      <w:tblPr>
        <w:tblStyle w:val="TableGrid7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235"/>
        <w:gridCol w:w="1350"/>
        <w:gridCol w:w="2790"/>
        <w:gridCol w:w="1980"/>
        <w:gridCol w:w="975"/>
      </w:tblGrid>
      <w:tr w:rsidR="00A34FA9" w:rsidTr="00A91BF4">
        <w:tc>
          <w:tcPr>
            <w:tcW w:w="22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FA9" w:rsidRPr="00483B74" w:rsidRDefault="00A34FA9" w:rsidP="00A91BF4">
            <w:pPr>
              <w:jc w:val="center"/>
            </w:pPr>
            <w:r w:rsidRPr="006C6592">
              <w:rPr>
                <w:b/>
                <w:color w:val="auto"/>
              </w:rPr>
              <w:t>Chapter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FA9" w:rsidRPr="00483B74" w:rsidRDefault="00A34FA9" w:rsidP="00A91BF4">
            <w:pPr>
              <w:jc w:val="center"/>
            </w:pPr>
            <w:r w:rsidRPr="006C6592">
              <w:rPr>
                <w:b/>
                <w:color w:val="auto"/>
              </w:rPr>
              <w:t>L&amp;R</w:t>
            </w:r>
            <w:r w:rsidRPr="006C6592">
              <w:rPr>
                <w:b/>
                <w:color w:val="auto"/>
              </w:rPr>
              <w:br/>
              <w:t>Committee</w:t>
            </w:r>
            <w:r w:rsidRPr="006C6592">
              <w:rPr>
                <w:b/>
                <w:color w:val="auto"/>
              </w:rPr>
              <w:br/>
              <w:t>Item No.</w:t>
            </w:r>
          </w:p>
        </w:tc>
        <w:tc>
          <w:tcPr>
            <w:tcW w:w="279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FA9" w:rsidRPr="00483B74" w:rsidRDefault="00A34FA9" w:rsidP="00A91BF4">
            <w:pPr>
              <w:jc w:val="center"/>
            </w:pPr>
            <w:r w:rsidRPr="006C6592">
              <w:rPr>
                <w:b/>
                <w:color w:val="auto"/>
              </w:rPr>
              <w:t>Section</w:t>
            </w:r>
          </w:p>
        </w:tc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FA9" w:rsidRPr="00483B74" w:rsidRDefault="00A34FA9" w:rsidP="00A91BF4">
            <w:pPr>
              <w:jc w:val="center"/>
            </w:pPr>
            <w:r w:rsidRPr="006C6592">
              <w:rPr>
                <w:b/>
                <w:color w:val="auto"/>
              </w:rPr>
              <w:t>Action</w:t>
            </w:r>
          </w:p>
        </w:tc>
        <w:tc>
          <w:tcPr>
            <w:tcW w:w="97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34FA9" w:rsidRPr="00483B74" w:rsidRDefault="00A34FA9" w:rsidP="00A91BF4">
            <w:pPr>
              <w:jc w:val="center"/>
            </w:pPr>
            <w:r w:rsidRPr="006C6592">
              <w:rPr>
                <w:b/>
                <w:color w:val="auto"/>
              </w:rPr>
              <w:t>Page</w:t>
            </w:r>
          </w:p>
        </w:tc>
      </w:tr>
      <w:tr w:rsidR="00A34FA9" w:rsidTr="00A91BF4">
        <w:tc>
          <w:tcPr>
            <w:tcW w:w="2235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A34FA9" w:rsidRPr="00706F29" w:rsidRDefault="00A34FA9" w:rsidP="00A91BF4">
            <w:pPr>
              <w:spacing w:after="120"/>
              <w:jc w:val="left"/>
            </w:pPr>
            <w:r>
              <w:t>Chapter 1. General Information</w:t>
            </w:r>
          </w:p>
        </w:tc>
        <w:tc>
          <w:tcPr>
            <w:tcW w:w="1350" w:type="dxa"/>
            <w:tcBorders>
              <w:top w:val="double" w:sz="4" w:space="0" w:color="auto"/>
              <w:bottom w:val="thinThickSmallGap" w:sz="24" w:space="0" w:color="auto"/>
            </w:tcBorders>
            <w:vAlign w:val="center"/>
          </w:tcPr>
          <w:p w:rsidR="00A34FA9" w:rsidRPr="00706F29" w:rsidRDefault="00A34FA9" w:rsidP="00A91BF4">
            <w:pPr>
              <w:jc w:val="center"/>
            </w:pPr>
            <w:r>
              <w:t>2600-1</w:t>
            </w:r>
          </w:p>
        </w:tc>
        <w:tc>
          <w:tcPr>
            <w:tcW w:w="279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34FA9" w:rsidRPr="00706F29" w:rsidRDefault="00A34FA9" w:rsidP="00A91BF4">
            <w:r>
              <w:t xml:space="preserve">1.2.1. Inspection Lot </w:t>
            </w:r>
          </w:p>
        </w:tc>
        <w:tc>
          <w:tcPr>
            <w:tcW w:w="1980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34FA9" w:rsidRPr="00706F29" w:rsidRDefault="00A34FA9" w:rsidP="00A91BF4">
            <w:r>
              <w:t>Amended</w:t>
            </w:r>
          </w:p>
        </w:tc>
        <w:tc>
          <w:tcPr>
            <w:tcW w:w="975" w:type="dxa"/>
            <w:tcBorders>
              <w:top w:val="double" w:sz="4" w:space="0" w:color="auto"/>
              <w:bottom w:val="thinThickSmallGap" w:sz="24" w:space="0" w:color="auto"/>
            </w:tcBorders>
          </w:tcPr>
          <w:p w:rsidR="00A34FA9" w:rsidRPr="00706F29" w:rsidRDefault="00A34FA9" w:rsidP="00A91BF4">
            <w:pPr>
              <w:jc w:val="center"/>
            </w:pPr>
            <w:r>
              <w:t>6</w:t>
            </w:r>
          </w:p>
        </w:tc>
      </w:tr>
      <w:tr w:rsidR="00A34FA9" w:rsidTr="00A91BF4">
        <w:tc>
          <w:tcPr>
            <w:tcW w:w="2235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34FA9" w:rsidRPr="00706F29" w:rsidRDefault="00A34FA9" w:rsidP="00A91BF4">
            <w:pPr>
              <w:jc w:val="left"/>
            </w:pPr>
            <w:r>
              <w:t xml:space="preserve">Chapter 3. Test Procedures – For Packages Labeled by Volume </w:t>
            </w:r>
          </w:p>
        </w:tc>
        <w:tc>
          <w:tcPr>
            <w:tcW w:w="1350" w:type="dxa"/>
            <w:vMerge w:val="restart"/>
            <w:tcBorders>
              <w:top w:val="thinThickSmallGap" w:sz="24" w:space="0" w:color="auto"/>
              <w:bottom w:val="thinThickSmallGap" w:sz="24" w:space="0" w:color="auto"/>
            </w:tcBorders>
            <w:vAlign w:val="center"/>
          </w:tcPr>
          <w:p w:rsidR="00A34FA9" w:rsidRPr="00706F29" w:rsidRDefault="00A34FA9" w:rsidP="00A91BF4">
            <w:pPr>
              <w:jc w:val="center"/>
            </w:pPr>
            <w:r>
              <w:t>2600-1</w:t>
            </w:r>
          </w:p>
        </w:tc>
        <w:tc>
          <w:tcPr>
            <w:tcW w:w="2790" w:type="dxa"/>
          </w:tcPr>
          <w:p w:rsidR="00A34FA9" w:rsidRDefault="00A34FA9" w:rsidP="00A91BF4">
            <w:r>
              <w:t>3.10. Mulch and Soils Labeled by Volume,</w:t>
            </w:r>
          </w:p>
          <w:p w:rsidR="00A34FA9" w:rsidRPr="00706F29" w:rsidRDefault="00A34FA9" w:rsidP="00A91BF4">
            <w:pPr>
              <w:spacing w:after="120"/>
            </w:pPr>
            <w:r>
              <w:t>Table 3-4. Specifications for Test Measures for Mulch and Soils</w:t>
            </w:r>
          </w:p>
        </w:tc>
        <w:tc>
          <w:tcPr>
            <w:tcW w:w="1980" w:type="dxa"/>
          </w:tcPr>
          <w:p w:rsidR="00A34FA9" w:rsidRPr="00706F29" w:rsidRDefault="00A34FA9" w:rsidP="00A91BF4">
            <w:r>
              <w:t>Amended</w:t>
            </w:r>
          </w:p>
        </w:tc>
        <w:tc>
          <w:tcPr>
            <w:tcW w:w="975" w:type="dxa"/>
          </w:tcPr>
          <w:p w:rsidR="00A34FA9" w:rsidRPr="00706F29" w:rsidRDefault="00A34FA9" w:rsidP="00A91BF4">
            <w:pPr>
              <w:jc w:val="center"/>
            </w:pPr>
            <w:r>
              <w:t>68</w:t>
            </w:r>
          </w:p>
        </w:tc>
      </w:tr>
      <w:tr w:rsidR="00A34FA9" w:rsidTr="00A91BF4">
        <w:tc>
          <w:tcPr>
            <w:tcW w:w="2235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34FA9" w:rsidRDefault="00A34FA9" w:rsidP="00A91BF4">
            <w:pPr>
              <w:jc w:val="left"/>
            </w:pPr>
          </w:p>
        </w:tc>
        <w:tc>
          <w:tcPr>
            <w:tcW w:w="1350" w:type="dxa"/>
            <w:vMerge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A34FA9" w:rsidRDefault="00A34FA9" w:rsidP="00A91BF4">
            <w:pPr>
              <w:jc w:val="center"/>
            </w:pPr>
          </w:p>
        </w:tc>
        <w:tc>
          <w:tcPr>
            <w:tcW w:w="279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A34FA9" w:rsidRDefault="00A34FA9" w:rsidP="00A91BF4">
            <w:pPr>
              <w:spacing w:after="120"/>
            </w:pPr>
            <w:r>
              <w:t>3.10.2. Test Procedure</w:t>
            </w:r>
          </w:p>
        </w:tc>
        <w:tc>
          <w:tcPr>
            <w:tcW w:w="1980" w:type="dxa"/>
            <w:tcBorders>
              <w:top w:val="single" w:sz="6" w:space="0" w:color="auto"/>
              <w:bottom w:val="thinThickSmallGap" w:sz="24" w:space="0" w:color="auto"/>
            </w:tcBorders>
          </w:tcPr>
          <w:p w:rsidR="00A34FA9" w:rsidRDefault="00A34FA9" w:rsidP="00A91BF4">
            <w:pPr>
              <w:spacing w:after="120"/>
            </w:pPr>
            <w:r>
              <w:t>Amended</w:t>
            </w:r>
          </w:p>
        </w:tc>
        <w:tc>
          <w:tcPr>
            <w:tcW w:w="975" w:type="dxa"/>
            <w:tcBorders>
              <w:top w:val="single" w:sz="6" w:space="0" w:color="auto"/>
              <w:bottom w:val="thinThickSmallGap" w:sz="24" w:space="0" w:color="auto"/>
            </w:tcBorders>
          </w:tcPr>
          <w:p w:rsidR="00A34FA9" w:rsidRDefault="00A34FA9" w:rsidP="00A91BF4">
            <w:pPr>
              <w:spacing w:after="120"/>
              <w:jc w:val="center"/>
            </w:pPr>
            <w:r>
              <w:t>70</w:t>
            </w:r>
          </w:p>
        </w:tc>
      </w:tr>
      <w:tr w:rsidR="00A34FA9" w:rsidTr="00A91BF4">
        <w:tc>
          <w:tcPr>
            <w:tcW w:w="2235" w:type="dxa"/>
            <w:vMerge w:val="restart"/>
            <w:vAlign w:val="center"/>
          </w:tcPr>
          <w:p w:rsidR="00A34FA9" w:rsidRPr="00706F29" w:rsidRDefault="00A34FA9" w:rsidP="00A91BF4">
            <w:pPr>
              <w:jc w:val="left"/>
            </w:pPr>
            <w:r>
              <w:t>Chapter 4.  Test Procedures – Packages Labeled by Count, Linear Measure, Area, Thickness, and Combinations of Quantities</w:t>
            </w:r>
          </w:p>
        </w:tc>
        <w:tc>
          <w:tcPr>
            <w:tcW w:w="1350" w:type="dxa"/>
            <w:vMerge w:val="restart"/>
            <w:vAlign w:val="center"/>
          </w:tcPr>
          <w:p w:rsidR="00A34FA9" w:rsidRPr="00706F29" w:rsidRDefault="00A34FA9" w:rsidP="00A91BF4">
            <w:pPr>
              <w:jc w:val="center"/>
            </w:pPr>
            <w:r>
              <w:t>2600-4</w:t>
            </w:r>
          </w:p>
        </w:tc>
        <w:tc>
          <w:tcPr>
            <w:tcW w:w="2790" w:type="dxa"/>
          </w:tcPr>
          <w:p w:rsidR="00A34FA9" w:rsidRDefault="00A34FA9" w:rsidP="00A91BF4">
            <w:pPr>
              <w:spacing w:after="120"/>
            </w:pPr>
            <w:r>
              <w:t>4.5. Polyethylene Sheeting, Bags, and Liners</w:t>
            </w:r>
          </w:p>
        </w:tc>
        <w:tc>
          <w:tcPr>
            <w:tcW w:w="1980" w:type="dxa"/>
          </w:tcPr>
          <w:p w:rsidR="00A34FA9" w:rsidRDefault="00A34FA9" w:rsidP="00A91BF4">
            <w:r>
              <w:t>Title Amended</w:t>
            </w:r>
          </w:p>
        </w:tc>
        <w:tc>
          <w:tcPr>
            <w:tcW w:w="975" w:type="dxa"/>
          </w:tcPr>
          <w:p w:rsidR="00A34FA9" w:rsidRDefault="00A34FA9" w:rsidP="00A91BF4">
            <w:pPr>
              <w:jc w:val="center"/>
            </w:pPr>
            <w:r>
              <w:t>122</w:t>
            </w:r>
          </w:p>
        </w:tc>
      </w:tr>
      <w:tr w:rsidR="00A34FA9" w:rsidTr="00A91BF4">
        <w:tc>
          <w:tcPr>
            <w:tcW w:w="2235" w:type="dxa"/>
            <w:vMerge/>
            <w:vAlign w:val="center"/>
          </w:tcPr>
          <w:p w:rsidR="00A34FA9" w:rsidRPr="00706F29" w:rsidRDefault="00A34FA9" w:rsidP="00A91BF4">
            <w:pPr>
              <w:jc w:val="left"/>
            </w:pPr>
          </w:p>
        </w:tc>
        <w:tc>
          <w:tcPr>
            <w:tcW w:w="1350" w:type="dxa"/>
            <w:vMerge/>
            <w:vAlign w:val="center"/>
          </w:tcPr>
          <w:p w:rsidR="00A34FA9" w:rsidRPr="00706F29" w:rsidRDefault="00A34FA9" w:rsidP="00A91BF4">
            <w:pPr>
              <w:jc w:val="center"/>
            </w:pPr>
          </w:p>
        </w:tc>
        <w:tc>
          <w:tcPr>
            <w:tcW w:w="2790" w:type="dxa"/>
          </w:tcPr>
          <w:p w:rsidR="00A34FA9" w:rsidRDefault="00A34FA9" w:rsidP="00A91BF4">
            <w:pPr>
              <w:spacing w:after="120"/>
            </w:pPr>
            <w:r>
              <w:t>4.5.2. a. Test Procedure for Polyethylene Sheeting</w:t>
            </w:r>
          </w:p>
        </w:tc>
        <w:tc>
          <w:tcPr>
            <w:tcW w:w="1980" w:type="dxa"/>
          </w:tcPr>
          <w:p w:rsidR="00A34FA9" w:rsidRDefault="00A34FA9" w:rsidP="00A91BF4">
            <w:r>
              <w:t>Amended</w:t>
            </w:r>
          </w:p>
        </w:tc>
        <w:tc>
          <w:tcPr>
            <w:tcW w:w="975" w:type="dxa"/>
          </w:tcPr>
          <w:p w:rsidR="00A34FA9" w:rsidRDefault="00A34FA9" w:rsidP="00A91BF4">
            <w:pPr>
              <w:jc w:val="center"/>
            </w:pPr>
            <w:r>
              <w:t>123</w:t>
            </w:r>
          </w:p>
        </w:tc>
      </w:tr>
      <w:tr w:rsidR="00A34FA9" w:rsidTr="00A91BF4">
        <w:tc>
          <w:tcPr>
            <w:tcW w:w="2235" w:type="dxa"/>
            <w:vMerge/>
            <w:vAlign w:val="center"/>
          </w:tcPr>
          <w:p w:rsidR="00A34FA9" w:rsidRPr="00706F29" w:rsidRDefault="00A34FA9" w:rsidP="00A91BF4">
            <w:pPr>
              <w:jc w:val="left"/>
            </w:pPr>
          </w:p>
        </w:tc>
        <w:tc>
          <w:tcPr>
            <w:tcW w:w="1350" w:type="dxa"/>
            <w:vMerge/>
          </w:tcPr>
          <w:p w:rsidR="00A34FA9" w:rsidRPr="00706F29" w:rsidRDefault="00A34FA9" w:rsidP="00A91BF4"/>
        </w:tc>
        <w:tc>
          <w:tcPr>
            <w:tcW w:w="2790" w:type="dxa"/>
          </w:tcPr>
          <w:p w:rsidR="00A34FA9" w:rsidRPr="00706F29" w:rsidRDefault="00A34FA9" w:rsidP="00A91BF4">
            <w:pPr>
              <w:spacing w:after="120"/>
            </w:pPr>
            <w:r>
              <w:t>4.5.2. b. Test Procedure for Polyethylene Bags and Liners.</w:t>
            </w:r>
          </w:p>
        </w:tc>
        <w:tc>
          <w:tcPr>
            <w:tcW w:w="1980" w:type="dxa"/>
          </w:tcPr>
          <w:p w:rsidR="00A34FA9" w:rsidRPr="00706F29" w:rsidRDefault="00A34FA9" w:rsidP="00A91BF4">
            <w:r>
              <w:t>Added</w:t>
            </w:r>
          </w:p>
        </w:tc>
        <w:tc>
          <w:tcPr>
            <w:tcW w:w="975" w:type="dxa"/>
          </w:tcPr>
          <w:p w:rsidR="00A34FA9" w:rsidRPr="00706F29" w:rsidRDefault="00A34FA9" w:rsidP="00A91BF4">
            <w:pPr>
              <w:jc w:val="center"/>
            </w:pPr>
            <w:r>
              <w:t>126</w:t>
            </w:r>
          </w:p>
        </w:tc>
      </w:tr>
    </w:tbl>
    <w:p w:rsidR="00A34FA9" w:rsidRDefault="00A34FA9" w:rsidP="00A34FA9">
      <w:pPr>
        <w:spacing w:before="240" w:after="360"/>
      </w:pPr>
    </w:p>
    <w:p w:rsidR="00B26960" w:rsidRDefault="00B26960"/>
    <w:sectPr w:rsidR="00B2696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FA9" w:rsidRDefault="00A34FA9" w:rsidP="00A34FA9">
      <w:r>
        <w:separator/>
      </w:r>
    </w:p>
  </w:endnote>
  <w:endnote w:type="continuationSeparator" w:id="0">
    <w:p w:rsidR="00A34FA9" w:rsidRDefault="00A34FA9" w:rsidP="00A3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061" w:rsidRPr="000F0061" w:rsidRDefault="000F0061" w:rsidP="000F0061">
    <w:pPr>
      <w:pStyle w:val="Footer"/>
      <w:jc w:val="center"/>
      <w:rPr>
        <w:sz w:val="20"/>
      </w:rPr>
    </w:pPr>
    <w:r w:rsidRPr="000F0061">
      <w:rPr>
        <w:sz w:val="20"/>
      </w:rPr>
      <w:t>xix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FA9" w:rsidRDefault="00A34FA9" w:rsidP="00A34FA9">
      <w:r>
        <w:separator/>
      </w:r>
    </w:p>
  </w:footnote>
  <w:footnote w:type="continuationSeparator" w:id="0">
    <w:p w:rsidR="00A34FA9" w:rsidRDefault="00A34FA9" w:rsidP="00A34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4FA9" w:rsidRDefault="00A34FA9">
    <w:pPr>
      <w:pStyle w:val="Header"/>
    </w:pPr>
    <w:r w:rsidRPr="004A0631">
      <w:rPr>
        <w:sz w:val="20"/>
      </w:rPr>
      <w:t>Handbook 133 – 2018</w:t>
    </w:r>
    <w:r>
      <w:rPr>
        <w:sz w:val="20"/>
      </w:rPr>
      <w:tab/>
    </w:r>
    <w:r>
      <w:rPr>
        <w:sz w:val="20"/>
      </w:rPr>
      <w:tab/>
      <w:t>2017 Amendments/Editorial Changes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A9"/>
    <w:rsid w:val="000F0061"/>
    <w:rsid w:val="003150B4"/>
    <w:rsid w:val="003411D4"/>
    <w:rsid w:val="00A34FA9"/>
    <w:rsid w:val="00B2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4F97D"/>
  <w15:chartTrackingRefBased/>
  <w15:docId w15:val="{F02499FB-B542-41CA-AEFB-1155234CA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4FA9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Cs w:val="20"/>
    </w:rPr>
  </w:style>
  <w:style w:type="paragraph" w:styleId="Heading1">
    <w:name w:val="heading 1"/>
    <w:basedOn w:val="Normal"/>
    <w:next w:val="Normal"/>
    <w:link w:val="Heading1Char"/>
    <w:qFormat/>
    <w:rsid w:val="00A34FA9"/>
    <w:pPr>
      <w:keepNext/>
      <w:spacing w:before="120" w:after="120"/>
      <w:jc w:val="center"/>
      <w:outlineLvl w:val="0"/>
    </w:pPr>
    <w:rPr>
      <w:rFonts w:ascii="Times New Roman Bold" w:hAnsi="Times New Roman Bold" w:cs="Arial"/>
      <w:b/>
      <w:bCs/>
      <w:color w:val="auto"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34FA9"/>
    <w:rPr>
      <w:rFonts w:ascii="Times New Roman Bold" w:eastAsia="Times New Roman" w:hAnsi="Times New Roman Bold" w:cs="Arial"/>
      <w:b/>
      <w:bCs/>
      <w:kern w:val="32"/>
      <w:sz w:val="28"/>
      <w:szCs w:val="32"/>
    </w:rPr>
  </w:style>
  <w:style w:type="table" w:styleId="TableGrid">
    <w:name w:val="Table Grid"/>
    <w:basedOn w:val="TableNormal"/>
    <w:rsid w:val="00A3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A34F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F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4FA9"/>
    <w:rPr>
      <w:rFonts w:ascii="Times New Roman" w:eastAsia="Times New Roman" w:hAnsi="Times New Roman" w:cs="Times New Roman"/>
      <w:color w:val="000000"/>
      <w:szCs w:val="20"/>
    </w:rPr>
  </w:style>
  <w:style w:type="paragraph" w:styleId="Footer">
    <w:name w:val="footer"/>
    <w:basedOn w:val="Normal"/>
    <w:link w:val="FooterChar"/>
    <w:uiPriority w:val="99"/>
    <w:unhideWhenUsed/>
    <w:rsid w:val="00A34F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4FA9"/>
    <w:rPr>
      <w:rFonts w:ascii="Times New Roman" w:eastAsia="Times New Roman" w:hAnsi="Times New Roman" w:cs="Times New Roman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Culliton, Taylor (Fed)</dc:creator>
  <cp:keywords/>
  <dc:description/>
  <cp:lastModifiedBy>Culliton, Taylor (Fed)</cp:lastModifiedBy>
  <cp:revision>2</cp:revision>
  <dcterms:created xsi:type="dcterms:W3CDTF">2017-10-23T14:27:00Z</dcterms:created>
  <dcterms:modified xsi:type="dcterms:W3CDTF">2017-10-23T14:43:00Z</dcterms:modified>
</cp:coreProperties>
</file>