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9350"/>
      </w:tblGrid>
      <w:tr w:rsidR="007F0EC9" w:rsidRPr="007F0EC9" w:rsidTr="00005384">
        <w:tc>
          <w:tcPr>
            <w:tcW w:w="9350" w:type="dxa"/>
            <w:tcBorders>
              <w:top w:val="single" w:sz="18" w:space="0" w:color="auto"/>
              <w:left w:val="nil"/>
              <w:bottom w:val="single" w:sz="8" w:space="0" w:color="auto"/>
              <w:right w:val="nil"/>
            </w:tcBorders>
          </w:tcPr>
          <w:p w:rsidR="007F0EC9" w:rsidRPr="007F0EC9" w:rsidRDefault="007F0EC9" w:rsidP="007F0EC9">
            <w:pPr>
              <w:jc w:val="center"/>
              <w:rPr>
                <w:b/>
                <w:bCs/>
                <w:color w:val="000000"/>
                <w:sz w:val="12"/>
              </w:rPr>
            </w:pPr>
            <w:bookmarkStart w:id="0" w:name="_GoBack"/>
            <w:bookmarkEnd w:id="0"/>
          </w:p>
        </w:tc>
      </w:tr>
      <w:tr w:rsidR="007F0EC9" w:rsidRPr="007F0EC9" w:rsidTr="00005384">
        <w:tc>
          <w:tcPr>
            <w:tcW w:w="9350" w:type="dxa"/>
            <w:tcBorders>
              <w:top w:val="single" w:sz="8" w:space="0" w:color="auto"/>
              <w:left w:val="nil"/>
              <w:bottom w:val="single" w:sz="8" w:space="0" w:color="auto"/>
              <w:right w:val="nil"/>
            </w:tcBorders>
          </w:tcPr>
          <w:p w:rsidR="007F0EC9" w:rsidRPr="007F0EC9" w:rsidRDefault="007F0EC9" w:rsidP="007F0EC9">
            <w:pPr>
              <w:keepNext/>
              <w:spacing w:before="120" w:after="120"/>
              <w:jc w:val="center"/>
              <w:outlineLvl w:val="0"/>
              <w:rPr>
                <w:rFonts w:ascii="Times New Roman Bold" w:hAnsi="Times New Roman Bold" w:cs="Arial"/>
                <w:b/>
                <w:bCs/>
                <w:kern w:val="32"/>
                <w:sz w:val="28"/>
                <w:szCs w:val="32"/>
              </w:rPr>
            </w:pPr>
            <w:bookmarkStart w:id="1" w:name="_Toc464111540"/>
            <w:bookmarkStart w:id="2" w:name="_Toc464123743"/>
            <w:bookmarkStart w:id="3" w:name="_Toc528826761"/>
            <w:r w:rsidRPr="007F0EC9">
              <w:rPr>
                <w:rFonts w:ascii="Times New Roman Bold" w:hAnsi="Times New Roman Bold" w:cs="Arial"/>
                <w:b/>
                <w:bCs/>
                <w:kern w:val="32"/>
                <w:sz w:val="28"/>
                <w:szCs w:val="32"/>
              </w:rPr>
              <w:t>2018 Editorial Changes</w:t>
            </w:r>
            <w:bookmarkEnd w:id="1"/>
            <w:bookmarkEnd w:id="2"/>
            <w:bookmarkEnd w:id="3"/>
          </w:p>
        </w:tc>
      </w:tr>
    </w:tbl>
    <w:p w:rsidR="007F0EC9" w:rsidRPr="007F0EC9" w:rsidRDefault="007F0EC9" w:rsidP="007F0EC9">
      <w:pPr>
        <w:spacing w:before="240" w:after="240" w:line="240" w:lineRule="auto"/>
        <w:jc w:val="both"/>
        <w:rPr>
          <w:rFonts w:ascii="Times New Roman" w:eastAsia="Times New Roman" w:hAnsi="Times New Roman" w:cs="Times New Roman"/>
          <w:color w:val="000000"/>
          <w:szCs w:val="20"/>
        </w:rPr>
      </w:pPr>
      <w:r w:rsidRPr="007F0EC9">
        <w:rPr>
          <w:rFonts w:ascii="Times New Roman" w:eastAsia="Times New Roman" w:hAnsi="Times New Roman" w:cs="Times New Roman"/>
          <w:color w:val="000000"/>
          <w:szCs w:val="20"/>
        </w:rPr>
        <w:t>The following items were deemed editorial in nature based on the following criteria:  1) the modified text did not change the meaning or procedure outlined, 2) modified text corrected an omission or clarified how the text was written, or 3) the item itself was reformatted and relocated in the text to make the organization of the content more meaningful.</w:t>
      </w:r>
    </w:p>
    <w:p w:rsidR="007F0EC9" w:rsidRPr="007F0EC9" w:rsidRDefault="007F0EC9" w:rsidP="007F0EC9">
      <w:pPr>
        <w:spacing w:before="240" w:after="240" w:line="240" w:lineRule="auto"/>
        <w:jc w:val="both"/>
        <w:rPr>
          <w:rFonts w:ascii="Times New Roman" w:eastAsia="Times New Roman" w:hAnsi="Times New Roman" w:cs="Times New Roman"/>
          <w:color w:val="000000"/>
          <w:szCs w:val="20"/>
        </w:rPr>
      </w:pPr>
      <w:r w:rsidRPr="007F0EC9">
        <w:rPr>
          <w:rFonts w:ascii="Times New Roman" w:eastAsia="Times New Roman" w:hAnsi="Times New Roman" w:cs="Times New Roman"/>
          <w:b/>
          <w:color w:val="000000"/>
        </w:rPr>
        <w:t xml:space="preserve">Note: </w:t>
      </w:r>
      <w:r w:rsidRPr="007F0EC9">
        <w:rPr>
          <w:rFonts w:ascii="Times New Roman" w:eastAsia="Times New Roman" w:hAnsi="Times New Roman" w:cs="Times New Roman"/>
          <w:color w:val="000000"/>
        </w:rPr>
        <w:t xml:space="preserve"> For the purposes of this table, the</w:t>
      </w:r>
      <w:r w:rsidRPr="007F0EC9">
        <w:rPr>
          <w:rFonts w:ascii="Times New Roman" w:eastAsia="Times New Roman" w:hAnsi="Times New Roman" w:cs="Times New Roman"/>
          <w:b/>
          <w:color w:val="000000"/>
        </w:rPr>
        <w:t xml:space="preserve"> bold, </w:t>
      </w:r>
      <w:r w:rsidRPr="007F0EC9">
        <w:rPr>
          <w:rFonts w:ascii="Times New Roman" w:eastAsia="Times New Roman" w:hAnsi="Times New Roman" w:cs="Times New Roman"/>
          <w:b/>
          <w:color w:val="000000"/>
          <w:u w:val="single"/>
        </w:rPr>
        <w:t>underscored</w:t>
      </w:r>
      <w:r w:rsidRPr="007F0EC9">
        <w:rPr>
          <w:rFonts w:ascii="Times New Roman" w:eastAsia="Times New Roman" w:hAnsi="Times New Roman" w:cs="Times New Roman"/>
          <w:color w:val="000000"/>
        </w:rPr>
        <w:t xml:space="preserve"> text indicates new language added and </w:t>
      </w:r>
      <w:r w:rsidRPr="007F0EC9">
        <w:rPr>
          <w:rFonts w:ascii="Times New Roman" w:eastAsia="Times New Roman" w:hAnsi="Times New Roman" w:cs="Times New Roman"/>
          <w:b/>
          <w:color w:val="000000"/>
        </w:rPr>
        <w:t xml:space="preserve">bold, </w:t>
      </w:r>
      <w:r w:rsidRPr="007F0EC9">
        <w:rPr>
          <w:rFonts w:ascii="Times New Roman" w:eastAsia="Times New Roman" w:hAnsi="Times New Roman" w:cs="Times New Roman"/>
          <w:b/>
          <w:strike/>
          <w:color w:val="000000"/>
        </w:rPr>
        <w:t>strikeout</w:t>
      </w:r>
      <w:r w:rsidRPr="007F0EC9">
        <w:rPr>
          <w:rFonts w:ascii="Times New Roman" w:eastAsia="Times New Roman" w:hAnsi="Times New Roman" w:cs="Times New Roman"/>
          <w:color w:val="000000"/>
        </w:rPr>
        <w:t xml:space="preserve"> text indicates deleted text.</w:t>
      </w:r>
    </w:p>
    <w:tbl>
      <w:tblPr>
        <w:tblW w:w="95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115" w:type="dxa"/>
          <w:bottom w:w="58" w:type="dxa"/>
          <w:right w:w="115" w:type="dxa"/>
        </w:tblCellMar>
        <w:tblLook w:val="04A0" w:firstRow="1" w:lastRow="0" w:firstColumn="1" w:lastColumn="0" w:noHBand="0" w:noVBand="1"/>
      </w:tblPr>
      <w:tblGrid>
        <w:gridCol w:w="2596"/>
        <w:gridCol w:w="2518"/>
        <w:gridCol w:w="2968"/>
        <w:gridCol w:w="1428"/>
      </w:tblGrid>
      <w:tr w:rsidR="007F0EC9" w:rsidRPr="007F0EC9" w:rsidTr="00005384">
        <w:trPr>
          <w:trHeight w:val="288"/>
          <w:tblHeader/>
        </w:trPr>
        <w:tc>
          <w:tcPr>
            <w:tcW w:w="2596" w:type="dxa"/>
            <w:tcBorders>
              <w:top w:val="double" w:sz="4" w:space="0" w:color="auto"/>
              <w:bottom w:val="double" w:sz="4" w:space="0" w:color="auto"/>
            </w:tcBorders>
            <w:vAlign w:val="center"/>
          </w:tcPr>
          <w:p w:rsidR="007F0EC9" w:rsidRPr="007F0EC9" w:rsidRDefault="007F0EC9" w:rsidP="007F0EC9">
            <w:pPr>
              <w:spacing w:after="0" w:line="240" w:lineRule="auto"/>
              <w:jc w:val="center"/>
              <w:rPr>
                <w:rFonts w:ascii="Times New Roman" w:eastAsia="Times New Roman" w:hAnsi="Times New Roman" w:cs="Times New Roman"/>
                <w:b/>
                <w:color w:val="000000"/>
                <w:szCs w:val="20"/>
              </w:rPr>
            </w:pPr>
            <w:r w:rsidRPr="007F0EC9">
              <w:rPr>
                <w:rFonts w:ascii="Times New Roman" w:eastAsia="Times New Roman" w:hAnsi="Times New Roman" w:cs="Times New Roman"/>
                <w:b/>
                <w:color w:val="000000"/>
                <w:szCs w:val="20"/>
              </w:rPr>
              <w:t>Chapter</w:t>
            </w:r>
          </w:p>
        </w:tc>
        <w:tc>
          <w:tcPr>
            <w:tcW w:w="2518" w:type="dxa"/>
            <w:tcBorders>
              <w:top w:val="double" w:sz="4" w:space="0" w:color="auto"/>
              <w:bottom w:val="double" w:sz="4" w:space="0" w:color="auto"/>
            </w:tcBorders>
            <w:vAlign w:val="center"/>
          </w:tcPr>
          <w:p w:rsidR="007F0EC9" w:rsidRPr="007F0EC9" w:rsidRDefault="007F0EC9" w:rsidP="007F0EC9">
            <w:pPr>
              <w:spacing w:after="0" w:line="240" w:lineRule="auto"/>
              <w:jc w:val="center"/>
              <w:rPr>
                <w:rFonts w:ascii="Times New Roman" w:eastAsia="Times New Roman" w:hAnsi="Times New Roman" w:cs="Times New Roman"/>
                <w:b/>
                <w:color w:val="000000"/>
                <w:szCs w:val="20"/>
              </w:rPr>
            </w:pPr>
            <w:r w:rsidRPr="007F0EC9">
              <w:rPr>
                <w:rFonts w:ascii="Times New Roman" w:eastAsia="Times New Roman" w:hAnsi="Times New Roman" w:cs="Times New Roman"/>
                <w:b/>
                <w:color w:val="000000"/>
                <w:szCs w:val="20"/>
              </w:rPr>
              <w:t>Section</w:t>
            </w:r>
          </w:p>
        </w:tc>
        <w:tc>
          <w:tcPr>
            <w:tcW w:w="2968" w:type="dxa"/>
            <w:tcBorders>
              <w:top w:val="double" w:sz="4" w:space="0" w:color="auto"/>
              <w:bottom w:val="double" w:sz="4" w:space="0" w:color="auto"/>
            </w:tcBorders>
            <w:vAlign w:val="center"/>
          </w:tcPr>
          <w:p w:rsidR="007F0EC9" w:rsidRPr="007F0EC9" w:rsidRDefault="007F0EC9" w:rsidP="007F0EC9">
            <w:pPr>
              <w:spacing w:after="0" w:line="240" w:lineRule="auto"/>
              <w:jc w:val="center"/>
              <w:rPr>
                <w:rFonts w:ascii="Times New Roman" w:eastAsia="Times New Roman" w:hAnsi="Times New Roman" w:cs="Times New Roman"/>
                <w:b/>
                <w:color w:val="000000"/>
                <w:szCs w:val="20"/>
              </w:rPr>
            </w:pPr>
            <w:r w:rsidRPr="007F0EC9">
              <w:rPr>
                <w:rFonts w:ascii="Times New Roman" w:eastAsia="Times New Roman" w:hAnsi="Times New Roman" w:cs="Times New Roman"/>
                <w:b/>
                <w:color w:val="000000"/>
                <w:szCs w:val="20"/>
              </w:rPr>
              <w:t>Action</w:t>
            </w:r>
          </w:p>
        </w:tc>
        <w:tc>
          <w:tcPr>
            <w:tcW w:w="1428" w:type="dxa"/>
            <w:tcBorders>
              <w:top w:val="double" w:sz="4" w:space="0" w:color="auto"/>
              <w:bottom w:val="double" w:sz="4" w:space="0" w:color="auto"/>
            </w:tcBorders>
            <w:vAlign w:val="center"/>
          </w:tcPr>
          <w:p w:rsidR="007F0EC9" w:rsidRPr="007F0EC9" w:rsidRDefault="007F0EC9" w:rsidP="007F0EC9">
            <w:pPr>
              <w:spacing w:after="0" w:line="240" w:lineRule="auto"/>
              <w:jc w:val="center"/>
              <w:rPr>
                <w:rFonts w:ascii="Times New Roman" w:eastAsia="Times New Roman" w:hAnsi="Times New Roman" w:cs="Times New Roman"/>
                <w:b/>
                <w:color w:val="000000"/>
                <w:szCs w:val="20"/>
              </w:rPr>
            </w:pPr>
            <w:r w:rsidRPr="007F0EC9">
              <w:rPr>
                <w:rFonts w:ascii="Times New Roman" w:eastAsia="Times New Roman" w:hAnsi="Times New Roman" w:cs="Times New Roman"/>
                <w:b/>
                <w:color w:val="000000"/>
                <w:szCs w:val="20"/>
              </w:rPr>
              <w:t>Page</w:t>
            </w:r>
          </w:p>
        </w:tc>
      </w:tr>
      <w:tr w:rsidR="007F0EC9" w:rsidRPr="007F0EC9" w:rsidTr="00005384">
        <w:trPr>
          <w:trHeight w:val="288"/>
        </w:trPr>
        <w:tc>
          <w:tcPr>
            <w:tcW w:w="2596" w:type="dxa"/>
            <w:vMerge w:val="restart"/>
            <w:tcBorders>
              <w:right w:val="single" w:sz="4" w:space="0" w:color="auto"/>
            </w:tcBorders>
            <w:vAlign w:val="center"/>
          </w:tcPr>
          <w:p w:rsidR="007F0EC9" w:rsidRPr="007F0EC9" w:rsidRDefault="007F0EC9" w:rsidP="007F0EC9">
            <w:pPr>
              <w:spacing w:after="0" w:line="240" w:lineRule="auto"/>
              <w:rPr>
                <w:rFonts w:ascii="Times New Roman" w:eastAsia="Times New Roman" w:hAnsi="Times New Roman" w:cs="Times New Roman"/>
                <w:color w:val="000000"/>
              </w:rPr>
            </w:pPr>
          </w:p>
        </w:tc>
        <w:tc>
          <w:tcPr>
            <w:tcW w:w="2518" w:type="dxa"/>
            <w:tcBorders>
              <w:top w:val="single" w:sz="4" w:space="0" w:color="auto"/>
              <w:left w:val="single" w:sz="4" w:space="0" w:color="auto"/>
              <w:bottom w:val="single" w:sz="4" w:space="0" w:color="auto"/>
            </w:tcBorders>
          </w:tcPr>
          <w:p w:rsidR="007F0EC9" w:rsidRPr="007F0EC9" w:rsidRDefault="007F0EC9" w:rsidP="007F0EC9">
            <w:pPr>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rPr>
              <w:t>3.9.2.2. Test Procedure</w:t>
            </w:r>
          </w:p>
        </w:tc>
        <w:tc>
          <w:tcPr>
            <w:tcW w:w="2968" w:type="dxa"/>
            <w:tcBorders>
              <w:top w:val="single" w:sz="4" w:space="0" w:color="auto"/>
              <w:bottom w:val="single" w:sz="4" w:space="0" w:color="auto"/>
            </w:tcBorders>
          </w:tcPr>
          <w:p w:rsidR="007F0EC9" w:rsidRPr="007F0EC9" w:rsidRDefault="007F0EC9" w:rsidP="007F0EC9">
            <w:pPr>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rPr>
              <w:t xml:space="preserve">Clarified the instruction to read 2. Open each package </w:t>
            </w:r>
            <w:r w:rsidRPr="007F0EC9">
              <w:rPr>
                <w:rFonts w:ascii="Times New Roman" w:eastAsia="Times New Roman" w:hAnsi="Times New Roman" w:cs="Times New Roman"/>
                <w:b/>
                <w:strike/>
                <w:color w:val="000000"/>
              </w:rPr>
              <w:t>in turn, remove</w:t>
            </w:r>
            <w:r w:rsidRPr="007F0EC9">
              <w:rPr>
                <w:rFonts w:ascii="Times New Roman" w:eastAsia="Times New Roman" w:hAnsi="Times New Roman" w:cs="Times New Roman"/>
                <w:color w:val="000000"/>
              </w:rPr>
              <w:t xml:space="preserve"> and pour the contents </w:t>
            </w:r>
            <w:r w:rsidRPr="007F0EC9">
              <w:rPr>
                <w:rFonts w:ascii="Times New Roman" w:eastAsia="Times New Roman" w:hAnsi="Times New Roman" w:cs="Times New Roman"/>
                <w:b/>
                <w:color w:val="000000"/>
                <w:u w:val="single"/>
              </w:rPr>
              <w:t>from a height of 2 ft</w:t>
            </w:r>
            <w:r w:rsidRPr="007F0EC9">
              <w:rPr>
                <w:rFonts w:ascii="Times New Roman" w:eastAsia="Times New Roman" w:hAnsi="Times New Roman" w:cs="Times New Roman"/>
                <w:b/>
                <w:strike/>
                <w:color w:val="000000"/>
              </w:rPr>
              <w:t>, and pass them</w:t>
            </w:r>
            <w:r w:rsidRPr="007F0EC9">
              <w:rPr>
                <w:rFonts w:ascii="Times New Roman" w:eastAsia="Times New Roman" w:hAnsi="Times New Roman" w:cs="Times New Roman"/>
                <w:color w:val="000000"/>
              </w:rPr>
              <w:t xml:space="preserve"> through the . . .  </w:t>
            </w:r>
          </w:p>
        </w:tc>
        <w:tc>
          <w:tcPr>
            <w:tcW w:w="1428" w:type="dxa"/>
            <w:tcBorders>
              <w:top w:val="single" w:sz="4" w:space="0" w:color="auto"/>
              <w:bottom w:val="single" w:sz="4" w:space="0" w:color="auto"/>
            </w:tcBorders>
          </w:tcPr>
          <w:p w:rsidR="007F0EC9" w:rsidRPr="007F0EC9" w:rsidRDefault="007F0EC9" w:rsidP="007F0EC9">
            <w:pPr>
              <w:spacing w:after="0" w:line="240" w:lineRule="auto"/>
              <w:jc w:val="center"/>
              <w:rPr>
                <w:rFonts w:ascii="Times New Roman" w:eastAsia="Times New Roman" w:hAnsi="Times New Roman" w:cs="Times New Roman"/>
                <w:color w:val="000000"/>
              </w:rPr>
            </w:pPr>
            <w:r w:rsidRPr="007F0EC9">
              <w:rPr>
                <w:rFonts w:ascii="Times New Roman" w:eastAsia="Times New Roman" w:hAnsi="Times New Roman" w:cs="Times New Roman"/>
                <w:color w:val="000000"/>
              </w:rPr>
              <w:t>69</w:t>
            </w:r>
          </w:p>
        </w:tc>
      </w:tr>
      <w:tr w:rsidR="007F0EC9" w:rsidRPr="007F0EC9" w:rsidTr="00005384">
        <w:trPr>
          <w:trHeight w:val="288"/>
        </w:trPr>
        <w:tc>
          <w:tcPr>
            <w:tcW w:w="2596" w:type="dxa"/>
            <w:vMerge/>
            <w:tcBorders>
              <w:right w:val="single" w:sz="4" w:space="0" w:color="auto"/>
            </w:tcBorders>
            <w:vAlign w:val="center"/>
          </w:tcPr>
          <w:p w:rsidR="007F0EC9" w:rsidRPr="007F0EC9" w:rsidRDefault="007F0EC9" w:rsidP="007F0EC9">
            <w:pPr>
              <w:spacing w:after="0" w:line="240" w:lineRule="auto"/>
              <w:rPr>
                <w:rFonts w:ascii="Times New Roman" w:eastAsia="Times New Roman" w:hAnsi="Times New Roman" w:cs="Times New Roman"/>
                <w:color w:val="000000"/>
              </w:rPr>
            </w:pPr>
          </w:p>
        </w:tc>
        <w:tc>
          <w:tcPr>
            <w:tcW w:w="2518" w:type="dxa"/>
            <w:tcBorders>
              <w:top w:val="single" w:sz="4" w:space="0" w:color="auto"/>
              <w:left w:val="single" w:sz="4" w:space="0" w:color="auto"/>
              <w:bottom w:val="single" w:sz="4" w:space="0" w:color="auto"/>
            </w:tcBorders>
          </w:tcPr>
          <w:p w:rsidR="007F0EC9" w:rsidRPr="007F0EC9" w:rsidRDefault="007F0EC9" w:rsidP="007F0EC9">
            <w:pPr>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rPr>
              <w:t>3.11.2. Test Procedure</w:t>
            </w:r>
          </w:p>
        </w:tc>
        <w:tc>
          <w:tcPr>
            <w:tcW w:w="2968" w:type="dxa"/>
            <w:tcBorders>
              <w:top w:val="single" w:sz="4" w:space="0" w:color="auto"/>
              <w:bottom w:val="single" w:sz="4" w:space="0" w:color="auto"/>
            </w:tcBorders>
          </w:tcPr>
          <w:p w:rsidR="007F0EC9" w:rsidRPr="007F0EC9" w:rsidRDefault="007F0EC9" w:rsidP="007F0EC9">
            <w:pPr>
              <w:keepNext/>
              <w:spacing w:after="0" w:line="240" w:lineRule="auto"/>
              <w:rPr>
                <w:rFonts w:ascii="Times New Roman" w:eastAsia="Times New Roman" w:hAnsi="Times New Roman" w:cs="Times New Roman"/>
                <w:i/>
                <w:color w:val="000000"/>
                <w:szCs w:val="20"/>
              </w:rPr>
            </w:pPr>
            <w:r w:rsidRPr="007F0EC9">
              <w:rPr>
                <w:rFonts w:ascii="Times New Roman" w:eastAsia="Times New Roman" w:hAnsi="Times New Roman" w:cs="Times New Roman"/>
                <w:color w:val="000000"/>
              </w:rPr>
              <w:t xml:space="preserve">Corrected the instruction in 11.  </w:t>
            </w:r>
            <w:r w:rsidRPr="007F0EC9">
              <w:rPr>
                <w:rFonts w:ascii="Times New Roman" w:eastAsia="Times New Roman" w:hAnsi="Times New Roman" w:cs="Times New Roman"/>
                <w:i/>
                <w:color w:val="000000"/>
                <w:szCs w:val="20"/>
              </w:rPr>
              <w:t>Product Density = (</w:t>
            </w:r>
            <w:r w:rsidRPr="007F0EC9">
              <w:rPr>
                <w:rFonts w:ascii="Times New Roman" w:eastAsia="Times New Roman" w:hAnsi="Times New Roman" w:cs="Times New Roman"/>
                <w:b/>
                <w:i/>
                <w:strike/>
                <w:color w:val="000000"/>
                <w:szCs w:val="20"/>
              </w:rPr>
              <w:t>gross weight in Step 5</w:t>
            </w:r>
            <w:r w:rsidRPr="007F0EC9">
              <w:rPr>
                <w:rFonts w:ascii="Times New Roman" w:eastAsia="Times New Roman" w:hAnsi="Times New Roman" w:cs="Times New Roman"/>
                <w:b/>
                <w:i/>
                <w:color w:val="000000"/>
                <w:szCs w:val="20"/>
                <w:u w:val="single"/>
              </w:rPr>
              <w:t>product net weight in Step 10)</w:t>
            </w:r>
            <w:r w:rsidRPr="007F0EC9">
              <w:rPr>
                <w:rFonts w:ascii="Times New Roman" w:eastAsia="Times New Roman" w:hAnsi="Times New Roman" w:cs="Times New Roman"/>
                <w:i/>
                <w:color w:val="000000"/>
                <w:szCs w:val="20"/>
              </w:rPr>
              <w:t xml:space="preserve"> ÷ (the total water volume in Step 7</w:t>
            </w:r>
            <w:r w:rsidRPr="007F0EC9">
              <w:rPr>
                <w:rFonts w:ascii="Times New Roman" w:eastAsia="Times New Roman" w:hAnsi="Times New Roman" w:cs="Times New Roman"/>
                <w:b/>
                <w:i/>
                <w:color w:val="000000"/>
                <w:szCs w:val="20"/>
                <w:u w:val="single"/>
              </w:rPr>
              <w:t xml:space="preserve"> – volume of tare material in Step 8</w:t>
            </w:r>
            <w:r w:rsidRPr="007F0EC9">
              <w:rPr>
                <w:rFonts w:ascii="Times New Roman" w:eastAsia="Times New Roman" w:hAnsi="Times New Roman" w:cs="Times New Roman"/>
                <w:i/>
                <w:color w:val="000000"/>
                <w:szCs w:val="20"/>
              </w:rPr>
              <w:t>)</w:t>
            </w:r>
          </w:p>
        </w:tc>
        <w:tc>
          <w:tcPr>
            <w:tcW w:w="1428" w:type="dxa"/>
            <w:tcBorders>
              <w:top w:val="single" w:sz="4" w:space="0" w:color="auto"/>
              <w:bottom w:val="single" w:sz="4" w:space="0" w:color="auto"/>
            </w:tcBorders>
          </w:tcPr>
          <w:p w:rsidR="007F0EC9" w:rsidRPr="007F0EC9" w:rsidRDefault="007F0EC9" w:rsidP="007F0EC9">
            <w:pPr>
              <w:spacing w:after="0" w:line="240" w:lineRule="auto"/>
              <w:jc w:val="center"/>
              <w:rPr>
                <w:rFonts w:ascii="Times New Roman" w:eastAsia="Times New Roman" w:hAnsi="Times New Roman" w:cs="Times New Roman"/>
                <w:color w:val="000000"/>
              </w:rPr>
            </w:pPr>
            <w:r w:rsidRPr="007F0EC9">
              <w:rPr>
                <w:rFonts w:ascii="Times New Roman" w:eastAsia="Times New Roman" w:hAnsi="Times New Roman" w:cs="Times New Roman"/>
                <w:color w:val="000000"/>
              </w:rPr>
              <w:t>74</w:t>
            </w:r>
          </w:p>
        </w:tc>
      </w:tr>
      <w:tr w:rsidR="007F0EC9" w:rsidRPr="007F0EC9" w:rsidTr="00005384">
        <w:trPr>
          <w:trHeight w:val="288"/>
        </w:trPr>
        <w:tc>
          <w:tcPr>
            <w:tcW w:w="2596" w:type="dxa"/>
            <w:vMerge/>
            <w:tcBorders>
              <w:right w:val="single" w:sz="4" w:space="0" w:color="auto"/>
            </w:tcBorders>
            <w:vAlign w:val="center"/>
          </w:tcPr>
          <w:p w:rsidR="007F0EC9" w:rsidRPr="007F0EC9" w:rsidRDefault="007F0EC9" w:rsidP="007F0EC9">
            <w:pPr>
              <w:spacing w:after="0" w:line="240" w:lineRule="auto"/>
              <w:rPr>
                <w:rFonts w:ascii="Times New Roman" w:eastAsia="Times New Roman" w:hAnsi="Times New Roman" w:cs="Times New Roman"/>
                <w:color w:val="000000"/>
              </w:rPr>
            </w:pPr>
          </w:p>
        </w:tc>
        <w:tc>
          <w:tcPr>
            <w:tcW w:w="2518" w:type="dxa"/>
            <w:tcBorders>
              <w:top w:val="single" w:sz="4" w:space="0" w:color="auto"/>
              <w:left w:val="single" w:sz="4" w:space="0" w:color="auto"/>
              <w:bottom w:val="single" w:sz="4" w:space="0" w:color="auto"/>
            </w:tcBorders>
          </w:tcPr>
          <w:p w:rsidR="007F0EC9" w:rsidRPr="007F0EC9" w:rsidRDefault="007F0EC9" w:rsidP="007F0EC9">
            <w:pPr>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rPr>
              <w:t>3.13.2. Test Procedure</w:t>
            </w:r>
          </w:p>
          <w:p w:rsidR="007F0EC9" w:rsidRPr="007F0EC9" w:rsidRDefault="007F0EC9" w:rsidP="007F0EC9">
            <w:pPr>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rPr>
              <w:t>b. Test Procedure for Cylinders Labeled by Volume</w:t>
            </w:r>
          </w:p>
        </w:tc>
        <w:tc>
          <w:tcPr>
            <w:tcW w:w="2968" w:type="dxa"/>
            <w:tcBorders>
              <w:top w:val="single" w:sz="4" w:space="0" w:color="auto"/>
              <w:bottom w:val="single" w:sz="4" w:space="0" w:color="auto"/>
            </w:tcBorders>
          </w:tcPr>
          <w:p w:rsidR="007F0EC9" w:rsidRPr="007F0EC9" w:rsidRDefault="007F0EC9" w:rsidP="007F0EC9">
            <w:pPr>
              <w:keepNext/>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rPr>
              <w:t>5. Updated the reference to NIST Standard Reference Data Base 23 “Reference Fluid Thermodynamic and Transport Properties Database” (REFPROP)</w:t>
            </w:r>
          </w:p>
        </w:tc>
        <w:tc>
          <w:tcPr>
            <w:tcW w:w="1428" w:type="dxa"/>
            <w:tcBorders>
              <w:top w:val="single" w:sz="4" w:space="0" w:color="auto"/>
              <w:bottom w:val="single" w:sz="4" w:space="0" w:color="auto"/>
            </w:tcBorders>
          </w:tcPr>
          <w:p w:rsidR="007F0EC9" w:rsidRPr="007F0EC9" w:rsidRDefault="007F0EC9" w:rsidP="007F0EC9">
            <w:pPr>
              <w:spacing w:after="0" w:line="240" w:lineRule="auto"/>
              <w:jc w:val="center"/>
              <w:rPr>
                <w:rFonts w:ascii="Times New Roman" w:eastAsia="Times New Roman" w:hAnsi="Times New Roman" w:cs="Times New Roman"/>
                <w:color w:val="000000"/>
              </w:rPr>
            </w:pPr>
            <w:r w:rsidRPr="007F0EC9">
              <w:rPr>
                <w:rFonts w:ascii="Times New Roman" w:eastAsia="Times New Roman" w:hAnsi="Times New Roman" w:cs="Times New Roman"/>
                <w:color w:val="000000"/>
              </w:rPr>
              <w:t>81</w:t>
            </w:r>
          </w:p>
        </w:tc>
      </w:tr>
      <w:tr w:rsidR="007F0EC9" w:rsidRPr="007F0EC9" w:rsidTr="00005384">
        <w:trPr>
          <w:trHeight w:val="288"/>
        </w:trPr>
        <w:tc>
          <w:tcPr>
            <w:tcW w:w="2596" w:type="dxa"/>
            <w:vMerge/>
            <w:tcBorders>
              <w:right w:val="single" w:sz="4" w:space="0" w:color="auto"/>
            </w:tcBorders>
            <w:vAlign w:val="center"/>
          </w:tcPr>
          <w:p w:rsidR="007F0EC9" w:rsidRPr="007F0EC9" w:rsidRDefault="007F0EC9" w:rsidP="007F0EC9">
            <w:pPr>
              <w:spacing w:after="0" w:line="240" w:lineRule="auto"/>
              <w:rPr>
                <w:rFonts w:ascii="Times New Roman" w:eastAsia="Times New Roman" w:hAnsi="Times New Roman" w:cs="Times New Roman"/>
                <w:color w:val="000000"/>
              </w:rPr>
            </w:pPr>
          </w:p>
        </w:tc>
        <w:tc>
          <w:tcPr>
            <w:tcW w:w="2518" w:type="dxa"/>
            <w:tcBorders>
              <w:top w:val="single" w:sz="4" w:space="0" w:color="auto"/>
              <w:left w:val="single" w:sz="4" w:space="0" w:color="auto"/>
              <w:bottom w:val="single" w:sz="4" w:space="0" w:color="auto"/>
            </w:tcBorders>
          </w:tcPr>
          <w:p w:rsidR="007F0EC9" w:rsidRPr="007F0EC9" w:rsidRDefault="007F0EC9" w:rsidP="007F0EC9">
            <w:pPr>
              <w:spacing w:after="0" w:line="240" w:lineRule="auto"/>
              <w:rPr>
                <w:rFonts w:ascii="Times New Roman" w:eastAsia="Times New Roman" w:hAnsi="Times New Roman" w:cs="Times New Roman"/>
                <w:b/>
                <w:color w:val="000000"/>
                <w:u w:val="single"/>
              </w:rPr>
            </w:pPr>
            <w:r w:rsidRPr="007F0EC9">
              <w:rPr>
                <w:rFonts w:ascii="Times New Roman" w:eastAsia="Times New Roman" w:hAnsi="Times New Roman" w:cs="Times New Roman"/>
                <w:b/>
                <w:color w:val="000000"/>
                <w:u w:val="single"/>
              </w:rPr>
              <w:t>3.14.3.  Field Audit Procedure – Bundled and Bagged Firewood</w:t>
            </w:r>
          </w:p>
        </w:tc>
        <w:tc>
          <w:tcPr>
            <w:tcW w:w="2968" w:type="dxa"/>
            <w:tcBorders>
              <w:top w:val="single" w:sz="4" w:space="0" w:color="auto"/>
              <w:bottom w:val="single" w:sz="4" w:space="0" w:color="auto"/>
            </w:tcBorders>
          </w:tcPr>
          <w:p w:rsidR="007F0EC9" w:rsidRPr="007F0EC9" w:rsidRDefault="007F0EC9" w:rsidP="007F0EC9">
            <w:pPr>
              <w:keepNext/>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rPr>
              <w:t>3.14.3. Evaluation Results was broken into two sections.   “Field Audit Procedure” is now “3.14.3.</w:t>
            </w:r>
          </w:p>
        </w:tc>
        <w:tc>
          <w:tcPr>
            <w:tcW w:w="1428" w:type="dxa"/>
            <w:tcBorders>
              <w:top w:val="single" w:sz="4" w:space="0" w:color="auto"/>
              <w:bottom w:val="single" w:sz="4" w:space="0" w:color="auto"/>
            </w:tcBorders>
          </w:tcPr>
          <w:p w:rsidR="007F0EC9" w:rsidRPr="007F0EC9" w:rsidRDefault="007F0EC9" w:rsidP="007F0EC9">
            <w:pPr>
              <w:spacing w:after="0" w:line="240" w:lineRule="auto"/>
              <w:jc w:val="center"/>
              <w:rPr>
                <w:rFonts w:ascii="Times New Roman" w:eastAsia="Times New Roman" w:hAnsi="Times New Roman" w:cs="Times New Roman"/>
                <w:color w:val="000000"/>
              </w:rPr>
            </w:pPr>
            <w:r w:rsidRPr="007F0EC9">
              <w:rPr>
                <w:rFonts w:ascii="Times New Roman" w:eastAsia="Times New Roman" w:hAnsi="Times New Roman" w:cs="Times New Roman"/>
                <w:color w:val="000000"/>
              </w:rPr>
              <w:t>94</w:t>
            </w:r>
          </w:p>
        </w:tc>
      </w:tr>
      <w:tr w:rsidR="007F0EC9" w:rsidRPr="007F0EC9" w:rsidTr="00005384">
        <w:trPr>
          <w:trHeight w:val="288"/>
        </w:trPr>
        <w:tc>
          <w:tcPr>
            <w:tcW w:w="2596" w:type="dxa"/>
            <w:vMerge/>
            <w:tcBorders>
              <w:right w:val="single" w:sz="4" w:space="0" w:color="auto"/>
            </w:tcBorders>
            <w:vAlign w:val="center"/>
          </w:tcPr>
          <w:p w:rsidR="007F0EC9" w:rsidRPr="007F0EC9" w:rsidRDefault="007F0EC9" w:rsidP="007F0EC9">
            <w:pPr>
              <w:spacing w:after="0" w:line="240" w:lineRule="auto"/>
              <w:rPr>
                <w:rFonts w:ascii="Times New Roman" w:eastAsia="Times New Roman" w:hAnsi="Times New Roman" w:cs="Times New Roman"/>
                <w:color w:val="000000"/>
              </w:rPr>
            </w:pPr>
          </w:p>
        </w:tc>
        <w:tc>
          <w:tcPr>
            <w:tcW w:w="2518" w:type="dxa"/>
            <w:tcBorders>
              <w:top w:val="single" w:sz="4" w:space="0" w:color="auto"/>
              <w:left w:val="single" w:sz="4" w:space="0" w:color="auto"/>
              <w:bottom w:val="single" w:sz="4" w:space="0" w:color="auto"/>
            </w:tcBorders>
          </w:tcPr>
          <w:p w:rsidR="007F0EC9" w:rsidRPr="007F0EC9" w:rsidRDefault="007F0EC9" w:rsidP="007F0EC9">
            <w:pPr>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b/>
                <w:strike/>
                <w:color w:val="000000"/>
              </w:rPr>
              <w:t>3.14.3.</w:t>
            </w:r>
            <w:r w:rsidRPr="007F0EC9">
              <w:rPr>
                <w:rFonts w:ascii="Times New Roman" w:eastAsia="Times New Roman" w:hAnsi="Times New Roman" w:cs="Times New Roman"/>
                <w:color w:val="000000"/>
              </w:rPr>
              <w:t xml:space="preserve">  </w:t>
            </w:r>
            <w:r w:rsidRPr="007F0EC9">
              <w:rPr>
                <w:rFonts w:ascii="Times New Roman" w:eastAsia="Times New Roman" w:hAnsi="Times New Roman" w:cs="Times New Roman"/>
                <w:b/>
                <w:color w:val="000000"/>
                <w:u w:val="single"/>
              </w:rPr>
              <w:t>3.14.4.</w:t>
            </w:r>
            <w:r w:rsidRPr="007F0EC9">
              <w:rPr>
                <w:rFonts w:ascii="Times New Roman" w:eastAsia="Times New Roman" w:hAnsi="Times New Roman" w:cs="Times New Roman"/>
                <w:color w:val="000000"/>
              </w:rPr>
              <w:t xml:space="preserve"> </w:t>
            </w:r>
            <w:r w:rsidRPr="007F0EC9">
              <w:rPr>
                <w:rFonts w:ascii="Times New Roman" w:eastAsia="Times New Roman" w:hAnsi="Times New Roman" w:cs="Times New Roman"/>
                <w:b/>
                <w:strike/>
                <w:color w:val="000000"/>
              </w:rPr>
              <w:t>Evaluation of Results</w:t>
            </w:r>
            <w:r w:rsidRPr="007F0EC9">
              <w:rPr>
                <w:rFonts w:ascii="Times New Roman" w:eastAsia="Times New Roman" w:hAnsi="Times New Roman" w:cs="Times New Roman"/>
                <w:color w:val="000000"/>
              </w:rPr>
              <w:t xml:space="preserve"> became </w:t>
            </w:r>
            <w:r w:rsidRPr="007F0EC9">
              <w:rPr>
                <w:rFonts w:ascii="Times New Roman" w:eastAsia="Times New Roman" w:hAnsi="Times New Roman" w:cs="Times New Roman"/>
                <w:b/>
                <w:color w:val="000000"/>
                <w:u w:val="single"/>
              </w:rPr>
              <w:t>Test Procedures</w:t>
            </w:r>
          </w:p>
        </w:tc>
        <w:tc>
          <w:tcPr>
            <w:tcW w:w="2968" w:type="dxa"/>
            <w:tcBorders>
              <w:top w:val="single" w:sz="4" w:space="0" w:color="auto"/>
              <w:bottom w:val="single" w:sz="4" w:space="0" w:color="auto"/>
            </w:tcBorders>
          </w:tcPr>
          <w:p w:rsidR="007F0EC9" w:rsidRPr="007F0EC9" w:rsidRDefault="007F0EC9" w:rsidP="007F0EC9">
            <w:pPr>
              <w:keepNext/>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rPr>
              <w:t>This item was renumbered.</w:t>
            </w:r>
          </w:p>
        </w:tc>
        <w:tc>
          <w:tcPr>
            <w:tcW w:w="1428" w:type="dxa"/>
            <w:tcBorders>
              <w:top w:val="single" w:sz="4" w:space="0" w:color="auto"/>
              <w:bottom w:val="single" w:sz="4" w:space="0" w:color="auto"/>
            </w:tcBorders>
          </w:tcPr>
          <w:p w:rsidR="007F0EC9" w:rsidRPr="007F0EC9" w:rsidRDefault="007F0EC9" w:rsidP="007F0EC9">
            <w:pPr>
              <w:spacing w:after="0" w:line="240" w:lineRule="auto"/>
              <w:jc w:val="center"/>
              <w:rPr>
                <w:rFonts w:ascii="Times New Roman" w:eastAsia="Times New Roman" w:hAnsi="Times New Roman" w:cs="Times New Roman"/>
                <w:color w:val="000000"/>
              </w:rPr>
            </w:pPr>
            <w:r w:rsidRPr="007F0EC9">
              <w:rPr>
                <w:rFonts w:ascii="Times New Roman" w:eastAsia="Times New Roman" w:hAnsi="Times New Roman" w:cs="Times New Roman"/>
                <w:color w:val="000000"/>
              </w:rPr>
              <w:t>96</w:t>
            </w:r>
          </w:p>
        </w:tc>
      </w:tr>
      <w:tr w:rsidR="007F0EC9" w:rsidRPr="007F0EC9" w:rsidTr="00005384">
        <w:trPr>
          <w:trHeight w:val="288"/>
        </w:trPr>
        <w:tc>
          <w:tcPr>
            <w:tcW w:w="2596" w:type="dxa"/>
            <w:vMerge/>
            <w:tcBorders>
              <w:right w:val="single" w:sz="4" w:space="0" w:color="auto"/>
            </w:tcBorders>
            <w:vAlign w:val="center"/>
          </w:tcPr>
          <w:p w:rsidR="007F0EC9" w:rsidRPr="007F0EC9" w:rsidRDefault="007F0EC9" w:rsidP="007F0EC9">
            <w:pPr>
              <w:spacing w:after="0" w:line="240" w:lineRule="auto"/>
              <w:rPr>
                <w:rFonts w:ascii="Times New Roman" w:eastAsia="Times New Roman" w:hAnsi="Times New Roman" w:cs="Times New Roman"/>
                <w:color w:val="000000"/>
              </w:rPr>
            </w:pPr>
          </w:p>
        </w:tc>
        <w:tc>
          <w:tcPr>
            <w:tcW w:w="2518" w:type="dxa"/>
            <w:tcBorders>
              <w:top w:val="single" w:sz="4" w:space="0" w:color="auto"/>
              <w:left w:val="single" w:sz="4" w:space="0" w:color="auto"/>
              <w:bottom w:val="single" w:sz="4" w:space="0" w:color="auto"/>
            </w:tcBorders>
          </w:tcPr>
          <w:p w:rsidR="007F0EC9" w:rsidRPr="007F0EC9" w:rsidRDefault="007F0EC9" w:rsidP="007F0EC9">
            <w:pPr>
              <w:keepNext/>
              <w:keepLines/>
              <w:widowControl w:val="0"/>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szCs w:val="20"/>
              </w:rPr>
              <w:t>3.15.1. Test Equipment</w:t>
            </w:r>
          </w:p>
        </w:tc>
        <w:tc>
          <w:tcPr>
            <w:tcW w:w="2968" w:type="dxa"/>
            <w:tcBorders>
              <w:top w:val="single" w:sz="4" w:space="0" w:color="auto"/>
              <w:bottom w:val="single" w:sz="4" w:space="0" w:color="auto"/>
            </w:tcBorders>
          </w:tcPr>
          <w:p w:rsidR="007F0EC9" w:rsidRPr="007F0EC9" w:rsidRDefault="007F0EC9" w:rsidP="007F0EC9">
            <w:pPr>
              <w:keepNext/>
              <w:keepLines/>
              <w:widowControl w:val="0"/>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szCs w:val="20"/>
              </w:rPr>
              <w:t>Corrected referenced table number.</w:t>
            </w:r>
          </w:p>
        </w:tc>
        <w:tc>
          <w:tcPr>
            <w:tcW w:w="1428" w:type="dxa"/>
            <w:tcBorders>
              <w:top w:val="single" w:sz="4" w:space="0" w:color="auto"/>
              <w:bottom w:val="single" w:sz="4" w:space="0" w:color="auto"/>
            </w:tcBorders>
          </w:tcPr>
          <w:p w:rsidR="007F0EC9" w:rsidRPr="007F0EC9" w:rsidRDefault="007F0EC9" w:rsidP="007F0EC9">
            <w:pPr>
              <w:keepNext/>
              <w:keepLines/>
              <w:widowControl w:val="0"/>
              <w:spacing w:after="0" w:line="240" w:lineRule="auto"/>
              <w:jc w:val="center"/>
              <w:rPr>
                <w:rFonts w:ascii="Times New Roman" w:eastAsia="Times New Roman" w:hAnsi="Times New Roman" w:cs="Times New Roman"/>
                <w:color w:val="000000"/>
              </w:rPr>
            </w:pPr>
            <w:r w:rsidRPr="007F0EC9">
              <w:rPr>
                <w:rFonts w:ascii="Times New Roman" w:eastAsia="Times New Roman" w:hAnsi="Times New Roman" w:cs="Times New Roman"/>
                <w:color w:val="000000"/>
                <w:szCs w:val="20"/>
              </w:rPr>
              <w:t>100</w:t>
            </w:r>
          </w:p>
        </w:tc>
      </w:tr>
      <w:tr w:rsidR="007F0EC9" w:rsidRPr="007F0EC9" w:rsidTr="00005384">
        <w:trPr>
          <w:trHeight w:val="144"/>
        </w:trPr>
        <w:tc>
          <w:tcPr>
            <w:tcW w:w="2596" w:type="dxa"/>
            <w:vMerge/>
            <w:tcBorders>
              <w:bottom w:val="double" w:sz="4" w:space="0" w:color="auto"/>
              <w:right w:val="single" w:sz="4" w:space="0" w:color="auto"/>
            </w:tcBorders>
            <w:vAlign w:val="center"/>
          </w:tcPr>
          <w:p w:rsidR="007F0EC9" w:rsidRPr="007F0EC9" w:rsidRDefault="007F0EC9" w:rsidP="007F0EC9">
            <w:pPr>
              <w:spacing w:after="0" w:line="240" w:lineRule="auto"/>
              <w:rPr>
                <w:rFonts w:ascii="Times New Roman" w:eastAsia="Times New Roman" w:hAnsi="Times New Roman" w:cs="Times New Roman"/>
                <w:color w:val="000000"/>
              </w:rPr>
            </w:pPr>
          </w:p>
        </w:tc>
        <w:tc>
          <w:tcPr>
            <w:tcW w:w="2518" w:type="dxa"/>
            <w:tcBorders>
              <w:top w:val="single" w:sz="4" w:space="0" w:color="auto"/>
              <w:left w:val="single" w:sz="4" w:space="0" w:color="auto"/>
              <w:bottom w:val="double" w:sz="4" w:space="0" w:color="auto"/>
            </w:tcBorders>
          </w:tcPr>
          <w:p w:rsidR="007F0EC9" w:rsidRPr="007F0EC9" w:rsidRDefault="007F0EC9" w:rsidP="007F0EC9">
            <w:pPr>
              <w:keepLines/>
              <w:widowControl w:val="0"/>
              <w:spacing w:after="0" w:line="240" w:lineRule="auto"/>
              <w:rPr>
                <w:rFonts w:ascii="Times New Roman" w:eastAsia="Times New Roman" w:hAnsi="Times New Roman" w:cs="Times New Roman"/>
                <w:color w:val="000000"/>
                <w:szCs w:val="20"/>
              </w:rPr>
            </w:pPr>
            <w:r w:rsidRPr="007F0EC9">
              <w:rPr>
                <w:rFonts w:ascii="Times New Roman" w:eastAsia="Times New Roman" w:hAnsi="Times New Roman" w:cs="Times New Roman"/>
                <w:color w:val="000000"/>
                <w:szCs w:val="20"/>
              </w:rPr>
              <w:t>3.15.2. Test Procedure</w:t>
            </w:r>
          </w:p>
        </w:tc>
        <w:tc>
          <w:tcPr>
            <w:tcW w:w="2968" w:type="dxa"/>
            <w:tcBorders>
              <w:top w:val="single" w:sz="4" w:space="0" w:color="auto"/>
              <w:bottom w:val="double" w:sz="4" w:space="0" w:color="auto"/>
            </w:tcBorders>
          </w:tcPr>
          <w:p w:rsidR="007F0EC9" w:rsidRPr="007F0EC9" w:rsidRDefault="007F0EC9" w:rsidP="007F0EC9">
            <w:pPr>
              <w:keepNext/>
              <w:keepLines/>
              <w:widowControl w:val="0"/>
              <w:spacing w:after="0" w:line="240" w:lineRule="auto"/>
              <w:rPr>
                <w:rFonts w:ascii="Times New Roman" w:eastAsia="Times New Roman" w:hAnsi="Times New Roman" w:cs="Times New Roman"/>
                <w:color w:val="000000"/>
                <w:szCs w:val="20"/>
              </w:rPr>
            </w:pPr>
            <w:r w:rsidRPr="007F0EC9">
              <w:rPr>
                <w:rFonts w:ascii="Times New Roman" w:eastAsia="Times New Roman" w:hAnsi="Times New Roman" w:cs="Times New Roman"/>
                <w:color w:val="000000"/>
                <w:szCs w:val="20"/>
              </w:rPr>
              <w:t>Corrected note in “5. Volume Determination.”</w:t>
            </w:r>
          </w:p>
        </w:tc>
        <w:tc>
          <w:tcPr>
            <w:tcW w:w="1428" w:type="dxa"/>
            <w:tcBorders>
              <w:top w:val="single" w:sz="4" w:space="0" w:color="auto"/>
              <w:bottom w:val="double" w:sz="4" w:space="0" w:color="auto"/>
            </w:tcBorders>
          </w:tcPr>
          <w:p w:rsidR="007F0EC9" w:rsidRPr="007F0EC9" w:rsidRDefault="007F0EC9" w:rsidP="007F0EC9">
            <w:pPr>
              <w:spacing w:after="0" w:line="240" w:lineRule="auto"/>
              <w:jc w:val="center"/>
              <w:rPr>
                <w:rFonts w:ascii="Times New Roman" w:eastAsia="Times New Roman" w:hAnsi="Times New Roman" w:cs="Times New Roman"/>
                <w:color w:val="000000"/>
                <w:szCs w:val="20"/>
              </w:rPr>
            </w:pPr>
            <w:r w:rsidRPr="007F0EC9">
              <w:rPr>
                <w:rFonts w:ascii="Times New Roman" w:eastAsia="Times New Roman" w:hAnsi="Times New Roman" w:cs="Times New Roman"/>
                <w:color w:val="000000"/>
                <w:szCs w:val="20"/>
              </w:rPr>
              <w:t>105</w:t>
            </w:r>
          </w:p>
        </w:tc>
      </w:tr>
      <w:tr w:rsidR="007F0EC9" w:rsidRPr="007F0EC9" w:rsidTr="00005384">
        <w:trPr>
          <w:trHeight w:val="288"/>
        </w:trPr>
        <w:tc>
          <w:tcPr>
            <w:tcW w:w="2596" w:type="dxa"/>
            <w:vMerge w:val="restart"/>
            <w:tcBorders>
              <w:right w:val="single" w:sz="4" w:space="0" w:color="auto"/>
            </w:tcBorders>
            <w:vAlign w:val="center"/>
          </w:tcPr>
          <w:p w:rsidR="007F0EC9" w:rsidRPr="007F0EC9" w:rsidRDefault="007F0EC9" w:rsidP="007F0EC9">
            <w:pPr>
              <w:keepNext/>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rPr>
              <w:lastRenderedPageBreak/>
              <w:t>Chapter 3. Test Procedures – For Packages Labeled by Volume</w:t>
            </w:r>
          </w:p>
        </w:tc>
        <w:tc>
          <w:tcPr>
            <w:tcW w:w="2518" w:type="dxa"/>
            <w:tcBorders>
              <w:top w:val="double" w:sz="4" w:space="0" w:color="auto"/>
              <w:left w:val="single" w:sz="4" w:space="0" w:color="auto"/>
              <w:bottom w:val="single" w:sz="4" w:space="0" w:color="auto"/>
            </w:tcBorders>
          </w:tcPr>
          <w:p w:rsidR="007F0EC9" w:rsidRPr="007F0EC9" w:rsidRDefault="007F0EC9" w:rsidP="007F0EC9">
            <w:pPr>
              <w:keepNext/>
              <w:spacing w:after="0" w:line="240" w:lineRule="auto"/>
              <w:rPr>
                <w:rFonts w:ascii="Times New Roman" w:eastAsia="Times New Roman" w:hAnsi="Times New Roman" w:cs="Times New Roman"/>
                <w:color w:val="000000"/>
                <w:szCs w:val="20"/>
              </w:rPr>
            </w:pPr>
            <w:r w:rsidRPr="007F0EC9">
              <w:rPr>
                <w:rFonts w:ascii="Times New Roman" w:eastAsia="Times New Roman" w:hAnsi="Times New Roman" w:cs="Times New Roman"/>
                <w:color w:val="000000"/>
                <w:szCs w:val="20"/>
              </w:rPr>
              <w:t>3.15.2. Test Procedure.</w:t>
            </w:r>
          </w:p>
        </w:tc>
        <w:tc>
          <w:tcPr>
            <w:tcW w:w="2968" w:type="dxa"/>
            <w:tcBorders>
              <w:top w:val="double" w:sz="4" w:space="0" w:color="auto"/>
              <w:bottom w:val="single" w:sz="4" w:space="0" w:color="auto"/>
            </w:tcBorders>
          </w:tcPr>
          <w:p w:rsidR="007F0EC9" w:rsidRPr="007F0EC9" w:rsidRDefault="007F0EC9" w:rsidP="007F0EC9">
            <w:pPr>
              <w:keepNext/>
              <w:spacing w:after="0" w:line="240" w:lineRule="auto"/>
              <w:rPr>
                <w:rFonts w:ascii="Times New Roman" w:eastAsia="Times New Roman" w:hAnsi="Times New Roman" w:cs="Times New Roman"/>
                <w:color w:val="000000"/>
                <w:szCs w:val="20"/>
              </w:rPr>
            </w:pPr>
            <w:r w:rsidRPr="007F0EC9">
              <w:rPr>
                <w:rFonts w:ascii="Times New Roman" w:eastAsia="Times New Roman" w:hAnsi="Times New Roman" w:cs="Times New Roman"/>
                <w:color w:val="000000"/>
                <w:szCs w:val="20"/>
              </w:rPr>
              <w:t>3.15.2. Test Procedure was broken into two sections.  Line 7 was renumbered to “3.15.3. Evaluation of the Test Results and Determination of Pass or Fail” and the following information renumbered and formatted.</w:t>
            </w:r>
          </w:p>
        </w:tc>
        <w:tc>
          <w:tcPr>
            <w:tcW w:w="1428" w:type="dxa"/>
            <w:tcBorders>
              <w:top w:val="double" w:sz="4" w:space="0" w:color="auto"/>
              <w:bottom w:val="single" w:sz="4" w:space="0" w:color="auto"/>
            </w:tcBorders>
          </w:tcPr>
          <w:p w:rsidR="007F0EC9" w:rsidRPr="007F0EC9" w:rsidRDefault="007F0EC9" w:rsidP="007F0EC9">
            <w:pPr>
              <w:keepNext/>
              <w:spacing w:after="0" w:line="240" w:lineRule="auto"/>
              <w:jc w:val="center"/>
              <w:rPr>
                <w:rFonts w:ascii="Times New Roman" w:eastAsia="Times New Roman" w:hAnsi="Times New Roman" w:cs="Times New Roman"/>
                <w:color w:val="000000"/>
                <w:szCs w:val="20"/>
              </w:rPr>
            </w:pPr>
            <w:r w:rsidRPr="007F0EC9">
              <w:rPr>
                <w:rFonts w:ascii="Times New Roman" w:eastAsia="Times New Roman" w:hAnsi="Times New Roman" w:cs="Times New Roman"/>
                <w:color w:val="000000"/>
                <w:szCs w:val="20"/>
              </w:rPr>
              <w:t>105</w:t>
            </w:r>
          </w:p>
        </w:tc>
      </w:tr>
      <w:tr w:rsidR="007F0EC9" w:rsidRPr="007F0EC9" w:rsidTr="00005384">
        <w:trPr>
          <w:trHeight w:val="288"/>
        </w:trPr>
        <w:tc>
          <w:tcPr>
            <w:tcW w:w="2596" w:type="dxa"/>
            <w:vMerge/>
            <w:tcBorders>
              <w:bottom w:val="thinThickSmallGap" w:sz="24" w:space="0" w:color="auto"/>
              <w:right w:val="single" w:sz="4" w:space="0" w:color="auto"/>
            </w:tcBorders>
            <w:vAlign w:val="center"/>
          </w:tcPr>
          <w:p w:rsidR="007F0EC9" w:rsidRPr="007F0EC9" w:rsidRDefault="007F0EC9" w:rsidP="007F0EC9">
            <w:pPr>
              <w:keepNext/>
              <w:spacing w:after="0" w:line="240" w:lineRule="auto"/>
              <w:rPr>
                <w:rFonts w:ascii="Times New Roman" w:eastAsia="Times New Roman" w:hAnsi="Times New Roman" w:cs="Times New Roman"/>
                <w:color w:val="000000"/>
              </w:rPr>
            </w:pPr>
          </w:p>
        </w:tc>
        <w:tc>
          <w:tcPr>
            <w:tcW w:w="2518" w:type="dxa"/>
            <w:tcBorders>
              <w:top w:val="single" w:sz="4" w:space="0" w:color="auto"/>
              <w:left w:val="single" w:sz="4" w:space="0" w:color="auto"/>
              <w:bottom w:val="thinThickSmallGap" w:sz="24" w:space="0" w:color="auto"/>
            </w:tcBorders>
          </w:tcPr>
          <w:p w:rsidR="007F0EC9" w:rsidRPr="007F0EC9" w:rsidRDefault="007F0EC9" w:rsidP="007F0EC9">
            <w:pPr>
              <w:keepNext/>
              <w:spacing w:after="0" w:line="240" w:lineRule="auto"/>
              <w:rPr>
                <w:rFonts w:ascii="Times New Roman" w:eastAsia="Times New Roman" w:hAnsi="Times New Roman" w:cs="Times New Roman"/>
                <w:b/>
                <w:color w:val="000000"/>
                <w:szCs w:val="20"/>
                <w:u w:val="single"/>
              </w:rPr>
            </w:pPr>
            <w:r w:rsidRPr="007F0EC9">
              <w:rPr>
                <w:rFonts w:ascii="Times New Roman" w:eastAsia="Times New Roman" w:hAnsi="Times New Roman" w:cs="Times New Roman"/>
                <w:b/>
                <w:color w:val="000000"/>
                <w:szCs w:val="20"/>
                <w:u w:val="single"/>
              </w:rPr>
              <w:t>3.15.3.  Evaluation of the Test Results and Determination of Pass or Fail</w:t>
            </w:r>
          </w:p>
        </w:tc>
        <w:tc>
          <w:tcPr>
            <w:tcW w:w="2968" w:type="dxa"/>
            <w:tcBorders>
              <w:top w:val="single" w:sz="4" w:space="0" w:color="auto"/>
              <w:bottom w:val="thinThickSmallGap" w:sz="24" w:space="0" w:color="auto"/>
            </w:tcBorders>
          </w:tcPr>
          <w:p w:rsidR="007F0EC9" w:rsidRPr="007F0EC9" w:rsidRDefault="007F0EC9" w:rsidP="007F0EC9">
            <w:pPr>
              <w:keepNext/>
              <w:spacing w:after="0" w:line="240" w:lineRule="auto"/>
              <w:rPr>
                <w:rFonts w:ascii="Times New Roman" w:eastAsia="Times New Roman" w:hAnsi="Times New Roman" w:cs="Times New Roman"/>
                <w:color w:val="000000"/>
                <w:szCs w:val="20"/>
              </w:rPr>
            </w:pPr>
            <w:r w:rsidRPr="007F0EC9">
              <w:rPr>
                <w:rFonts w:ascii="Times New Roman" w:eastAsia="Times New Roman" w:hAnsi="Times New Roman" w:cs="Times New Roman"/>
                <w:color w:val="000000"/>
                <w:szCs w:val="20"/>
              </w:rPr>
              <w:t>This section was split from 3.15.2. Test Procedure.</w:t>
            </w:r>
          </w:p>
        </w:tc>
        <w:tc>
          <w:tcPr>
            <w:tcW w:w="1428" w:type="dxa"/>
            <w:tcBorders>
              <w:top w:val="single" w:sz="4" w:space="0" w:color="auto"/>
              <w:bottom w:val="thinThickSmallGap" w:sz="24" w:space="0" w:color="auto"/>
            </w:tcBorders>
          </w:tcPr>
          <w:p w:rsidR="007F0EC9" w:rsidRPr="007F0EC9" w:rsidRDefault="007F0EC9" w:rsidP="007F0EC9">
            <w:pPr>
              <w:keepNext/>
              <w:spacing w:after="0" w:line="240" w:lineRule="auto"/>
              <w:jc w:val="center"/>
              <w:rPr>
                <w:rFonts w:ascii="Times New Roman" w:eastAsia="Times New Roman" w:hAnsi="Times New Roman" w:cs="Times New Roman"/>
                <w:color w:val="000000"/>
                <w:szCs w:val="20"/>
              </w:rPr>
            </w:pPr>
            <w:r w:rsidRPr="007F0EC9">
              <w:rPr>
                <w:rFonts w:ascii="Times New Roman" w:eastAsia="Times New Roman" w:hAnsi="Times New Roman" w:cs="Times New Roman"/>
                <w:color w:val="000000"/>
                <w:szCs w:val="20"/>
              </w:rPr>
              <w:t>115</w:t>
            </w:r>
          </w:p>
        </w:tc>
      </w:tr>
      <w:tr w:rsidR="007F0EC9" w:rsidRPr="007F0EC9" w:rsidTr="00005384">
        <w:trPr>
          <w:trHeight w:val="288"/>
        </w:trPr>
        <w:tc>
          <w:tcPr>
            <w:tcW w:w="2596" w:type="dxa"/>
            <w:vMerge w:val="restart"/>
            <w:tcBorders>
              <w:top w:val="thinThickSmallGap" w:sz="24" w:space="0" w:color="auto"/>
            </w:tcBorders>
            <w:vAlign w:val="center"/>
          </w:tcPr>
          <w:p w:rsidR="007F0EC9" w:rsidRPr="007F0EC9" w:rsidRDefault="007F0EC9" w:rsidP="007F0EC9">
            <w:pPr>
              <w:keepNext/>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rPr>
              <w:t>Chapter 4.  Test Procedures – Packages Labeled by Count, Linear Measure, Area, Thickness, and Combinations of Quantities</w:t>
            </w:r>
          </w:p>
        </w:tc>
        <w:tc>
          <w:tcPr>
            <w:tcW w:w="2518" w:type="dxa"/>
            <w:tcBorders>
              <w:top w:val="thinThickSmallGap" w:sz="24" w:space="0" w:color="auto"/>
              <w:bottom w:val="single" w:sz="4" w:space="0" w:color="auto"/>
            </w:tcBorders>
          </w:tcPr>
          <w:p w:rsidR="007F0EC9" w:rsidRPr="007F0EC9" w:rsidRDefault="007F0EC9" w:rsidP="007F0EC9">
            <w:pPr>
              <w:keepNext/>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rPr>
              <w:t>4.3.1. Test Equipment</w:t>
            </w:r>
          </w:p>
        </w:tc>
        <w:tc>
          <w:tcPr>
            <w:tcW w:w="2968" w:type="dxa"/>
            <w:tcBorders>
              <w:top w:val="thinThickSmallGap" w:sz="24" w:space="0" w:color="auto"/>
              <w:bottom w:val="single" w:sz="4" w:space="0" w:color="auto"/>
            </w:tcBorders>
          </w:tcPr>
          <w:p w:rsidR="007F0EC9" w:rsidRPr="007F0EC9" w:rsidRDefault="007F0EC9" w:rsidP="007F0EC9">
            <w:pPr>
              <w:keepNext/>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rPr>
              <w:t>Corrected omission of “</w:t>
            </w:r>
            <w:r w:rsidRPr="007F0EC9">
              <w:rPr>
                <w:rFonts w:ascii="Times New Roman" w:eastAsia="Times New Roman" w:hAnsi="Times New Roman" w:cs="Times New Roman"/>
                <w:b/>
                <w:color w:val="000000"/>
                <w:u w:val="single"/>
                <w:vertAlign w:val="superscript"/>
              </w:rPr>
              <w:t>1</w:t>
            </w:r>
            <w:r w:rsidRPr="007F0EC9">
              <w:rPr>
                <w:rFonts w:ascii="Times New Roman" w:eastAsia="Times New Roman" w:hAnsi="Times New Roman" w:cs="Times New Roman"/>
                <w:b/>
                <w:color w:val="000000"/>
                <w:u w:val="single"/>
              </w:rPr>
              <w:t>/</w:t>
            </w:r>
            <w:r w:rsidRPr="007F0EC9">
              <w:rPr>
                <w:rFonts w:ascii="Times New Roman" w:eastAsia="Times New Roman" w:hAnsi="Times New Roman" w:cs="Times New Roman"/>
                <w:b/>
                <w:color w:val="000000"/>
                <w:u w:val="single"/>
                <w:vertAlign w:val="subscript"/>
              </w:rPr>
              <w:t>16</w:t>
            </w:r>
            <w:r w:rsidRPr="007F0EC9">
              <w:rPr>
                <w:rFonts w:ascii="Times New Roman" w:eastAsia="Times New Roman" w:hAnsi="Times New Roman" w:cs="Times New Roman"/>
                <w:color w:val="000000"/>
              </w:rPr>
              <w:t>” in divisions…</w:t>
            </w:r>
          </w:p>
        </w:tc>
        <w:tc>
          <w:tcPr>
            <w:tcW w:w="1428" w:type="dxa"/>
            <w:tcBorders>
              <w:top w:val="thinThickSmallGap" w:sz="24" w:space="0" w:color="auto"/>
              <w:bottom w:val="single" w:sz="4" w:space="0" w:color="auto"/>
            </w:tcBorders>
          </w:tcPr>
          <w:p w:rsidR="007F0EC9" w:rsidRPr="007F0EC9" w:rsidRDefault="007F0EC9" w:rsidP="007F0EC9">
            <w:pPr>
              <w:keepNext/>
              <w:spacing w:after="0" w:line="240" w:lineRule="auto"/>
              <w:jc w:val="center"/>
              <w:rPr>
                <w:rFonts w:ascii="Times New Roman" w:eastAsia="Times New Roman" w:hAnsi="Times New Roman" w:cs="Times New Roman"/>
                <w:color w:val="000000"/>
              </w:rPr>
            </w:pPr>
            <w:r w:rsidRPr="007F0EC9">
              <w:rPr>
                <w:rFonts w:ascii="Times New Roman" w:eastAsia="Times New Roman" w:hAnsi="Times New Roman" w:cs="Times New Roman"/>
                <w:color w:val="000000"/>
              </w:rPr>
              <w:t>122</w:t>
            </w:r>
          </w:p>
        </w:tc>
      </w:tr>
      <w:tr w:rsidR="007F0EC9" w:rsidRPr="007F0EC9" w:rsidTr="00005384">
        <w:trPr>
          <w:trHeight w:val="288"/>
        </w:trPr>
        <w:tc>
          <w:tcPr>
            <w:tcW w:w="2596" w:type="dxa"/>
            <w:vMerge/>
            <w:vAlign w:val="center"/>
          </w:tcPr>
          <w:p w:rsidR="007F0EC9" w:rsidRPr="007F0EC9" w:rsidRDefault="007F0EC9" w:rsidP="007F0EC9">
            <w:pPr>
              <w:spacing w:after="0" w:line="240" w:lineRule="auto"/>
              <w:rPr>
                <w:rFonts w:ascii="Times New Roman" w:eastAsia="Times New Roman" w:hAnsi="Times New Roman" w:cs="Times New Roman"/>
                <w:color w:val="000000"/>
              </w:rPr>
            </w:pPr>
          </w:p>
        </w:tc>
        <w:tc>
          <w:tcPr>
            <w:tcW w:w="2518" w:type="dxa"/>
            <w:tcBorders>
              <w:top w:val="single" w:sz="4" w:space="0" w:color="auto"/>
              <w:bottom w:val="single" w:sz="4" w:space="0" w:color="auto"/>
            </w:tcBorders>
          </w:tcPr>
          <w:p w:rsidR="007F0EC9" w:rsidRPr="007F0EC9" w:rsidRDefault="007F0EC9" w:rsidP="007F0EC9">
            <w:pPr>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rPr>
              <w:t>4.4. Special Test Requirements for Packages Labeled by Linear or Square Measure (Area)</w:t>
            </w:r>
          </w:p>
        </w:tc>
        <w:tc>
          <w:tcPr>
            <w:tcW w:w="2968" w:type="dxa"/>
            <w:tcBorders>
              <w:top w:val="single" w:sz="4" w:space="0" w:color="auto"/>
              <w:bottom w:val="single" w:sz="4" w:space="0" w:color="auto"/>
            </w:tcBorders>
          </w:tcPr>
          <w:p w:rsidR="007F0EC9" w:rsidRPr="007F0EC9" w:rsidRDefault="007F0EC9" w:rsidP="007F0EC9">
            <w:pPr>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rPr>
              <w:t>Updated ASTM Reference</w:t>
            </w:r>
          </w:p>
        </w:tc>
        <w:tc>
          <w:tcPr>
            <w:tcW w:w="1428" w:type="dxa"/>
            <w:tcBorders>
              <w:top w:val="single" w:sz="4" w:space="0" w:color="auto"/>
              <w:bottom w:val="single" w:sz="4" w:space="0" w:color="auto"/>
            </w:tcBorders>
          </w:tcPr>
          <w:p w:rsidR="007F0EC9" w:rsidRPr="007F0EC9" w:rsidRDefault="007F0EC9" w:rsidP="007F0EC9">
            <w:pPr>
              <w:spacing w:after="0" w:line="240" w:lineRule="auto"/>
              <w:jc w:val="center"/>
              <w:rPr>
                <w:rFonts w:ascii="Times New Roman" w:eastAsia="Times New Roman" w:hAnsi="Times New Roman" w:cs="Times New Roman"/>
                <w:color w:val="000000"/>
              </w:rPr>
            </w:pPr>
            <w:r w:rsidRPr="007F0EC9">
              <w:rPr>
                <w:rFonts w:ascii="Times New Roman" w:eastAsia="Times New Roman" w:hAnsi="Times New Roman" w:cs="Times New Roman"/>
                <w:color w:val="000000"/>
              </w:rPr>
              <w:t>124</w:t>
            </w:r>
          </w:p>
        </w:tc>
      </w:tr>
      <w:tr w:rsidR="007F0EC9" w:rsidRPr="007F0EC9" w:rsidTr="00005384">
        <w:trPr>
          <w:trHeight w:val="288"/>
        </w:trPr>
        <w:tc>
          <w:tcPr>
            <w:tcW w:w="2596" w:type="dxa"/>
            <w:vMerge/>
            <w:tcBorders>
              <w:bottom w:val="thinThickSmallGap" w:sz="24" w:space="0" w:color="auto"/>
            </w:tcBorders>
            <w:vAlign w:val="center"/>
          </w:tcPr>
          <w:p w:rsidR="007F0EC9" w:rsidRPr="007F0EC9" w:rsidRDefault="007F0EC9" w:rsidP="007F0EC9">
            <w:pPr>
              <w:spacing w:after="0" w:line="240" w:lineRule="auto"/>
              <w:rPr>
                <w:rFonts w:ascii="Times New Roman" w:eastAsia="Times New Roman" w:hAnsi="Times New Roman" w:cs="Times New Roman"/>
                <w:color w:val="000000"/>
                <w:sz w:val="20"/>
                <w:szCs w:val="20"/>
              </w:rPr>
            </w:pPr>
          </w:p>
        </w:tc>
        <w:tc>
          <w:tcPr>
            <w:tcW w:w="2518" w:type="dxa"/>
            <w:tcBorders>
              <w:top w:val="single" w:sz="4" w:space="0" w:color="auto"/>
              <w:bottom w:val="thinThickSmallGap" w:sz="24" w:space="0" w:color="auto"/>
            </w:tcBorders>
          </w:tcPr>
          <w:p w:rsidR="007F0EC9" w:rsidRPr="007F0EC9" w:rsidRDefault="007F0EC9" w:rsidP="007F0EC9">
            <w:pPr>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rPr>
              <w:t>4.5.2. Test Procedures</w:t>
            </w:r>
          </w:p>
          <w:p w:rsidR="007F0EC9" w:rsidRPr="007F0EC9" w:rsidRDefault="007F0EC9" w:rsidP="007F0EC9">
            <w:pPr>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rPr>
              <w:t>(a) Test Procedure for Polyethylene Sheeting</w:t>
            </w:r>
          </w:p>
        </w:tc>
        <w:tc>
          <w:tcPr>
            <w:tcW w:w="2968" w:type="dxa"/>
            <w:tcBorders>
              <w:top w:val="single" w:sz="4" w:space="0" w:color="auto"/>
              <w:bottom w:val="thinThickSmallGap" w:sz="24" w:space="0" w:color="auto"/>
            </w:tcBorders>
          </w:tcPr>
          <w:p w:rsidR="007F0EC9" w:rsidRPr="007F0EC9" w:rsidRDefault="007F0EC9" w:rsidP="007F0EC9">
            <w:pPr>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rPr>
              <w:t>Made an editorial change to harmonize the content with the NIST Handbook 130 changes.</w:t>
            </w:r>
          </w:p>
        </w:tc>
        <w:tc>
          <w:tcPr>
            <w:tcW w:w="1428" w:type="dxa"/>
            <w:tcBorders>
              <w:top w:val="single" w:sz="4" w:space="0" w:color="auto"/>
              <w:bottom w:val="thinThickSmallGap" w:sz="24" w:space="0" w:color="auto"/>
            </w:tcBorders>
          </w:tcPr>
          <w:p w:rsidR="007F0EC9" w:rsidRPr="007F0EC9" w:rsidRDefault="007F0EC9" w:rsidP="007F0EC9">
            <w:pPr>
              <w:spacing w:after="0" w:line="240" w:lineRule="auto"/>
              <w:jc w:val="center"/>
              <w:rPr>
                <w:rFonts w:ascii="Times New Roman" w:eastAsia="Times New Roman" w:hAnsi="Times New Roman" w:cs="Times New Roman"/>
                <w:color w:val="000000"/>
              </w:rPr>
            </w:pPr>
            <w:r w:rsidRPr="007F0EC9">
              <w:rPr>
                <w:rFonts w:ascii="Times New Roman" w:eastAsia="Times New Roman" w:hAnsi="Times New Roman" w:cs="Times New Roman"/>
                <w:color w:val="000000"/>
              </w:rPr>
              <w:t>125</w:t>
            </w:r>
          </w:p>
        </w:tc>
      </w:tr>
      <w:tr w:rsidR="007F0EC9" w:rsidRPr="007F0EC9" w:rsidTr="00005384">
        <w:trPr>
          <w:trHeight w:val="288"/>
        </w:trPr>
        <w:tc>
          <w:tcPr>
            <w:tcW w:w="2596" w:type="dxa"/>
            <w:tcBorders>
              <w:top w:val="thinThickSmallGap" w:sz="24" w:space="0" w:color="auto"/>
              <w:bottom w:val="thinThickSmallGap" w:sz="24" w:space="0" w:color="auto"/>
            </w:tcBorders>
            <w:vAlign w:val="center"/>
          </w:tcPr>
          <w:p w:rsidR="007F0EC9" w:rsidRPr="007F0EC9" w:rsidRDefault="007F0EC9" w:rsidP="007F0EC9">
            <w:pPr>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rPr>
              <w:t>Appendix A. Tables</w:t>
            </w:r>
          </w:p>
        </w:tc>
        <w:tc>
          <w:tcPr>
            <w:tcW w:w="2518" w:type="dxa"/>
            <w:tcBorders>
              <w:top w:val="thinThickSmallGap" w:sz="24" w:space="0" w:color="auto"/>
              <w:bottom w:val="thinThickSmallGap" w:sz="24" w:space="0" w:color="auto"/>
            </w:tcBorders>
          </w:tcPr>
          <w:p w:rsidR="007F0EC9" w:rsidRPr="007F0EC9" w:rsidRDefault="007F0EC9" w:rsidP="007F0EC9">
            <w:pPr>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rPr>
              <w:t xml:space="preserve">Table 2-10. Exceptions to the Maximum Allowable Variations for Textiles, Polyethylene Sheeting and Film, Mulch and Soil Labeled by Volume, Packaged Firewood </w:t>
            </w:r>
            <w:r w:rsidRPr="007F0EC9">
              <w:rPr>
                <w:rFonts w:ascii="Times New Roman" w:eastAsia="Times New Roman" w:hAnsi="Times New Roman" w:cs="Times New Roman"/>
                <w:b/>
                <w:color w:val="000000"/>
                <w:u w:val="single"/>
              </w:rPr>
              <w:t>and Stove Wood Labeled by Volume</w:t>
            </w:r>
            <w:r w:rsidRPr="007F0EC9">
              <w:rPr>
                <w:rFonts w:ascii="Times New Roman" w:eastAsia="Times New Roman" w:hAnsi="Times New Roman" w:cs="Times New Roman"/>
                <w:color w:val="000000"/>
              </w:rPr>
              <w:t>, and Packages Labeled by Count with 50 Items or Fewer, and Specific Agricultural Seeds Labeled by Count.</w:t>
            </w:r>
          </w:p>
        </w:tc>
        <w:tc>
          <w:tcPr>
            <w:tcW w:w="2968" w:type="dxa"/>
            <w:tcBorders>
              <w:top w:val="thinThickSmallGap" w:sz="24" w:space="0" w:color="auto"/>
              <w:bottom w:val="thinThickSmallGap" w:sz="24" w:space="0" w:color="auto"/>
            </w:tcBorders>
          </w:tcPr>
          <w:p w:rsidR="007F0EC9" w:rsidRPr="007F0EC9" w:rsidRDefault="007F0EC9" w:rsidP="007F0EC9">
            <w:pPr>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rPr>
              <w:t>Title Correction omitted during the 2016 updates.</w:t>
            </w:r>
          </w:p>
        </w:tc>
        <w:tc>
          <w:tcPr>
            <w:tcW w:w="1428" w:type="dxa"/>
            <w:tcBorders>
              <w:top w:val="thinThickSmallGap" w:sz="24" w:space="0" w:color="auto"/>
              <w:bottom w:val="thinThickSmallGap" w:sz="24" w:space="0" w:color="auto"/>
            </w:tcBorders>
          </w:tcPr>
          <w:p w:rsidR="007F0EC9" w:rsidRPr="007F0EC9" w:rsidRDefault="007F0EC9" w:rsidP="007F0EC9">
            <w:pPr>
              <w:spacing w:after="0" w:line="240" w:lineRule="auto"/>
              <w:jc w:val="center"/>
              <w:rPr>
                <w:rFonts w:ascii="Times New Roman" w:eastAsia="Times New Roman" w:hAnsi="Times New Roman" w:cs="Times New Roman"/>
                <w:color w:val="000000"/>
              </w:rPr>
            </w:pPr>
            <w:r w:rsidRPr="007F0EC9">
              <w:rPr>
                <w:rFonts w:ascii="Times New Roman" w:eastAsia="Times New Roman" w:hAnsi="Times New Roman" w:cs="Times New Roman"/>
                <w:color w:val="000000"/>
              </w:rPr>
              <w:t>157</w:t>
            </w:r>
          </w:p>
        </w:tc>
      </w:tr>
      <w:tr w:rsidR="007F0EC9" w:rsidRPr="007F0EC9" w:rsidTr="00005384">
        <w:trPr>
          <w:trHeight w:val="288"/>
        </w:trPr>
        <w:tc>
          <w:tcPr>
            <w:tcW w:w="2596" w:type="dxa"/>
            <w:tcBorders>
              <w:top w:val="thinThickSmallGap" w:sz="24" w:space="0" w:color="auto"/>
              <w:bottom w:val="double" w:sz="4" w:space="0" w:color="auto"/>
            </w:tcBorders>
            <w:vAlign w:val="center"/>
          </w:tcPr>
          <w:p w:rsidR="007F0EC9" w:rsidRPr="007F0EC9" w:rsidRDefault="007F0EC9" w:rsidP="007F0EC9">
            <w:pPr>
              <w:keepNext/>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rPr>
              <w:t>Appendix E. General Tables of Units of Measurement</w:t>
            </w:r>
          </w:p>
        </w:tc>
        <w:tc>
          <w:tcPr>
            <w:tcW w:w="2518" w:type="dxa"/>
            <w:tcBorders>
              <w:top w:val="thinThickSmallGap" w:sz="24" w:space="0" w:color="auto"/>
              <w:bottom w:val="double" w:sz="4" w:space="0" w:color="auto"/>
            </w:tcBorders>
          </w:tcPr>
          <w:p w:rsidR="007F0EC9" w:rsidRPr="007F0EC9" w:rsidRDefault="007F0EC9" w:rsidP="007F0EC9">
            <w:pPr>
              <w:keepNext/>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rPr>
              <w:t>Avoirdupois Units of Mass</w:t>
            </w:r>
          </w:p>
        </w:tc>
        <w:tc>
          <w:tcPr>
            <w:tcW w:w="2968" w:type="dxa"/>
            <w:tcBorders>
              <w:top w:val="thinThickSmallGap" w:sz="24" w:space="0" w:color="auto"/>
              <w:bottom w:val="double" w:sz="4" w:space="0" w:color="auto"/>
            </w:tcBorders>
          </w:tcPr>
          <w:p w:rsidR="007F0EC9" w:rsidRPr="007F0EC9" w:rsidRDefault="007F0EC9" w:rsidP="007F0EC9">
            <w:pPr>
              <w:keepNext/>
              <w:spacing w:after="0" w:line="240" w:lineRule="auto"/>
              <w:jc w:val="both"/>
              <w:rPr>
                <w:rFonts w:ascii="Times New Roman" w:eastAsia="Times New Roman" w:hAnsi="Times New Roman" w:cs="Times New Roman"/>
                <w:color w:val="000000"/>
              </w:rPr>
            </w:pPr>
            <w:r w:rsidRPr="007F0EC9">
              <w:rPr>
                <w:rFonts w:ascii="Times New Roman" w:eastAsia="Times New Roman" w:hAnsi="Times New Roman" w:cs="Times New Roman"/>
                <w:color w:val="000000"/>
              </w:rPr>
              <w:t xml:space="preserve">Added parentheses around “or long”: </w:t>
            </w:r>
          </w:p>
          <w:p w:rsidR="007F0EC9" w:rsidRPr="007F0EC9" w:rsidRDefault="007F0EC9" w:rsidP="007F0EC9">
            <w:pPr>
              <w:keepNext/>
              <w:spacing w:after="0" w:line="240" w:lineRule="auto"/>
              <w:rPr>
                <w:rFonts w:ascii="Times New Roman" w:eastAsia="Times New Roman" w:hAnsi="Times New Roman" w:cs="Times New Roman"/>
                <w:color w:val="000000"/>
              </w:rPr>
            </w:pPr>
            <w:r w:rsidRPr="007F0EC9">
              <w:rPr>
                <w:rFonts w:ascii="Times New Roman" w:eastAsia="Times New Roman" w:hAnsi="Times New Roman" w:cs="Times New Roman"/>
                <w:color w:val="000000"/>
              </w:rPr>
              <w:t>20 gross (or long) hundredweights = 1 gross (or long) ton</w:t>
            </w:r>
          </w:p>
        </w:tc>
        <w:tc>
          <w:tcPr>
            <w:tcW w:w="1428" w:type="dxa"/>
            <w:tcBorders>
              <w:top w:val="thinThickSmallGap" w:sz="24" w:space="0" w:color="auto"/>
              <w:bottom w:val="double" w:sz="4" w:space="0" w:color="auto"/>
            </w:tcBorders>
          </w:tcPr>
          <w:p w:rsidR="007F0EC9" w:rsidRPr="007F0EC9" w:rsidRDefault="007F0EC9" w:rsidP="007F0EC9">
            <w:pPr>
              <w:keepNext/>
              <w:spacing w:after="0" w:line="240" w:lineRule="auto"/>
              <w:jc w:val="center"/>
              <w:rPr>
                <w:rFonts w:ascii="Times New Roman" w:eastAsia="Times New Roman" w:hAnsi="Times New Roman" w:cs="Times New Roman"/>
                <w:color w:val="000000"/>
              </w:rPr>
            </w:pPr>
            <w:r w:rsidRPr="007F0EC9">
              <w:rPr>
                <w:rFonts w:ascii="Times New Roman" w:eastAsia="Times New Roman" w:hAnsi="Times New Roman" w:cs="Times New Roman"/>
                <w:color w:val="000000"/>
              </w:rPr>
              <w:t>201</w:t>
            </w:r>
          </w:p>
        </w:tc>
      </w:tr>
    </w:tbl>
    <w:p w:rsidR="007F0EC9" w:rsidRPr="007F0EC9" w:rsidRDefault="007F0EC9" w:rsidP="007F0EC9">
      <w:pPr>
        <w:spacing w:after="0" w:line="240" w:lineRule="auto"/>
        <w:jc w:val="both"/>
        <w:rPr>
          <w:rFonts w:ascii="Times New Roman" w:eastAsia="Times New Roman" w:hAnsi="Times New Roman" w:cs="Times New Roman"/>
          <w:color w:val="000000"/>
          <w:sz w:val="28"/>
          <w:szCs w:val="28"/>
        </w:rPr>
      </w:pPr>
    </w:p>
    <w:p w:rsidR="00CF37E6" w:rsidRDefault="00CF37E6"/>
    <w:sectPr w:rsidR="00CF37E6" w:rsidSect="003D5868">
      <w:headerReference w:type="even" r:id="rId6"/>
      <w:headerReference w:type="default" r:id="rId7"/>
      <w:footerReference w:type="even" r:id="rId8"/>
      <w:headerReference w:type="first" r:id="rId9"/>
      <w:footerReference w:type="first" r:id="rId10"/>
      <w:pgSz w:w="12240" w:h="15840"/>
      <w:pgMar w:top="1440" w:right="1440" w:bottom="1440" w:left="1440" w:header="720" w:footer="720" w:gutter="0"/>
      <w:pgNumType w:fmt="lowerRoman" w:start="2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4EE" w:rsidRDefault="008604EE" w:rsidP="008604EE">
      <w:pPr>
        <w:spacing w:after="0" w:line="240" w:lineRule="auto"/>
      </w:pPr>
      <w:r>
        <w:separator/>
      </w:r>
    </w:p>
  </w:endnote>
  <w:endnote w:type="continuationSeparator" w:id="0">
    <w:p w:rsidR="008604EE" w:rsidRDefault="008604EE" w:rsidP="00860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241293"/>
      <w:docPartObj>
        <w:docPartGallery w:val="Page Numbers (Bottom of Page)"/>
        <w:docPartUnique/>
      </w:docPartObj>
    </w:sdtPr>
    <w:sdtEndPr>
      <w:rPr>
        <w:noProof/>
      </w:rPr>
    </w:sdtEndPr>
    <w:sdtContent>
      <w:p w:rsidR="008604EE" w:rsidRDefault="003D5868" w:rsidP="003D58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090355"/>
      <w:docPartObj>
        <w:docPartGallery w:val="Page Numbers (Bottom of Page)"/>
        <w:docPartUnique/>
      </w:docPartObj>
    </w:sdtPr>
    <w:sdtEndPr>
      <w:rPr>
        <w:rFonts w:ascii="Times New Roman" w:hAnsi="Times New Roman" w:cs="Times New Roman"/>
        <w:noProof/>
        <w:sz w:val="20"/>
        <w:szCs w:val="20"/>
      </w:rPr>
    </w:sdtEndPr>
    <w:sdtContent>
      <w:p w:rsidR="008604EE" w:rsidRPr="00E90A37" w:rsidRDefault="003D5868" w:rsidP="003D5868">
        <w:pPr>
          <w:pStyle w:val="Footer"/>
          <w:jc w:val="center"/>
          <w:rPr>
            <w:rFonts w:ascii="Times New Roman" w:hAnsi="Times New Roman" w:cs="Times New Roman"/>
            <w:sz w:val="20"/>
            <w:szCs w:val="20"/>
          </w:rPr>
        </w:pPr>
        <w:r w:rsidRPr="00E90A37">
          <w:rPr>
            <w:rFonts w:ascii="Times New Roman" w:hAnsi="Times New Roman" w:cs="Times New Roman"/>
            <w:sz w:val="20"/>
            <w:szCs w:val="20"/>
          </w:rPr>
          <w:fldChar w:fldCharType="begin"/>
        </w:r>
        <w:r w:rsidRPr="00E90A37">
          <w:rPr>
            <w:rFonts w:ascii="Times New Roman" w:hAnsi="Times New Roman" w:cs="Times New Roman"/>
            <w:sz w:val="20"/>
            <w:szCs w:val="20"/>
          </w:rPr>
          <w:instrText xml:space="preserve"> PAGE   \* MERGEFORMAT </w:instrText>
        </w:r>
        <w:r w:rsidRPr="00E90A37">
          <w:rPr>
            <w:rFonts w:ascii="Times New Roman" w:hAnsi="Times New Roman" w:cs="Times New Roman"/>
            <w:sz w:val="20"/>
            <w:szCs w:val="20"/>
          </w:rPr>
          <w:fldChar w:fldCharType="separate"/>
        </w:r>
        <w:r w:rsidRPr="00E90A37">
          <w:rPr>
            <w:rFonts w:ascii="Times New Roman" w:hAnsi="Times New Roman" w:cs="Times New Roman"/>
            <w:noProof/>
            <w:sz w:val="20"/>
            <w:szCs w:val="20"/>
          </w:rPr>
          <w:t>2</w:t>
        </w:r>
        <w:r w:rsidRPr="00E90A37">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4EE" w:rsidRDefault="008604EE" w:rsidP="008604EE">
      <w:pPr>
        <w:spacing w:after="0" w:line="240" w:lineRule="auto"/>
      </w:pPr>
      <w:r>
        <w:separator/>
      </w:r>
    </w:p>
  </w:footnote>
  <w:footnote w:type="continuationSeparator" w:id="0">
    <w:p w:rsidR="008604EE" w:rsidRDefault="008604EE" w:rsidP="00860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4EE" w:rsidRPr="008604EE" w:rsidRDefault="008604EE" w:rsidP="008604EE">
    <w:pPr>
      <w:pStyle w:val="Header"/>
      <w:rPr>
        <w:rFonts w:ascii="Times New Roman" w:hAnsi="Times New Roman" w:cs="Times New Roman"/>
        <w:sz w:val="20"/>
        <w:szCs w:val="20"/>
      </w:rPr>
    </w:pPr>
    <w:r w:rsidRPr="008604EE">
      <w:rPr>
        <w:rFonts w:ascii="Times New Roman" w:hAnsi="Times New Roman" w:cs="Times New Roman"/>
        <w:sz w:val="20"/>
        <w:szCs w:val="20"/>
      </w:rPr>
      <w:t>2018 Amendment/Editorial Changes</w:t>
    </w:r>
    <w:r>
      <w:rPr>
        <w:rFonts w:ascii="Times New Roman" w:hAnsi="Times New Roman" w:cs="Times New Roman"/>
        <w:sz w:val="20"/>
        <w:szCs w:val="20"/>
      </w:rPr>
      <w:tab/>
    </w:r>
    <w:r>
      <w:rPr>
        <w:rFonts w:ascii="Times New Roman" w:hAnsi="Times New Roman" w:cs="Times New Roman"/>
        <w:sz w:val="20"/>
        <w:szCs w:val="20"/>
      </w:rPr>
      <w:tab/>
      <w:t>Handbook 133 – 2019</w:t>
    </w:r>
  </w:p>
  <w:p w:rsidR="008604EE" w:rsidRDefault="00860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4EE" w:rsidRPr="008604EE" w:rsidRDefault="008604EE">
    <w:pPr>
      <w:pStyle w:val="Header"/>
      <w:rPr>
        <w:rFonts w:ascii="Times New Roman" w:hAnsi="Times New Roman" w:cs="Times New Roman"/>
        <w:sz w:val="20"/>
        <w:szCs w:val="20"/>
      </w:rPr>
    </w:pPr>
    <w:r w:rsidRPr="008604EE">
      <w:rPr>
        <w:rFonts w:ascii="Times New Roman" w:hAnsi="Times New Roman" w:cs="Times New Roman"/>
        <w:sz w:val="20"/>
        <w:szCs w:val="20"/>
      </w:rPr>
      <w:t>Handbook 133 – 2019</w:t>
    </w:r>
    <w:r w:rsidRPr="008604EE">
      <w:rPr>
        <w:rFonts w:ascii="Times New Roman" w:hAnsi="Times New Roman" w:cs="Times New Roman"/>
        <w:sz w:val="20"/>
        <w:szCs w:val="20"/>
      </w:rPr>
      <w:tab/>
    </w:r>
    <w:r w:rsidRPr="008604EE">
      <w:rPr>
        <w:rFonts w:ascii="Times New Roman" w:hAnsi="Times New Roman" w:cs="Times New Roman"/>
        <w:sz w:val="20"/>
        <w:szCs w:val="20"/>
      </w:rPr>
      <w:tab/>
      <w:t>2018 Amendment/Editorial Changes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A37" w:rsidRPr="000C3EFA" w:rsidRDefault="000C3EFA">
    <w:pPr>
      <w:pStyle w:val="Header"/>
      <w:rPr>
        <w:rFonts w:ascii="Times New Roman" w:hAnsi="Times New Roman" w:cs="Times New Roman"/>
        <w:sz w:val="20"/>
        <w:szCs w:val="20"/>
      </w:rPr>
    </w:pPr>
    <w:r w:rsidRPr="000C3EFA">
      <w:rPr>
        <w:rFonts w:ascii="Times New Roman" w:hAnsi="Times New Roman" w:cs="Times New Roman"/>
        <w:sz w:val="20"/>
        <w:szCs w:val="20"/>
      </w:rPr>
      <w:t>Handbook 133 – 2019</w:t>
    </w:r>
    <w:r w:rsidRPr="000C3EFA">
      <w:rPr>
        <w:rFonts w:ascii="Times New Roman" w:hAnsi="Times New Roman" w:cs="Times New Roman"/>
        <w:sz w:val="20"/>
        <w:szCs w:val="20"/>
      </w:rPr>
      <w:tab/>
    </w:r>
    <w:r w:rsidRPr="000C3EFA">
      <w:rPr>
        <w:rFonts w:ascii="Times New Roman" w:hAnsi="Times New Roman" w:cs="Times New Roman"/>
        <w:sz w:val="20"/>
        <w:szCs w:val="20"/>
      </w:rPr>
      <w:tab/>
      <w:t>2018 Amendments/Editorial Changes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C9"/>
    <w:rsid w:val="000C3EFA"/>
    <w:rsid w:val="000D3F10"/>
    <w:rsid w:val="003D5868"/>
    <w:rsid w:val="004F00ED"/>
    <w:rsid w:val="00605045"/>
    <w:rsid w:val="007F0EC9"/>
    <w:rsid w:val="008604EE"/>
    <w:rsid w:val="0091029E"/>
    <w:rsid w:val="00B7256F"/>
    <w:rsid w:val="00CF37E6"/>
    <w:rsid w:val="00DA5077"/>
    <w:rsid w:val="00E90A37"/>
    <w:rsid w:val="00EB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6F15"/>
  <w15:chartTrackingRefBased/>
  <w15:docId w15:val="{48AA3EBB-EE71-48D0-AD9B-19B86850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0E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0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4EE"/>
  </w:style>
  <w:style w:type="paragraph" w:styleId="Footer">
    <w:name w:val="footer"/>
    <w:basedOn w:val="Normal"/>
    <w:link w:val="FooterChar"/>
    <w:uiPriority w:val="99"/>
    <w:unhideWhenUsed/>
    <w:rsid w:val="00860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Checking the Net Contents of Packaged Goods</vt:lpstr>
    </vt:vector>
  </TitlesOfParts>
  <Company>NIST</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dc:title>
  <dc:subject>2018 Editorial Amendments</dc:subject>
  <dc:creator>Crown, Linda D. (Fed);Warfield, Lisa (Fed);Sefcik, David (Fed)</dc:creator>
  <cp:keywords/>
  <dc:description/>
  <cp:lastModifiedBy>Crown, Linda D. (Fed)</cp:lastModifiedBy>
  <cp:revision>6</cp:revision>
  <dcterms:created xsi:type="dcterms:W3CDTF">2018-12-20T16:03:00Z</dcterms:created>
  <dcterms:modified xsi:type="dcterms:W3CDTF">2018-12-20T19:57:00Z</dcterms:modified>
</cp:coreProperties>
</file>