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 w:type="dxa"/>
        <w:tblLook w:val="04A0" w:firstRow="1" w:lastRow="0" w:firstColumn="1" w:lastColumn="0" w:noHBand="0" w:noVBand="1"/>
      </w:tblPr>
      <w:tblGrid>
        <w:gridCol w:w="9350"/>
      </w:tblGrid>
      <w:tr w:rsidR="00F1661A" w:rsidTr="00A91BF4">
        <w:tc>
          <w:tcPr>
            <w:tcW w:w="9350" w:type="dxa"/>
            <w:tcBorders>
              <w:top w:val="single" w:sz="18" w:space="0" w:color="auto"/>
              <w:left w:val="nil"/>
              <w:bottom w:val="single" w:sz="8" w:space="0" w:color="auto"/>
              <w:right w:val="nil"/>
            </w:tcBorders>
          </w:tcPr>
          <w:p w:rsidR="00F1661A" w:rsidRDefault="00F1661A" w:rsidP="00A91BF4">
            <w:pPr>
              <w:jc w:val="center"/>
              <w:rPr>
                <w:b/>
                <w:bCs/>
                <w:sz w:val="12"/>
              </w:rPr>
            </w:pPr>
          </w:p>
        </w:tc>
      </w:tr>
      <w:tr w:rsidR="00F1661A" w:rsidTr="00A91BF4">
        <w:tc>
          <w:tcPr>
            <w:tcW w:w="9350" w:type="dxa"/>
            <w:tcBorders>
              <w:top w:val="single" w:sz="8" w:space="0" w:color="auto"/>
              <w:left w:val="nil"/>
              <w:bottom w:val="single" w:sz="8" w:space="0" w:color="auto"/>
              <w:right w:val="nil"/>
            </w:tcBorders>
          </w:tcPr>
          <w:p w:rsidR="00F1661A" w:rsidRPr="00567C2F" w:rsidRDefault="00F1661A" w:rsidP="00A91BF4">
            <w:pPr>
              <w:pStyle w:val="Heading1"/>
              <w:outlineLvl w:val="0"/>
            </w:pPr>
            <w:bookmarkStart w:id="0" w:name="_Toc464111540"/>
            <w:bookmarkStart w:id="1" w:name="_Toc464123743"/>
            <w:bookmarkStart w:id="2" w:name="_Toc496108441"/>
            <w:r>
              <w:rPr>
                <w:rFonts w:ascii="ZWAdobeF" w:hAnsi="ZWAdobeF" w:cs="ZWAdobeF"/>
                <w:b w:val="0"/>
                <w:sz w:val="2"/>
                <w:szCs w:val="2"/>
              </w:rPr>
              <w:t>5B</w:t>
            </w:r>
            <w:r w:rsidRPr="00567C2F">
              <w:t>201</w:t>
            </w:r>
            <w:r>
              <w:t>7</w:t>
            </w:r>
            <w:r w:rsidRPr="00567C2F">
              <w:t xml:space="preserve"> Editorial Changes</w:t>
            </w:r>
            <w:bookmarkEnd w:id="0"/>
            <w:bookmarkEnd w:id="1"/>
            <w:bookmarkEnd w:id="2"/>
          </w:p>
        </w:tc>
      </w:tr>
    </w:tbl>
    <w:p w:rsidR="00F1661A" w:rsidRDefault="00F1661A" w:rsidP="00F1661A">
      <w:pPr>
        <w:spacing w:before="240" w:after="240"/>
      </w:pPr>
      <w:r>
        <w:t>The following items were deemed editorial in nature based on the following criteria:  1) the modified text did not change the meaning or procedure outlined, 2) modified text corrected an omission or clarified how the text was written, or 3) the item itself was reformatted and relocated in the text to make the organization of the content more meaningful.</w:t>
      </w:r>
    </w:p>
    <w:tbl>
      <w:tblPr>
        <w:tblStyle w:val="TableGrid8"/>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29" w:type="dxa"/>
          <w:left w:w="115" w:type="dxa"/>
          <w:bottom w:w="29" w:type="dxa"/>
          <w:right w:w="115" w:type="dxa"/>
        </w:tblCellMar>
        <w:tblLook w:val="04A0" w:firstRow="1" w:lastRow="0" w:firstColumn="1" w:lastColumn="0" w:noHBand="0" w:noVBand="1"/>
      </w:tblPr>
      <w:tblGrid>
        <w:gridCol w:w="2865"/>
        <w:gridCol w:w="2610"/>
        <w:gridCol w:w="2880"/>
        <w:gridCol w:w="975"/>
      </w:tblGrid>
      <w:tr w:rsidR="00F1661A" w:rsidRPr="00C768B9" w:rsidTr="00A91BF4">
        <w:trPr>
          <w:trHeight w:val="288"/>
        </w:trPr>
        <w:tc>
          <w:tcPr>
            <w:tcW w:w="2865" w:type="dxa"/>
            <w:tcBorders>
              <w:top w:val="double" w:sz="4" w:space="0" w:color="auto"/>
              <w:bottom w:val="double" w:sz="4" w:space="0" w:color="auto"/>
            </w:tcBorders>
            <w:vAlign w:val="center"/>
          </w:tcPr>
          <w:p w:rsidR="00F1661A" w:rsidRPr="00C768B9" w:rsidRDefault="00F1661A" w:rsidP="00A91BF4">
            <w:pPr>
              <w:jc w:val="center"/>
              <w:rPr>
                <w:b/>
              </w:rPr>
            </w:pPr>
            <w:r>
              <w:rPr>
                <w:b/>
              </w:rPr>
              <w:t>Chapter</w:t>
            </w:r>
          </w:p>
        </w:tc>
        <w:tc>
          <w:tcPr>
            <w:tcW w:w="2610" w:type="dxa"/>
            <w:tcBorders>
              <w:top w:val="double" w:sz="4" w:space="0" w:color="auto"/>
              <w:bottom w:val="double" w:sz="4" w:space="0" w:color="auto"/>
            </w:tcBorders>
            <w:vAlign w:val="center"/>
          </w:tcPr>
          <w:p w:rsidR="00F1661A" w:rsidRPr="00C768B9" w:rsidRDefault="00F1661A" w:rsidP="00A91BF4">
            <w:pPr>
              <w:jc w:val="center"/>
              <w:rPr>
                <w:b/>
              </w:rPr>
            </w:pPr>
            <w:r>
              <w:rPr>
                <w:b/>
              </w:rPr>
              <w:t>Section</w:t>
            </w:r>
          </w:p>
        </w:tc>
        <w:tc>
          <w:tcPr>
            <w:tcW w:w="2880" w:type="dxa"/>
            <w:tcBorders>
              <w:top w:val="double" w:sz="4" w:space="0" w:color="auto"/>
              <w:bottom w:val="double" w:sz="4" w:space="0" w:color="auto"/>
            </w:tcBorders>
            <w:vAlign w:val="center"/>
          </w:tcPr>
          <w:p w:rsidR="00F1661A" w:rsidRPr="00C768B9" w:rsidRDefault="00F1661A" w:rsidP="00A91BF4">
            <w:pPr>
              <w:jc w:val="center"/>
              <w:rPr>
                <w:b/>
              </w:rPr>
            </w:pPr>
            <w:r>
              <w:rPr>
                <w:b/>
              </w:rPr>
              <w:t>Action</w:t>
            </w:r>
          </w:p>
        </w:tc>
        <w:tc>
          <w:tcPr>
            <w:tcW w:w="975" w:type="dxa"/>
            <w:tcBorders>
              <w:top w:val="double" w:sz="4" w:space="0" w:color="auto"/>
              <w:bottom w:val="double" w:sz="4" w:space="0" w:color="auto"/>
            </w:tcBorders>
            <w:vAlign w:val="center"/>
          </w:tcPr>
          <w:p w:rsidR="00F1661A" w:rsidRPr="00C768B9" w:rsidRDefault="00F1661A" w:rsidP="00A91BF4">
            <w:pPr>
              <w:jc w:val="center"/>
              <w:rPr>
                <w:b/>
              </w:rPr>
            </w:pPr>
            <w:r>
              <w:rPr>
                <w:b/>
              </w:rPr>
              <w:t>Page</w:t>
            </w:r>
          </w:p>
        </w:tc>
      </w:tr>
      <w:tr w:rsidR="00F1661A" w:rsidTr="00A91BF4">
        <w:trPr>
          <w:trHeight w:val="288"/>
        </w:trPr>
        <w:tc>
          <w:tcPr>
            <w:tcW w:w="2865" w:type="dxa"/>
            <w:vMerge w:val="restart"/>
            <w:tcBorders>
              <w:top w:val="double" w:sz="4" w:space="0" w:color="auto"/>
            </w:tcBorders>
            <w:vAlign w:val="center"/>
          </w:tcPr>
          <w:p w:rsidR="00F1661A" w:rsidRDefault="00F1661A" w:rsidP="00A91BF4">
            <w:pPr>
              <w:spacing w:after="120"/>
              <w:jc w:val="left"/>
            </w:pPr>
            <w:r>
              <w:t>Chapter 2. Test Procedures – Packages Labeled by Weight - Gravimetric Testing</w:t>
            </w:r>
          </w:p>
        </w:tc>
        <w:tc>
          <w:tcPr>
            <w:tcW w:w="2610" w:type="dxa"/>
            <w:tcBorders>
              <w:top w:val="double" w:sz="4" w:space="0" w:color="auto"/>
              <w:bottom w:val="single" w:sz="4" w:space="0" w:color="auto"/>
            </w:tcBorders>
          </w:tcPr>
          <w:p w:rsidR="00F1661A" w:rsidRDefault="00F1661A" w:rsidP="00A91BF4">
            <w:pPr>
              <w:spacing w:after="40"/>
              <w:jc w:val="left"/>
            </w:pPr>
            <w:r>
              <w:t>2.3.5.2. Special Procedures for Determining Tare</w:t>
            </w:r>
          </w:p>
        </w:tc>
        <w:tc>
          <w:tcPr>
            <w:tcW w:w="2880" w:type="dxa"/>
            <w:tcBorders>
              <w:top w:val="double" w:sz="4" w:space="0" w:color="auto"/>
              <w:bottom w:val="single" w:sz="4" w:space="0" w:color="auto"/>
            </w:tcBorders>
          </w:tcPr>
          <w:p w:rsidR="00F1661A" w:rsidRDefault="009363A7" w:rsidP="00A91BF4">
            <w:pPr>
              <w:jc w:val="left"/>
            </w:pPr>
            <w:r>
              <w:t>Modified</w:t>
            </w:r>
            <w:r w:rsidR="00F1661A">
              <w:t xml:space="preserve"> for clarity of intent.</w:t>
            </w:r>
          </w:p>
          <w:p w:rsidR="00F1661A" w:rsidRDefault="00F1661A" w:rsidP="00A91BF4">
            <w:pPr>
              <w:jc w:val="left"/>
            </w:pPr>
            <w:r>
              <w:t xml:space="preserve">a. Aerosol </w:t>
            </w:r>
            <w:proofErr w:type="spellStart"/>
            <w:r>
              <w:rPr>
                <w:rFonts w:ascii="ZWAdobeF" w:hAnsi="ZWAdobeF" w:cs="ZWAdobeF"/>
                <w:color w:val="auto"/>
                <w:sz w:val="2"/>
                <w:szCs w:val="2"/>
              </w:rPr>
              <w:t>U</w:t>
            </w:r>
            <w:r w:rsidRPr="00A40B7E">
              <w:rPr>
                <w:b/>
                <w:u w:val="single"/>
              </w:rPr>
              <w:t>and</w:t>
            </w:r>
            <w:proofErr w:type="spellEnd"/>
            <w:r w:rsidRPr="00A40B7E">
              <w:rPr>
                <w:b/>
                <w:u w:val="single"/>
              </w:rPr>
              <w:t xml:space="preserve"> Other Pre-</w:t>
            </w:r>
            <w:proofErr w:type="spellStart"/>
            <w:r w:rsidR="009363A7" w:rsidRPr="00A40B7E">
              <w:rPr>
                <w:b/>
                <w:u w:val="single"/>
              </w:rPr>
              <w:t>Pressurize</w:t>
            </w:r>
            <w:r w:rsidR="009363A7">
              <w:rPr>
                <w:b/>
                <w:u w:val="single"/>
              </w:rPr>
              <w:t>d</w:t>
            </w:r>
            <w:r w:rsidR="009363A7">
              <w:rPr>
                <w:rFonts w:ascii="ZWAdobeF" w:hAnsi="ZWAdobeF" w:cs="ZWAdobeF"/>
                <w:color w:val="auto"/>
                <w:sz w:val="2"/>
                <w:szCs w:val="2"/>
              </w:rPr>
              <w:t>d</w:t>
            </w:r>
            <w:proofErr w:type="spellEnd"/>
            <w:r w:rsidRPr="00A40B7E">
              <w:t xml:space="preserve"> </w:t>
            </w:r>
            <w:r>
              <w:t>Containers</w:t>
            </w:r>
          </w:p>
          <w:p w:rsidR="00F1661A" w:rsidRDefault="00F1661A" w:rsidP="00A91BF4">
            <w:pPr>
              <w:jc w:val="left"/>
            </w:pPr>
          </w:p>
          <w:p w:rsidR="00F1661A" w:rsidRDefault="00F1661A" w:rsidP="00A91BF4">
            <w:pPr>
              <w:jc w:val="left"/>
            </w:pPr>
            <w:r>
              <w:t xml:space="preserve">Aerosol </w:t>
            </w:r>
            <w:proofErr w:type="spellStart"/>
            <w:r>
              <w:rPr>
                <w:rFonts w:ascii="ZWAdobeF" w:hAnsi="ZWAdobeF" w:cs="ZWAdobeF"/>
                <w:color w:val="auto"/>
                <w:sz w:val="2"/>
                <w:szCs w:val="2"/>
              </w:rPr>
              <w:t>U</w:t>
            </w:r>
            <w:r w:rsidRPr="00CF075C">
              <w:rPr>
                <w:b/>
                <w:szCs w:val="22"/>
                <w:u w:val="single"/>
              </w:rPr>
              <w:t>and</w:t>
            </w:r>
            <w:proofErr w:type="spellEnd"/>
            <w:r w:rsidRPr="00CF075C">
              <w:rPr>
                <w:b/>
                <w:szCs w:val="22"/>
                <w:u w:val="single"/>
              </w:rPr>
              <w:t xml:space="preserve"> other pre-</w:t>
            </w:r>
            <w:proofErr w:type="spellStart"/>
            <w:r w:rsidRPr="00CF075C">
              <w:rPr>
                <w:b/>
                <w:szCs w:val="22"/>
                <w:u w:val="single"/>
              </w:rPr>
              <w:t>pressurized</w:t>
            </w:r>
            <w:r>
              <w:rPr>
                <w:rFonts w:ascii="ZWAdobeF" w:hAnsi="ZWAdobeF" w:cs="ZWAdobeF"/>
                <w:color w:val="auto"/>
                <w:sz w:val="2"/>
                <w:szCs w:val="2"/>
              </w:rPr>
              <w:t>U</w:t>
            </w:r>
            <w:proofErr w:type="spellEnd"/>
            <w:r>
              <w:rPr>
                <w:szCs w:val="22"/>
              </w:rPr>
              <w:t xml:space="preserve"> </w:t>
            </w:r>
            <w:r>
              <w:t xml:space="preserve">containers </w:t>
            </w:r>
            <w:bookmarkStart w:id="3" w:name="_GoBack"/>
            <w:bookmarkEnd w:id="3"/>
          </w:p>
          <w:p w:rsidR="00F1661A" w:rsidRDefault="00F1661A" w:rsidP="00A91BF4">
            <w:pPr>
              <w:jc w:val="left"/>
            </w:pPr>
          </w:p>
        </w:tc>
        <w:tc>
          <w:tcPr>
            <w:tcW w:w="975" w:type="dxa"/>
            <w:tcBorders>
              <w:top w:val="double" w:sz="4" w:space="0" w:color="auto"/>
              <w:bottom w:val="single" w:sz="4" w:space="0" w:color="auto"/>
            </w:tcBorders>
          </w:tcPr>
          <w:p w:rsidR="00F1661A" w:rsidRDefault="00F1661A" w:rsidP="00A91BF4">
            <w:pPr>
              <w:jc w:val="center"/>
            </w:pPr>
            <w:r>
              <w:t>21</w:t>
            </w:r>
          </w:p>
        </w:tc>
      </w:tr>
      <w:tr w:rsidR="00F1661A" w:rsidTr="00A91BF4">
        <w:trPr>
          <w:trHeight w:val="288"/>
        </w:trPr>
        <w:tc>
          <w:tcPr>
            <w:tcW w:w="2865" w:type="dxa"/>
            <w:vMerge/>
            <w:vAlign w:val="center"/>
          </w:tcPr>
          <w:p w:rsidR="00F1661A" w:rsidRDefault="00F1661A" w:rsidP="00A91BF4">
            <w:pPr>
              <w:spacing w:after="120"/>
              <w:jc w:val="left"/>
            </w:pPr>
          </w:p>
        </w:tc>
        <w:tc>
          <w:tcPr>
            <w:tcW w:w="2610" w:type="dxa"/>
            <w:tcBorders>
              <w:top w:val="single" w:sz="4" w:space="0" w:color="auto"/>
              <w:bottom w:val="single" w:sz="4" w:space="0" w:color="auto"/>
            </w:tcBorders>
          </w:tcPr>
          <w:p w:rsidR="00F1661A" w:rsidRDefault="00F1661A" w:rsidP="00A91BF4">
            <w:pPr>
              <w:spacing w:after="40"/>
              <w:jc w:val="left"/>
            </w:pPr>
            <w:r>
              <w:t>2.4.2. Test Procedure</w:t>
            </w:r>
          </w:p>
        </w:tc>
        <w:tc>
          <w:tcPr>
            <w:tcW w:w="2880" w:type="dxa"/>
            <w:tcBorders>
              <w:top w:val="single" w:sz="4" w:space="0" w:color="auto"/>
              <w:bottom w:val="single" w:sz="4" w:space="0" w:color="auto"/>
            </w:tcBorders>
          </w:tcPr>
          <w:p w:rsidR="00F1661A" w:rsidDel="00706F29" w:rsidRDefault="00F1661A" w:rsidP="00A91BF4">
            <w:pPr>
              <w:jc w:val="left"/>
            </w:pPr>
            <w:r>
              <w:t xml:space="preserve">5.(c) corrected the Step </w:t>
            </w:r>
            <w:r>
              <w:rPr>
                <w:rFonts w:ascii="ZWAdobeF" w:hAnsi="ZWAdobeF" w:cs="ZWAdobeF"/>
                <w:color w:val="auto"/>
                <w:sz w:val="2"/>
                <w:szCs w:val="2"/>
              </w:rPr>
              <w:t>S</w:t>
            </w:r>
            <w:r w:rsidRPr="00D93C5A">
              <w:rPr>
                <w:b/>
                <w:strike/>
              </w:rPr>
              <w:t>4 (d)</w:t>
            </w:r>
            <w:r>
              <w:rPr>
                <w:rFonts w:ascii="ZWAdobeF" w:hAnsi="ZWAdobeF" w:cs="ZWAdobeF"/>
                <w:color w:val="auto"/>
                <w:sz w:val="2"/>
                <w:szCs w:val="2"/>
              </w:rPr>
              <w:t>S</w:t>
            </w:r>
            <w:r>
              <w:t xml:space="preserve"> to </w:t>
            </w:r>
            <w:r>
              <w:rPr>
                <w:rFonts w:ascii="ZWAdobeF" w:hAnsi="ZWAdobeF" w:cs="ZWAdobeF"/>
                <w:color w:val="auto"/>
                <w:sz w:val="2"/>
                <w:szCs w:val="2"/>
              </w:rPr>
              <w:t>U</w:t>
            </w:r>
            <w:r w:rsidRPr="00D93C5A">
              <w:rPr>
                <w:b/>
                <w:u w:val="single"/>
              </w:rPr>
              <w:t>5 (d).</w:t>
            </w:r>
          </w:p>
        </w:tc>
        <w:tc>
          <w:tcPr>
            <w:tcW w:w="975" w:type="dxa"/>
            <w:tcBorders>
              <w:top w:val="single" w:sz="4" w:space="0" w:color="auto"/>
              <w:bottom w:val="single" w:sz="4" w:space="0" w:color="auto"/>
            </w:tcBorders>
          </w:tcPr>
          <w:p w:rsidR="00F1661A" w:rsidRDefault="00F1661A" w:rsidP="00A91BF4">
            <w:pPr>
              <w:jc w:val="center"/>
            </w:pPr>
            <w:r>
              <w:t>29</w:t>
            </w:r>
          </w:p>
        </w:tc>
      </w:tr>
      <w:tr w:rsidR="00F1661A" w:rsidTr="00A91BF4">
        <w:trPr>
          <w:trHeight w:val="288"/>
        </w:trPr>
        <w:tc>
          <w:tcPr>
            <w:tcW w:w="2865" w:type="dxa"/>
            <w:tcBorders>
              <w:top w:val="thinThickSmallGap" w:sz="24" w:space="0" w:color="auto"/>
              <w:bottom w:val="thinThickSmallGap" w:sz="24" w:space="0" w:color="auto"/>
            </w:tcBorders>
            <w:vAlign w:val="center"/>
          </w:tcPr>
          <w:p w:rsidR="00F1661A" w:rsidRDefault="00F1661A" w:rsidP="00A91BF4">
            <w:pPr>
              <w:jc w:val="left"/>
            </w:pPr>
            <w:r>
              <w:t>Chapter 3. Test Procedures – For Packages Labeled by Volume</w:t>
            </w:r>
          </w:p>
        </w:tc>
        <w:tc>
          <w:tcPr>
            <w:tcW w:w="2610" w:type="dxa"/>
            <w:tcBorders>
              <w:top w:val="thinThickSmallGap" w:sz="24" w:space="0" w:color="auto"/>
              <w:bottom w:val="thinThickSmallGap" w:sz="24" w:space="0" w:color="auto"/>
            </w:tcBorders>
          </w:tcPr>
          <w:p w:rsidR="00F1661A" w:rsidRDefault="00F1661A" w:rsidP="00A91BF4">
            <w:pPr>
              <w:spacing w:after="40"/>
              <w:jc w:val="left"/>
            </w:pPr>
            <w:r>
              <w:t>3.15. Test Procedure for Verifying Volume Declarations on Packages of Animal Bedding,</w:t>
            </w:r>
          </w:p>
          <w:p w:rsidR="00F1661A" w:rsidRDefault="00F1661A" w:rsidP="00A91BF4">
            <w:pPr>
              <w:spacing w:after="120"/>
              <w:jc w:val="left"/>
            </w:pPr>
            <w:r>
              <w:t>3.15.1. Test Equipment</w:t>
            </w:r>
          </w:p>
        </w:tc>
        <w:tc>
          <w:tcPr>
            <w:tcW w:w="2880" w:type="dxa"/>
            <w:tcBorders>
              <w:top w:val="thinThickSmallGap" w:sz="24" w:space="0" w:color="auto"/>
              <w:bottom w:val="thinThickSmallGap" w:sz="24" w:space="0" w:color="auto"/>
            </w:tcBorders>
          </w:tcPr>
          <w:p w:rsidR="00F1661A" w:rsidRDefault="00F1661A" w:rsidP="00A91BF4">
            <w:pPr>
              <w:jc w:val="left"/>
            </w:pPr>
            <w:r>
              <w:t>Changed reference to Worksheet</w:t>
            </w:r>
          </w:p>
        </w:tc>
        <w:tc>
          <w:tcPr>
            <w:tcW w:w="975" w:type="dxa"/>
            <w:tcBorders>
              <w:top w:val="thinThickSmallGap" w:sz="24" w:space="0" w:color="auto"/>
              <w:bottom w:val="thinThickSmallGap" w:sz="24" w:space="0" w:color="auto"/>
            </w:tcBorders>
          </w:tcPr>
          <w:p w:rsidR="00F1661A" w:rsidRDefault="00F1661A" w:rsidP="00A91BF4">
            <w:pPr>
              <w:jc w:val="center"/>
            </w:pPr>
            <w:r>
              <w:t>98</w:t>
            </w:r>
          </w:p>
        </w:tc>
      </w:tr>
      <w:tr w:rsidR="00F1661A" w:rsidTr="00A91BF4">
        <w:trPr>
          <w:trHeight w:val="288"/>
        </w:trPr>
        <w:tc>
          <w:tcPr>
            <w:tcW w:w="2865" w:type="dxa"/>
            <w:tcBorders>
              <w:top w:val="thinThickSmallGap" w:sz="24" w:space="0" w:color="auto"/>
              <w:bottom w:val="thinThickSmallGap" w:sz="24" w:space="0" w:color="auto"/>
            </w:tcBorders>
            <w:vAlign w:val="center"/>
          </w:tcPr>
          <w:p w:rsidR="00F1661A" w:rsidRDefault="00F1661A" w:rsidP="00A91BF4">
            <w:pPr>
              <w:jc w:val="left"/>
            </w:pPr>
            <w:r>
              <w:t>Appendix B. Random Numbers Table</w:t>
            </w:r>
          </w:p>
        </w:tc>
        <w:tc>
          <w:tcPr>
            <w:tcW w:w="2610" w:type="dxa"/>
            <w:tcBorders>
              <w:top w:val="thinThickSmallGap" w:sz="24" w:space="0" w:color="auto"/>
              <w:bottom w:val="thinThickSmallGap" w:sz="24" w:space="0" w:color="auto"/>
            </w:tcBorders>
          </w:tcPr>
          <w:p w:rsidR="00F1661A" w:rsidRDefault="00F1661A" w:rsidP="00A91BF4">
            <w:pPr>
              <w:spacing w:after="40"/>
              <w:jc w:val="left"/>
            </w:pPr>
            <w:r>
              <w:t>Random Starting Place</w:t>
            </w:r>
          </w:p>
        </w:tc>
        <w:tc>
          <w:tcPr>
            <w:tcW w:w="2880" w:type="dxa"/>
            <w:tcBorders>
              <w:top w:val="thinThickSmallGap" w:sz="24" w:space="0" w:color="auto"/>
              <w:bottom w:val="thinThickSmallGap" w:sz="24" w:space="0" w:color="auto"/>
            </w:tcBorders>
          </w:tcPr>
          <w:p w:rsidR="00F1661A" w:rsidRDefault="00F1661A" w:rsidP="00A91BF4">
            <w:pPr>
              <w:spacing w:after="120"/>
              <w:jc w:val="left"/>
            </w:pPr>
            <w:r>
              <w:t>Added an illustration for finding/using random numbers tables</w:t>
            </w:r>
          </w:p>
        </w:tc>
        <w:tc>
          <w:tcPr>
            <w:tcW w:w="975" w:type="dxa"/>
            <w:tcBorders>
              <w:top w:val="thinThickSmallGap" w:sz="24" w:space="0" w:color="auto"/>
              <w:bottom w:val="thinThickSmallGap" w:sz="24" w:space="0" w:color="auto"/>
            </w:tcBorders>
          </w:tcPr>
          <w:p w:rsidR="00F1661A" w:rsidRDefault="00F1661A" w:rsidP="00A91BF4">
            <w:pPr>
              <w:jc w:val="center"/>
            </w:pPr>
            <w:r>
              <w:t>158</w:t>
            </w:r>
          </w:p>
        </w:tc>
      </w:tr>
      <w:tr w:rsidR="00F1661A" w:rsidTr="00A91BF4">
        <w:trPr>
          <w:trHeight w:val="288"/>
        </w:trPr>
        <w:tc>
          <w:tcPr>
            <w:tcW w:w="2865" w:type="dxa"/>
            <w:tcBorders>
              <w:top w:val="thinThickSmallGap" w:sz="24" w:space="0" w:color="auto"/>
              <w:bottom w:val="thinThickSmallGap" w:sz="24" w:space="0" w:color="auto"/>
            </w:tcBorders>
            <w:vAlign w:val="center"/>
          </w:tcPr>
          <w:p w:rsidR="00F1661A" w:rsidRPr="00C768B9" w:rsidRDefault="00F1661A" w:rsidP="00A91BF4">
            <w:pPr>
              <w:jc w:val="left"/>
            </w:pPr>
            <w:r>
              <w:t>Appendix C. Model Inspection Report Forms</w:t>
            </w:r>
          </w:p>
        </w:tc>
        <w:tc>
          <w:tcPr>
            <w:tcW w:w="2610" w:type="dxa"/>
            <w:tcBorders>
              <w:top w:val="thinThickSmallGap" w:sz="24" w:space="0" w:color="auto"/>
              <w:bottom w:val="thinThickSmallGap" w:sz="24" w:space="0" w:color="auto"/>
            </w:tcBorders>
          </w:tcPr>
          <w:p w:rsidR="00F1661A" w:rsidRPr="00C768B9" w:rsidRDefault="00F1661A" w:rsidP="00A91BF4">
            <w:pPr>
              <w:spacing w:after="40"/>
              <w:jc w:val="left"/>
            </w:pPr>
            <w:r>
              <w:t>Borax Audit Worksheet</w:t>
            </w:r>
          </w:p>
        </w:tc>
        <w:tc>
          <w:tcPr>
            <w:tcW w:w="2880" w:type="dxa"/>
            <w:tcBorders>
              <w:top w:val="thinThickSmallGap" w:sz="24" w:space="0" w:color="auto"/>
              <w:bottom w:val="thinThickSmallGap" w:sz="24" w:space="0" w:color="auto"/>
            </w:tcBorders>
          </w:tcPr>
          <w:p w:rsidR="00F1661A" w:rsidRPr="006E7946" w:rsidRDefault="00F1661A" w:rsidP="00A91BF4">
            <w:pPr>
              <w:spacing w:after="120"/>
              <w:jc w:val="left"/>
            </w:pPr>
            <w:r>
              <w:t>Corrected format and corrected the dry measure for mL in number 8 and formula in number 11.</w:t>
            </w:r>
          </w:p>
        </w:tc>
        <w:tc>
          <w:tcPr>
            <w:tcW w:w="975" w:type="dxa"/>
            <w:tcBorders>
              <w:top w:val="thinThickSmallGap" w:sz="24" w:space="0" w:color="auto"/>
              <w:bottom w:val="thinThickSmallGap" w:sz="24" w:space="0" w:color="auto"/>
            </w:tcBorders>
          </w:tcPr>
          <w:p w:rsidR="00F1661A" w:rsidRPr="00C768B9" w:rsidRDefault="00F1661A" w:rsidP="00A91BF4">
            <w:pPr>
              <w:jc w:val="center"/>
            </w:pPr>
            <w:r>
              <w:t>186</w:t>
            </w:r>
          </w:p>
        </w:tc>
      </w:tr>
      <w:tr w:rsidR="00F1661A" w:rsidTr="00A91BF4">
        <w:trPr>
          <w:trHeight w:val="288"/>
        </w:trPr>
        <w:tc>
          <w:tcPr>
            <w:tcW w:w="2865" w:type="dxa"/>
            <w:vMerge w:val="restart"/>
            <w:tcBorders>
              <w:top w:val="thinThickSmallGap" w:sz="24" w:space="0" w:color="auto"/>
            </w:tcBorders>
            <w:vAlign w:val="center"/>
          </w:tcPr>
          <w:p w:rsidR="00F1661A" w:rsidRDefault="00F1661A" w:rsidP="00A91BF4">
            <w:pPr>
              <w:jc w:val="left"/>
            </w:pPr>
            <w:r>
              <w:t>Appendix E. General Tables of Units of Measurement</w:t>
            </w:r>
          </w:p>
        </w:tc>
        <w:tc>
          <w:tcPr>
            <w:tcW w:w="2610" w:type="dxa"/>
            <w:tcBorders>
              <w:top w:val="thinThickSmallGap" w:sz="24" w:space="0" w:color="auto"/>
              <w:bottom w:val="single" w:sz="4" w:space="0" w:color="auto"/>
            </w:tcBorders>
          </w:tcPr>
          <w:p w:rsidR="00F1661A" w:rsidRDefault="00F1661A" w:rsidP="00A91BF4">
            <w:pPr>
              <w:spacing w:after="120"/>
              <w:jc w:val="left"/>
            </w:pPr>
            <w:r>
              <w:t>Section 4. Tables of Units of Measure</w:t>
            </w:r>
          </w:p>
        </w:tc>
        <w:tc>
          <w:tcPr>
            <w:tcW w:w="2880" w:type="dxa"/>
            <w:tcBorders>
              <w:top w:val="thinThickSmallGap" w:sz="24" w:space="0" w:color="auto"/>
              <w:bottom w:val="single" w:sz="4" w:space="0" w:color="auto"/>
            </w:tcBorders>
          </w:tcPr>
          <w:p w:rsidR="00F1661A" w:rsidRDefault="00F1661A" w:rsidP="00A91BF4">
            <w:pPr>
              <w:jc w:val="left"/>
            </w:pPr>
            <w:r>
              <w:t>Added instructions for using the tables and reformatted tables.</w:t>
            </w:r>
          </w:p>
        </w:tc>
        <w:tc>
          <w:tcPr>
            <w:tcW w:w="975" w:type="dxa"/>
            <w:tcBorders>
              <w:top w:val="thinThickSmallGap" w:sz="24" w:space="0" w:color="auto"/>
              <w:bottom w:val="single" w:sz="4" w:space="0" w:color="auto"/>
            </w:tcBorders>
          </w:tcPr>
          <w:p w:rsidR="00F1661A" w:rsidRDefault="00F1661A" w:rsidP="00A91BF4">
            <w:pPr>
              <w:jc w:val="center"/>
            </w:pPr>
            <w:r>
              <w:t>200</w:t>
            </w:r>
          </w:p>
        </w:tc>
      </w:tr>
      <w:tr w:rsidR="00F1661A" w:rsidTr="00A91BF4">
        <w:trPr>
          <w:trHeight w:val="288"/>
        </w:trPr>
        <w:tc>
          <w:tcPr>
            <w:tcW w:w="2865" w:type="dxa"/>
            <w:vMerge/>
            <w:vAlign w:val="center"/>
          </w:tcPr>
          <w:p w:rsidR="00F1661A" w:rsidRDefault="00F1661A" w:rsidP="00A91BF4">
            <w:pPr>
              <w:jc w:val="left"/>
            </w:pPr>
          </w:p>
        </w:tc>
        <w:tc>
          <w:tcPr>
            <w:tcW w:w="2610" w:type="dxa"/>
            <w:tcBorders>
              <w:top w:val="single" w:sz="4" w:space="0" w:color="auto"/>
              <w:bottom w:val="single" w:sz="4" w:space="0" w:color="auto"/>
            </w:tcBorders>
          </w:tcPr>
          <w:p w:rsidR="00F1661A" w:rsidRDefault="00F1661A" w:rsidP="00A91BF4">
            <w:pPr>
              <w:spacing w:after="120"/>
              <w:jc w:val="left"/>
            </w:pPr>
            <w:r>
              <w:t>Units of Length – Thickness Measurement</w:t>
            </w:r>
          </w:p>
        </w:tc>
        <w:tc>
          <w:tcPr>
            <w:tcW w:w="2880" w:type="dxa"/>
            <w:tcBorders>
              <w:top w:val="single" w:sz="4" w:space="0" w:color="auto"/>
              <w:bottom w:val="single" w:sz="4" w:space="0" w:color="auto"/>
            </w:tcBorders>
          </w:tcPr>
          <w:p w:rsidR="00F1661A" w:rsidRDefault="00F1661A" w:rsidP="00A91BF4">
            <w:pPr>
              <w:jc w:val="left"/>
            </w:pPr>
            <w:r>
              <w:t xml:space="preserve">Table Added </w:t>
            </w:r>
          </w:p>
        </w:tc>
        <w:tc>
          <w:tcPr>
            <w:tcW w:w="975" w:type="dxa"/>
            <w:tcBorders>
              <w:top w:val="single" w:sz="4" w:space="0" w:color="auto"/>
              <w:bottom w:val="single" w:sz="4" w:space="0" w:color="auto"/>
            </w:tcBorders>
          </w:tcPr>
          <w:p w:rsidR="00F1661A" w:rsidRPr="00C768B9" w:rsidRDefault="00F1661A" w:rsidP="00A91BF4">
            <w:pPr>
              <w:jc w:val="center"/>
            </w:pPr>
            <w:r>
              <w:t>201</w:t>
            </w:r>
          </w:p>
        </w:tc>
      </w:tr>
      <w:tr w:rsidR="00F1661A" w:rsidTr="00A91BF4">
        <w:trPr>
          <w:trHeight w:val="288"/>
        </w:trPr>
        <w:tc>
          <w:tcPr>
            <w:tcW w:w="2865" w:type="dxa"/>
            <w:vMerge/>
          </w:tcPr>
          <w:p w:rsidR="00F1661A" w:rsidRDefault="00F1661A" w:rsidP="00A91BF4"/>
        </w:tc>
        <w:tc>
          <w:tcPr>
            <w:tcW w:w="2610" w:type="dxa"/>
            <w:tcBorders>
              <w:top w:val="single" w:sz="4" w:space="0" w:color="auto"/>
              <w:bottom w:val="single" w:sz="4" w:space="0" w:color="auto"/>
            </w:tcBorders>
          </w:tcPr>
          <w:p w:rsidR="00F1661A" w:rsidRDefault="00F1661A" w:rsidP="00A91BF4">
            <w:pPr>
              <w:spacing w:after="120"/>
              <w:jc w:val="left"/>
            </w:pPr>
            <w:r>
              <w:t xml:space="preserve">Units of Pressure </w:t>
            </w:r>
          </w:p>
        </w:tc>
        <w:tc>
          <w:tcPr>
            <w:tcW w:w="2880" w:type="dxa"/>
            <w:tcBorders>
              <w:top w:val="single" w:sz="4" w:space="0" w:color="auto"/>
              <w:bottom w:val="single" w:sz="4" w:space="0" w:color="auto"/>
            </w:tcBorders>
          </w:tcPr>
          <w:p w:rsidR="00F1661A" w:rsidRDefault="00F1661A" w:rsidP="00A91BF4">
            <w:pPr>
              <w:jc w:val="left"/>
            </w:pPr>
            <w:r>
              <w:t>Table Added</w:t>
            </w:r>
          </w:p>
        </w:tc>
        <w:tc>
          <w:tcPr>
            <w:tcW w:w="975" w:type="dxa"/>
            <w:tcBorders>
              <w:top w:val="single" w:sz="4" w:space="0" w:color="auto"/>
              <w:bottom w:val="single" w:sz="4" w:space="0" w:color="auto"/>
            </w:tcBorders>
          </w:tcPr>
          <w:p w:rsidR="00F1661A" w:rsidRDefault="00F1661A" w:rsidP="00A91BF4">
            <w:pPr>
              <w:jc w:val="center"/>
            </w:pPr>
            <w:r>
              <w:t>210</w:t>
            </w:r>
          </w:p>
        </w:tc>
      </w:tr>
      <w:tr w:rsidR="00F1661A" w:rsidTr="00A91BF4">
        <w:trPr>
          <w:trHeight w:val="288"/>
        </w:trPr>
        <w:tc>
          <w:tcPr>
            <w:tcW w:w="2865" w:type="dxa"/>
            <w:vMerge/>
          </w:tcPr>
          <w:p w:rsidR="00F1661A" w:rsidRDefault="00F1661A" w:rsidP="00A91BF4"/>
        </w:tc>
        <w:tc>
          <w:tcPr>
            <w:tcW w:w="2610" w:type="dxa"/>
            <w:tcBorders>
              <w:top w:val="single" w:sz="4" w:space="0" w:color="auto"/>
              <w:bottom w:val="single" w:sz="4" w:space="0" w:color="auto"/>
            </w:tcBorders>
          </w:tcPr>
          <w:p w:rsidR="00F1661A" w:rsidRDefault="00F1661A" w:rsidP="00A91BF4">
            <w:pPr>
              <w:spacing w:after="120"/>
              <w:jc w:val="left"/>
            </w:pPr>
            <w:r>
              <w:t>Conversion Equations for Units of Temperature</w:t>
            </w:r>
          </w:p>
        </w:tc>
        <w:tc>
          <w:tcPr>
            <w:tcW w:w="2880" w:type="dxa"/>
            <w:tcBorders>
              <w:top w:val="single" w:sz="4" w:space="0" w:color="auto"/>
              <w:bottom w:val="single" w:sz="4" w:space="0" w:color="auto"/>
            </w:tcBorders>
          </w:tcPr>
          <w:p w:rsidR="00F1661A" w:rsidRDefault="00F1661A" w:rsidP="00A91BF4">
            <w:pPr>
              <w:jc w:val="left"/>
            </w:pPr>
            <w:r>
              <w:t>Table Added</w:t>
            </w:r>
          </w:p>
        </w:tc>
        <w:tc>
          <w:tcPr>
            <w:tcW w:w="975" w:type="dxa"/>
            <w:tcBorders>
              <w:top w:val="single" w:sz="4" w:space="0" w:color="auto"/>
              <w:bottom w:val="single" w:sz="4" w:space="0" w:color="auto"/>
            </w:tcBorders>
          </w:tcPr>
          <w:p w:rsidR="00F1661A" w:rsidRDefault="00F1661A" w:rsidP="00A91BF4">
            <w:pPr>
              <w:jc w:val="center"/>
            </w:pPr>
            <w:r>
              <w:t>210</w:t>
            </w:r>
          </w:p>
        </w:tc>
      </w:tr>
      <w:tr w:rsidR="00F1661A" w:rsidTr="00A91BF4">
        <w:trPr>
          <w:trHeight w:val="288"/>
        </w:trPr>
        <w:tc>
          <w:tcPr>
            <w:tcW w:w="2865" w:type="dxa"/>
            <w:vMerge/>
          </w:tcPr>
          <w:p w:rsidR="00F1661A" w:rsidRDefault="00F1661A" w:rsidP="00A91BF4"/>
        </w:tc>
        <w:tc>
          <w:tcPr>
            <w:tcW w:w="2610" w:type="dxa"/>
            <w:tcBorders>
              <w:top w:val="single" w:sz="4" w:space="0" w:color="auto"/>
              <w:bottom w:val="double" w:sz="4" w:space="0" w:color="auto"/>
            </w:tcBorders>
          </w:tcPr>
          <w:p w:rsidR="00F1661A" w:rsidDel="00194504" w:rsidRDefault="00F1661A" w:rsidP="00A91BF4">
            <w:pPr>
              <w:jc w:val="left"/>
            </w:pPr>
            <w:r>
              <w:t xml:space="preserve">Units of Length  </w:t>
            </w:r>
          </w:p>
        </w:tc>
        <w:tc>
          <w:tcPr>
            <w:tcW w:w="2880" w:type="dxa"/>
            <w:tcBorders>
              <w:top w:val="single" w:sz="4" w:space="0" w:color="auto"/>
              <w:bottom w:val="double" w:sz="4" w:space="0" w:color="auto"/>
            </w:tcBorders>
          </w:tcPr>
          <w:p w:rsidR="00F1661A" w:rsidDel="00194504" w:rsidRDefault="00F1661A" w:rsidP="00A91BF4">
            <w:pPr>
              <w:spacing w:after="120"/>
              <w:jc w:val="left"/>
            </w:pPr>
            <w:r>
              <w:t>Added 25.4 micrometer (exactly) to the 1 mil unit</w:t>
            </w:r>
          </w:p>
        </w:tc>
        <w:tc>
          <w:tcPr>
            <w:tcW w:w="975" w:type="dxa"/>
            <w:tcBorders>
              <w:top w:val="single" w:sz="4" w:space="0" w:color="auto"/>
              <w:bottom w:val="double" w:sz="4" w:space="0" w:color="auto"/>
            </w:tcBorders>
          </w:tcPr>
          <w:p w:rsidR="00F1661A" w:rsidDel="00194504" w:rsidRDefault="00F1661A" w:rsidP="00A91BF4">
            <w:pPr>
              <w:jc w:val="center"/>
            </w:pPr>
            <w:r>
              <w:t>212</w:t>
            </w:r>
          </w:p>
        </w:tc>
      </w:tr>
    </w:tbl>
    <w:p w:rsidR="00B26960" w:rsidRDefault="00B26960"/>
    <w:sectPr w:rsidR="00B2696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61A" w:rsidRDefault="00F1661A" w:rsidP="00F1661A">
      <w:r>
        <w:separator/>
      </w:r>
    </w:p>
  </w:endnote>
  <w:endnote w:type="continuationSeparator" w:id="0">
    <w:p w:rsidR="00F1661A" w:rsidRDefault="00F1661A" w:rsidP="00F1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F05" w:rsidRPr="005F0F05" w:rsidRDefault="005F0F05" w:rsidP="005F0F05">
    <w:pPr>
      <w:pStyle w:val="Footer"/>
      <w:jc w:val="center"/>
      <w:rPr>
        <w:sz w:val="20"/>
      </w:rPr>
    </w:pPr>
    <w:r w:rsidRPr="005F0F05">
      <w:rPr>
        <w:sz w:val="20"/>
      </w:rPr>
      <w:t>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61A" w:rsidRDefault="00F1661A" w:rsidP="00F1661A">
      <w:r>
        <w:separator/>
      </w:r>
    </w:p>
  </w:footnote>
  <w:footnote w:type="continuationSeparator" w:id="0">
    <w:p w:rsidR="00F1661A" w:rsidRDefault="00F1661A" w:rsidP="00F16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61A" w:rsidRDefault="00F1661A">
    <w:pPr>
      <w:pStyle w:val="Header"/>
    </w:pPr>
    <w:r>
      <w:rPr>
        <w:sz w:val="20"/>
      </w:rPr>
      <w:t>2017 Amendments/Editorial Changes</w:t>
    </w:r>
    <w:r>
      <w:rPr>
        <w:sz w:val="20"/>
      </w:rPr>
      <w:tab/>
    </w:r>
    <w:r>
      <w:rPr>
        <w:sz w:val="20"/>
      </w:rPr>
      <w:tab/>
    </w:r>
    <w:r w:rsidRPr="004A0631">
      <w:rPr>
        <w:sz w:val="20"/>
      </w:rPr>
      <w:t>Handbook 133 –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61A"/>
    <w:rsid w:val="003150B4"/>
    <w:rsid w:val="003411D4"/>
    <w:rsid w:val="005F0F05"/>
    <w:rsid w:val="009363A7"/>
    <w:rsid w:val="00A01FBE"/>
    <w:rsid w:val="00B26960"/>
    <w:rsid w:val="00F16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CF3A"/>
  <w15:chartTrackingRefBased/>
  <w15:docId w15:val="{41DBF451-93E2-4CEF-B4CF-669BD940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61A"/>
    <w:pPr>
      <w:spacing w:after="0" w:line="240" w:lineRule="auto"/>
      <w:jc w:val="both"/>
    </w:pPr>
    <w:rPr>
      <w:rFonts w:ascii="Times New Roman" w:eastAsia="Times New Roman" w:hAnsi="Times New Roman" w:cs="Times New Roman"/>
      <w:color w:val="000000"/>
      <w:szCs w:val="20"/>
    </w:rPr>
  </w:style>
  <w:style w:type="paragraph" w:styleId="Heading1">
    <w:name w:val="heading 1"/>
    <w:basedOn w:val="Normal"/>
    <w:next w:val="Normal"/>
    <w:link w:val="Heading1Char"/>
    <w:qFormat/>
    <w:rsid w:val="00F1661A"/>
    <w:pPr>
      <w:keepNext/>
      <w:spacing w:before="120" w:after="120"/>
      <w:jc w:val="center"/>
      <w:outlineLvl w:val="0"/>
    </w:pPr>
    <w:rPr>
      <w:rFonts w:ascii="Times New Roman Bold" w:hAnsi="Times New Roman Bold" w:cs="Arial"/>
      <w:b/>
      <w:bCs/>
      <w:color w:val="auto"/>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61A"/>
    <w:rPr>
      <w:rFonts w:ascii="Times New Roman Bold" w:eastAsia="Times New Roman" w:hAnsi="Times New Roman Bold" w:cs="Arial"/>
      <w:b/>
      <w:bCs/>
      <w:kern w:val="32"/>
      <w:sz w:val="28"/>
      <w:szCs w:val="32"/>
    </w:rPr>
  </w:style>
  <w:style w:type="table" w:styleId="TableGrid">
    <w:name w:val="Table Grid"/>
    <w:basedOn w:val="TableNormal"/>
    <w:rsid w:val="00F166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166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661A"/>
    <w:pPr>
      <w:tabs>
        <w:tab w:val="center" w:pos="4680"/>
        <w:tab w:val="right" w:pos="9360"/>
      </w:tabs>
    </w:pPr>
  </w:style>
  <w:style w:type="character" w:customStyle="1" w:styleId="HeaderChar">
    <w:name w:val="Header Char"/>
    <w:basedOn w:val="DefaultParagraphFont"/>
    <w:link w:val="Header"/>
    <w:uiPriority w:val="99"/>
    <w:rsid w:val="00F1661A"/>
    <w:rPr>
      <w:rFonts w:ascii="Times New Roman" w:eastAsia="Times New Roman" w:hAnsi="Times New Roman" w:cs="Times New Roman"/>
      <w:color w:val="000000"/>
      <w:szCs w:val="20"/>
    </w:rPr>
  </w:style>
  <w:style w:type="paragraph" w:styleId="Footer">
    <w:name w:val="footer"/>
    <w:basedOn w:val="Normal"/>
    <w:link w:val="FooterChar"/>
    <w:uiPriority w:val="99"/>
    <w:unhideWhenUsed/>
    <w:rsid w:val="00F1661A"/>
    <w:pPr>
      <w:tabs>
        <w:tab w:val="center" w:pos="4680"/>
        <w:tab w:val="right" w:pos="9360"/>
      </w:tabs>
    </w:pPr>
  </w:style>
  <w:style w:type="character" w:customStyle="1" w:styleId="FooterChar">
    <w:name w:val="Footer Char"/>
    <w:basedOn w:val="DefaultParagraphFont"/>
    <w:link w:val="Footer"/>
    <w:uiPriority w:val="99"/>
    <w:rsid w:val="00F1661A"/>
    <w:rPr>
      <w:rFonts w:ascii="Times New Roman" w:eastAsia="Times New Roman"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277</Words>
  <Characters>1350</Characters>
  <Application>Microsoft Office Word</Application>
  <DocSecurity>0</DocSecurity>
  <Lines>32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Checking the Net Contents of Packaged Goods (HB133, 2018)</dc:title>
  <dc:subject/>
  <dc:creator>Culliton, Taylor (Fed)</dc:creator>
  <cp:keywords/>
  <dc:description>Editorial Change Table</dc:description>
  <cp:lastModifiedBy>Crown, Linda D. (Fed)</cp:lastModifiedBy>
  <cp:revision>4</cp:revision>
  <dcterms:created xsi:type="dcterms:W3CDTF">2017-10-23T14:30:00Z</dcterms:created>
  <dcterms:modified xsi:type="dcterms:W3CDTF">2017-12-05T20:06:00Z</dcterms:modified>
</cp:coreProperties>
</file>