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C2D" w:rsidRDefault="00112C2D" w:rsidP="009F592C">
      <w:pPr>
        <w:pStyle w:val="HeadingSection"/>
        <w:spacing w:after="0" w:line="240" w:lineRule="auto"/>
      </w:pPr>
      <w:r>
        <w:t>Report of the</w:t>
      </w:r>
    </w:p>
    <w:p w:rsidR="00D67867" w:rsidRDefault="00D67867" w:rsidP="009F592C">
      <w:pPr>
        <w:pStyle w:val="HeadingSection"/>
        <w:spacing w:after="0" w:line="240" w:lineRule="auto"/>
      </w:pPr>
      <w:r w:rsidRPr="009F592C">
        <w:t>Specifications and Tolerances (S&amp;T) Committee</w:t>
      </w:r>
    </w:p>
    <w:p w:rsidR="0041352C" w:rsidRDefault="0041352C" w:rsidP="000A131D">
      <w:pPr>
        <w:spacing w:after="0"/>
        <w:jc w:val="center"/>
        <w:rPr>
          <w:rFonts w:eastAsia="Times New Roman" w:cs="Times New Roman"/>
          <w:szCs w:val="24"/>
        </w:rPr>
      </w:pPr>
    </w:p>
    <w:p w:rsidR="00D67867" w:rsidRPr="00D20797" w:rsidRDefault="00D67867" w:rsidP="000A131D">
      <w:pPr>
        <w:spacing w:after="0"/>
        <w:jc w:val="center"/>
        <w:rPr>
          <w:rFonts w:eastAsia="Times New Roman" w:cs="Times New Roman"/>
          <w:szCs w:val="24"/>
        </w:rPr>
      </w:pPr>
      <w:r w:rsidRPr="00D20797">
        <w:rPr>
          <w:rFonts w:eastAsia="Times New Roman" w:cs="Times New Roman"/>
          <w:szCs w:val="24"/>
        </w:rPr>
        <w:t>Steve Giguere, Chairman</w:t>
      </w:r>
    </w:p>
    <w:p w:rsidR="00D67867" w:rsidRPr="00D20797" w:rsidRDefault="00D67867" w:rsidP="000A131D">
      <w:pPr>
        <w:spacing w:after="0"/>
        <w:jc w:val="center"/>
        <w:rPr>
          <w:rFonts w:eastAsia="Times New Roman" w:cs="Times New Roman"/>
          <w:szCs w:val="24"/>
        </w:rPr>
      </w:pPr>
      <w:r w:rsidRPr="00D20797">
        <w:rPr>
          <w:rFonts w:eastAsia="Times New Roman" w:cs="Times New Roman"/>
          <w:szCs w:val="24"/>
        </w:rPr>
        <w:t>Augusta, Maine</w:t>
      </w:r>
    </w:p>
    <w:p w:rsidR="00D67867" w:rsidRPr="00D20797" w:rsidRDefault="00D67867" w:rsidP="000A131D">
      <w:pPr>
        <w:spacing w:after="0"/>
        <w:jc w:val="center"/>
        <w:rPr>
          <w:rFonts w:eastAsia="Times New Roman" w:cs="Times New Roman"/>
          <w:szCs w:val="24"/>
        </w:rPr>
      </w:pPr>
      <w:r w:rsidRPr="00D20797">
        <w:rPr>
          <w:rFonts w:eastAsia="Times New Roman" w:cs="Times New Roman"/>
          <w:szCs w:val="24"/>
        </w:rPr>
        <w:t>Weights and Measures</w:t>
      </w:r>
    </w:p>
    <w:p w:rsidR="00D67867" w:rsidRPr="009F592C" w:rsidRDefault="00D67867" w:rsidP="009F592C">
      <w:pPr>
        <w:pStyle w:val="Heading1"/>
        <w:rPr>
          <w:b w:val="0"/>
        </w:rPr>
      </w:pPr>
      <w:bookmarkStart w:id="0" w:name="_AppendixA_DevItems"/>
      <w:bookmarkEnd w:id="0"/>
      <w:r w:rsidRPr="009F592C">
        <w:t>300</w:t>
      </w:r>
      <w:r w:rsidRPr="009F592C">
        <w:tab/>
        <w:t>INTRODUCTION</w:t>
      </w:r>
    </w:p>
    <w:p w:rsidR="00D67867" w:rsidRPr="00D20797" w:rsidRDefault="004B1973" w:rsidP="00D67867">
      <w:pPr>
        <w:rPr>
          <w:rFonts w:eastAsia="Times New Roman" w:cs="Times New Roman"/>
          <w:szCs w:val="24"/>
        </w:rPr>
      </w:pPr>
      <w:r>
        <w:rPr>
          <w:rFonts w:eastAsia="Times New Roman" w:cs="Times New Roman"/>
          <w:szCs w:val="20"/>
        </w:rPr>
        <w:t>The S&amp;T</w:t>
      </w:r>
      <w:r w:rsidR="0041352C">
        <w:rPr>
          <w:rFonts w:eastAsia="Times New Roman" w:cs="Times New Roman"/>
          <w:szCs w:val="20"/>
        </w:rPr>
        <w:t xml:space="preserve"> </w:t>
      </w:r>
      <w:r w:rsidR="00D67867" w:rsidRPr="00D20797">
        <w:rPr>
          <w:rFonts w:eastAsia="Times New Roman" w:cs="Times New Roman"/>
          <w:szCs w:val="20"/>
        </w:rPr>
        <w:t>Committee (hereinafter referred t</w:t>
      </w:r>
      <w:r w:rsidR="00D67867">
        <w:rPr>
          <w:rFonts w:eastAsia="Times New Roman" w:cs="Times New Roman"/>
          <w:szCs w:val="20"/>
        </w:rPr>
        <w:t xml:space="preserve">o as the “Committee”) </w:t>
      </w:r>
      <w:r>
        <w:rPr>
          <w:rFonts w:eastAsia="Times New Roman" w:cs="Times New Roman"/>
          <w:szCs w:val="20"/>
        </w:rPr>
        <w:t xml:space="preserve">submits its Final Report for consideration </w:t>
      </w:r>
      <w:r w:rsidR="00372039">
        <w:rPr>
          <w:rFonts w:eastAsia="Times New Roman" w:cs="Times New Roman"/>
          <w:szCs w:val="20"/>
        </w:rPr>
        <w:t>of</w:t>
      </w:r>
      <w:r>
        <w:rPr>
          <w:rFonts w:eastAsia="Times New Roman" w:cs="Times New Roman"/>
          <w:szCs w:val="20"/>
        </w:rPr>
        <w:t xml:space="preserve"> the </w:t>
      </w:r>
      <w:r w:rsidR="00112C2D">
        <w:rPr>
          <w:rFonts w:eastAsia="Times New Roman" w:cs="Times New Roman"/>
          <w:szCs w:val="20"/>
        </w:rPr>
        <w:t>97</w:t>
      </w:r>
      <w:r w:rsidR="00112C2D" w:rsidRPr="00112C2D">
        <w:rPr>
          <w:rFonts w:eastAsia="Times New Roman" w:cs="Times New Roman"/>
          <w:szCs w:val="20"/>
          <w:vertAlign w:val="superscript"/>
        </w:rPr>
        <w:t>th</w:t>
      </w:r>
      <w:r w:rsidR="00112C2D">
        <w:rPr>
          <w:rFonts w:eastAsia="Times New Roman" w:cs="Times New Roman"/>
          <w:szCs w:val="20"/>
        </w:rPr>
        <w:t xml:space="preserve"> </w:t>
      </w:r>
      <w:r>
        <w:rPr>
          <w:rFonts w:eastAsia="Times New Roman" w:cs="Times New Roman"/>
          <w:szCs w:val="20"/>
        </w:rPr>
        <w:t>National Conference on Weights and Measures (NCWM).  This report contains the items discussed and the actions proposed by the S&amp;T Committee during its Interim Meeting in New Orleans, Louisiana, January</w:t>
      </w:r>
      <w:r w:rsidR="002D0076">
        <w:rPr>
          <w:rFonts w:eastAsia="Times New Roman" w:cs="Times New Roman"/>
          <w:szCs w:val="20"/>
        </w:rPr>
        <w:t> </w:t>
      </w:r>
      <w:r>
        <w:rPr>
          <w:rFonts w:eastAsia="Times New Roman" w:cs="Times New Roman"/>
          <w:szCs w:val="20"/>
        </w:rPr>
        <w:t>22 </w:t>
      </w:r>
      <w:r w:rsidR="002D0076">
        <w:rPr>
          <w:rFonts w:eastAsia="Times New Roman" w:cs="Times New Roman"/>
          <w:szCs w:val="20"/>
        </w:rPr>
        <w:noBreakHyphen/>
        <w:t> </w:t>
      </w:r>
      <w:r>
        <w:rPr>
          <w:rFonts w:eastAsia="Times New Roman" w:cs="Times New Roman"/>
          <w:szCs w:val="20"/>
        </w:rPr>
        <w:t>25,</w:t>
      </w:r>
      <w:r w:rsidR="002D0076">
        <w:rPr>
          <w:rFonts w:eastAsia="Times New Roman" w:cs="Times New Roman"/>
          <w:szCs w:val="20"/>
        </w:rPr>
        <w:t> 2</w:t>
      </w:r>
      <w:r>
        <w:rPr>
          <w:rFonts w:eastAsia="Times New Roman" w:cs="Times New Roman"/>
          <w:szCs w:val="20"/>
        </w:rPr>
        <w:t>012.  The report addresse</w:t>
      </w:r>
      <w:r w:rsidR="00372039">
        <w:rPr>
          <w:rFonts w:eastAsia="Times New Roman" w:cs="Times New Roman"/>
          <w:szCs w:val="20"/>
        </w:rPr>
        <w:t>s</w:t>
      </w:r>
      <w:r>
        <w:rPr>
          <w:rFonts w:eastAsia="Times New Roman" w:cs="Times New Roman"/>
          <w:szCs w:val="20"/>
        </w:rPr>
        <w:t xml:space="preserve"> the items</w:t>
      </w:r>
      <w:r w:rsidR="0041352C">
        <w:rPr>
          <w:rFonts w:eastAsia="Times New Roman" w:cs="Times New Roman"/>
          <w:szCs w:val="20"/>
        </w:rPr>
        <w:t xml:space="preserve"> listed</w:t>
      </w:r>
      <w:r>
        <w:rPr>
          <w:rFonts w:eastAsia="Times New Roman" w:cs="Times New Roman"/>
          <w:szCs w:val="20"/>
        </w:rPr>
        <w:t xml:space="preserve"> in Table A during the Annual Meeting</w:t>
      </w:r>
      <w:r w:rsidR="0041352C">
        <w:rPr>
          <w:rFonts w:eastAsia="Times New Roman" w:cs="Times New Roman"/>
          <w:szCs w:val="20"/>
        </w:rPr>
        <w:t>, which was</w:t>
      </w:r>
      <w:r>
        <w:rPr>
          <w:rFonts w:eastAsia="Times New Roman" w:cs="Times New Roman"/>
          <w:szCs w:val="20"/>
        </w:rPr>
        <w:t xml:space="preserve"> held July</w:t>
      </w:r>
      <w:r w:rsidR="002D0076">
        <w:rPr>
          <w:rFonts w:eastAsia="Times New Roman" w:cs="Times New Roman"/>
          <w:szCs w:val="20"/>
        </w:rPr>
        <w:t> </w:t>
      </w:r>
      <w:r>
        <w:rPr>
          <w:rFonts w:eastAsia="Times New Roman" w:cs="Times New Roman"/>
          <w:szCs w:val="20"/>
        </w:rPr>
        <w:t>22</w:t>
      </w:r>
      <w:r w:rsidR="002D0076">
        <w:rPr>
          <w:rFonts w:eastAsia="Times New Roman" w:cs="Times New Roman"/>
          <w:szCs w:val="20"/>
        </w:rPr>
        <w:t> - </w:t>
      </w:r>
      <w:r>
        <w:rPr>
          <w:rFonts w:eastAsia="Times New Roman" w:cs="Times New Roman"/>
          <w:szCs w:val="20"/>
        </w:rPr>
        <w:t xml:space="preserve">26, 2012, in Portland, Maine.  </w:t>
      </w:r>
      <w:r w:rsidR="00372039">
        <w:rPr>
          <w:rFonts w:eastAsia="Times New Roman" w:cs="Times New Roman"/>
          <w:szCs w:val="20"/>
        </w:rPr>
        <w:t xml:space="preserve">Table A identifies </w:t>
      </w:r>
      <w:r w:rsidR="00372039" w:rsidRPr="000763F6">
        <w:t>the agenda</w:t>
      </w:r>
      <w:r w:rsidR="00372039" w:rsidRPr="00A12E0D">
        <w:t xml:space="preserve"> items by reference key, title of item, page number and the appendices by appendix designations.  The acronyms for organizations and technical terms used throughout the </w:t>
      </w:r>
      <w:r w:rsidR="00372039">
        <w:t>report</w:t>
      </w:r>
      <w:r w:rsidR="00372039" w:rsidRPr="00A12E0D">
        <w:t xml:space="preserve"> are identified in Table B.</w:t>
      </w:r>
      <w:r w:rsidR="00372039">
        <w:t xml:space="preserve">  </w:t>
      </w:r>
      <w:r w:rsidR="00372039" w:rsidRPr="00A12E0D">
        <w:t xml:space="preserve">The headings and subjects apply to </w:t>
      </w:r>
      <w:r w:rsidR="00372039" w:rsidRPr="007416E0">
        <w:t xml:space="preserve">NIST Handbook </w:t>
      </w:r>
      <w:r w:rsidR="00372039">
        <w:t>44,</w:t>
      </w:r>
      <w:r w:rsidR="00372039" w:rsidRPr="00A12E0D">
        <w:rPr>
          <w:i/>
        </w:rPr>
        <w:t xml:space="preserve"> </w:t>
      </w:r>
      <w:r w:rsidR="00372039">
        <w:rPr>
          <w:i/>
        </w:rPr>
        <w:t>Specifications, Tolerances, and Other Technical Requirements for Weighing and Measuring Devices</w:t>
      </w:r>
      <w:r w:rsidR="00372039" w:rsidRPr="007416E0">
        <w:t>, 2012</w:t>
      </w:r>
      <w:r w:rsidR="00234537">
        <w:t> </w:t>
      </w:r>
      <w:r w:rsidR="00372039">
        <w:t>e</w:t>
      </w:r>
      <w:r w:rsidR="00372039" w:rsidRPr="007416E0">
        <w:t>dition</w:t>
      </w:r>
      <w:r w:rsidR="00372039">
        <w:t xml:space="preserve">. </w:t>
      </w:r>
      <w:r w:rsidR="0041352C">
        <w:t xml:space="preserve"> </w:t>
      </w:r>
      <w:r w:rsidR="00372039">
        <w:t>The</w:t>
      </w:r>
      <w:r w:rsidR="00372039" w:rsidRPr="00A12E0D">
        <w:t xml:space="preserve"> first three digits of an item’s reference key are assigned from the Subject Series List.  </w:t>
      </w:r>
      <w:r w:rsidR="00372039">
        <w:t xml:space="preserve">The status of each item contained in the report is designated as one of the following:  </w:t>
      </w:r>
      <w:r w:rsidR="00372039" w:rsidRPr="00D94C42">
        <w:rPr>
          <w:b/>
        </w:rPr>
        <w:t xml:space="preserve">(D) </w:t>
      </w:r>
      <w:r w:rsidR="00372039" w:rsidRPr="001C436F">
        <w:rPr>
          <w:b/>
        </w:rPr>
        <w:t>Developing Item</w:t>
      </w:r>
      <w:r w:rsidR="00372039">
        <w:rPr>
          <w:b/>
        </w:rPr>
        <w:t xml:space="preserve">: </w:t>
      </w:r>
      <w:r w:rsidR="00372039">
        <w:t xml:space="preserve"> the Committee determined the item has merit; however, the item was returned to the submitter or other designated party for further development before any action can be taken at the national level; </w:t>
      </w:r>
      <w:r w:rsidR="00372039" w:rsidRPr="00D94C42">
        <w:rPr>
          <w:b/>
        </w:rPr>
        <w:t>(I)</w:t>
      </w:r>
      <w:r w:rsidR="00372039">
        <w:t xml:space="preserve"> </w:t>
      </w:r>
      <w:r w:rsidR="00372039">
        <w:rPr>
          <w:b/>
        </w:rPr>
        <w:t xml:space="preserve">Informational Item: </w:t>
      </w:r>
      <w:r w:rsidR="00372039">
        <w:t xml:space="preserve"> the item is under consideration by the Committee but not proposed for Voting; </w:t>
      </w:r>
      <w:r w:rsidR="00372039" w:rsidRPr="00D94C42">
        <w:rPr>
          <w:b/>
        </w:rPr>
        <w:t>(V)</w:t>
      </w:r>
      <w:r w:rsidR="00372039">
        <w:t xml:space="preserve"> </w:t>
      </w:r>
      <w:r w:rsidR="00372039">
        <w:rPr>
          <w:b/>
        </w:rPr>
        <w:t>Voting Item:</w:t>
      </w:r>
      <w:r w:rsidR="00372039">
        <w:t xml:space="preserve">  the Committee is making recommendations requiring a vote by the </w:t>
      </w:r>
      <w:r w:rsidR="00372039" w:rsidRPr="004C120F">
        <w:t>active members</w:t>
      </w:r>
      <w:r w:rsidR="00372039">
        <w:t xml:space="preserve"> of NCWM; </w:t>
      </w:r>
      <w:r w:rsidR="00372039" w:rsidRPr="00D94C42">
        <w:rPr>
          <w:b/>
        </w:rPr>
        <w:t>(W)</w:t>
      </w:r>
      <w:r w:rsidR="00372039">
        <w:t xml:space="preserve"> </w:t>
      </w:r>
      <w:r w:rsidR="00372039">
        <w:rPr>
          <w:b/>
        </w:rPr>
        <w:t>Withdrawn Item:</w:t>
      </w:r>
      <w:r w:rsidR="00372039">
        <w:t xml:space="preserve">  the item has been removed from consideration by the Committee.  Table C provides the Summary of Voting Results for each Voting Item.</w:t>
      </w:r>
      <w:r w:rsidR="00372039" w:rsidDel="00372039">
        <w:rPr>
          <w:rFonts w:eastAsia="Times New Roman" w:cs="Times New Roman"/>
          <w:szCs w:val="20"/>
        </w:rPr>
        <w:t xml:space="preserve"> </w:t>
      </w:r>
    </w:p>
    <w:p w:rsidR="001935E5" w:rsidRDefault="001935E5" w:rsidP="001935E5">
      <w:r>
        <w:t>During the Annual Meeting, some Voting Items are considered individually, others may be grouped in a consent calendar.  Consent calendar items are Voting Items that the Committee has assembled as a single Voting Item during their deliberation after the Open Hearings on the assumption that the items are without opposition and will not require discussion.  The Voting Items that have been grouped into consent calendar items will be listed on the addendum sheets.  Prior to adoption of the consent calendar, the Committee will entertain any requests from the floor to remove specific items from the consent calendar to be discussed and voted upon individually.</w:t>
      </w:r>
    </w:p>
    <w:p w:rsidR="001935E5" w:rsidRDefault="001935E5" w:rsidP="001935E5">
      <w:r w:rsidRPr="001C436F">
        <w:t>Committees may change the status designation of agenda items (</w:t>
      </w:r>
      <w:r>
        <w:t>D</w:t>
      </w:r>
      <w:r w:rsidRPr="001C436F">
        <w:t xml:space="preserve">eveloping, </w:t>
      </w:r>
      <w:r>
        <w:t>I</w:t>
      </w:r>
      <w:r w:rsidRPr="001C436F">
        <w:t xml:space="preserve">nformational, </w:t>
      </w:r>
      <w:r>
        <w:t>V</w:t>
      </w:r>
      <w:r w:rsidRPr="001C436F">
        <w:t xml:space="preserve">oting, and </w:t>
      </w:r>
      <w:r>
        <w:t>W</w:t>
      </w:r>
      <w:r w:rsidRPr="001C436F">
        <w:t xml:space="preserve">ithdrawn) up until the report is adopted, except that items which are marked Developing, Informational or Withdrawn cannot be changed to Voting Status.  Any change from the </w:t>
      </w:r>
      <w:r>
        <w:t xml:space="preserve">Interim </w:t>
      </w:r>
      <w:r w:rsidRPr="001C436F">
        <w:t>Report or</w:t>
      </w:r>
      <w:r>
        <w:t xml:space="preserve"> from what </w:t>
      </w:r>
      <w:r w:rsidR="00870C7E">
        <w:t>appears on the addendum a sheet</w:t>
      </w:r>
      <w:r>
        <w:t xml:space="preserve"> will be explained to the attendees prior to a motion and will be acted upon by the active members of NCWM prior to calling for the vote.</w:t>
      </w:r>
      <w:r w:rsidRPr="00A12E0D">
        <w:t xml:space="preserve">  </w:t>
      </w:r>
    </w:p>
    <w:p w:rsidR="001935E5" w:rsidRDefault="001935E5" w:rsidP="001935E5">
      <w:r>
        <w:t xml:space="preserve">An “Item Under Consideration” is a statement of proposal and not necessarily a recommendation of the Committee.  Suggested revisions are shown in </w:t>
      </w:r>
      <w:r w:rsidRPr="005D4239">
        <w:rPr>
          <w:b/>
        </w:rPr>
        <w:t>bold face print</w:t>
      </w:r>
      <w:r>
        <w:t xml:space="preserve"> by </w:t>
      </w:r>
      <w:r w:rsidRPr="005D4239">
        <w:rPr>
          <w:b/>
          <w:strike/>
        </w:rPr>
        <w:t>striking out</w:t>
      </w:r>
      <w:r>
        <w:t xml:space="preserve"> information to be deleted and </w:t>
      </w:r>
      <w:r w:rsidRPr="005D4239">
        <w:rPr>
          <w:b/>
          <w:u w:val="single"/>
        </w:rPr>
        <w:t>underlining</w:t>
      </w:r>
      <w:r>
        <w:t xml:space="preserve"> information to be added.  Requirements that are proposed to be nonretroactive are printed in </w:t>
      </w:r>
      <w:r w:rsidRPr="005D4239">
        <w:rPr>
          <w:b/>
          <w:i/>
        </w:rPr>
        <w:t>bold faced italics</w:t>
      </w:r>
      <w:r>
        <w:t xml:space="preserve">.  Additional letters, presentations, and data may have been part of the Committee’s consideration will appear as appendix items.  </w:t>
      </w:r>
    </w:p>
    <w:p w:rsidR="001935E5" w:rsidRDefault="001935E5" w:rsidP="001935E5">
      <w:r>
        <w:t>All sessions are open to registered attendees of the conference.  If the Committee must discuss any issue that involves proprietary information or other confidential material; that portion of the session dealing with the special issue may be closed provided that (1) the Chairman or, in his absence, the Chairman-Elect approves; (2) the Executive Director is notified; and (3) an announcement of the closed meeting is posted on or near the door to the meeting session and at the registration desk.  If at all possible, the posting will be done at least a day prior to the planned closed session.</w:t>
      </w:r>
    </w:p>
    <w:p w:rsidR="00AB4EDD" w:rsidRDefault="00D67867" w:rsidP="009F592C">
      <w:pPr>
        <w:spacing w:after="200"/>
        <w:rPr>
          <w:rFonts w:eastAsia="Times New Roman" w:cs="Times New Roman"/>
          <w:szCs w:val="24"/>
        </w:rPr>
      </w:pPr>
      <w:r w:rsidRPr="009F592C">
        <w:rPr>
          <w:rFonts w:eastAsia="Times New Roman" w:cs="Times New Roman"/>
          <w:b/>
          <w:szCs w:val="24"/>
        </w:rPr>
        <w:t>Note:</w:t>
      </w:r>
      <w:r w:rsidRPr="00D20797">
        <w:rPr>
          <w:rFonts w:eastAsia="Times New Roman" w:cs="Times New Roman"/>
          <w:szCs w:val="24"/>
        </w:rPr>
        <w:t xml:space="preserve">  The policy of NIST is to use metric units of measurement in all of its publications; </w:t>
      </w:r>
      <w:r w:rsidR="008D3C31" w:rsidRPr="00D20797">
        <w:rPr>
          <w:rFonts w:eastAsia="Times New Roman" w:cs="Times New Roman"/>
          <w:szCs w:val="24"/>
        </w:rPr>
        <w:t>however, recommendations</w:t>
      </w:r>
      <w:r w:rsidRPr="00D20797">
        <w:rPr>
          <w:rFonts w:eastAsia="Times New Roman" w:cs="Times New Roman"/>
          <w:szCs w:val="24"/>
        </w:rPr>
        <w:t xml:space="preserve"> received by the NCWM technical committees have been printed in this publication as submitted.  Therefore, the report may contain references to inch-pound units.</w:t>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AB4EDD" w:rsidRPr="00F3504E" w:rsidTr="009F592C">
        <w:tc>
          <w:tcPr>
            <w:tcW w:w="9360" w:type="dxa"/>
            <w:tcBorders>
              <w:top w:val="single" w:sz="12" w:space="0" w:color="auto"/>
              <w:bottom w:val="single" w:sz="12" w:space="0" w:color="auto"/>
            </w:tcBorders>
          </w:tcPr>
          <w:p w:rsidR="00AB4EDD" w:rsidRPr="00F3504E" w:rsidRDefault="00AB4EDD" w:rsidP="00336186">
            <w:pPr>
              <w:pStyle w:val="TableHeading"/>
            </w:pPr>
            <w:r>
              <w:lastRenderedPageBreak/>
              <w:t>Subject Series List</w:t>
            </w:r>
          </w:p>
        </w:tc>
      </w:tr>
    </w:tbl>
    <w:p w:rsidR="00AB4EDD" w:rsidRDefault="00AB4EDD" w:rsidP="00AB4EDD">
      <w:pPr>
        <w:pStyle w:val="SubjectSeriesLevel1"/>
      </w:pPr>
      <w:r>
        <w:t>Introduction</w:t>
      </w:r>
      <w:r>
        <w:tab/>
        <w:t>300 Series</w:t>
      </w:r>
    </w:p>
    <w:p w:rsidR="00AB4EDD" w:rsidRDefault="00AB4EDD" w:rsidP="00AB4EDD">
      <w:pPr>
        <w:pStyle w:val="SubjectSeriesLevel1"/>
      </w:pPr>
      <w:r>
        <w:t>NIST Handbook 44 – General Code</w:t>
      </w:r>
      <w:r>
        <w:tab/>
        <w:t>310 Series</w:t>
      </w:r>
    </w:p>
    <w:p w:rsidR="00AB4EDD" w:rsidRDefault="00AB4EDD" w:rsidP="009F592C">
      <w:pPr>
        <w:pStyle w:val="SubjectSeriesLevel2"/>
        <w:spacing w:before="120" w:after="0"/>
      </w:pPr>
      <w:r>
        <w:t>Scales</w:t>
      </w:r>
      <w:r>
        <w:tab/>
        <w:t>320 Series</w:t>
      </w:r>
    </w:p>
    <w:p w:rsidR="00AB4EDD" w:rsidRDefault="00AB4EDD" w:rsidP="009F592C">
      <w:pPr>
        <w:pStyle w:val="SubjectSeriesLevel2"/>
        <w:spacing w:after="0"/>
      </w:pPr>
      <w:r>
        <w:t>Belt-Conveyor Scale Systems</w:t>
      </w:r>
      <w:r>
        <w:tab/>
        <w:t>321 Series</w:t>
      </w:r>
    </w:p>
    <w:p w:rsidR="00AB4EDD" w:rsidRDefault="00AB4EDD" w:rsidP="009F592C">
      <w:pPr>
        <w:pStyle w:val="SubjectSeriesLevel2"/>
        <w:spacing w:after="0"/>
      </w:pPr>
      <w:r>
        <w:t>Automatic Bulk Weighing Systems</w:t>
      </w:r>
      <w:r>
        <w:tab/>
        <w:t>322 Series</w:t>
      </w:r>
    </w:p>
    <w:p w:rsidR="00AB4EDD" w:rsidRDefault="00AB4EDD" w:rsidP="009F592C">
      <w:pPr>
        <w:pStyle w:val="SubjectSeriesLevel2"/>
        <w:spacing w:after="0"/>
      </w:pPr>
      <w:r>
        <w:t>Weights</w:t>
      </w:r>
      <w:r>
        <w:tab/>
        <w:t>323 Series</w:t>
      </w:r>
    </w:p>
    <w:p w:rsidR="00AB4EDD" w:rsidRDefault="00AB4EDD" w:rsidP="009F592C">
      <w:pPr>
        <w:pStyle w:val="SubjectSeriesLevel2"/>
        <w:spacing w:after="0"/>
      </w:pPr>
      <w:r>
        <w:t>Automatic Weighing Systems</w:t>
      </w:r>
      <w:r>
        <w:tab/>
        <w:t>324 Series</w:t>
      </w:r>
    </w:p>
    <w:p w:rsidR="00AB4EDD" w:rsidRDefault="00AB4EDD" w:rsidP="009F592C">
      <w:pPr>
        <w:pStyle w:val="SubjectSeriesLevel2"/>
        <w:spacing w:before="120" w:after="0"/>
      </w:pPr>
      <w:r>
        <w:t>Liquid-Measuring Devices</w:t>
      </w:r>
      <w:r>
        <w:tab/>
        <w:t>330 Series</w:t>
      </w:r>
    </w:p>
    <w:p w:rsidR="00AB4EDD" w:rsidRDefault="00AB4EDD" w:rsidP="009F592C">
      <w:pPr>
        <w:pStyle w:val="SubjectSeriesLevel2"/>
        <w:spacing w:after="0"/>
      </w:pPr>
      <w:r>
        <w:t>Vehicle-Tank Meters</w:t>
      </w:r>
      <w:r>
        <w:tab/>
        <w:t>331 Series</w:t>
      </w:r>
    </w:p>
    <w:p w:rsidR="00AB4EDD" w:rsidRDefault="00AB4EDD" w:rsidP="009F592C">
      <w:pPr>
        <w:pStyle w:val="SubjectSeriesLevel2"/>
        <w:spacing w:after="0"/>
      </w:pPr>
      <w:r>
        <w:t>Liquefied Petroleum Gas and Anhydrous Ammonia Liquid-Measuring Devices</w:t>
      </w:r>
      <w:r>
        <w:tab/>
        <w:t>332 Series</w:t>
      </w:r>
    </w:p>
    <w:p w:rsidR="00AB4EDD" w:rsidRDefault="00AB4EDD" w:rsidP="009F592C">
      <w:pPr>
        <w:pStyle w:val="SubjectSeriesLevel2"/>
        <w:spacing w:after="0"/>
      </w:pPr>
      <w:r>
        <w:t>Hydrocarbon Gas Vapor-Measuring Devices</w:t>
      </w:r>
      <w:r>
        <w:tab/>
        <w:t>333 Series</w:t>
      </w:r>
    </w:p>
    <w:p w:rsidR="00AB4EDD" w:rsidRDefault="00AB4EDD" w:rsidP="009F592C">
      <w:pPr>
        <w:pStyle w:val="SubjectSeriesLevel2"/>
        <w:spacing w:after="0"/>
      </w:pPr>
      <w:r>
        <w:t>Cryogenic Liquid-Measuring Devices</w:t>
      </w:r>
      <w:r>
        <w:tab/>
        <w:t>334 Series</w:t>
      </w:r>
    </w:p>
    <w:p w:rsidR="00AB4EDD" w:rsidRDefault="00AB4EDD" w:rsidP="009F592C">
      <w:pPr>
        <w:pStyle w:val="SubjectSeriesLevel2"/>
        <w:spacing w:after="0"/>
      </w:pPr>
      <w:r>
        <w:t>Milk Meters</w:t>
      </w:r>
      <w:r>
        <w:tab/>
        <w:t>335 Series</w:t>
      </w:r>
    </w:p>
    <w:p w:rsidR="00AB4EDD" w:rsidRDefault="00AB4EDD" w:rsidP="009F592C">
      <w:pPr>
        <w:pStyle w:val="SubjectSeriesLevel2"/>
        <w:spacing w:after="0"/>
      </w:pPr>
      <w:r>
        <w:t>Water Meters</w:t>
      </w:r>
      <w:r>
        <w:tab/>
        <w:t>336 Series</w:t>
      </w:r>
    </w:p>
    <w:p w:rsidR="00AB4EDD" w:rsidRDefault="00AB4EDD" w:rsidP="009F592C">
      <w:pPr>
        <w:pStyle w:val="SubjectSeriesLevel2"/>
        <w:spacing w:after="0"/>
      </w:pPr>
      <w:r>
        <w:t>Mass Flow Meters</w:t>
      </w:r>
      <w:r>
        <w:tab/>
        <w:t>337 Series</w:t>
      </w:r>
    </w:p>
    <w:p w:rsidR="00AB4EDD" w:rsidRDefault="00AB4EDD" w:rsidP="009F592C">
      <w:pPr>
        <w:pStyle w:val="SubjectSeriesLevel2"/>
        <w:spacing w:after="0"/>
      </w:pPr>
      <w:r>
        <w:t>Carbon Dioxide Liquid-Measuring Devices</w:t>
      </w:r>
      <w:r>
        <w:tab/>
        <w:t>338 Series</w:t>
      </w:r>
    </w:p>
    <w:p w:rsidR="00AB4EDD" w:rsidRDefault="00AB4EDD" w:rsidP="009F592C">
      <w:pPr>
        <w:pStyle w:val="SubjectSeriesLevel2"/>
        <w:spacing w:after="0"/>
      </w:pPr>
      <w:r>
        <w:t>Hydrogen Gas-Metering Devices – Tentative Code</w:t>
      </w:r>
      <w:r>
        <w:tab/>
        <w:t>339 Series</w:t>
      </w:r>
    </w:p>
    <w:p w:rsidR="00AB4EDD" w:rsidRDefault="00AB4EDD" w:rsidP="009F592C">
      <w:pPr>
        <w:pStyle w:val="SubjectSeriesLevel2"/>
        <w:spacing w:before="120" w:after="0"/>
      </w:pPr>
      <w:r>
        <w:t>Vehicle Tanks Used as Measures</w:t>
      </w:r>
      <w:r>
        <w:tab/>
        <w:t>340 Series</w:t>
      </w:r>
    </w:p>
    <w:p w:rsidR="00AB4EDD" w:rsidRDefault="00AB4EDD" w:rsidP="009F592C">
      <w:pPr>
        <w:pStyle w:val="SubjectSeriesLevel2"/>
        <w:spacing w:after="0"/>
      </w:pPr>
      <w:r>
        <w:t>Liquid Measures</w:t>
      </w:r>
      <w:r>
        <w:tab/>
        <w:t>341 Series</w:t>
      </w:r>
    </w:p>
    <w:p w:rsidR="00AB4EDD" w:rsidRDefault="00AB4EDD" w:rsidP="009F592C">
      <w:pPr>
        <w:pStyle w:val="SubjectSeriesLevel2"/>
        <w:spacing w:after="0"/>
      </w:pPr>
      <w:r>
        <w:t>Farm Milk Tanks</w:t>
      </w:r>
      <w:r>
        <w:tab/>
        <w:t>342 Series</w:t>
      </w:r>
    </w:p>
    <w:p w:rsidR="00AB4EDD" w:rsidRDefault="00AB4EDD" w:rsidP="009F592C">
      <w:pPr>
        <w:pStyle w:val="SubjectSeriesLevel2"/>
        <w:spacing w:after="0"/>
      </w:pPr>
      <w:r>
        <w:t>Measure-Containers</w:t>
      </w:r>
      <w:r>
        <w:tab/>
        <w:t>343 Series</w:t>
      </w:r>
    </w:p>
    <w:p w:rsidR="00AB4EDD" w:rsidRDefault="00AB4EDD" w:rsidP="009F592C">
      <w:pPr>
        <w:pStyle w:val="SubjectSeriesLevel2"/>
        <w:spacing w:after="0"/>
      </w:pPr>
      <w:r>
        <w:t>Graduates</w:t>
      </w:r>
      <w:r>
        <w:tab/>
        <w:t>344 Series</w:t>
      </w:r>
    </w:p>
    <w:p w:rsidR="00AB4EDD" w:rsidRDefault="00AB4EDD" w:rsidP="009F592C">
      <w:pPr>
        <w:pStyle w:val="SubjectSeriesLevel2"/>
        <w:spacing w:after="0"/>
      </w:pPr>
      <w:r>
        <w:t>Dry Measures</w:t>
      </w:r>
      <w:r>
        <w:tab/>
        <w:t>345 Series</w:t>
      </w:r>
    </w:p>
    <w:p w:rsidR="00AB4EDD" w:rsidRDefault="00AB4EDD" w:rsidP="009F592C">
      <w:pPr>
        <w:pStyle w:val="SubjectSeriesLevel2"/>
        <w:spacing w:after="0"/>
      </w:pPr>
      <w:r>
        <w:t>Berry Baskets and Boxes</w:t>
      </w:r>
      <w:r>
        <w:tab/>
        <w:t>346 Series</w:t>
      </w:r>
    </w:p>
    <w:p w:rsidR="00AB4EDD" w:rsidRDefault="00AB4EDD" w:rsidP="009F592C">
      <w:pPr>
        <w:pStyle w:val="SubjectSeriesLevel2"/>
        <w:spacing w:before="120" w:after="0"/>
      </w:pPr>
      <w:r>
        <w:t>Fabric-Measuring Devices</w:t>
      </w:r>
      <w:r>
        <w:tab/>
        <w:t>350 Series</w:t>
      </w:r>
    </w:p>
    <w:p w:rsidR="00AB4EDD" w:rsidRDefault="00AB4EDD" w:rsidP="009F592C">
      <w:pPr>
        <w:pStyle w:val="SubjectSeriesLevel2"/>
        <w:spacing w:after="0"/>
      </w:pPr>
      <w:r>
        <w:t>Wire-and Cordage-Measuring Devices</w:t>
      </w:r>
      <w:r>
        <w:tab/>
        <w:t>351 Series</w:t>
      </w:r>
    </w:p>
    <w:p w:rsidR="00AB4EDD" w:rsidRDefault="00AB4EDD" w:rsidP="009F592C">
      <w:pPr>
        <w:pStyle w:val="SubjectSeriesLevel2"/>
        <w:spacing w:after="0"/>
      </w:pPr>
      <w:r>
        <w:t>Linear Measures</w:t>
      </w:r>
      <w:r>
        <w:tab/>
        <w:t>352 Series</w:t>
      </w:r>
    </w:p>
    <w:p w:rsidR="00AB4EDD" w:rsidRDefault="00AB4EDD" w:rsidP="009F592C">
      <w:pPr>
        <w:pStyle w:val="SubjectSeriesLevel2"/>
        <w:spacing w:after="0"/>
      </w:pPr>
      <w:r>
        <w:t>Odometers</w:t>
      </w:r>
      <w:r>
        <w:tab/>
        <w:t>353 Series</w:t>
      </w:r>
    </w:p>
    <w:p w:rsidR="00AB4EDD" w:rsidRDefault="00AB4EDD" w:rsidP="009F592C">
      <w:pPr>
        <w:pStyle w:val="SubjectSeriesLevel2"/>
        <w:spacing w:after="0"/>
      </w:pPr>
      <w:r>
        <w:t>Taximeters</w:t>
      </w:r>
      <w:r>
        <w:tab/>
        <w:t>354 Series</w:t>
      </w:r>
    </w:p>
    <w:p w:rsidR="00AB4EDD" w:rsidRDefault="00AB4EDD" w:rsidP="009F592C">
      <w:pPr>
        <w:pStyle w:val="SubjectSeriesLevel2"/>
        <w:spacing w:after="0"/>
      </w:pPr>
      <w:r>
        <w:t>Timing Devices</w:t>
      </w:r>
      <w:r>
        <w:tab/>
        <w:t>355 Series</w:t>
      </w:r>
    </w:p>
    <w:p w:rsidR="00AB4EDD" w:rsidRDefault="00AB4EDD" w:rsidP="009F592C">
      <w:pPr>
        <w:pStyle w:val="SubjectSeriesLevel2"/>
        <w:spacing w:after="0"/>
      </w:pPr>
      <w:r>
        <w:t>Grain Moisture Meters</w:t>
      </w:r>
      <w:r>
        <w:tab/>
        <w:t>356 Series</w:t>
      </w:r>
    </w:p>
    <w:p w:rsidR="00AB4EDD" w:rsidRDefault="00AB4EDD" w:rsidP="009F592C">
      <w:pPr>
        <w:pStyle w:val="SubjectSeriesLevel2"/>
        <w:spacing w:after="0"/>
      </w:pPr>
      <w:r>
        <w:t>Near-Infrared Grain Analyzers</w:t>
      </w:r>
      <w:r>
        <w:tab/>
        <w:t>357 Series</w:t>
      </w:r>
    </w:p>
    <w:p w:rsidR="00AB4EDD" w:rsidRDefault="00AB4EDD" w:rsidP="009F592C">
      <w:pPr>
        <w:pStyle w:val="SubjectSeriesLevel2"/>
        <w:spacing w:after="0"/>
      </w:pPr>
      <w:r>
        <w:t>Multiple Dimension Measuring Devices</w:t>
      </w:r>
      <w:r>
        <w:tab/>
        <w:t>358 Series</w:t>
      </w:r>
    </w:p>
    <w:p w:rsidR="00AB4EDD" w:rsidRDefault="00AB4EDD" w:rsidP="009F592C">
      <w:pPr>
        <w:pStyle w:val="SubjectSeriesLevel2"/>
        <w:spacing w:after="0"/>
      </w:pPr>
      <w:r>
        <w:t>Electronic Livestock, Meat, and Poultry Evaluation Systems and/or Devices</w:t>
      </w:r>
      <w:r>
        <w:tab/>
        <w:t>359 Series</w:t>
      </w:r>
    </w:p>
    <w:p w:rsidR="00AB4EDD" w:rsidRDefault="00AB4EDD" w:rsidP="009F592C">
      <w:pPr>
        <w:pStyle w:val="SubjectSeriesLevel1"/>
        <w:spacing w:after="0"/>
      </w:pPr>
      <w:r>
        <w:t>Other Items – Developing Items</w:t>
      </w:r>
      <w:r>
        <w:tab/>
        <w:t>360 Series</w:t>
      </w:r>
    </w:p>
    <w:p w:rsidR="007A4461" w:rsidRDefault="007A4461">
      <w:pPr>
        <w:spacing w:after="200" w:line="276" w:lineRule="auto"/>
        <w:jc w:val="left"/>
      </w:pPr>
      <w:r>
        <w:br w:type="page"/>
      </w:r>
    </w:p>
    <w:p w:rsidR="00D57566" w:rsidRDefault="00D57566" w:rsidP="009F592C">
      <w:pPr>
        <w:spacing w:after="200"/>
      </w:pP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3110"/>
        <w:gridCol w:w="3110"/>
        <w:gridCol w:w="3140"/>
      </w:tblGrid>
      <w:tr w:rsidR="00105E26" w:rsidRPr="00F3504E" w:rsidTr="009F592C">
        <w:tc>
          <w:tcPr>
            <w:tcW w:w="9360" w:type="dxa"/>
            <w:gridSpan w:val="3"/>
            <w:tcBorders>
              <w:top w:val="single" w:sz="12" w:space="0" w:color="auto"/>
              <w:bottom w:val="single" w:sz="12" w:space="0" w:color="auto"/>
            </w:tcBorders>
          </w:tcPr>
          <w:p w:rsidR="00105E26" w:rsidRPr="00F3504E" w:rsidRDefault="00105E26" w:rsidP="00AB1518">
            <w:pPr>
              <w:pStyle w:val="TableHeading"/>
            </w:pPr>
            <w:r w:rsidRPr="00F3504E">
              <w:t>Table A</w:t>
            </w:r>
            <w:r w:rsidR="00443A38" w:rsidRPr="00F3504E">
              <w:br/>
            </w:r>
            <w:r w:rsidR="00C76925">
              <w:t>Table of Contents</w:t>
            </w:r>
          </w:p>
        </w:tc>
      </w:tr>
      <w:tr w:rsidR="00105E26" w:rsidRPr="00F3504E" w:rsidTr="009F592C">
        <w:trPr>
          <w:trHeight w:val="317"/>
        </w:trPr>
        <w:tc>
          <w:tcPr>
            <w:tcW w:w="3110" w:type="dxa"/>
            <w:tcBorders>
              <w:top w:val="single" w:sz="12" w:space="0" w:color="auto"/>
              <w:bottom w:val="single" w:sz="12" w:space="0" w:color="auto"/>
            </w:tcBorders>
            <w:vAlign w:val="bottom"/>
          </w:tcPr>
          <w:p w:rsidR="00105E26" w:rsidRPr="00F3504E" w:rsidRDefault="00F8763B" w:rsidP="009F592C">
            <w:pPr>
              <w:pStyle w:val="TableColumnHeadings"/>
              <w:spacing w:after="0"/>
              <w:ind w:left="-108"/>
              <w:jc w:val="left"/>
            </w:pPr>
            <w:r>
              <w:t>Reference Key</w:t>
            </w:r>
          </w:p>
        </w:tc>
        <w:tc>
          <w:tcPr>
            <w:tcW w:w="3110" w:type="dxa"/>
            <w:tcBorders>
              <w:top w:val="single" w:sz="12" w:space="0" w:color="auto"/>
              <w:bottom w:val="single" w:sz="12" w:space="0" w:color="auto"/>
            </w:tcBorders>
            <w:vAlign w:val="bottom"/>
          </w:tcPr>
          <w:p w:rsidR="00105E26" w:rsidRPr="00F3504E" w:rsidRDefault="00105E26" w:rsidP="009F592C">
            <w:pPr>
              <w:pStyle w:val="TableColumnHeadings"/>
              <w:spacing w:after="0"/>
              <w:rPr>
                <w:b w:val="0"/>
              </w:rPr>
            </w:pPr>
            <w:r w:rsidRPr="00F3504E">
              <w:t>Title of Item</w:t>
            </w:r>
          </w:p>
        </w:tc>
        <w:tc>
          <w:tcPr>
            <w:tcW w:w="3140" w:type="dxa"/>
            <w:tcBorders>
              <w:top w:val="single" w:sz="12" w:space="0" w:color="auto"/>
              <w:bottom w:val="single" w:sz="12" w:space="0" w:color="auto"/>
            </w:tcBorders>
            <w:vAlign w:val="bottom"/>
          </w:tcPr>
          <w:p w:rsidR="00105E26" w:rsidRPr="00F3504E" w:rsidRDefault="00AB1518" w:rsidP="009F592C">
            <w:pPr>
              <w:pStyle w:val="TableColumnHeadings"/>
              <w:spacing w:after="0"/>
              <w:ind w:right="-108"/>
              <w:jc w:val="right"/>
            </w:pPr>
            <w:r>
              <w:t>S&amp;T</w:t>
            </w:r>
            <w:r w:rsidR="00F8763B" w:rsidRPr="00F8763B">
              <w:t xml:space="preserve"> </w:t>
            </w:r>
            <w:r w:rsidR="00105E26" w:rsidRPr="00F8763B">
              <w:t>Page</w:t>
            </w:r>
          </w:p>
        </w:tc>
      </w:tr>
    </w:tbl>
    <w:p w:rsidR="00D96E47" w:rsidRDefault="00B27D38" w:rsidP="00E648C3">
      <w:pPr>
        <w:pStyle w:val="TOC1"/>
        <w:rPr>
          <w:rFonts w:asciiTheme="minorHAnsi" w:hAnsiTheme="minorHAnsi"/>
          <w:noProof/>
          <w:color w:val="auto"/>
          <w:sz w:val="22"/>
          <w:lang w:eastAsia="en-US"/>
        </w:rPr>
      </w:pPr>
      <w:r>
        <w:fldChar w:fldCharType="begin"/>
      </w:r>
      <w:r>
        <w:instrText xml:space="preserve"> TOC \o "1-1" \h \z \t "Appendix Heading,3,Item Heading,2,Roman Item Heading,4" </w:instrText>
      </w:r>
      <w:r>
        <w:fldChar w:fldCharType="separate"/>
      </w:r>
      <w:hyperlink w:anchor="_Toc334183613" w:history="1">
        <w:r w:rsidR="00D96E47" w:rsidRPr="000D35DC">
          <w:rPr>
            <w:rStyle w:val="Hyperlink"/>
          </w:rPr>
          <w:t>320</w:t>
        </w:r>
        <w:r w:rsidR="00D96E47">
          <w:rPr>
            <w:rFonts w:asciiTheme="minorHAnsi" w:hAnsiTheme="minorHAnsi"/>
            <w:noProof/>
            <w:color w:val="auto"/>
            <w:sz w:val="22"/>
            <w:lang w:eastAsia="en-US"/>
          </w:rPr>
          <w:tab/>
        </w:r>
        <w:r w:rsidR="00D96E47" w:rsidRPr="000D35DC">
          <w:rPr>
            <w:rStyle w:val="Hyperlink"/>
          </w:rPr>
          <w:t>SCALES</w:t>
        </w:r>
        <w:r w:rsidR="00D96E47">
          <w:rPr>
            <w:noProof/>
            <w:webHidden/>
          </w:rPr>
          <w:tab/>
        </w:r>
        <w:r w:rsidR="00D96E47">
          <w:rPr>
            <w:noProof/>
            <w:webHidden/>
          </w:rPr>
          <w:fldChar w:fldCharType="begin"/>
        </w:r>
        <w:r w:rsidR="00D96E47">
          <w:rPr>
            <w:noProof/>
            <w:webHidden/>
          </w:rPr>
          <w:instrText xml:space="preserve"> PAGEREF _Toc334183613 \h </w:instrText>
        </w:r>
        <w:r w:rsidR="00D96E47">
          <w:rPr>
            <w:noProof/>
            <w:webHidden/>
          </w:rPr>
        </w:r>
        <w:r w:rsidR="00D96E47">
          <w:rPr>
            <w:noProof/>
            <w:webHidden/>
          </w:rPr>
          <w:fldChar w:fldCharType="separate"/>
        </w:r>
        <w:r w:rsidR="006E083F">
          <w:rPr>
            <w:noProof/>
            <w:webHidden/>
          </w:rPr>
          <w:t>6</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14" w:history="1">
        <w:r w:rsidR="00D96E47" w:rsidRPr="000D35DC">
          <w:rPr>
            <w:rStyle w:val="Hyperlink"/>
          </w:rPr>
          <w:t>320-1</w:t>
        </w:r>
        <w:r w:rsidR="00D96E47">
          <w:rPr>
            <w:rFonts w:asciiTheme="minorHAnsi" w:hAnsiTheme="minorHAnsi"/>
            <w:noProof/>
            <w:color w:val="auto"/>
            <w:sz w:val="22"/>
            <w:lang w:eastAsia="en-US"/>
          </w:rPr>
          <w:tab/>
        </w:r>
        <w:r w:rsidR="00D96E47" w:rsidRPr="000D35DC">
          <w:rPr>
            <w:rStyle w:val="Hyperlink"/>
          </w:rPr>
          <w:t>W</w:t>
        </w:r>
        <w:r w:rsidR="001935E5">
          <w:rPr>
            <w:rStyle w:val="Hyperlink"/>
          </w:rPr>
          <w:tab/>
        </w:r>
        <w:r w:rsidR="00D96E47" w:rsidRPr="000D35DC">
          <w:rPr>
            <w:rStyle w:val="Hyperlink"/>
          </w:rPr>
          <w:t>S.1.7. Capacity Indication, Weight Ranges, and Unit Weights</w:t>
        </w:r>
        <w:r w:rsidR="00D96E47">
          <w:rPr>
            <w:noProof/>
            <w:webHidden/>
          </w:rPr>
          <w:tab/>
        </w:r>
        <w:r w:rsidR="00D96E47">
          <w:rPr>
            <w:noProof/>
            <w:webHidden/>
          </w:rPr>
          <w:fldChar w:fldCharType="begin"/>
        </w:r>
        <w:r w:rsidR="00D96E47">
          <w:rPr>
            <w:noProof/>
            <w:webHidden/>
          </w:rPr>
          <w:instrText xml:space="preserve"> PAGEREF _Toc334183614 \h </w:instrText>
        </w:r>
        <w:r w:rsidR="00D96E47">
          <w:rPr>
            <w:noProof/>
            <w:webHidden/>
          </w:rPr>
        </w:r>
        <w:r w:rsidR="00D96E47">
          <w:rPr>
            <w:noProof/>
            <w:webHidden/>
          </w:rPr>
          <w:fldChar w:fldCharType="separate"/>
        </w:r>
        <w:r>
          <w:rPr>
            <w:noProof/>
            <w:webHidden/>
          </w:rPr>
          <w:t>6</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15" w:history="1">
        <w:r w:rsidR="00D96E47" w:rsidRPr="000D35DC">
          <w:rPr>
            <w:rStyle w:val="Hyperlink"/>
          </w:rPr>
          <w:t>320-2</w:t>
        </w:r>
        <w:r w:rsidR="00D96E47">
          <w:rPr>
            <w:rFonts w:asciiTheme="minorHAnsi" w:hAnsiTheme="minorHAnsi"/>
            <w:noProof/>
            <w:color w:val="auto"/>
            <w:sz w:val="22"/>
            <w:lang w:eastAsia="en-US"/>
          </w:rPr>
          <w:tab/>
        </w:r>
        <w:r w:rsidR="001935E5" w:rsidRPr="000D35DC">
          <w:rPr>
            <w:rStyle w:val="Hyperlink"/>
          </w:rPr>
          <w:t>I</w:t>
        </w:r>
        <w:r w:rsidR="001935E5">
          <w:rPr>
            <w:rStyle w:val="Hyperlink"/>
          </w:rPr>
          <w:tab/>
        </w:r>
        <w:r w:rsidR="00D96E47" w:rsidRPr="000D35DC">
          <w:rPr>
            <w:rStyle w:val="Hyperlink"/>
          </w:rPr>
          <w:t>S.6.4. Railway Track Scales and Appendix D – Definitions</w:t>
        </w:r>
        <w:r w:rsidR="00D96E47">
          <w:rPr>
            <w:noProof/>
            <w:webHidden/>
          </w:rPr>
          <w:tab/>
        </w:r>
        <w:r w:rsidR="00D96E47">
          <w:rPr>
            <w:noProof/>
            <w:webHidden/>
          </w:rPr>
          <w:fldChar w:fldCharType="begin"/>
        </w:r>
        <w:r w:rsidR="00D96E47">
          <w:rPr>
            <w:noProof/>
            <w:webHidden/>
          </w:rPr>
          <w:instrText xml:space="preserve"> PAGEREF _Toc334183615 \h </w:instrText>
        </w:r>
        <w:r w:rsidR="00D96E47">
          <w:rPr>
            <w:noProof/>
            <w:webHidden/>
          </w:rPr>
        </w:r>
        <w:r w:rsidR="00D96E47">
          <w:rPr>
            <w:noProof/>
            <w:webHidden/>
          </w:rPr>
          <w:fldChar w:fldCharType="separate"/>
        </w:r>
        <w:r>
          <w:rPr>
            <w:noProof/>
            <w:webHidden/>
          </w:rPr>
          <w:t>8</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16" w:history="1">
        <w:r w:rsidR="00D96E47" w:rsidRPr="000D35DC">
          <w:rPr>
            <w:rStyle w:val="Hyperlink"/>
          </w:rPr>
          <w:t>320-3</w:t>
        </w:r>
        <w:r w:rsidR="00D96E47">
          <w:rPr>
            <w:rFonts w:asciiTheme="minorHAnsi" w:hAnsiTheme="minorHAnsi"/>
            <w:noProof/>
            <w:color w:val="auto"/>
            <w:sz w:val="22"/>
            <w:lang w:eastAsia="en-US"/>
          </w:rPr>
          <w:tab/>
        </w:r>
        <w:r w:rsidR="001935E5" w:rsidRPr="000D35DC">
          <w:rPr>
            <w:rStyle w:val="Hyperlink"/>
          </w:rPr>
          <w:t>V</w:t>
        </w:r>
        <w:r w:rsidR="001935E5">
          <w:rPr>
            <w:rStyle w:val="Hyperlink"/>
          </w:rPr>
          <w:tab/>
        </w:r>
        <w:r w:rsidR="00D96E47" w:rsidRPr="000D35DC">
          <w:rPr>
            <w:rStyle w:val="Hyperlink"/>
          </w:rPr>
          <w:t>N.3.1.2. Interim Approval</w:t>
        </w:r>
        <w:r w:rsidR="00D96E47">
          <w:rPr>
            <w:noProof/>
            <w:webHidden/>
          </w:rPr>
          <w:tab/>
        </w:r>
        <w:r w:rsidR="00D96E47">
          <w:rPr>
            <w:noProof/>
            <w:webHidden/>
          </w:rPr>
          <w:fldChar w:fldCharType="begin"/>
        </w:r>
        <w:r w:rsidR="00D96E47">
          <w:rPr>
            <w:noProof/>
            <w:webHidden/>
          </w:rPr>
          <w:instrText xml:space="preserve"> PAGEREF _Toc334183616 \h </w:instrText>
        </w:r>
        <w:r w:rsidR="00D96E47">
          <w:rPr>
            <w:noProof/>
            <w:webHidden/>
          </w:rPr>
        </w:r>
        <w:r w:rsidR="00D96E47">
          <w:rPr>
            <w:noProof/>
            <w:webHidden/>
          </w:rPr>
          <w:fldChar w:fldCharType="separate"/>
        </w:r>
        <w:r>
          <w:rPr>
            <w:noProof/>
            <w:webHidden/>
          </w:rPr>
          <w:t>14</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17" w:history="1">
        <w:r w:rsidR="00D96E47" w:rsidRPr="000D35DC">
          <w:rPr>
            <w:rStyle w:val="Hyperlink"/>
          </w:rPr>
          <w:t>320-4</w:t>
        </w:r>
        <w:r w:rsidR="00D96E47">
          <w:rPr>
            <w:rFonts w:asciiTheme="minorHAnsi" w:hAnsiTheme="minorHAnsi"/>
            <w:noProof/>
            <w:color w:val="auto"/>
            <w:sz w:val="22"/>
            <w:lang w:eastAsia="en-US"/>
          </w:rPr>
          <w:tab/>
        </w:r>
        <w:r w:rsidR="001935E5" w:rsidRPr="000D35DC">
          <w:rPr>
            <w:rStyle w:val="Hyperlink"/>
          </w:rPr>
          <w:t>VC</w:t>
        </w:r>
        <w:r w:rsidR="001935E5">
          <w:rPr>
            <w:rStyle w:val="Hyperlink"/>
          </w:rPr>
          <w:tab/>
        </w:r>
        <w:r w:rsidR="00D96E47" w:rsidRPr="000D35DC">
          <w:rPr>
            <w:rStyle w:val="Hyperlink"/>
          </w:rPr>
          <w:t>UR.1.2. Grain Hopper Scales</w:t>
        </w:r>
        <w:r w:rsidR="00D96E47">
          <w:rPr>
            <w:noProof/>
            <w:webHidden/>
          </w:rPr>
          <w:tab/>
        </w:r>
        <w:r w:rsidR="00D96E47">
          <w:rPr>
            <w:noProof/>
            <w:webHidden/>
          </w:rPr>
          <w:fldChar w:fldCharType="begin"/>
        </w:r>
        <w:r w:rsidR="00D96E47">
          <w:rPr>
            <w:noProof/>
            <w:webHidden/>
          </w:rPr>
          <w:instrText xml:space="preserve"> PAGEREF _Toc334183617 \h </w:instrText>
        </w:r>
        <w:r w:rsidR="00D96E47">
          <w:rPr>
            <w:noProof/>
            <w:webHidden/>
          </w:rPr>
        </w:r>
        <w:r w:rsidR="00D96E47">
          <w:rPr>
            <w:noProof/>
            <w:webHidden/>
          </w:rPr>
          <w:fldChar w:fldCharType="separate"/>
        </w:r>
        <w:r>
          <w:rPr>
            <w:noProof/>
            <w:webHidden/>
          </w:rPr>
          <w:t>19</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18" w:history="1">
        <w:r w:rsidR="00D96E47" w:rsidRPr="000D35DC">
          <w:rPr>
            <w:rStyle w:val="Hyperlink"/>
          </w:rPr>
          <w:t>320-5</w:t>
        </w:r>
        <w:r w:rsidR="00D96E47">
          <w:rPr>
            <w:rFonts w:asciiTheme="minorHAnsi" w:hAnsiTheme="minorHAnsi"/>
            <w:noProof/>
            <w:color w:val="auto"/>
            <w:sz w:val="22"/>
            <w:lang w:eastAsia="en-US"/>
          </w:rPr>
          <w:tab/>
        </w:r>
        <w:r w:rsidR="001935E5" w:rsidRPr="000D35DC">
          <w:rPr>
            <w:rStyle w:val="Hyperlink"/>
          </w:rPr>
          <w:t>I</w:t>
        </w:r>
        <w:r w:rsidR="001935E5">
          <w:rPr>
            <w:rStyle w:val="Hyperlink"/>
          </w:rPr>
          <w:tab/>
        </w:r>
        <w:r w:rsidR="00D96E47" w:rsidRPr="000D35DC">
          <w:rPr>
            <w:rStyle w:val="Hyperlink"/>
          </w:rPr>
          <w:t>Appendix C – Units of Mass (ton)</w:t>
        </w:r>
        <w:r w:rsidR="00D96E47">
          <w:rPr>
            <w:noProof/>
            <w:webHidden/>
          </w:rPr>
          <w:tab/>
        </w:r>
        <w:r w:rsidR="00D96E47">
          <w:rPr>
            <w:noProof/>
            <w:webHidden/>
          </w:rPr>
          <w:fldChar w:fldCharType="begin"/>
        </w:r>
        <w:r w:rsidR="00D96E47">
          <w:rPr>
            <w:noProof/>
            <w:webHidden/>
          </w:rPr>
          <w:instrText xml:space="preserve"> PAGEREF _Toc334183618 \h </w:instrText>
        </w:r>
        <w:r w:rsidR="00D96E47">
          <w:rPr>
            <w:noProof/>
            <w:webHidden/>
          </w:rPr>
        </w:r>
        <w:r w:rsidR="00D96E47">
          <w:rPr>
            <w:noProof/>
            <w:webHidden/>
          </w:rPr>
          <w:fldChar w:fldCharType="separate"/>
        </w:r>
        <w:r>
          <w:rPr>
            <w:noProof/>
            <w:webHidden/>
          </w:rPr>
          <w:t>24</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19" w:history="1">
        <w:r w:rsidR="00D96E47" w:rsidRPr="000D35DC">
          <w:rPr>
            <w:rStyle w:val="Hyperlink"/>
          </w:rPr>
          <w:t>320-6</w:t>
        </w:r>
        <w:r w:rsidR="00D96E47">
          <w:rPr>
            <w:rFonts w:asciiTheme="minorHAnsi" w:hAnsiTheme="minorHAnsi"/>
            <w:noProof/>
            <w:color w:val="auto"/>
            <w:sz w:val="22"/>
            <w:lang w:eastAsia="en-US"/>
          </w:rPr>
          <w:tab/>
        </w:r>
        <w:r w:rsidR="001935E5" w:rsidRPr="000D35DC">
          <w:rPr>
            <w:rStyle w:val="Hyperlink"/>
          </w:rPr>
          <w:t>VC</w:t>
        </w:r>
        <w:r w:rsidR="001935E5">
          <w:rPr>
            <w:rStyle w:val="Hyperlink"/>
          </w:rPr>
          <w:tab/>
        </w:r>
        <w:r w:rsidR="00D96E47" w:rsidRPr="000D35DC">
          <w:rPr>
            <w:rStyle w:val="Hyperlink"/>
          </w:rPr>
          <w:t>Appendix D – Definitions (Reference Weight Car)</w:t>
        </w:r>
        <w:r w:rsidR="00D96E47">
          <w:rPr>
            <w:noProof/>
            <w:webHidden/>
          </w:rPr>
          <w:tab/>
        </w:r>
        <w:r w:rsidR="00D96E47">
          <w:rPr>
            <w:noProof/>
            <w:webHidden/>
          </w:rPr>
          <w:fldChar w:fldCharType="begin"/>
        </w:r>
        <w:r w:rsidR="00D96E47">
          <w:rPr>
            <w:noProof/>
            <w:webHidden/>
          </w:rPr>
          <w:instrText xml:space="preserve"> PAGEREF _Toc334183619 \h </w:instrText>
        </w:r>
        <w:r w:rsidR="00D96E47">
          <w:rPr>
            <w:noProof/>
            <w:webHidden/>
          </w:rPr>
        </w:r>
        <w:r w:rsidR="00D96E47">
          <w:rPr>
            <w:noProof/>
            <w:webHidden/>
          </w:rPr>
          <w:fldChar w:fldCharType="separate"/>
        </w:r>
        <w:r>
          <w:rPr>
            <w:noProof/>
            <w:webHidden/>
          </w:rPr>
          <w:t>29</w:t>
        </w:r>
        <w:r w:rsidR="00D96E47">
          <w:rPr>
            <w:noProof/>
            <w:webHidden/>
          </w:rPr>
          <w:fldChar w:fldCharType="end"/>
        </w:r>
      </w:hyperlink>
    </w:p>
    <w:p w:rsidR="00D96E47" w:rsidRDefault="006E083F" w:rsidP="00E648C3">
      <w:pPr>
        <w:pStyle w:val="TOC1"/>
        <w:rPr>
          <w:rFonts w:asciiTheme="minorHAnsi" w:hAnsiTheme="minorHAnsi"/>
          <w:noProof/>
          <w:color w:val="auto"/>
          <w:sz w:val="22"/>
          <w:lang w:eastAsia="en-US"/>
        </w:rPr>
      </w:pPr>
      <w:hyperlink w:anchor="_Toc334183620" w:history="1">
        <w:r w:rsidR="00D96E47" w:rsidRPr="000D35DC">
          <w:rPr>
            <w:rStyle w:val="Hyperlink"/>
          </w:rPr>
          <w:t>321</w:t>
        </w:r>
        <w:r w:rsidR="00D96E47">
          <w:rPr>
            <w:rFonts w:asciiTheme="minorHAnsi" w:hAnsiTheme="minorHAnsi"/>
            <w:noProof/>
            <w:color w:val="auto"/>
            <w:sz w:val="22"/>
            <w:lang w:eastAsia="en-US"/>
          </w:rPr>
          <w:tab/>
        </w:r>
        <w:r w:rsidR="00D96E47" w:rsidRPr="000D35DC">
          <w:rPr>
            <w:rStyle w:val="Hyperlink"/>
          </w:rPr>
          <w:t>BELT-CONVEYOR SCALE SYSTEMS</w:t>
        </w:r>
        <w:r w:rsidR="00D96E47">
          <w:rPr>
            <w:noProof/>
            <w:webHidden/>
          </w:rPr>
          <w:tab/>
        </w:r>
        <w:r w:rsidR="00D96E47">
          <w:rPr>
            <w:noProof/>
            <w:webHidden/>
          </w:rPr>
          <w:fldChar w:fldCharType="begin"/>
        </w:r>
        <w:r w:rsidR="00D96E47">
          <w:rPr>
            <w:noProof/>
            <w:webHidden/>
          </w:rPr>
          <w:instrText xml:space="preserve"> PAGEREF _Toc334183620 \h </w:instrText>
        </w:r>
        <w:r w:rsidR="00D96E47">
          <w:rPr>
            <w:noProof/>
            <w:webHidden/>
          </w:rPr>
        </w:r>
        <w:r w:rsidR="00D96E47">
          <w:rPr>
            <w:noProof/>
            <w:webHidden/>
          </w:rPr>
          <w:fldChar w:fldCharType="separate"/>
        </w:r>
        <w:r>
          <w:rPr>
            <w:noProof/>
            <w:webHidden/>
          </w:rPr>
          <w:t>31</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21" w:history="1">
        <w:r w:rsidR="00D96E47" w:rsidRPr="000D35DC">
          <w:rPr>
            <w:rStyle w:val="Hyperlink"/>
          </w:rPr>
          <w:t>321-1</w:t>
        </w:r>
        <w:r w:rsidR="00D96E47">
          <w:rPr>
            <w:rFonts w:asciiTheme="minorHAnsi" w:hAnsiTheme="minorHAnsi"/>
            <w:noProof/>
            <w:color w:val="auto"/>
            <w:sz w:val="22"/>
            <w:lang w:eastAsia="en-US"/>
          </w:rPr>
          <w:tab/>
        </w:r>
        <w:r w:rsidR="001935E5" w:rsidRPr="000D35DC">
          <w:rPr>
            <w:rStyle w:val="Hyperlink"/>
          </w:rPr>
          <w:t>V</w:t>
        </w:r>
        <w:r w:rsidR="001935E5">
          <w:rPr>
            <w:rStyle w:val="Hyperlink"/>
          </w:rPr>
          <w:tab/>
        </w:r>
        <w:r w:rsidR="00D96E47" w:rsidRPr="000D35DC">
          <w:rPr>
            <w:rStyle w:val="Hyperlink"/>
          </w:rPr>
          <w:t>S.1.9. Zero Ready Indicator</w:t>
        </w:r>
        <w:r w:rsidR="00D96E47">
          <w:rPr>
            <w:noProof/>
            <w:webHidden/>
          </w:rPr>
          <w:tab/>
        </w:r>
        <w:r w:rsidR="00D96E47">
          <w:rPr>
            <w:noProof/>
            <w:webHidden/>
          </w:rPr>
          <w:fldChar w:fldCharType="begin"/>
        </w:r>
        <w:r w:rsidR="00D96E47">
          <w:rPr>
            <w:noProof/>
            <w:webHidden/>
          </w:rPr>
          <w:instrText xml:space="preserve"> PAGEREF _Toc334183621 \h </w:instrText>
        </w:r>
        <w:r w:rsidR="00D96E47">
          <w:rPr>
            <w:noProof/>
            <w:webHidden/>
          </w:rPr>
        </w:r>
        <w:r w:rsidR="00D96E47">
          <w:rPr>
            <w:noProof/>
            <w:webHidden/>
          </w:rPr>
          <w:fldChar w:fldCharType="separate"/>
        </w:r>
        <w:r>
          <w:rPr>
            <w:noProof/>
            <w:webHidden/>
          </w:rPr>
          <w:t>31</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22" w:history="1">
        <w:r w:rsidR="00D96E47" w:rsidRPr="000D35DC">
          <w:rPr>
            <w:rStyle w:val="Hyperlink"/>
          </w:rPr>
          <w:t>321-2</w:t>
        </w:r>
        <w:r w:rsidR="00D96E47">
          <w:rPr>
            <w:rFonts w:asciiTheme="minorHAnsi" w:hAnsiTheme="minorHAnsi"/>
            <w:noProof/>
            <w:color w:val="auto"/>
            <w:sz w:val="22"/>
            <w:lang w:eastAsia="en-US"/>
          </w:rPr>
          <w:tab/>
        </w:r>
        <w:r w:rsidR="001935E5" w:rsidRPr="000D35DC">
          <w:rPr>
            <w:rStyle w:val="Hyperlink"/>
          </w:rPr>
          <w:t>VC</w:t>
        </w:r>
        <w:r w:rsidR="001935E5">
          <w:rPr>
            <w:rStyle w:val="Hyperlink"/>
          </w:rPr>
          <w:tab/>
        </w:r>
        <w:r w:rsidR="00D96E47" w:rsidRPr="000D35DC">
          <w:rPr>
            <w:rStyle w:val="Hyperlink"/>
          </w:rPr>
          <w:t>UR.1. User Requirements</w:t>
        </w:r>
        <w:r w:rsidR="00D96E47">
          <w:rPr>
            <w:noProof/>
            <w:webHidden/>
          </w:rPr>
          <w:tab/>
        </w:r>
        <w:r w:rsidR="00D96E47">
          <w:rPr>
            <w:noProof/>
            <w:webHidden/>
          </w:rPr>
          <w:fldChar w:fldCharType="begin"/>
        </w:r>
        <w:r w:rsidR="00D96E47">
          <w:rPr>
            <w:noProof/>
            <w:webHidden/>
          </w:rPr>
          <w:instrText xml:space="preserve"> PAGEREF _Toc334183622 \h </w:instrText>
        </w:r>
        <w:r w:rsidR="00D96E47">
          <w:rPr>
            <w:noProof/>
            <w:webHidden/>
          </w:rPr>
        </w:r>
        <w:r w:rsidR="00D96E47">
          <w:rPr>
            <w:noProof/>
            <w:webHidden/>
          </w:rPr>
          <w:fldChar w:fldCharType="separate"/>
        </w:r>
        <w:r>
          <w:rPr>
            <w:noProof/>
            <w:webHidden/>
          </w:rPr>
          <w:t>36</w:t>
        </w:r>
        <w:r w:rsidR="00D96E47">
          <w:rPr>
            <w:noProof/>
            <w:webHidden/>
          </w:rPr>
          <w:fldChar w:fldCharType="end"/>
        </w:r>
      </w:hyperlink>
    </w:p>
    <w:p w:rsidR="00D96E47" w:rsidRDefault="006E083F" w:rsidP="00E648C3">
      <w:pPr>
        <w:pStyle w:val="TOC1"/>
        <w:rPr>
          <w:rFonts w:asciiTheme="minorHAnsi" w:hAnsiTheme="minorHAnsi"/>
          <w:noProof/>
          <w:color w:val="auto"/>
          <w:sz w:val="22"/>
          <w:lang w:eastAsia="en-US"/>
        </w:rPr>
      </w:pPr>
      <w:hyperlink w:anchor="_Toc334183623" w:history="1">
        <w:r w:rsidR="00D96E47" w:rsidRPr="000D35DC">
          <w:rPr>
            <w:rStyle w:val="Hyperlink"/>
          </w:rPr>
          <w:t>330</w:t>
        </w:r>
        <w:r w:rsidR="00D96E47">
          <w:rPr>
            <w:rFonts w:asciiTheme="minorHAnsi" w:hAnsiTheme="minorHAnsi"/>
            <w:noProof/>
            <w:color w:val="auto"/>
            <w:sz w:val="22"/>
            <w:lang w:eastAsia="en-US"/>
          </w:rPr>
          <w:tab/>
        </w:r>
        <w:r w:rsidR="00D96E47" w:rsidRPr="000D35DC">
          <w:rPr>
            <w:rStyle w:val="Hyperlink"/>
          </w:rPr>
          <w:t>LIQUID MEASURING DEVICES</w:t>
        </w:r>
        <w:r w:rsidR="00D96E47">
          <w:rPr>
            <w:noProof/>
            <w:webHidden/>
          </w:rPr>
          <w:tab/>
        </w:r>
        <w:r w:rsidR="00D96E47">
          <w:rPr>
            <w:noProof/>
            <w:webHidden/>
          </w:rPr>
          <w:fldChar w:fldCharType="begin"/>
        </w:r>
        <w:r w:rsidR="00D96E47">
          <w:rPr>
            <w:noProof/>
            <w:webHidden/>
          </w:rPr>
          <w:instrText xml:space="preserve"> PAGEREF _Toc334183623 \h </w:instrText>
        </w:r>
        <w:r w:rsidR="00D96E47">
          <w:rPr>
            <w:noProof/>
            <w:webHidden/>
          </w:rPr>
        </w:r>
        <w:r w:rsidR="00D96E47">
          <w:rPr>
            <w:noProof/>
            <w:webHidden/>
          </w:rPr>
          <w:fldChar w:fldCharType="separate"/>
        </w:r>
        <w:r>
          <w:rPr>
            <w:noProof/>
            <w:webHidden/>
          </w:rPr>
          <w:t>39</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24" w:history="1">
        <w:r w:rsidR="00D96E47" w:rsidRPr="000D35DC">
          <w:rPr>
            <w:rStyle w:val="Hyperlink"/>
          </w:rPr>
          <w:t>330-1</w:t>
        </w:r>
        <w:r w:rsidR="00D96E47">
          <w:rPr>
            <w:rFonts w:asciiTheme="minorHAnsi" w:hAnsiTheme="minorHAnsi"/>
            <w:noProof/>
            <w:color w:val="auto"/>
            <w:sz w:val="22"/>
            <w:lang w:eastAsia="en-US"/>
          </w:rPr>
          <w:tab/>
        </w:r>
        <w:r w:rsidR="001935E5" w:rsidRPr="000D35DC">
          <w:rPr>
            <w:rStyle w:val="Hyperlink"/>
          </w:rPr>
          <w:t>V</w:t>
        </w:r>
        <w:r w:rsidR="001935E5">
          <w:rPr>
            <w:rStyle w:val="Hyperlink"/>
          </w:rPr>
          <w:tab/>
        </w:r>
        <w:r w:rsidR="00D96E47" w:rsidRPr="000D35DC">
          <w:rPr>
            <w:rStyle w:val="Hyperlink"/>
          </w:rPr>
          <w:t>Unit Price Posting, Selection, and Display Requirements - S.1.6.4.1. Unit Price; S.1.6.5.4. Selection of Unit Price; S.1.6.6. Agreement Between Indications; S.1.6.7. Recorded Representations; S.1.6.8. Recorded Representations for Transactions Where a Post-Delivery Discount(s) is Provided; UR.3.2. Unit Price and Product Identity; and UR.3.3. Computing Device</w:t>
        </w:r>
        <w:r w:rsidR="00D96E47">
          <w:rPr>
            <w:noProof/>
            <w:webHidden/>
          </w:rPr>
          <w:tab/>
        </w:r>
        <w:r w:rsidR="00D96E47">
          <w:rPr>
            <w:noProof/>
            <w:webHidden/>
          </w:rPr>
          <w:fldChar w:fldCharType="begin"/>
        </w:r>
        <w:r w:rsidR="00D96E47">
          <w:rPr>
            <w:noProof/>
            <w:webHidden/>
          </w:rPr>
          <w:instrText xml:space="preserve"> PAGEREF _Toc334183624 \h </w:instrText>
        </w:r>
        <w:r w:rsidR="00D96E47">
          <w:rPr>
            <w:noProof/>
            <w:webHidden/>
          </w:rPr>
        </w:r>
        <w:r w:rsidR="00D96E47">
          <w:rPr>
            <w:noProof/>
            <w:webHidden/>
          </w:rPr>
          <w:fldChar w:fldCharType="separate"/>
        </w:r>
        <w:r>
          <w:rPr>
            <w:noProof/>
            <w:webHidden/>
          </w:rPr>
          <w:t>40</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25" w:history="1">
        <w:r w:rsidR="00D96E47" w:rsidRPr="000D35DC">
          <w:rPr>
            <w:rStyle w:val="Hyperlink"/>
          </w:rPr>
          <w:t>330-2</w:t>
        </w:r>
        <w:r w:rsidR="00D96E47">
          <w:rPr>
            <w:rFonts w:asciiTheme="minorHAnsi" w:hAnsiTheme="minorHAnsi"/>
            <w:noProof/>
            <w:color w:val="auto"/>
            <w:sz w:val="22"/>
            <w:lang w:eastAsia="en-US"/>
          </w:rPr>
          <w:tab/>
        </w:r>
        <w:r w:rsidR="001935E5" w:rsidRPr="000D35DC">
          <w:rPr>
            <w:rStyle w:val="Hyperlink"/>
          </w:rPr>
          <w:t>V</w:t>
        </w:r>
        <w:r w:rsidR="001935E5">
          <w:rPr>
            <w:rStyle w:val="Hyperlink"/>
          </w:rPr>
          <w:tab/>
        </w:r>
        <w:r w:rsidR="00D96E47" w:rsidRPr="000D35DC">
          <w:rPr>
            <w:rStyle w:val="Hyperlink"/>
          </w:rPr>
          <w:t>S.1.6.5.4. Selection of Unit Price</w:t>
        </w:r>
        <w:r w:rsidR="00D96E47">
          <w:rPr>
            <w:noProof/>
            <w:webHidden/>
          </w:rPr>
          <w:tab/>
        </w:r>
        <w:r w:rsidR="00D96E47">
          <w:rPr>
            <w:noProof/>
            <w:webHidden/>
          </w:rPr>
          <w:fldChar w:fldCharType="begin"/>
        </w:r>
        <w:r w:rsidR="00D96E47">
          <w:rPr>
            <w:noProof/>
            <w:webHidden/>
          </w:rPr>
          <w:instrText xml:space="preserve"> PAGEREF _Toc334183625 \h </w:instrText>
        </w:r>
        <w:r w:rsidR="00D96E47">
          <w:rPr>
            <w:noProof/>
            <w:webHidden/>
          </w:rPr>
        </w:r>
        <w:r w:rsidR="00D96E47">
          <w:rPr>
            <w:noProof/>
            <w:webHidden/>
          </w:rPr>
          <w:fldChar w:fldCharType="separate"/>
        </w:r>
        <w:r>
          <w:rPr>
            <w:noProof/>
            <w:webHidden/>
          </w:rPr>
          <w:t>49</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26" w:history="1">
        <w:r w:rsidR="00D96E47" w:rsidRPr="000D35DC">
          <w:rPr>
            <w:rStyle w:val="Hyperlink"/>
          </w:rPr>
          <w:t>330-3</w:t>
        </w:r>
        <w:r w:rsidR="00D96E47">
          <w:rPr>
            <w:rFonts w:asciiTheme="minorHAnsi" w:hAnsiTheme="minorHAnsi"/>
            <w:noProof/>
            <w:color w:val="auto"/>
            <w:sz w:val="22"/>
            <w:lang w:eastAsia="en-US"/>
          </w:rPr>
          <w:tab/>
        </w:r>
        <w:r w:rsidR="001935E5" w:rsidRPr="000D35DC">
          <w:rPr>
            <w:rStyle w:val="Hyperlink"/>
          </w:rPr>
          <w:t>V</w:t>
        </w:r>
        <w:r w:rsidR="001935E5">
          <w:rPr>
            <w:rStyle w:val="Hyperlink"/>
          </w:rPr>
          <w:tab/>
        </w:r>
        <w:r w:rsidR="00D96E47" w:rsidRPr="000D35DC">
          <w:rPr>
            <w:rStyle w:val="Hyperlink"/>
          </w:rPr>
          <w:t>S.1.6.6. Agreement Between Indications</w:t>
        </w:r>
        <w:r w:rsidR="00D96E47">
          <w:rPr>
            <w:noProof/>
            <w:webHidden/>
          </w:rPr>
          <w:tab/>
        </w:r>
        <w:r w:rsidR="00D96E47">
          <w:rPr>
            <w:noProof/>
            <w:webHidden/>
          </w:rPr>
          <w:fldChar w:fldCharType="begin"/>
        </w:r>
        <w:r w:rsidR="00D96E47">
          <w:rPr>
            <w:noProof/>
            <w:webHidden/>
          </w:rPr>
          <w:instrText xml:space="preserve"> PAGEREF _Toc334183626 \h </w:instrText>
        </w:r>
        <w:r w:rsidR="00D96E47">
          <w:rPr>
            <w:noProof/>
            <w:webHidden/>
          </w:rPr>
        </w:r>
        <w:r w:rsidR="00D96E47">
          <w:rPr>
            <w:noProof/>
            <w:webHidden/>
          </w:rPr>
          <w:fldChar w:fldCharType="separate"/>
        </w:r>
        <w:r>
          <w:rPr>
            <w:noProof/>
            <w:webHidden/>
          </w:rPr>
          <w:t>49</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27" w:history="1">
        <w:r w:rsidR="00D96E47" w:rsidRPr="000D35DC">
          <w:rPr>
            <w:rStyle w:val="Hyperlink"/>
          </w:rPr>
          <w:t>330-4</w:t>
        </w:r>
        <w:r w:rsidR="00D96E47">
          <w:rPr>
            <w:rFonts w:asciiTheme="minorHAnsi" w:hAnsiTheme="minorHAnsi"/>
            <w:noProof/>
            <w:color w:val="auto"/>
            <w:sz w:val="22"/>
            <w:lang w:eastAsia="en-US"/>
          </w:rPr>
          <w:tab/>
        </w:r>
        <w:r w:rsidR="001935E5" w:rsidRPr="000D35DC">
          <w:rPr>
            <w:rStyle w:val="Hyperlink"/>
          </w:rPr>
          <w:t>V</w:t>
        </w:r>
        <w:r w:rsidR="001935E5">
          <w:rPr>
            <w:rStyle w:val="Hyperlink"/>
          </w:rPr>
          <w:tab/>
        </w:r>
        <w:r w:rsidR="00D96E47" w:rsidRPr="000D35DC">
          <w:rPr>
            <w:rStyle w:val="Hyperlink"/>
          </w:rPr>
          <w:t>S.1.6.7. Recorded Representations</w:t>
        </w:r>
        <w:r w:rsidR="00D96E47">
          <w:rPr>
            <w:noProof/>
            <w:webHidden/>
          </w:rPr>
          <w:tab/>
        </w:r>
        <w:r w:rsidR="00D96E47">
          <w:rPr>
            <w:noProof/>
            <w:webHidden/>
          </w:rPr>
          <w:fldChar w:fldCharType="begin"/>
        </w:r>
        <w:r w:rsidR="00D96E47">
          <w:rPr>
            <w:noProof/>
            <w:webHidden/>
          </w:rPr>
          <w:instrText xml:space="preserve"> PAGEREF _Toc334183627 \h </w:instrText>
        </w:r>
        <w:r w:rsidR="00D96E47">
          <w:rPr>
            <w:noProof/>
            <w:webHidden/>
          </w:rPr>
        </w:r>
        <w:r w:rsidR="00D96E47">
          <w:rPr>
            <w:noProof/>
            <w:webHidden/>
          </w:rPr>
          <w:fldChar w:fldCharType="separate"/>
        </w:r>
        <w:r>
          <w:rPr>
            <w:noProof/>
            <w:webHidden/>
          </w:rPr>
          <w:t>49</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28" w:history="1">
        <w:r w:rsidR="00D96E47" w:rsidRPr="000D35DC">
          <w:rPr>
            <w:rStyle w:val="Hyperlink"/>
          </w:rPr>
          <w:t>330-5</w:t>
        </w:r>
        <w:r w:rsidR="00D96E47">
          <w:rPr>
            <w:rFonts w:asciiTheme="minorHAnsi" w:hAnsiTheme="minorHAnsi"/>
            <w:noProof/>
            <w:color w:val="auto"/>
            <w:sz w:val="22"/>
            <w:lang w:eastAsia="en-US"/>
          </w:rPr>
          <w:tab/>
        </w:r>
        <w:r w:rsidR="001935E5" w:rsidRPr="000D35DC">
          <w:rPr>
            <w:rStyle w:val="Hyperlink"/>
          </w:rPr>
          <w:t>V</w:t>
        </w:r>
        <w:r w:rsidR="001935E5">
          <w:rPr>
            <w:rStyle w:val="Hyperlink"/>
          </w:rPr>
          <w:tab/>
        </w:r>
        <w:r w:rsidR="00D96E47" w:rsidRPr="000D35DC">
          <w:rPr>
            <w:rStyle w:val="Hyperlink"/>
          </w:rPr>
          <w:t>UR.3.2. Unit Price and Product Identity</w:t>
        </w:r>
        <w:r w:rsidR="00D96E47">
          <w:rPr>
            <w:noProof/>
            <w:webHidden/>
          </w:rPr>
          <w:tab/>
        </w:r>
        <w:r w:rsidR="00D96E47">
          <w:rPr>
            <w:noProof/>
            <w:webHidden/>
          </w:rPr>
          <w:fldChar w:fldCharType="begin"/>
        </w:r>
        <w:r w:rsidR="00D96E47">
          <w:rPr>
            <w:noProof/>
            <w:webHidden/>
          </w:rPr>
          <w:instrText xml:space="preserve"> PAGEREF _Toc334183628 \h </w:instrText>
        </w:r>
        <w:r w:rsidR="00D96E47">
          <w:rPr>
            <w:noProof/>
            <w:webHidden/>
          </w:rPr>
        </w:r>
        <w:r w:rsidR="00D96E47">
          <w:rPr>
            <w:noProof/>
            <w:webHidden/>
          </w:rPr>
          <w:fldChar w:fldCharType="separate"/>
        </w:r>
        <w:r>
          <w:rPr>
            <w:noProof/>
            <w:webHidden/>
          </w:rPr>
          <w:t>49</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29" w:history="1">
        <w:r w:rsidR="00D96E47" w:rsidRPr="000D35DC">
          <w:rPr>
            <w:rStyle w:val="Hyperlink"/>
          </w:rPr>
          <w:t>330-6</w:t>
        </w:r>
        <w:r w:rsidR="00D96E47">
          <w:rPr>
            <w:rFonts w:asciiTheme="minorHAnsi" w:hAnsiTheme="minorHAnsi"/>
            <w:noProof/>
            <w:color w:val="auto"/>
            <w:sz w:val="22"/>
            <w:lang w:eastAsia="en-US"/>
          </w:rPr>
          <w:tab/>
        </w:r>
        <w:r w:rsidR="001935E5" w:rsidRPr="000D35DC">
          <w:rPr>
            <w:rStyle w:val="Hyperlink"/>
          </w:rPr>
          <w:t>V</w:t>
        </w:r>
        <w:r w:rsidR="001935E5">
          <w:rPr>
            <w:rStyle w:val="Hyperlink"/>
          </w:rPr>
          <w:tab/>
        </w:r>
        <w:r w:rsidR="00D96E47" w:rsidRPr="000D35DC">
          <w:rPr>
            <w:rStyle w:val="Hyperlink"/>
          </w:rPr>
          <w:t>UR.3.3. Computing Device</w:t>
        </w:r>
        <w:r w:rsidR="00D96E47">
          <w:rPr>
            <w:noProof/>
            <w:webHidden/>
          </w:rPr>
          <w:tab/>
        </w:r>
        <w:r w:rsidR="00D96E47">
          <w:rPr>
            <w:noProof/>
            <w:webHidden/>
          </w:rPr>
          <w:fldChar w:fldCharType="begin"/>
        </w:r>
        <w:r w:rsidR="00D96E47">
          <w:rPr>
            <w:noProof/>
            <w:webHidden/>
          </w:rPr>
          <w:instrText xml:space="preserve"> PAGEREF _Toc334183629 \h </w:instrText>
        </w:r>
        <w:r w:rsidR="00D96E47">
          <w:rPr>
            <w:noProof/>
            <w:webHidden/>
          </w:rPr>
        </w:r>
        <w:r w:rsidR="00D96E47">
          <w:rPr>
            <w:noProof/>
            <w:webHidden/>
          </w:rPr>
          <w:fldChar w:fldCharType="separate"/>
        </w:r>
        <w:r>
          <w:rPr>
            <w:noProof/>
            <w:webHidden/>
          </w:rPr>
          <w:t>49</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30" w:history="1">
        <w:r w:rsidR="00D96E47" w:rsidRPr="000D35DC">
          <w:rPr>
            <w:rStyle w:val="Hyperlink"/>
          </w:rPr>
          <w:t>330-7</w:t>
        </w:r>
        <w:r w:rsidR="00D96E47">
          <w:rPr>
            <w:rFonts w:asciiTheme="minorHAnsi" w:hAnsiTheme="minorHAnsi"/>
            <w:noProof/>
            <w:color w:val="auto"/>
            <w:sz w:val="22"/>
            <w:lang w:eastAsia="en-US"/>
          </w:rPr>
          <w:tab/>
        </w:r>
        <w:r w:rsidR="001935E5" w:rsidRPr="000D35DC">
          <w:rPr>
            <w:rStyle w:val="Hyperlink"/>
          </w:rPr>
          <w:t>W</w:t>
        </w:r>
        <w:r w:rsidR="001935E5">
          <w:rPr>
            <w:rStyle w:val="Hyperlink"/>
          </w:rPr>
          <w:tab/>
        </w:r>
        <w:r w:rsidR="00D96E47" w:rsidRPr="000D35DC">
          <w:rPr>
            <w:rStyle w:val="Hyperlink"/>
          </w:rPr>
          <w:t>UR.3.X.  Nozzle Color for Retail Motor Fuel Dispensers</w:t>
        </w:r>
        <w:r w:rsidR="00D96E47">
          <w:rPr>
            <w:noProof/>
            <w:webHidden/>
          </w:rPr>
          <w:tab/>
        </w:r>
        <w:r w:rsidR="00D96E47">
          <w:rPr>
            <w:noProof/>
            <w:webHidden/>
          </w:rPr>
          <w:fldChar w:fldCharType="begin"/>
        </w:r>
        <w:r w:rsidR="00D96E47">
          <w:rPr>
            <w:noProof/>
            <w:webHidden/>
          </w:rPr>
          <w:instrText xml:space="preserve"> PAGEREF _Toc334183630 \h </w:instrText>
        </w:r>
        <w:r w:rsidR="00D96E47">
          <w:rPr>
            <w:noProof/>
            <w:webHidden/>
          </w:rPr>
        </w:r>
        <w:r w:rsidR="00D96E47">
          <w:rPr>
            <w:noProof/>
            <w:webHidden/>
          </w:rPr>
          <w:fldChar w:fldCharType="separate"/>
        </w:r>
        <w:r>
          <w:rPr>
            <w:noProof/>
            <w:webHidden/>
          </w:rPr>
          <w:t>49</w:t>
        </w:r>
        <w:r w:rsidR="00D96E47">
          <w:rPr>
            <w:noProof/>
            <w:webHidden/>
          </w:rPr>
          <w:fldChar w:fldCharType="end"/>
        </w:r>
      </w:hyperlink>
    </w:p>
    <w:p w:rsidR="00D96E47" w:rsidRDefault="006E083F" w:rsidP="00E648C3">
      <w:pPr>
        <w:pStyle w:val="TOC1"/>
        <w:rPr>
          <w:rFonts w:asciiTheme="minorHAnsi" w:hAnsiTheme="minorHAnsi"/>
          <w:noProof/>
          <w:color w:val="auto"/>
          <w:sz w:val="22"/>
          <w:lang w:eastAsia="en-US"/>
        </w:rPr>
      </w:pPr>
      <w:hyperlink w:anchor="_Toc334183631" w:history="1">
        <w:r w:rsidR="00D96E47" w:rsidRPr="000D35DC">
          <w:rPr>
            <w:rStyle w:val="Hyperlink"/>
          </w:rPr>
          <w:t>331</w:t>
        </w:r>
        <w:r w:rsidR="00D96E47">
          <w:rPr>
            <w:rFonts w:asciiTheme="minorHAnsi" w:hAnsiTheme="minorHAnsi"/>
            <w:noProof/>
            <w:color w:val="auto"/>
            <w:sz w:val="22"/>
            <w:lang w:eastAsia="en-US"/>
          </w:rPr>
          <w:tab/>
        </w:r>
        <w:r w:rsidR="00D96E47" w:rsidRPr="000D35DC">
          <w:rPr>
            <w:rStyle w:val="Hyperlink"/>
          </w:rPr>
          <w:t>VEHICLE-TANK METERS</w:t>
        </w:r>
        <w:r w:rsidR="00D96E47">
          <w:rPr>
            <w:noProof/>
            <w:webHidden/>
          </w:rPr>
          <w:tab/>
        </w:r>
        <w:r w:rsidR="00D96E47">
          <w:rPr>
            <w:noProof/>
            <w:webHidden/>
          </w:rPr>
          <w:fldChar w:fldCharType="begin"/>
        </w:r>
        <w:r w:rsidR="00D96E47">
          <w:rPr>
            <w:noProof/>
            <w:webHidden/>
          </w:rPr>
          <w:instrText xml:space="preserve"> PAGEREF _Toc334183631 \h </w:instrText>
        </w:r>
        <w:r w:rsidR="00D96E47">
          <w:rPr>
            <w:noProof/>
            <w:webHidden/>
          </w:rPr>
        </w:r>
        <w:r w:rsidR="00D96E47">
          <w:rPr>
            <w:noProof/>
            <w:webHidden/>
          </w:rPr>
          <w:fldChar w:fldCharType="separate"/>
        </w:r>
        <w:r>
          <w:rPr>
            <w:noProof/>
            <w:webHidden/>
          </w:rPr>
          <w:t>51</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32" w:history="1">
        <w:r w:rsidR="00D96E47" w:rsidRPr="000D35DC">
          <w:rPr>
            <w:rStyle w:val="Hyperlink"/>
          </w:rPr>
          <w:t>331-1</w:t>
        </w:r>
        <w:r w:rsidR="00D96E47">
          <w:rPr>
            <w:rFonts w:asciiTheme="minorHAnsi" w:hAnsiTheme="minorHAnsi"/>
            <w:noProof/>
            <w:color w:val="auto"/>
            <w:sz w:val="22"/>
            <w:lang w:eastAsia="en-US"/>
          </w:rPr>
          <w:tab/>
        </w:r>
        <w:r w:rsidR="00D96E47" w:rsidRPr="000D35DC">
          <w:rPr>
            <w:rStyle w:val="Hyperlink"/>
          </w:rPr>
          <w:t>I</w:t>
        </w:r>
        <w:r w:rsidR="001935E5">
          <w:rPr>
            <w:rStyle w:val="Hyperlink"/>
          </w:rPr>
          <w:tab/>
        </w:r>
        <w:r w:rsidR="00D96E47" w:rsidRPr="000D35DC">
          <w:rPr>
            <w:rStyle w:val="Hyperlink"/>
          </w:rPr>
          <w:t>T.4. Product Depletion Test</w:t>
        </w:r>
        <w:r w:rsidR="00D96E47">
          <w:rPr>
            <w:noProof/>
            <w:webHidden/>
          </w:rPr>
          <w:tab/>
        </w:r>
        <w:r w:rsidR="00D96E47">
          <w:rPr>
            <w:noProof/>
            <w:webHidden/>
          </w:rPr>
          <w:fldChar w:fldCharType="begin"/>
        </w:r>
        <w:r w:rsidR="00D96E47">
          <w:rPr>
            <w:noProof/>
            <w:webHidden/>
          </w:rPr>
          <w:instrText xml:space="preserve"> PAGEREF _Toc334183632 \h </w:instrText>
        </w:r>
        <w:r w:rsidR="00D96E47">
          <w:rPr>
            <w:noProof/>
            <w:webHidden/>
          </w:rPr>
        </w:r>
        <w:r w:rsidR="00D96E47">
          <w:rPr>
            <w:noProof/>
            <w:webHidden/>
          </w:rPr>
          <w:fldChar w:fldCharType="separate"/>
        </w:r>
        <w:r>
          <w:rPr>
            <w:noProof/>
            <w:webHidden/>
          </w:rPr>
          <w:t>51</w:t>
        </w:r>
        <w:r w:rsidR="00D96E47">
          <w:rPr>
            <w:noProof/>
            <w:webHidden/>
          </w:rPr>
          <w:fldChar w:fldCharType="end"/>
        </w:r>
      </w:hyperlink>
    </w:p>
    <w:p w:rsidR="00D96E47" w:rsidRDefault="006E083F" w:rsidP="00E648C3">
      <w:pPr>
        <w:pStyle w:val="TOC1"/>
        <w:rPr>
          <w:rFonts w:asciiTheme="minorHAnsi" w:hAnsiTheme="minorHAnsi"/>
          <w:noProof/>
          <w:color w:val="auto"/>
          <w:sz w:val="22"/>
          <w:lang w:eastAsia="en-US"/>
        </w:rPr>
      </w:pPr>
      <w:hyperlink w:anchor="_Toc334183633" w:history="1">
        <w:r w:rsidR="00D96E47" w:rsidRPr="000D35DC">
          <w:rPr>
            <w:rStyle w:val="Hyperlink"/>
          </w:rPr>
          <w:t>336</w:t>
        </w:r>
        <w:r w:rsidR="00D96E47">
          <w:rPr>
            <w:rFonts w:asciiTheme="minorHAnsi" w:hAnsiTheme="minorHAnsi"/>
            <w:noProof/>
            <w:color w:val="auto"/>
            <w:sz w:val="22"/>
            <w:lang w:eastAsia="en-US"/>
          </w:rPr>
          <w:tab/>
        </w:r>
        <w:r w:rsidR="00D96E47" w:rsidRPr="000D35DC">
          <w:rPr>
            <w:rStyle w:val="Hyperlink"/>
          </w:rPr>
          <w:t>WATER METERS</w:t>
        </w:r>
        <w:r w:rsidR="00D96E47">
          <w:rPr>
            <w:noProof/>
            <w:webHidden/>
          </w:rPr>
          <w:tab/>
        </w:r>
        <w:r w:rsidR="00D96E47">
          <w:rPr>
            <w:noProof/>
            <w:webHidden/>
          </w:rPr>
          <w:fldChar w:fldCharType="begin"/>
        </w:r>
        <w:r w:rsidR="00D96E47">
          <w:rPr>
            <w:noProof/>
            <w:webHidden/>
          </w:rPr>
          <w:instrText xml:space="preserve"> PAGEREF _Toc334183633 \h </w:instrText>
        </w:r>
        <w:r w:rsidR="00D96E47">
          <w:rPr>
            <w:noProof/>
            <w:webHidden/>
          </w:rPr>
        </w:r>
        <w:r w:rsidR="00D96E47">
          <w:rPr>
            <w:noProof/>
            <w:webHidden/>
          </w:rPr>
          <w:fldChar w:fldCharType="separate"/>
        </w:r>
        <w:r>
          <w:rPr>
            <w:noProof/>
            <w:webHidden/>
          </w:rPr>
          <w:t>55</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34" w:history="1">
        <w:r w:rsidR="00D96E47" w:rsidRPr="000D35DC">
          <w:rPr>
            <w:rStyle w:val="Hyperlink"/>
          </w:rPr>
          <w:t>336-1</w:t>
        </w:r>
        <w:r w:rsidR="00D96E47">
          <w:rPr>
            <w:rFonts w:asciiTheme="minorHAnsi" w:hAnsiTheme="minorHAnsi"/>
            <w:noProof/>
            <w:color w:val="auto"/>
            <w:sz w:val="22"/>
            <w:lang w:eastAsia="en-US"/>
          </w:rPr>
          <w:tab/>
        </w:r>
        <w:r w:rsidR="001935E5" w:rsidRPr="000D35DC">
          <w:rPr>
            <w:rStyle w:val="Hyperlink"/>
          </w:rPr>
          <w:t>V</w:t>
        </w:r>
        <w:r w:rsidR="001935E5">
          <w:rPr>
            <w:rStyle w:val="Hyperlink"/>
          </w:rPr>
          <w:tab/>
        </w:r>
        <w:r w:rsidR="00D96E47" w:rsidRPr="000D35DC">
          <w:rPr>
            <w:rStyle w:val="Hyperlink"/>
          </w:rPr>
          <w:t>S.3. Markings</w:t>
        </w:r>
        <w:r w:rsidR="00D96E47">
          <w:rPr>
            <w:noProof/>
            <w:webHidden/>
          </w:rPr>
          <w:tab/>
        </w:r>
        <w:bookmarkStart w:id="1" w:name="_GoBack"/>
        <w:bookmarkEnd w:id="1"/>
        <w:r w:rsidR="00D96E47">
          <w:rPr>
            <w:noProof/>
            <w:webHidden/>
          </w:rPr>
          <w:fldChar w:fldCharType="begin"/>
        </w:r>
        <w:r w:rsidR="00D96E47">
          <w:rPr>
            <w:noProof/>
            <w:webHidden/>
          </w:rPr>
          <w:instrText xml:space="preserve"> PAGEREF _Toc334183634 \h </w:instrText>
        </w:r>
        <w:r w:rsidR="00D96E47">
          <w:rPr>
            <w:noProof/>
            <w:webHidden/>
          </w:rPr>
        </w:r>
        <w:r w:rsidR="00D96E47">
          <w:rPr>
            <w:noProof/>
            <w:webHidden/>
          </w:rPr>
          <w:fldChar w:fldCharType="separate"/>
        </w:r>
        <w:r>
          <w:rPr>
            <w:noProof/>
            <w:webHidden/>
          </w:rPr>
          <w:t>55</w:t>
        </w:r>
        <w:r w:rsidR="00D96E47">
          <w:rPr>
            <w:noProof/>
            <w:webHidden/>
          </w:rPr>
          <w:fldChar w:fldCharType="end"/>
        </w:r>
      </w:hyperlink>
    </w:p>
    <w:p w:rsidR="00D96E47" w:rsidRDefault="006E083F" w:rsidP="00E648C3">
      <w:pPr>
        <w:pStyle w:val="TOC1"/>
        <w:rPr>
          <w:rFonts w:asciiTheme="minorHAnsi" w:hAnsiTheme="minorHAnsi"/>
          <w:noProof/>
          <w:color w:val="auto"/>
          <w:sz w:val="22"/>
          <w:lang w:eastAsia="en-US"/>
        </w:rPr>
      </w:pPr>
      <w:hyperlink w:anchor="_Toc334183635" w:history="1">
        <w:r w:rsidR="00D96E47" w:rsidRPr="000D35DC">
          <w:rPr>
            <w:rStyle w:val="Hyperlink"/>
          </w:rPr>
          <w:t>354</w:t>
        </w:r>
        <w:r w:rsidR="00D96E47">
          <w:rPr>
            <w:rFonts w:asciiTheme="minorHAnsi" w:hAnsiTheme="minorHAnsi"/>
            <w:noProof/>
            <w:color w:val="auto"/>
            <w:sz w:val="22"/>
            <w:lang w:eastAsia="en-US"/>
          </w:rPr>
          <w:tab/>
        </w:r>
        <w:r w:rsidR="00D96E47" w:rsidRPr="000D35DC">
          <w:rPr>
            <w:rStyle w:val="Hyperlink"/>
          </w:rPr>
          <w:t>TAXIMETERS</w:t>
        </w:r>
        <w:r w:rsidR="00D96E47">
          <w:rPr>
            <w:noProof/>
            <w:webHidden/>
          </w:rPr>
          <w:tab/>
        </w:r>
        <w:r w:rsidR="00D96E47">
          <w:rPr>
            <w:noProof/>
            <w:webHidden/>
          </w:rPr>
          <w:fldChar w:fldCharType="begin"/>
        </w:r>
        <w:r w:rsidR="00D96E47">
          <w:rPr>
            <w:noProof/>
            <w:webHidden/>
          </w:rPr>
          <w:instrText xml:space="preserve"> PAGEREF _Toc334183635 \h </w:instrText>
        </w:r>
        <w:r w:rsidR="00D96E47">
          <w:rPr>
            <w:noProof/>
            <w:webHidden/>
          </w:rPr>
        </w:r>
        <w:r w:rsidR="00D96E47">
          <w:rPr>
            <w:noProof/>
            <w:webHidden/>
          </w:rPr>
          <w:fldChar w:fldCharType="separate"/>
        </w:r>
        <w:r>
          <w:rPr>
            <w:noProof/>
            <w:webHidden/>
          </w:rPr>
          <w:t>57</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36" w:history="1">
        <w:r w:rsidR="00D96E47" w:rsidRPr="000D35DC">
          <w:rPr>
            <w:rStyle w:val="Hyperlink"/>
          </w:rPr>
          <w:t>354-1</w:t>
        </w:r>
        <w:r w:rsidR="00D96E47">
          <w:rPr>
            <w:rFonts w:asciiTheme="minorHAnsi" w:hAnsiTheme="minorHAnsi"/>
            <w:noProof/>
            <w:color w:val="auto"/>
            <w:sz w:val="22"/>
            <w:lang w:eastAsia="en-US"/>
          </w:rPr>
          <w:tab/>
        </w:r>
        <w:r w:rsidR="001935E5" w:rsidRPr="000D35DC">
          <w:rPr>
            <w:rStyle w:val="Hyperlink"/>
          </w:rPr>
          <w:t>D</w:t>
        </w:r>
        <w:r w:rsidR="001935E5">
          <w:rPr>
            <w:rStyle w:val="Hyperlink"/>
          </w:rPr>
          <w:tab/>
        </w:r>
        <w:r w:rsidR="00D96E47" w:rsidRPr="000D35DC">
          <w:rPr>
            <w:rStyle w:val="Hyperlink"/>
          </w:rPr>
          <w:t>S.5. Provision for Security Seals</w:t>
        </w:r>
        <w:r w:rsidR="00D96E47">
          <w:rPr>
            <w:noProof/>
            <w:webHidden/>
          </w:rPr>
          <w:tab/>
        </w:r>
        <w:r w:rsidR="00D96E47">
          <w:rPr>
            <w:noProof/>
            <w:webHidden/>
          </w:rPr>
          <w:fldChar w:fldCharType="begin"/>
        </w:r>
        <w:r w:rsidR="00D96E47">
          <w:rPr>
            <w:noProof/>
            <w:webHidden/>
          </w:rPr>
          <w:instrText xml:space="preserve"> PAGEREF _Toc334183636 \h </w:instrText>
        </w:r>
        <w:r w:rsidR="00D96E47">
          <w:rPr>
            <w:noProof/>
            <w:webHidden/>
          </w:rPr>
        </w:r>
        <w:r w:rsidR="00D96E47">
          <w:rPr>
            <w:noProof/>
            <w:webHidden/>
          </w:rPr>
          <w:fldChar w:fldCharType="separate"/>
        </w:r>
        <w:r>
          <w:rPr>
            <w:noProof/>
            <w:webHidden/>
          </w:rPr>
          <w:t>57</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37" w:history="1">
        <w:r w:rsidR="00D96E47" w:rsidRPr="000D35DC">
          <w:rPr>
            <w:rStyle w:val="Hyperlink"/>
          </w:rPr>
          <w:t>354-2</w:t>
        </w:r>
        <w:r w:rsidR="00D96E47">
          <w:rPr>
            <w:rFonts w:asciiTheme="minorHAnsi" w:hAnsiTheme="minorHAnsi"/>
            <w:noProof/>
            <w:color w:val="auto"/>
            <w:sz w:val="22"/>
            <w:lang w:eastAsia="en-US"/>
          </w:rPr>
          <w:tab/>
        </w:r>
        <w:r w:rsidR="001935E5" w:rsidRPr="000D35DC">
          <w:rPr>
            <w:rStyle w:val="Hyperlink"/>
          </w:rPr>
          <w:t>D</w:t>
        </w:r>
        <w:r w:rsidR="001935E5">
          <w:rPr>
            <w:rStyle w:val="Hyperlink"/>
          </w:rPr>
          <w:tab/>
        </w:r>
        <w:r w:rsidR="00D96E47" w:rsidRPr="000D35DC">
          <w:rPr>
            <w:rStyle w:val="Hyperlink"/>
          </w:rPr>
          <w:t>Global Positioning Systems Applications for Taximeters</w:t>
        </w:r>
        <w:r w:rsidR="00D96E47">
          <w:rPr>
            <w:noProof/>
            <w:webHidden/>
          </w:rPr>
          <w:tab/>
        </w:r>
        <w:r w:rsidR="00D96E47">
          <w:rPr>
            <w:noProof/>
            <w:webHidden/>
          </w:rPr>
          <w:fldChar w:fldCharType="begin"/>
        </w:r>
        <w:r w:rsidR="00D96E47">
          <w:rPr>
            <w:noProof/>
            <w:webHidden/>
          </w:rPr>
          <w:instrText xml:space="preserve"> PAGEREF _Toc334183637 \h </w:instrText>
        </w:r>
        <w:r w:rsidR="00D96E47">
          <w:rPr>
            <w:noProof/>
            <w:webHidden/>
          </w:rPr>
        </w:r>
        <w:r w:rsidR="00D96E47">
          <w:rPr>
            <w:noProof/>
            <w:webHidden/>
          </w:rPr>
          <w:fldChar w:fldCharType="separate"/>
        </w:r>
        <w:r>
          <w:rPr>
            <w:noProof/>
            <w:webHidden/>
          </w:rPr>
          <w:t>57</w:t>
        </w:r>
        <w:r w:rsidR="00D96E47">
          <w:rPr>
            <w:noProof/>
            <w:webHidden/>
          </w:rPr>
          <w:fldChar w:fldCharType="end"/>
        </w:r>
      </w:hyperlink>
    </w:p>
    <w:p w:rsidR="00D96E47" w:rsidRDefault="006E083F" w:rsidP="00E648C3">
      <w:pPr>
        <w:pStyle w:val="TOC1"/>
        <w:rPr>
          <w:rFonts w:asciiTheme="minorHAnsi" w:hAnsiTheme="minorHAnsi"/>
          <w:noProof/>
          <w:color w:val="auto"/>
          <w:sz w:val="22"/>
          <w:lang w:eastAsia="en-US"/>
        </w:rPr>
      </w:pPr>
      <w:hyperlink w:anchor="_Toc334183638" w:history="1">
        <w:r w:rsidR="00D96E47" w:rsidRPr="000D35DC">
          <w:rPr>
            <w:rStyle w:val="Hyperlink"/>
          </w:rPr>
          <w:t>356</w:t>
        </w:r>
        <w:r w:rsidR="00D96E47">
          <w:rPr>
            <w:rFonts w:asciiTheme="minorHAnsi" w:hAnsiTheme="minorHAnsi"/>
            <w:noProof/>
            <w:color w:val="auto"/>
            <w:sz w:val="22"/>
            <w:lang w:eastAsia="en-US"/>
          </w:rPr>
          <w:tab/>
        </w:r>
        <w:r w:rsidR="00D96E47" w:rsidRPr="000D35DC">
          <w:rPr>
            <w:rStyle w:val="Hyperlink"/>
          </w:rPr>
          <w:t>GRAIN MOISTURE METERS</w:t>
        </w:r>
        <w:r w:rsidR="00D96E47">
          <w:rPr>
            <w:noProof/>
            <w:webHidden/>
          </w:rPr>
          <w:tab/>
        </w:r>
        <w:r w:rsidR="00D96E47">
          <w:rPr>
            <w:noProof/>
            <w:webHidden/>
          </w:rPr>
          <w:fldChar w:fldCharType="begin"/>
        </w:r>
        <w:r w:rsidR="00D96E47">
          <w:rPr>
            <w:noProof/>
            <w:webHidden/>
          </w:rPr>
          <w:instrText xml:space="preserve"> PAGEREF _Toc334183638 \h </w:instrText>
        </w:r>
        <w:r w:rsidR="00D96E47">
          <w:rPr>
            <w:noProof/>
            <w:webHidden/>
          </w:rPr>
        </w:r>
        <w:r w:rsidR="00D96E47">
          <w:rPr>
            <w:noProof/>
            <w:webHidden/>
          </w:rPr>
          <w:fldChar w:fldCharType="separate"/>
        </w:r>
        <w:r>
          <w:rPr>
            <w:noProof/>
            <w:webHidden/>
          </w:rPr>
          <w:t>57</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39" w:history="1">
        <w:r w:rsidR="00D96E47" w:rsidRPr="000D35DC">
          <w:rPr>
            <w:rStyle w:val="Hyperlink"/>
          </w:rPr>
          <w:t>356-1</w:t>
        </w:r>
        <w:r w:rsidR="00D96E47">
          <w:rPr>
            <w:rFonts w:asciiTheme="minorHAnsi" w:hAnsiTheme="minorHAnsi"/>
            <w:noProof/>
            <w:color w:val="auto"/>
            <w:sz w:val="22"/>
            <w:lang w:eastAsia="en-US"/>
          </w:rPr>
          <w:tab/>
        </w:r>
        <w:r w:rsidR="001935E5" w:rsidRPr="000D35DC">
          <w:rPr>
            <w:rStyle w:val="Hyperlink"/>
          </w:rPr>
          <w:t>I</w:t>
        </w:r>
        <w:r w:rsidR="001935E5">
          <w:rPr>
            <w:rStyle w:val="Hyperlink"/>
          </w:rPr>
          <w:tab/>
        </w:r>
        <w:r w:rsidR="00D96E47" w:rsidRPr="000D35DC">
          <w:rPr>
            <w:rStyle w:val="Hyperlink"/>
          </w:rPr>
          <w:t>UR.3.4. Printed Tickets</w:t>
        </w:r>
        <w:r w:rsidR="00D96E47">
          <w:rPr>
            <w:noProof/>
            <w:webHidden/>
          </w:rPr>
          <w:tab/>
        </w:r>
        <w:r w:rsidR="00D96E47">
          <w:rPr>
            <w:noProof/>
            <w:webHidden/>
          </w:rPr>
          <w:fldChar w:fldCharType="begin"/>
        </w:r>
        <w:r w:rsidR="00D96E47">
          <w:rPr>
            <w:noProof/>
            <w:webHidden/>
          </w:rPr>
          <w:instrText xml:space="preserve"> PAGEREF _Toc334183639 \h </w:instrText>
        </w:r>
        <w:r w:rsidR="00D96E47">
          <w:rPr>
            <w:noProof/>
            <w:webHidden/>
          </w:rPr>
        </w:r>
        <w:r w:rsidR="00D96E47">
          <w:rPr>
            <w:noProof/>
            <w:webHidden/>
          </w:rPr>
          <w:fldChar w:fldCharType="separate"/>
        </w:r>
        <w:r>
          <w:rPr>
            <w:noProof/>
            <w:webHidden/>
          </w:rPr>
          <w:t>57</w:t>
        </w:r>
        <w:r w:rsidR="00D96E47">
          <w:rPr>
            <w:noProof/>
            <w:webHidden/>
          </w:rPr>
          <w:fldChar w:fldCharType="end"/>
        </w:r>
      </w:hyperlink>
    </w:p>
    <w:p w:rsidR="00D96E47" w:rsidRDefault="006E083F" w:rsidP="00E648C3">
      <w:pPr>
        <w:pStyle w:val="TOC1"/>
        <w:rPr>
          <w:rFonts w:asciiTheme="minorHAnsi" w:hAnsiTheme="minorHAnsi"/>
          <w:noProof/>
          <w:color w:val="auto"/>
          <w:sz w:val="22"/>
          <w:lang w:eastAsia="en-US"/>
        </w:rPr>
      </w:pPr>
      <w:hyperlink w:anchor="_Toc334183640" w:history="1">
        <w:r w:rsidR="00D96E47" w:rsidRPr="000D35DC">
          <w:rPr>
            <w:rStyle w:val="Hyperlink"/>
          </w:rPr>
          <w:t>358</w:t>
        </w:r>
        <w:r w:rsidR="00D96E47">
          <w:rPr>
            <w:rFonts w:asciiTheme="minorHAnsi" w:hAnsiTheme="minorHAnsi"/>
            <w:noProof/>
            <w:color w:val="auto"/>
            <w:sz w:val="22"/>
            <w:lang w:eastAsia="en-US"/>
          </w:rPr>
          <w:tab/>
        </w:r>
        <w:r w:rsidR="00D96E47" w:rsidRPr="000D35DC">
          <w:rPr>
            <w:rStyle w:val="Hyperlink"/>
          </w:rPr>
          <w:t>MULTIPLE DIMENSION MEASURING DEVICES</w:t>
        </w:r>
        <w:r w:rsidR="00D96E47">
          <w:rPr>
            <w:noProof/>
            <w:webHidden/>
          </w:rPr>
          <w:tab/>
        </w:r>
        <w:r w:rsidR="00D96E47">
          <w:rPr>
            <w:noProof/>
            <w:webHidden/>
          </w:rPr>
          <w:fldChar w:fldCharType="begin"/>
        </w:r>
        <w:r w:rsidR="00D96E47">
          <w:rPr>
            <w:noProof/>
            <w:webHidden/>
          </w:rPr>
          <w:instrText xml:space="preserve"> PAGEREF _Toc334183640 \h </w:instrText>
        </w:r>
        <w:r w:rsidR="00D96E47">
          <w:rPr>
            <w:noProof/>
            <w:webHidden/>
          </w:rPr>
        </w:r>
        <w:r w:rsidR="00D96E47">
          <w:rPr>
            <w:noProof/>
            <w:webHidden/>
          </w:rPr>
          <w:fldChar w:fldCharType="separate"/>
        </w:r>
        <w:r>
          <w:rPr>
            <w:noProof/>
            <w:webHidden/>
          </w:rPr>
          <w:t>60</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41" w:history="1">
        <w:r w:rsidR="00D96E47" w:rsidRPr="000D35DC">
          <w:rPr>
            <w:rStyle w:val="Hyperlink"/>
          </w:rPr>
          <w:t>358-1</w:t>
        </w:r>
        <w:r w:rsidR="00D96E47">
          <w:rPr>
            <w:rFonts w:asciiTheme="minorHAnsi" w:hAnsiTheme="minorHAnsi"/>
            <w:noProof/>
            <w:color w:val="auto"/>
            <w:sz w:val="22"/>
            <w:lang w:eastAsia="en-US"/>
          </w:rPr>
          <w:tab/>
        </w:r>
        <w:r w:rsidR="001935E5" w:rsidRPr="000D35DC">
          <w:rPr>
            <w:rStyle w:val="Hyperlink"/>
          </w:rPr>
          <w:t>VC</w:t>
        </w:r>
        <w:r w:rsidR="001935E5">
          <w:rPr>
            <w:rStyle w:val="Hyperlink"/>
          </w:rPr>
          <w:tab/>
        </w:r>
        <w:r w:rsidR="00D96E47" w:rsidRPr="000D35DC">
          <w:rPr>
            <w:rStyle w:val="Hyperlink"/>
          </w:rPr>
          <w:t>N.1.3.4. Test Objects with Protrusions</w:t>
        </w:r>
        <w:r w:rsidR="00D96E47">
          <w:rPr>
            <w:noProof/>
            <w:webHidden/>
          </w:rPr>
          <w:tab/>
        </w:r>
        <w:r w:rsidR="00D96E47">
          <w:rPr>
            <w:noProof/>
            <w:webHidden/>
          </w:rPr>
          <w:fldChar w:fldCharType="begin"/>
        </w:r>
        <w:r w:rsidR="00D96E47">
          <w:rPr>
            <w:noProof/>
            <w:webHidden/>
          </w:rPr>
          <w:instrText xml:space="preserve"> PAGEREF _Toc334183641 \h </w:instrText>
        </w:r>
        <w:r w:rsidR="00D96E47">
          <w:rPr>
            <w:noProof/>
            <w:webHidden/>
          </w:rPr>
        </w:r>
        <w:r w:rsidR="00D96E47">
          <w:rPr>
            <w:noProof/>
            <w:webHidden/>
          </w:rPr>
          <w:fldChar w:fldCharType="separate"/>
        </w:r>
        <w:r>
          <w:rPr>
            <w:noProof/>
            <w:webHidden/>
          </w:rPr>
          <w:t>60</w:t>
        </w:r>
        <w:r w:rsidR="00D96E47">
          <w:rPr>
            <w:noProof/>
            <w:webHidden/>
          </w:rPr>
          <w:fldChar w:fldCharType="end"/>
        </w:r>
      </w:hyperlink>
    </w:p>
    <w:p w:rsidR="00D96E47" w:rsidRDefault="006E083F" w:rsidP="00E648C3">
      <w:pPr>
        <w:pStyle w:val="TOC1"/>
        <w:rPr>
          <w:rFonts w:asciiTheme="minorHAnsi" w:hAnsiTheme="minorHAnsi"/>
          <w:noProof/>
          <w:color w:val="auto"/>
          <w:sz w:val="22"/>
          <w:lang w:eastAsia="en-US"/>
        </w:rPr>
      </w:pPr>
      <w:hyperlink w:anchor="_Toc334183642" w:history="1">
        <w:r w:rsidR="00D96E47" w:rsidRPr="000D35DC">
          <w:rPr>
            <w:rStyle w:val="Hyperlink"/>
          </w:rPr>
          <w:t>359</w:t>
        </w:r>
        <w:r w:rsidR="00D96E47">
          <w:rPr>
            <w:rFonts w:asciiTheme="minorHAnsi" w:hAnsiTheme="minorHAnsi"/>
            <w:noProof/>
            <w:color w:val="auto"/>
            <w:sz w:val="22"/>
            <w:lang w:eastAsia="en-US"/>
          </w:rPr>
          <w:tab/>
        </w:r>
        <w:r w:rsidR="00D96E47" w:rsidRPr="000D35DC">
          <w:rPr>
            <w:rStyle w:val="Hyperlink"/>
          </w:rPr>
          <w:t>ELECTRONIC LIVESTOCK, MEAT, AND POULTRY EVALUATION SYSTEMS and/or DEVICES – TENTATIVE CODE</w:t>
        </w:r>
        <w:r w:rsidR="00D96E47">
          <w:rPr>
            <w:noProof/>
            <w:webHidden/>
          </w:rPr>
          <w:tab/>
        </w:r>
        <w:r w:rsidR="00D96E47">
          <w:rPr>
            <w:noProof/>
            <w:webHidden/>
          </w:rPr>
          <w:fldChar w:fldCharType="begin"/>
        </w:r>
        <w:r w:rsidR="00D96E47">
          <w:rPr>
            <w:noProof/>
            <w:webHidden/>
          </w:rPr>
          <w:instrText xml:space="preserve"> PAGEREF _Toc334183642 \h </w:instrText>
        </w:r>
        <w:r w:rsidR="00D96E47">
          <w:rPr>
            <w:noProof/>
            <w:webHidden/>
          </w:rPr>
        </w:r>
        <w:r w:rsidR="00D96E47">
          <w:rPr>
            <w:noProof/>
            <w:webHidden/>
          </w:rPr>
          <w:fldChar w:fldCharType="separate"/>
        </w:r>
        <w:r>
          <w:rPr>
            <w:noProof/>
            <w:webHidden/>
          </w:rPr>
          <w:t>61</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43" w:history="1">
        <w:r w:rsidR="00D96E47" w:rsidRPr="000D35DC">
          <w:rPr>
            <w:rStyle w:val="Hyperlink"/>
          </w:rPr>
          <w:t>359-1</w:t>
        </w:r>
        <w:r w:rsidR="00D96E47">
          <w:rPr>
            <w:rFonts w:asciiTheme="minorHAnsi" w:hAnsiTheme="minorHAnsi"/>
            <w:noProof/>
            <w:color w:val="auto"/>
            <w:sz w:val="22"/>
            <w:lang w:eastAsia="en-US"/>
          </w:rPr>
          <w:tab/>
        </w:r>
        <w:r w:rsidR="001935E5" w:rsidRPr="000D35DC">
          <w:rPr>
            <w:rStyle w:val="Hyperlink"/>
          </w:rPr>
          <w:t>VC</w:t>
        </w:r>
        <w:r w:rsidR="001935E5">
          <w:rPr>
            <w:rStyle w:val="Hyperlink"/>
          </w:rPr>
          <w:tab/>
        </w:r>
        <w:r w:rsidR="00D96E47" w:rsidRPr="000D35DC">
          <w:rPr>
            <w:rStyle w:val="Hyperlink"/>
          </w:rPr>
          <w:t>Tentative Status of Code Section 5.59.</w:t>
        </w:r>
        <w:r w:rsidR="00D96E47">
          <w:rPr>
            <w:noProof/>
            <w:webHidden/>
          </w:rPr>
          <w:tab/>
        </w:r>
        <w:r w:rsidR="00D96E47">
          <w:rPr>
            <w:noProof/>
            <w:webHidden/>
          </w:rPr>
          <w:fldChar w:fldCharType="begin"/>
        </w:r>
        <w:r w:rsidR="00D96E47">
          <w:rPr>
            <w:noProof/>
            <w:webHidden/>
          </w:rPr>
          <w:instrText xml:space="preserve"> PAGEREF _Toc334183643 \h </w:instrText>
        </w:r>
        <w:r w:rsidR="00D96E47">
          <w:rPr>
            <w:noProof/>
            <w:webHidden/>
          </w:rPr>
        </w:r>
        <w:r w:rsidR="00D96E47">
          <w:rPr>
            <w:noProof/>
            <w:webHidden/>
          </w:rPr>
          <w:fldChar w:fldCharType="separate"/>
        </w:r>
        <w:r>
          <w:rPr>
            <w:noProof/>
            <w:webHidden/>
          </w:rPr>
          <w:t>61</w:t>
        </w:r>
        <w:r w:rsidR="00D96E47">
          <w:rPr>
            <w:noProof/>
            <w:webHidden/>
          </w:rPr>
          <w:fldChar w:fldCharType="end"/>
        </w:r>
      </w:hyperlink>
    </w:p>
    <w:p w:rsidR="00D96E47" w:rsidRDefault="006E083F" w:rsidP="00E648C3">
      <w:pPr>
        <w:pStyle w:val="TOC1"/>
        <w:rPr>
          <w:rFonts w:asciiTheme="minorHAnsi" w:hAnsiTheme="minorHAnsi"/>
          <w:noProof/>
          <w:color w:val="auto"/>
          <w:sz w:val="22"/>
          <w:lang w:eastAsia="en-US"/>
        </w:rPr>
      </w:pPr>
      <w:hyperlink w:anchor="_Toc334183644" w:history="1">
        <w:r w:rsidR="00D96E47" w:rsidRPr="000D35DC">
          <w:rPr>
            <w:rStyle w:val="Hyperlink"/>
          </w:rPr>
          <w:t>360</w:t>
        </w:r>
        <w:r w:rsidR="00D96E47">
          <w:rPr>
            <w:rFonts w:asciiTheme="minorHAnsi" w:hAnsiTheme="minorHAnsi"/>
            <w:noProof/>
            <w:color w:val="auto"/>
            <w:sz w:val="22"/>
            <w:lang w:eastAsia="en-US"/>
          </w:rPr>
          <w:tab/>
        </w:r>
        <w:r w:rsidR="00D96E47" w:rsidRPr="000D35DC">
          <w:rPr>
            <w:rStyle w:val="Hyperlink"/>
          </w:rPr>
          <w:t>OTHER ITEMS – DEVELOPING ITEMS</w:t>
        </w:r>
        <w:r w:rsidR="00D96E47">
          <w:rPr>
            <w:noProof/>
            <w:webHidden/>
          </w:rPr>
          <w:tab/>
        </w:r>
        <w:r w:rsidR="00D96E47">
          <w:rPr>
            <w:noProof/>
            <w:webHidden/>
          </w:rPr>
          <w:fldChar w:fldCharType="begin"/>
        </w:r>
        <w:r w:rsidR="00D96E47">
          <w:rPr>
            <w:noProof/>
            <w:webHidden/>
          </w:rPr>
          <w:instrText xml:space="preserve"> PAGEREF _Toc334183644 \h </w:instrText>
        </w:r>
        <w:r w:rsidR="00D96E47">
          <w:rPr>
            <w:noProof/>
            <w:webHidden/>
          </w:rPr>
        </w:r>
        <w:r w:rsidR="00D96E47">
          <w:rPr>
            <w:noProof/>
            <w:webHidden/>
          </w:rPr>
          <w:fldChar w:fldCharType="separate"/>
        </w:r>
        <w:r>
          <w:rPr>
            <w:noProof/>
            <w:webHidden/>
          </w:rPr>
          <w:t>63</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45" w:history="1">
        <w:r w:rsidR="00D96E47" w:rsidRPr="000D35DC">
          <w:rPr>
            <w:rStyle w:val="Hyperlink"/>
          </w:rPr>
          <w:t>360-1</w:t>
        </w:r>
        <w:r w:rsidR="00D96E47">
          <w:rPr>
            <w:rFonts w:asciiTheme="minorHAnsi" w:hAnsiTheme="minorHAnsi"/>
            <w:noProof/>
            <w:color w:val="auto"/>
            <w:sz w:val="22"/>
            <w:lang w:eastAsia="en-US"/>
          </w:rPr>
          <w:tab/>
        </w:r>
        <w:r w:rsidR="001935E5" w:rsidRPr="000D35DC">
          <w:rPr>
            <w:rStyle w:val="Hyperlink"/>
          </w:rPr>
          <w:t>D</w:t>
        </w:r>
        <w:r w:rsidR="001935E5">
          <w:rPr>
            <w:rStyle w:val="Hyperlink"/>
          </w:rPr>
          <w:tab/>
        </w:r>
        <w:r w:rsidR="00D96E47" w:rsidRPr="000D35DC">
          <w:rPr>
            <w:rStyle w:val="Hyperlink"/>
          </w:rPr>
          <w:t>International Organization of Legal Metrology (OIML) Report</w:t>
        </w:r>
        <w:r w:rsidR="00D96E47">
          <w:rPr>
            <w:noProof/>
            <w:webHidden/>
          </w:rPr>
          <w:tab/>
        </w:r>
        <w:r w:rsidR="00D96E47">
          <w:rPr>
            <w:noProof/>
            <w:webHidden/>
          </w:rPr>
          <w:fldChar w:fldCharType="begin"/>
        </w:r>
        <w:r w:rsidR="00D96E47">
          <w:rPr>
            <w:noProof/>
            <w:webHidden/>
          </w:rPr>
          <w:instrText xml:space="preserve"> PAGEREF _Toc334183645 \h </w:instrText>
        </w:r>
        <w:r w:rsidR="00D96E47">
          <w:rPr>
            <w:noProof/>
            <w:webHidden/>
          </w:rPr>
        </w:r>
        <w:r w:rsidR="00D96E47">
          <w:rPr>
            <w:noProof/>
            <w:webHidden/>
          </w:rPr>
          <w:fldChar w:fldCharType="separate"/>
        </w:r>
        <w:r>
          <w:rPr>
            <w:noProof/>
            <w:webHidden/>
          </w:rPr>
          <w:t>63</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46" w:history="1">
        <w:r w:rsidR="00D96E47" w:rsidRPr="000D35DC">
          <w:rPr>
            <w:rStyle w:val="Hyperlink"/>
          </w:rPr>
          <w:t>360-2</w:t>
        </w:r>
        <w:r w:rsidR="00D96E47">
          <w:rPr>
            <w:rFonts w:asciiTheme="minorHAnsi" w:hAnsiTheme="minorHAnsi"/>
            <w:noProof/>
            <w:color w:val="auto"/>
            <w:sz w:val="22"/>
            <w:lang w:eastAsia="en-US"/>
          </w:rPr>
          <w:tab/>
        </w:r>
        <w:r w:rsidR="001935E5" w:rsidRPr="000D35DC">
          <w:rPr>
            <w:rStyle w:val="Hyperlink"/>
          </w:rPr>
          <w:t>D</w:t>
        </w:r>
        <w:r w:rsidR="001935E5">
          <w:rPr>
            <w:rStyle w:val="Hyperlink"/>
          </w:rPr>
          <w:tab/>
        </w:r>
        <w:r w:rsidR="00D96E47" w:rsidRPr="000D35DC">
          <w:rPr>
            <w:rStyle w:val="Hyperlink"/>
          </w:rPr>
          <w:t>G-S.1. Identification. – (Software)</w:t>
        </w:r>
        <w:r w:rsidR="00D96E47">
          <w:rPr>
            <w:noProof/>
            <w:webHidden/>
          </w:rPr>
          <w:tab/>
        </w:r>
        <w:r w:rsidR="00D96E47">
          <w:rPr>
            <w:noProof/>
            <w:webHidden/>
          </w:rPr>
          <w:fldChar w:fldCharType="begin"/>
        </w:r>
        <w:r w:rsidR="00D96E47">
          <w:rPr>
            <w:noProof/>
            <w:webHidden/>
          </w:rPr>
          <w:instrText xml:space="preserve"> PAGEREF _Toc334183646 \h </w:instrText>
        </w:r>
        <w:r w:rsidR="00D96E47">
          <w:rPr>
            <w:noProof/>
            <w:webHidden/>
          </w:rPr>
        </w:r>
        <w:r w:rsidR="00D96E47">
          <w:rPr>
            <w:noProof/>
            <w:webHidden/>
          </w:rPr>
          <w:fldChar w:fldCharType="separate"/>
        </w:r>
        <w:r>
          <w:rPr>
            <w:noProof/>
            <w:webHidden/>
          </w:rPr>
          <w:t>65</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47" w:history="1">
        <w:r w:rsidR="00D96E47" w:rsidRPr="000D35DC">
          <w:rPr>
            <w:rStyle w:val="Hyperlink"/>
          </w:rPr>
          <w:t>360-3</w:t>
        </w:r>
        <w:r w:rsidR="00D96E47">
          <w:rPr>
            <w:rFonts w:asciiTheme="minorHAnsi" w:hAnsiTheme="minorHAnsi"/>
            <w:noProof/>
            <w:color w:val="auto"/>
            <w:sz w:val="22"/>
            <w:lang w:eastAsia="en-US"/>
          </w:rPr>
          <w:tab/>
        </w:r>
        <w:r w:rsidR="001935E5" w:rsidRPr="000D35DC">
          <w:rPr>
            <w:rStyle w:val="Hyperlink"/>
          </w:rPr>
          <w:t>D</w:t>
        </w:r>
        <w:r w:rsidR="001935E5">
          <w:rPr>
            <w:rStyle w:val="Hyperlink"/>
          </w:rPr>
          <w:tab/>
        </w:r>
        <w:r w:rsidR="00D96E47" w:rsidRPr="000D35DC">
          <w:rPr>
            <w:rStyle w:val="Hyperlink"/>
          </w:rPr>
          <w:t>Part 2.20.  Weigh-In-Motion Vehicle Scales for Law Enforcement – Work Group</w:t>
        </w:r>
        <w:r w:rsidR="00D96E47">
          <w:rPr>
            <w:noProof/>
            <w:webHidden/>
          </w:rPr>
          <w:tab/>
        </w:r>
        <w:r w:rsidR="00D96E47">
          <w:rPr>
            <w:noProof/>
            <w:webHidden/>
          </w:rPr>
          <w:fldChar w:fldCharType="begin"/>
        </w:r>
        <w:r w:rsidR="00D96E47">
          <w:rPr>
            <w:noProof/>
            <w:webHidden/>
          </w:rPr>
          <w:instrText xml:space="preserve"> PAGEREF _Toc334183647 \h </w:instrText>
        </w:r>
        <w:r w:rsidR="00D96E47">
          <w:rPr>
            <w:noProof/>
            <w:webHidden/>
          </w:rPr>
        </w:r>
        <w:r w:rsidR="00D96E47">
          <w:rPr>
            <w:noProof/>
            <w:webHidden/>
          </w:rPr>
          <w:fldChar w:fldCharType="separate"/>
        </w:r>
        <w:r>
          <w:rPr>
            <w:noProof/>
            <w:webHidden/>
          </w:rPr>
          <w:t>68</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48" w:history="1">
        <w:r w:rsidR="00D96E47" w:rsidRPr="000D35DC">
          <w:rPr>
            <w:rStyle w:val="Hyperlink"/>
          </w:rPr>
          <w:t>360-4</w:t>
        </w:r>
        <w:r w:rsidR="00D96E47">
          <w:rPr>
            <w:rFonts w:asciiTheme="minorHAnsi" w:hAnsiTheme="minorHAnsi"/>
            <w:noProof/>
            <w:color w:val="auto"/>
            <w:sz w:val="22"/>
            <w:lang w:eastAsia="en-US"/>
          </w:rPr>
          <w:tab/>
        </w:r>
        <w:r w:rsidR="001935E5" w:rsidRPr="000D35DC">
          <w:rPr>
            <w:rStyle w:val="Hyperlink"/>
          </w:rPr>
          <w:t>D</w:t>
        </w:r>
        <w:r w:rsidR="001935E5">
          <w:rPr>
            <w:rStyle w:val="Hyperlink"/>
          </w:rPr>
          <w:tab/>
        </w:r>
        <w:r w:rsidR="00D96E47" w:rsidRPr="000D35DC">
          <w:rPr>
            <w:rStyle w:val="Hyperlink"/>
          </w:rPr>
          <w:t>Part 3.30. Price Posting and Computing Capability and Requirements for a Retail Motor-Fuel Dispenser (RMFD)</w:t>
        </w:r>
        <w:r w:rsidR="00D96E47">
          <w:rPr>
            <w:noProof/>
            <w:webHidden/>
          </w:rPr>
          <w:tab/>
        </w:r>
        <w:r w:rsidR="00D96E47">
          <w:rPr>
            <w:noProof/>
            <w:webHidden/>
          </w:rPr>
          <w:fldChar w:fldCharType="begin"/>
        </w:r>
        <w:r w:rsidR="00D96E47">
          <w:rPr>
            <w:noProof/>
            <w:webHidden/>
          </w:rPr>
          <w:instrText xml:space="preserve"> PAGEREF _Toc334183648 \h </w:instrText>
        </w:r>
        <w:r w:rsidR="00D96E47">
          <w:rPr>
            <w:noProof/>
            <w:webHidden/>
          </w:rPr>
        </w:r>
        <w:r w:rsidR="00D96E47">
          <w:rPr>
            <w:noProof/>
            <w:webHidden/>
          </w:rPr>
          <w:fldChar w:fldCharType="separate"/>
        </w:r>
        <w:r>
          <w:rPr>
            <w:noProof/>
            <w:webHidden/>
          </w:rPr>
          <w:t>72</w:t>
        </w:r>
        <w:r w:rsidR="00D96E47">
          <w:rPr>
            <w:noProof/>
            <w:webHidden/>
          </w:rPr>
          <w:fldChar w:fldCharType="end"/>
        </w:r>
      </w:hyperlink>
    </w:p>
    <w:p w:rsidR="00D96E47" w:rsidRDefault="006E083F" w:rsidP="00FD1464">
      <w:pPr>
        <w:pStyle w:val="TOC2"/>
        <w:rPr>
          <w:rFonts w:asciiTheme="minorHAnsi" w:hAnsiTheme="minorHAnsi"/>
          <w:noProof/>
          <w:color w:val="auto"/>
          <w:sz w:val="22"/>
          <w:lang w:eastAsia="en-US"/>
        </w:rPr>
      </w:pPr>
      <w:hyperlink w:anchor="_Toc334183649" w:history="1">
        <w:r w:rsidR="00D96E47" w:rsidRPr="000D35DC">
          <w:rPr>
            <w:rStyle w:val="Hyperlink"/>
          </w:rPr>
          <w:t>360-5</w:t>
        </w:r>
        <w:r w:rsidR="00D96E47">
          <w:rPr>
            <w:rFonts w:asciiTheme="minorHAnsi" w:hAnsiTheme="minorHAnsi"/>
            <w:noProof/>
            <w:color w:val="auto"/>
            <w:sz w:val="22"/>
            <w:lang w:eastAsia="en-US"/>
          </w:rPr>
          <w:tab/>
        </w:r>
        <w:r w:rsidR="001935E5" w:rsidRPr="000D35DC">
          <w:rPr>
            <w:rStyle w:val="Hyperlink"/>
          </w:rPr>
          <w:t>D</w:t>
        </w:r>
        <w:r w:rsidR="001935E5">
          <w:rPr>
            <w:rStyle w:val="Hyperlink"/>
          </w:rPr>
          <w:tab/>
        </w:r>
        <w:r w:rsidR="00D96E47" w:rsidRPr="000D35DC">
          <w:rPr>
            <w:rStyle w:val="Hyperlink"/>
          </w:rPr>
          <w:t>S.5. Provision for Security Seals</w:t>
        </w:r>
        <w:r w:rsidR="00D96E47">
          <w:rPr>
            <w:noProof/>
            <w:webHidden/>
          </w:rPr>
          <w:tab/>
        </w:r>
        <w:r w:rsidR="00D96E47">
          <w:rPr>
            <w:noProof/>
            <w:webHidden/>
          </w:rPr>
          <w:fldChar w:fldCharType="begin"/>
        </w:r>
        <w:r w:rsidR="00D96E47">
          <w:rPr>
            <w:noProof/>
            <w:webHidden/>
          </w:rPr>
          <w:instrText xml:space="preserve"> PAGEREF _Toc334183649 \h </w:instrText>
        </w:r>
        <w:r w:rsidR="00D96E47">
          <w:rPr>
            <w:noProof/>
            <w:webHidden/>
          </w:rPr>
        </w:r>
        <w:r w:rsidR="00D96E47">
          <w:rPr>
            <w:noProof/>
            <w:webHidden/>
          </w:rPr>
          <w:fldChar w:fldCharType="separate"/>
        </w:r>
        <w:r>
          <w:rPr>
            <w:noProof/>
            <w:webHidden/>
          </w:rPr>
          <w:t>72</w:t>
        </w:r>
        <w:r w:rsidR="00D96E47">
          <w:rPr>
            <w:noProof/>
            <w:webHidden/>
          </w:rPr>
          <w:fldChar w:fldCharType="end"/>
        </w:r>
      </w:hyperlink>
    </w:p>
    <w:p w:rsidR="00E648C3" w:rsidRDefault="006E083F" w:rsidP="00FD1464">
      <w:pPr>
        <w:pStyle w:val="TOC2"/>
      </w:pPr>
      <w:hyperlink w:anchor="_Toc334183650" w:history="1">
        <w:r w:rsidR="00D96E47" w:rsidRPr="000D35DC">
          <w:rPr>
            <w:rStyle w:val="Hyperlink"/>
          </w:rPr>
          <w:t>360-6</w:t>
        </w:r>
        <w:r w:rsidR="00D96E47">
          <w:rPr>
            <w:rFonts w:asciiTheme="minorHAnsi" w:hAnsiTheme="minorHAnsi"/>
            <w:noProof/>
            <w:color w:val="auto"/>
            <w:sz w:val="22"/>
            <w:lang w:eastAsia="en-US"/>
          </w:rPr>
          <w:tab/>
        </w:r>
        <w:r w:rsidR="001935E5" w:rsidRPr="000D35DC">
          <w:rPr>
            <w:rStyle w:val="Hyperlink"/>
          </w:rPr>
          <w:t>D</w:t>
        </w:r>
        <w:r w:rsidR="001935E5">
          <w:rPr>
            <w:rStyle w:val="Hyperlink"/>
          </w:rPr>
          <w:tab/>
        </w:r>
        <w:r w:rsidR="00D96E47" w:rsidRPr="000D35DC">
          <w:rPr>
            <w:rStyle w:val="Hyperlink"/>
          </w:rPr>
          <w:t>Global Positioning Systems for Taximeters</w:t>
        </w:r>
        <w:r w:rsidR="00D96E47">
          <w:rPr>
            <w:noProof/>
            <w:webHidden/>
          </w:rPr>
          <w:tab/>
        </w:r>
        <w:r w:rsidR="00D96E47">
          <w:rPr>
            <w:noProof/>
            <w:webHidden/>
          </w:rPr>
          <w:fldChar w:fldCharType="begin"/>
        </w:r>
        <w:r w:rsidR="00D96E47">
          <w:rPr>
            <w:noProof/>
            <w:webHidden/>
          </w:rPr>
          <w:instrText xml:space="preserve"> PAGEREF _Toc334183650 \h </w:instrText>
        </w:r>
        <w:r w:rsidR="00D96E47">
          <w:rPr>
            <w:noProof/>
            <w:webHidden/>
          </w:rPr>
        </w:r>
        <w:r w:rsidR="00D96E47">
          <w:rPr>
            <w:noProof/>
            <w:webHidden/>
          </w:rPr>
          <w:fldChar w:fldCharType="separate"/>
        </w:r>
        <w:r>
          <w:rPr>
            <w:noProof/>
            <w:webHidden/>
          </w:rPr>
          <w:t>75</w:t>
        </w:r>
        <w:r w:rsidR="00D96E47">
          <w:rPr>
            <w:noProof/>
            <w:webHidden/>
          </w:rPr>
          <w:fldChar w:fldCharType="end"/>
        </w:r>
      </w:hyperlink>
      <w:r w:rsidR="00B27D38">
        <w:fldChar w:fldCharType="end"/>
      </w:r>
    </w:p>
    <w:p w:rsidR="00780255" w:rsidRDefault="00780255" w:rsidP="00780255">
      <w:pPr>
        <w:spacing w:before="240"/>
        <w:rPr>
          <w:b/>
          <w:lang w:eastAsia="ja-JP"/>
        </w:rPr>
      </w:pPr>
      <w:r>
        <w:rPr>
          <w:b/>
          <w:lang w:eastAsia="ja-JP"/>
        </w:rPr>
        <w:t>Appendices</w:t>
      </w:r>
    </w:p>
    <w:p w:rsidR="00780255" w:rsidRPr="00275ABA" w:rsidRDefault="00780255" w:rsidP="00780255">
      <w:pPr>
        <w:keepNext/>
        <w:tabs>
          <w:tab w:val="left" w:pos="540"/>
          <w:tab w:val="left" w:pos="1980"/>
          <w:tab w:val="right" w:leader="dot" w:pos="9360"/>
        </w:tabs>
        <w:spacing w:after="0"/>
        <w:ind w:left="1988" w:right="360" w:hanging="2074"/>
        <w:jc w:val="left"/>
        <w:rPr>
          <w:rStyle w:val="Hyperlink"/>
          <w:rFonts w:eastAsia="Calibri"/>
          <w:u w:val="none"/>
        </w:rPr>
      </w:pPr>
      <w:r>
        <w:rPr>
          <w:rFonts w:eastAsia="Calibri"/>
        </w:rPr>
        <w:tab/>
      </w:r>
      <w:r w:rsidR="00275ABA">
        <w:rPr>
          <w:rFonts w:eastAsia="Calibri"/>
          <w:noProof/>
          <w:color w:val="000000"/>
        </w:rPr>
        <w:fldChar w:fldCharType="begin"/>
      </w:r>
      <w:r w:rsidR="00275ABA">
        <w:rPr>
          <w:rFonts w:eastAsia="Calibri"/>
          <w:noProof/>
          <w:color w:val="000000"/>
        </w:rPr>
        <w:instrText xml:space="preserve"> HYPERLINK "08-st-appx-a-12-annual-final.docx" </w:instrText>
      </w:r>
      <w:r w:rsidR="00275ABA">
        <w:rPr>
          <w:rFonts w:eastAsia="Calibri"/>
          <w:noProof/>
          <w:color w:val="000000"/>
        </w:rPr>
        <w:fldChar w:fldCharType="separate"/>
      </w:r>
      <w:r w:rsidRPr="00275ABA">
        <w:rPr>
          <w:rStyle w:val="Hyperlink"/>
          <w:rFonts w:eastAsia="Calibri"/>
          <w:u w:val="none"/>
        </w:rPr>
        <w:t xml:space="preserve">Appendix A </w:t>
      </w:r>
      <w:r w:rsidRPr="00275ABA">
        <w:rPr>
          <w:rStyle w:val="Hyperlink"/>
          <w:rFonts w:eastAsia="Calibri"/>
          <w:u w:val="none"/>
        </w:rPr>
        <w:sym w:font="Symbol" w:char="F0BE"/>
      </w:r>
      <w:r w:rsidRPr="00275ABA">
        <w:rPr>
          <w:rStyle w:val="Hyperlink"/>
          <w:rFonts w:eastAsia="Calibri"/>
          <w:u w:val="none"/>
        </w:rPr>
        <w:tab/>
        <w:t>Item 320-2:  NIST Handbook 44, Section 2.20. Scales, S.6.4.  Railway Track Scales</w:t>
      </w:r>
    </w:p>
    <w:p w:rsidR="00780255" w:rsidRPr="00275ABA" w:rsidRDefault="00780255" w:rsidP="00780255">
      <w:pPr>
        <w:keepNext/>
        <w:tabs>
          <w:tab w:val="left" w:pos="540"/>
          <w:tab w:val="left" w:pos="1980"/>
          <w:tab w:val="right" w:leader="dot" w:pos="9360"/>
        </w:tabs>
        <w:spacing w:after="0"/>
        <w:ind w:left="1988" w:right="360" w:hanging="2074"/>
        <w:jc w:val="left"/>
        <w:rPr>
          <w:rStyle w:val="Hyperlink"/>
          <w:rFonts w:eastAsia="Calibri"/>
          <w:u w:val="none"/>
        </w:rPr>
      </w:pPr>
      <w:r w:rsidRPr="00275ABA">
        <w:rPr>
          <w:rStyle w:val="Hyperlink"/>
          <w:rFonts w:eastAsia="Calibri"/>
          <w:u w:val="none"/>
        </w:rPr>
        <w:tab/>
      </w:r>
      <w:r w:rsidRPr="00275ABA">
        <w:rPr>
          <w:rStyle w:val="Hyperlink"/>
          <w:rFonts w:eastAsia="Calibri"/>
          <w:u w:val="none"/>
        </w:rPr>
        <w:tab/>
        <w:t>Item 320-3:  NIST Handbook 44, Section 2.20.Scales, N.3.1.2. Interim Approval</w:t>
      </w:r>
    </w:p>
    <w:p w:rsidR="00780255" w:rsidRPr="00275ABA" w:rsidRDefault="00780255" w:rsidP="00780255">
      <w:pPr>
        <w:keepNext/>
        <w:tabs>
          <w:tab w:val="left" w:pos="540"/>
          <w:tab w:val="left" w:pos="1980"/>
          <w:tab w:val="right" w:leader="dot" w:pos="9360"/>
        </w:tabs>
        <w:spacing w:after="120"/>
        <w:ind w:left="1988" w:right="360" w:hanging="2074"/>
        <w:jc w:val="left"/>
        <w:rPr>
          <w:rStyle w:val="Hyperlink"/>
          <w:rFonts w:eastAsia="Calibri"/>
          <w:noProof w:val="0"/>
          <w:u w:val="none"/>
        </w:rPr>
      </w:pPr>
      <w:r w:rsidRPr="00275ABA">
        <w:rPr>
          <w:rStyle w:val="Hyperlink"/>
          <w:rFonts w:eastAsia="Calibri"/>
          <w:u w:val="none"/>
        </w:rPr>
        <w:tab/>
      </w:r>
      <w:r w:rsidRPr="00275ABA">
        <w:rPr>
          <w:rStyle w:val="Hyperlink"/>
          <w:rFonts w:eastAsia="Calibri"/>
          <w:u w:val="none"/>
        </w:rPr>
        <w:tab/>
        <w:t>Item 320-6:  NIST Handbook 44, Appendix D – Definitions (Reference Weigth Car)</w:t>
      </w:r>
      <w:r w:rsidRPr="00275ABA">
        <w:rPr>
          <w:rStyle w:val="Hyperlink"/>
          <w:rFonts w:eastAsia="Calibri"/>
          <w:u w:val="none"/>
        </w:rPr>
        <w:tab/>
      </w:r>
      <w:r w:rsidRPr="00275ABA">
        <w:rPr>
          <w:rStyle w:val="Hyperlink"/>
          <w:rFonts w:eastAsia="Calibri"/>
          <w:webHidden/>
          <w:u w:val="none"/>
        </w:rPr>
        <w:t>A1</w:t>
      </w:r>
    </w:p>
    <w:p w:rsidR="00780255" w:rsidRPr="00275ABA" w:rsidRDefault="00275ABA" w:rsidP="00780255">
      <w:pPr>
        <w:tabs>
          <w:tab w:val="left" w:pos="540"/>
          <w:tab w:val="left" w:pos="1980"/>
          <w:tab w:val="right" w:leader="dot" w:pos="9360"/>
        </w:tabs>
        <w:spacing w:after="120"/>
        <w:ind w:left="1988" w:right="360" w:hanging="2074"/>
        <w:jc w:val="left"/>
        <w:rPr>
          <w:rStyle w:val="Hyperlink"/>
          <w:rFonts w:eastAsia="Calibri"/>
          <w:webHidden/>
        </w:rPr>
      </w:pPr>
      <w:r>
        <w:rPr>
          <w:rFonts w:eastAsia="Calibri"/>
          <w:noProof/>
          <w:color w:val="000000"/>
        </w:rPr>
        <w:fldChar w:fldCharType="end"/>
      </w:r>
      <w:r w:rsidR="00780255" w:rsidRPr="002B645D">
        <w:rPr>
          <w:rFonts w:eastAsia="Calibri"/>
        </w:rPr>
        <w:tab/>
      </w:r>
      <w:r>
        <w:rPr>
          <w:rFonts w:eastAsia="Calibri"/>
          <w:noProof/>
          <w:color w:val="000000"/>
        </w:rPr>
        <w:fldChar w:fldCharType="begin"/>
      </w:r>
      <w:r>
        <w:rPr>
          <w:rFonts w:eastAsia="Calibri"/>
          <w:noProof/>
          <w:color w:val="000000"/>
        </w:rPr>
        <w:instrText xml:space="preserve"> HYPERLINK "08-st-appx-b-12-annual-final.docx" </w:instrText>
      </w:r>
      <w:r>
        <w:rPr>
          <w:rFonts w:eastAsia="Calibri"/>
          <w:noProof/>
          <w:color w:val="000000"/>
        </w:rPr>
        <w:fldChar w:fldCharType="separate"/>
      </w:r>
      <w:r w:rsidR="00780255" w:rsidRPr="00275ABA">
        <w:rPr>
          <w:rStyle w:val="Hyperlink"/>
          <w:rFonts w:eastAsia="Calibri"/>
          <w:u w:val="none"/>
        </w:rPr>
        <w:t xml:space="preserve">Appendix B </w:t>
      </w:r>
      <w:r w:rsidR="00780255" w:rsidRPr="00275ABA">
        <w:rPr>
          <w:rStyle w:val="Hyperlink"/>
          <w:rFonts w:eastAsia="Calibri"/>
          <w:u w:val="none"/>
        </w:rPr>
        <w:sym w:font="Symbol" w:char="F0BE"/>
      </w:r>
      <w:r w:rsidR="00780255" w:rsidRPr="00275ABA">
        <w:rPr>
          <w:rStyle w:val="Hyperlink"/>
          <w:rFonts w:eastAsia="Calibri"/>
          <w:u w:val="none"/>
        </w:rPr>
        <w:tab/>
        <w:t>Item 336-1:  NIST Handbook 44, Section 3.36. Water Meters, S.3. Markings</w:t>
      </w:r>
      <w:r w:rsidR="00780255" w:rsidRPr="00275ABA">
        <w:rPr>
          <w:rStyle w:val="Hyperlink"/>
          <w:rFonts w:eastAsia="Calibri"/>
          <w:u w:val="none"/>
        </w:rPr>
        <w:tab/>
      </w:r>
      <w:r w:rsidR="00780255" w:rsidRPr="00275ABA">
        <w:rPr>
          <w:rStyle w:val="Hyperlink"/>
          <w:rFonts w:eastAsia="Calibri"/>
          <w:webHidden/>
          <w:u w:val="none"/>
        </w:rPr>
        <w:t>B1</w:t>
      </w:r>
    </w:p>
    <w:p w:rsidR="00594950" w:rsidRPr="002B645D" w:rsidRDefault="00275ABA" w:rsidP="00E648C3">
      <w:pPr>
        <w:tabs>
          <w:tab w:val="left" w:pos="540"/>
          <w:tab w:val="left" w:pos="1980"/>
          <w:tab w:val="right" w:leader="dot" w:pos="9360"/>
        </w:tabs>
        <w:spacing w:after="120"/>
        <w:ind w:left="1988" w:right="360" w:hanging="2074"/>
        <w:jc w:val="left"/>
        <w:rPr>
          <w:rFonts w:eastAsia="Calibri"/>
          <w:lang w:eastAsia="ja-JP"/>
        </w:rPr>
      </w:pPr>
      <w:r>
        <w:rPr>
          <w:rFonts w:eastAsia="Calibri"/>
          <w:noProof/>
          <w:color w:val="000000"/>
        </w:rPr>
        <w:fldChar w:fldCharType="end"/>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125727" w:rsidRPr="00F3504E" w:rsidTr="00181C90">
        <w:tc>
          <w:tcPr>
            <w:tcW w:w="9360" w:type="dxa"/>
            <w:tcBorders>
              <w:top w:val="single" w:sz="12" w:space="0" w:color="auto"/>
              <w:bottom w:val="single" w:sz="12" w:space="0" w:color="auto"/>
            </w:tcBorders>
          </w:tcPr>
          <w:p w:rsidR="00125727" w:rsidRPr="00F3504E" w:rsidRDefault="00125727">
            <w:pPr>
              <w:pStyle w:val="TableHeading"/>
            </w:pPr>
            <w:r w:rsidRPr="00F3504E">
              <w:br w:type="page"/>
            </w:r>
            <w:r w:rsidRPr="00F3504E">
              <w:rPr>
                <w:noProof/>
              </w:rPr>
              <w:br w:type="page"/>
            </w:r>
            <w:r w:rsidRPr="00F3504E">
              <w:t>Table B</w:t>
            </w:r>
            <w:r w:rsidRPr="00F3504E">
              <w:br/>
              <w:t>Glossary of Acronyms and Terms</w:t>
            </w:r>
          </w:p>
        </w:tc>
      </w:tr>
    </w:tbl>
    <w:p w:rsidR="00125727" w:rsidRPr="00F3504E" w:rsidRDefault="00125727" w:rsidP="009F592C">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125727" w:rsidRPr="00F3504E" w:rsidTr="00594950">
        <w:trPr>
          <w:tblHeader/>
        </w:trPr>
        <w:tc>
          <w:tcPr>
            <w:tcW w:w="1170" w:type="dxa"/>
            <w:vAlign w:val="center"/>
          </w:tcPr>
          <w:p w:rsidR="00125727" w:rsidRPr="00F3504E" w:rsidRDefault="00125727" w:rsidP="009F592C">
            <w:pPr>
              <w:pStyle w:val="TableColumnHeadings"/>
              <w:spacing w:before="120" w:after="0"/>
            </w:pPr>
            <w:r w:rsidRPr="00F3504E">
              <w:t>Acronym</w:t>
            </w:r>
          </w:p>
        </w:tc>
        <w:tc>
          <w:tcPr>
            <w:tcW w:w="3510" w:type="dxa"/>
            <w:vAlign w:val="center"/>
          </w:tcPr>
          <w:p w:rsidR="00125727" w:rsidRPr="00F3504E" w:rsidRDefault="00125727" w:rsidP="009F592C">
            <w:pPr>
              <w:pStyle w:val="TableColumnHeadings"/>
              <w:spacing w:before="120" w:after="0"/>
            </w:pPr>
            <w:r w:rsidRPr="00F3504E">
              <w:t>Term</w:t>
            </w:r>
          </w:p>
        </w:tc>
        <w:tc>
          <w:tcPr>
            <w:tcW w:w="1166" w:type="dxa"/>
            <w:vAlign w:val="center"/>
          </w:tcPr>
          <w:p w:rsidR="00125727" w:rsidRPr="00F3504E" w:rsidRDefault="00125727" w:rsidP="009F592C">
            <w:pPr>
              <w:pStyle w:val="TableColumnHeadings"/>
              <w:spacing w:before="120" w:after="0"/>
            </w:pPr>
            <w:r w:rsidRPr="00F3504E">
              <w:t>Acronym</w:t>
            </w:r>
          </w:p>
        </w:tc>
        <w:tc>
          <w:tcPr>
            <w:tcW w:w="3514" w:type="dxa"/>
            <w:vAlign w:val="center"/>
          </w:tcPr>
          <w:p w:rsidR="00125727" w:rsidRPr="00F3504E" w:rsidRDefault="00125727" w:rsidP="009F592C">
            <w:pPr>
              <w:pStyle w:val="TableColumnHeadings"/>
              <w:spacing w:before="120" w:after="0"/>
            </w:pPr>
            <w:r w:rsidRPr="00F3504E">
              <w:t>Term</w:t>
            </w:r>
          </w:p>
        </w:tc>
      </w:tr>
      <w:tr w:rsidR="00A86DA7" w:rsidRPr="00F3504E" w:rsidTr="009F592C">
        <w:tc>
          <w:tcPr>
            <w:tcW w:w="1170" w:type="dxa"/>
          </w:tcPr>
          <w:p w:rsidR="00A86DA7" w:rsidRPr="00053ED2" w:rsidRDefault="00A86DA7" w:rsidP="009F592C">
            <w:pPr>
              <w:pStyle w:val="TableText"/>
              <w:spacing w:after="0"/>
            </w:pPr>
            <w:r w:rsidRPr="00053ED2">
              <w:t>AAR</w:t>
            </w:r>
          </w:p>
        </w:tc>
        <w:tc>
          <w:tcPr>
            <w:tcW w:w="3510" w:type="dxa"/>
          </w:tcPr>
          <w:p w:rsidR="00A86DA7" w:rsidRDefault="00A86DA7" w:rsidP="009F592C">
            <w:pPr>
              <w:pStyle w:val="TableText"/>
              <w:spacing w:after="0"/>
              <w:rPr>
                <w:b/>
              </w:rPr>
            </w:pPr>
            <w:r>
              <w:t>Association of American Railroad</w:t>
            </w:r>
          </w:p>
        </w:tc>
        <w:tc>
          <w:tcPr>
            <w:tcW w:w="1166" w:type="dxa"/>
          </w:tcPr>
          <w:p w:rsidR="00A86DA7" w:rsidRPr="00053ED2" w:rsidRDefault="00A86DA7" w:rsidP="009F592C">
            <w:pPr>
              <w:pStyle w:val="TableText"/>
              <w:spacing w:after="0"/>
              <w:rPr>
                <w:b/>
              </w:rPr>
            </w:pPr>
            <w:r w:rsidRPr="00053ED2">
              <w:t>NCWM</w:t>
            </w:r>
          </w:p>
        </w:tc>
        <w:tc>
          <w:tcPr>
            <w:tcW w:w="3514" w:type="dxa"/>
          </w:tcPr>
          <w:p w:rsidR="00A86DA7" w:rsidRDefault="00A86DA7" w:rsidP="009F592C">
            <w:pPr>
              <w:pStyle w:val="TableText"/>
              <w:spacing w:after="0"/>
              <w:rPr>
                <w:b/>
              </w:rPr>
            </w:pPr>
            <w:r>
              <w:t>National Conference on Weights and Measures</w:t>
            </w:r>
          </w:p>
        </w:tc>
      </w:tr>
      <w:tr w:rsidR="00A86DA7" w:rsidRPr="00F3504E" w:rsidTr="009F592C">
        <w:tc>
          <w:tcPr>
            <w:tcW w:w="1170" w:type="dxa"/>
          </w:tcPr>
          <w:p w:rsidR="00A86DA7" w:rsidRPr="00053ED2" w:rsidRDefault="00A86DA7" w:rsidP="009F592C">
            <w:pPr>
              <w:pStyle w:val="TableText"/>
              <w:spacing w:after="0"/>
            </w:pPr>
            <w:r w:rsidRPr="00053ED2">
              <w:t>AES</w:t>
            </w:r>
          </w:p>
        </w:tc>
        <w:tc>
          <w:tcPr>
            <w:tcW w:w="3510" w:type="dxa"/>
          </w:tcPr>
          <w:p w:rsidR="00A86DA7" w:rsidRDefault="00A86DA7" w:rsidP="009F592C">
            <w:pPr>
              <w:pStyle w:val="TableText"/>
              <w:spacing w:after="0"/>
              <w:rPr>
                <w:b/>
              </w:rPr>
            </w:pPr>
            <w:r>
              <w:t>Advanced Encryption Standard</w:t>
            </w:r>
          </w:p>
        </w:tc>
        <w:tc>
          <w:tcPr>
            <w:tcW w:w="1166" w:type="dxa"/>
          </w:tcPr>
          <w:p w:rsidR="00A86DA7" w:rsidRPr="00053ED2" w:rsidRDefault="00A86DA7" w:rsidP="009F592C">
            <w:pPr>
              <w:pStyle w:val="TableText"/>
              <w:spacing w:after="0"/>
              <w:rPr>
                <w:b/>
              </w:rPr>
            </w:pPr>
            <w:r w:rsidRPr="00053ED2">
              <w:t>NEWMA</w:t>
            </w:r>
          </w:p>
        </w:tc>
        <w:tc>
          <w:tcPr>
            <w:tcW w:w="3514" w:type="dxa"/>
          </w:tcPr>
          <w:p w:rsidR="00A86DA7" w:rsidRDefault="00A86DA7" w:rsidP="009F592C">
            <w:pPr>
              <w:pStyle w:val="TableText"/>
              <w:spacing w:after="0"/>
              <w:rPr>
                <w:b/>
              </w:rPr>
            </w:pPr>
            <w:r>
              <w:t>Northeastern Weights and Measures Association</w:t>
            </w:r>
          </w:p>
        </w:tc>
      </w:tr>
      <w:tr w:rsidR="00A86DA7" w:rsidRPr="00F3504E" w:rsidTr="009F592C">
        <w:tc>
          <w:tcPr>
            <w:tcW w:w="1170" w:type="dxa"/>
          </w:tcPr>
          <w:p w:rsidR="00A86DA7" w:rsidRPr="00053ED2" w:rsidRDefault="00A86DA7" w:rsidP="009F592C">
            <w:pPr>
              <w:pStyle w:val="TableText"/>
              <w:spacing w:after="0"/>
            </w:pPr>
            <w:r w:rsidRPr="00053ED2">
              <w:t>AREMA</w:t>
            </w:r>
          </w:p>
        </w:tc>
        <w:tc>
          <w:tcPr>
            <w:tcW w:w="3510" w:type="dxa"/>
          </w:tcPr>
          <w:p w:rsidR="00A86DA7" w:rsidRDefault="00A86DA7" w:rsidP="009F592C">
            <w:pPr>
              <w:pStyle w:val="TableText"/>
              <w:spacing w:after="0"/>
              <w:rPr>
                <w:b/>
              </w:rPr>
            </w:pPr>
            <w:r>
              <w:t>American Railway Engineering and Maintenance-of-Way Association</w:t>
            </w:r>
          </w:p>
        </w:tc>
        <w:tc>
          <w:tcPr>
            <w:tcW w:w="1166" w:type="dxa"/>
          </w:tcPr>
          <w:p w:rsidR="00A86DA7" w:rsidRPr="00053ED2" w:rsidRDefault="00A86DA7" w:rsidP="009F592C">
            <w:pPr>
              <w:pStyle w:val="TableText"/>
              <w:spacing w:after="0"/>
              <w:rPr>
                <w:b/>
              </w:rPr>
            </w:pPr>
            <w:r w:rsidRPr="00053ED2">
              <w:t>NIST</w:t>
            </w:r>
          </w:p>
        </w:tc>
        <w:tc>
          <w:tcPr>
            <w:tcW w:w="3514" w:type="dxa"/>
          </w:tcPr>
          <w:p w:rsidR="00A86DA7" w:rsidRDefault="00A86DA7" w:rsidP="009F592C">
            <w:pPr>
              <w:pStyle w:val="TableText"/>
              <w:spacing w:after="0"/>
              <w:rPr>
                <w:b/>
              </w:rPr>
            </w:pPr>
            <w:r>
              <w:t>National Institute of Standards and Technology</w:t>
            </w:r>
          </w:p>
        </w:tc>
      </w:tr>
      <w:tr w:rsidR="00A86DA7" w:rsidRPr="00F3504E" w:rsidTr="009F592C">
        <w:tc>
          <w:tcPr>
            <w:tcW w:w="1170" w:type="dxa"/>
          </w:tcPr>
          <w:p w:rsidR="00A86DA7" w:rsidRPr="00053ED2" w:rsidRDefault="00A86DA7" w:rsidP="009F592C">
            <w:pPr>
              <w:pStyle w:val="TableText"/>
              <w:spacing w:after="0"/>
            </w:pPr>
            <w:r w:rsidRPr="00053ED2">
              <w:t>B</w:t>
            </w:r>
          </w:p>
        </w:tc>
        <w:tc>
          <w:tcPr>
            <w:tcW w:w="3510" w:type="dxa"/>
          </w:tcPr>
          <w:p w:rsidR="00A86DA7" w:rsidRDefault="00A86DA7" w:rsidP="009F592C">
            <w:pPr>
              <w:pStyle w:val="TableText"/>
              <w:spacing w:after="0"/>
              <w:rPr>
                <w:b/>
              </w:rPr>
            </w:pPr>
            <w:r>
              <w:t>Basic Publication</w:t>
            </w:r>
          </w:p>
        </w:tc>
        <w:tc>
          <w:tcPr>
            <w:tcW w:w="1166" w:type="dxa"/>
          </w:tcPr>
          <w:p w:rsidR="00A86DA7" w:rsidRPr="00053ED2" w:rsidRDefault="00A86DA7" w:rsidP="009F592C">
            <w:pPr>
              <w:pStyle w:val="TableText"/>
              <w:spacing w:after="0"/>
              <w:rPr>
                <w:b/>
              </w:rPr>
            </w:pPr>
            <w:r w:rsidRPr="00053ED2">
              <w:t>NTEP</w:t>
            </w:r>
          </w:p>
        </w:tc>
        <w:tc>
          <w:tcPr>
            <w:tcW w:w="3514" w:type="dxa"/>
          </w:tcPr>
          <w:p w:rsidR="00A86DA7" w:rsidRDefault="00A86DA7" w:rsidP="009F592C">
            <w:pPr>
              <w:pStyle w:val="TableText"/>
              <w:spacing w:after="0"/>
              <w:rPr>
                <w:b/>
              </w:rPr>
            </w:pPr>
            <w:r>
              <w:t>National Type Evaluation Program</w:t>
            </w:r>
          </w:p>
        </w:tc>
      </w:tr>
      <w:tr w:rsidR="00A86DA7" w:rsidRPr="00F3504E" w:rsidTr="009F592C">
        <w:tc>
          <w:tcPr>
            <w:tcW w:w="1170" w:type="dxa"/>
          </w:tcPr>
          <w:p w:rsidR="00A86DA7" w:rsidRPr="00053ED2" w:rsidRDefault="00A86DA7" w:rsidP="009F592C">
            <w:pPr>
              <w:pStyle w:val="TableText"/>
              <w:spacing w:after="0"/>
            </w:pPr>
            <w:r w:rsidRPr="00053ED2">
              <w:t>BCS</w:t>
            </w:r>
          </w:p>
        </w:tc>
        <w:tc>
          <w:tcPr>
            <w:tcW w:w="3510" w:type="dxa"/>
          </w:tcPr>
          <w:p w:rsidR="00A86DA7" w:rsidRDefault="00A86DA7" w:rsidP="009F592C">
            <w:pPr>
              <w:pStyle w:val="TableText"/>
              <w:spacing w:after="0"/>
              <w:rPr>
                <w:b/>
              </w:rPr>
            </w:pPr>
            <w:r>
              <w:t>Belt-Conveyor Scale</w:t>
            </w:r>
          </w:p>
        </w:tc>
        <w:tc>
          <w:tcPr>
            <w:tcW w:w="1166" w:type="dxa"/>
          </w:tcPr>
          <w:p w:rsidR="00A86DA7" w:rsidRPr="00053ED2" w:rsidRDefault="00A86DA7" w:rsidP="009F592C">
            <w:pPr>
              <w:pStyle w:val="TableText"/>
              <w:spacing w:after="0"/>
              <w:rPr>
                <w:b/>
              </w:rPr>
            </w:pPr>
            <w:r w:rsidRPr="00053ED2">
              <w:t>NTETC</w:t>
            </w:r>
          </w:p>
        </w:tc>
        <w:tc>
          <w:tcPr>
            <w:tcW w:w="3514" w:type="dxa"/>
          </w:tcPr>
          <w:p w:rsidR="00A86DA7" w:rsidRDefault="00A86DA7" w:rsidP="009F592C">
            <w:pPr>
              <w:pStyle w:val="TableText"/>
              <w:spacing w:after="0"/>
              <w:rPr>
                <w:b/>
              </w:rPr>
            </w:pPr>
            <w:r>
              <w:t>National Type Evaluation Technical Committee</w:t>
            </w:r>
          </w:p>
        </w:tc>
      </w:tr>
      <w:tr w:rsidR="00A86DA7" w:rsidRPr="00F3504E" w:rsidTr="009F592C">
        <w:tc>
          <w:tcPr>
            <w:tcW w:w="1170" w:type="dxa"/>
          </w:tcPr>
          <w:p w:rsidR="00A86DA7" w:rsidRPr="00053ED2" w:rsidRDefault="00A86DA7" w:rsidP="009F592C">
            <w:pPr>
              <w:pStyle w:val="TableText"/>
              <w:spacing w:after="0"/>
            </w:pPr>
            <w:r w:rsidRPr="00053ED2">
              <w:t>CC</w:t>
            </w:r>
          </w:p>
        </w:tc>
        <w:tc>
          <w:tcPr>
            <w:tcW w:w="3510" w:type="dxa"/>
          </w:tcPr>
          <w:p w:rsidR="00A86DA7" w:rsidRDefault="00A86DA7" w:rsidP="009F592C">
            <w:pPr>
              <w:pStyle w:val="TableText"/>
              <w:spacing w:after="0"/>
              <w:rPr>
                <w:b/>
              </w:rPr>
            </w:pPr>
            <w:r>
              <w:t>Certificate of Conformance</w:t>
            </w:r>
          </w:p>
        </w:tc>
        <w:tc>
          <w:tcPr>
            <w:tcW w:w="1166" w:type="dxa"/>
          </w:tcPr>
          <w:p w:rsidR="00A86DA7" w:rsidRPr="00053ED2" w:rsidRDefault="00A86DA7" w:rsidP="009F592C">
            <w:pPr>
              <w:pStyle w:val="TableText"/>
              <w:spacing w:after="0"/>
              <w:rPr>
                <w:b/>
              </w:rPr>
            </w:pPr>
            <w:r w:rsidRPr="00053ED2">
              <w:t>OIML</w:t>
            </w:r>
          </w:p>
        </w:tc>
        <w:tc>
          <w:tcPr>
            <w:tcW w:w="3514" w:type="dxa"/>
          </w:tcPr>
          <w:p w:rsidR="00A86DA7" w:rsidRDefault="00A86DA7" w:rsidP="009F592C">
            <w:pPr>
              <w:pStyle w:val="TableText"/>
              <w:spacing w:after="0"/>
              <w:rPr>
                <w:b/>
              </w:rPr>
            </w:pPr>
            <w:r>
              <w:t>International Organization of Legal Metrology</w:t>
            </w:r>
          </w:p>
        </w:tc>
      </w:tr>
      <w:tr w:rsidR="00A86DA7" w:rsidRPr="00F3504E" w:rsidTr="009F592C">
        <w:tc>
          <w:tcPr>
            <w:tcW w:w="1170" w:type="dxa"/>
          </w:tcPr>
          <w:p w:rsidR="00A86DA7" w:rsidRPr="00053ED2" w:rsidRDefault="00A86DA7" w:rsidP="009F592C">
            <w:pPr>
              <w:pStyle w:val="TableText"/>
              <w:spacing w:after="0"/>
            </w:pPr>
            <w:r w:rsidRPr="00053ED2">
              <w:t>CWMA</w:t>
            </w:r>
          </w:p>
        </w:tc>
        <w:tc>
          <w:tcPr>
            <w:tcW w:w="3510" w:type="dxa"/>
          </w:tcPr>
          <w:p w:rsidR="00A86DA7" w:rsidRDefault="00A86DA7" w:rsidP="009F592C">
            <w:pPr>
              <w:pStyle w:val="TableText"/>
              <w:spacing w:after="0"/>
              <w:rPr>
                <w:b/>
              </w:rPr>
            </w:pPr>
            <w:r>
              <w:t>Central Weights and Measures Association</w:t>
            </w:r>
          </w:p>
        </w:tc>
        <w:tc>
          <w:tcPr>
            <w:tcW w:w="1166" w:type="dxa"/>
          </w:tcPr>
          <w:p w:rsidR="00A86DA7" w:rsidRPr="00053ED2" w:rsidRDefault="00A86DA7" w:rsidP="009F592C">
            <w:pPr>
              <w:pStyle w:val="TableText"/>
              <w:spacing w:after="0"/>
              <w:rPr>
                <w:b/>
              </w:rPr>
            </w:pPr>
            <w:r w:rsidRPr="00053ED2">
              <w:t>OWM</w:t>
            </w:r>
          </w:p>
        </w:tc>
        <w:tc>
          <w:tcPr>
            <w:tcW w:w="3514" w:type="dxa"/>
          </w:tcPr>
          <w:p w:rsidR="00A86DA7" w:rsidRDefault="00A86DA7" w:rsidP="009F592C">
            <w:pPr>
              <w:pStyle w:val="TableText"/>
              <w:spacing w:after="0"/>
              <w:rPr>
                <w:b/>
              </w:rPr>
            </w:pPr>
            <w:r>
              <w:t>Office of Weights and Measures</w:t>
            </w:r>
          </w:p>
        </w:tc>
      </w:tr>
      <w:tr w:rsidR="00A86DA7" w:rsidRPr="00F3504E" w:rsidTr="009F592C">
        <w:tc>
          <w:tcPr>
            <w:tcW w:w="1170" w:type="dxa"/>
          </w:tcPr>
          <w:p w:rsidR="00A86DA7" w:rsidRPr="00053ED2" w:rsidRDefault="00A86DA7" w:rsidP="009F592C">
            <w:pPr>
              <w:pStyle w:val="TableText"/>
              <w:spacing w:after="0"/>
            </w:pPr>
            <w:r w:rsidRPr="00053ED2">
              <w:t>D</w:t>
            </w:r>
          </w:p>
        </w:tc>
        <w:tc>
          <w:tcPr>
            <w:tcW w:w="3510" w:type="dxa"/>
          </w:tcPr>
          <w:p w:rsidR="00A86DA7" w:rsidRDefault="00A86DA7" w:rsidP="009F592C">
            <w:pPr>
              <w:pStyle w:val="TableText"/>
              <w:spacing w:after="0"/>
              <w:rPr>
                <w:b/>
              </w:rPr>
            </w:pPr>
            <w:r>
              <w:t>Document</w:t>
            </w:r>
          </w:p>
        </w:tc>
        <w:tc>
          <w:tcPr>
            <w:tcW w:w="1166" w:type="dxa"/>
          </w:tcPr>
          <w:p w:rsidR="00A86DA7" w:rsidRPr="00053ED2" w:rsidRDefault="00A86DA7" w:rsidP="009F592C">
            <w:pPr>
              <w:pStyle w:val="TableText"/>
              <w:spacing w:after="0"/>
              <w:rPr>
                <w:b/>
              </w:rPr>
            </w:pPr>
            <w:r w:rsidRPr="00053ED2">
              <w:t>P&amp;SP</w:t>
            </w:r>
          </w:p>
        </w:tc>
        <w:tc>
          <w:tcPr>
            <w:tcW w:w="3514" w:type="dxa"/>
          </w:tcPr>
          <w:p w:rsidR="00A86DA7" w:rsidRDefault="00A86DA7" w:rsidP="009F592C">
            <w:pPr>
              <w:pStyle w:val="TableText"/>
              <w:spacing w:after="0"/>
              <w:rPr>
                <w:b/>
              </w:rPr>
            </w:pPr>
            <w:r>
              <w:t>Packers and Stockyards Program</w:t>
            </w:r>
          </w:p>
        </w:tc>
      </w:tr>
      <w:tr w:rsidR="00A86DA7" w:rsidRPr="00F3504E" w:rsidTr="009F592C">
        <w:tc>
          <w:tcPr>
            <w:tcW w:w="1170" w:type="dxa"/>
          </w:tcPr>
          <w:p w:rsidR="00A86DA7" w:rsidRPr="00053ED2" w:rsidRDefault="00A86DA7" w:rsidP="009F592C">
            <w:pPr>
              <w:pStyle w:val="TableText"/>
              <w:spacing w:after="0"/>
            </w:pPr>
            <w:r w:rsidRPr="00053ED2">
              <w:t>DOT</w:t>
            </w:r>
          </w:p>
        </w:tc>
        <w:tc>
          <w:tcPr>
            <w:tcW w:w="3510" w:type="dxa"/>
          </w:tcPr>
          <w:p w:rsidR="00A86DA7" w:rsidRDefault="00A86DA7" w:rsidP="009F592C">
            <w:pPr>
              <w:pStyle w:val="TableText"/>
              <w:spacing w:after="0"/>
              <w:rPr>
                <w:b/>
              </w:rPr>
            </w:pPr>
            <w:r>
              <w:t>Department of Transportation</w:t>
            </w:r>
          </w:p>
        </w:tc>
        <w:tc>
          <w:tcPr>
            <w:tcW w:w="1166" w:type="dxa"/>
          </w:tcPr>
          <w:p w:rsidR="00A86DA7" w:rsidRPr="00053ED2" w:rsidRDefault="00A86DA7" w:rsidP="009F592C">
            <w:pPr>
              <w:pStyle w:val="TableText"/>
              <w:spacing w:after="0"/>
              <w:rPr>
                <w:b/>
              </w:rPr>
            </w:pPr>
            <w:r w:rsidRPr="00053ED2">
              <w:t>R</w:t>
            </w:r>
          </w:p>
        </w:tc>
        <w:tc>
          <w:tcPr>
            <w:tcW w:w="3514" w:type="dxa"/>
          </w:tcPr>
          <w:p w:rsidR="00A86DA7" w:rsidRDefault="00A86DA7" w:rsidP="009F592C">
            <w:pPr>
              <w:pStyle w:val="TableText"/>
              <w:spacing w:after="0"/>
              <w:rPr>
                <w:b/>
              </w:rPr>
            </w:pPr>
            <w:r>
              <w:t>Recommendation</w:t>
            </w:r>
          </w:p>
        </w:tc>
      </w:tr>
      <w:tr w:rsidR="00A86DA7" w:rsidRPr="00F3504E" w:rsidTr="009F592C">
        <w:tc>
          <w:tcPr>
            <w:tcW w:w="1170" w:type="dxa"/>
          </w:tcPr>
          <w:p w:rsidR="00A86DA7" w:rsidRPr="00053ED2" w:rsidRDefault="00A86DA7" w:rsidP="009F592C">
            <w:pPr>
              <w:pStyle w:val="TableText"/>
              <w:spacing w:after="0"/>
            </w:pPr>
            <w:r w:rsidRPr="00053ED2">
              <w:t>ECR</w:t>
            </w:r>
          </w:p>
        </w:tc>
        <w:tc>
          <w:tcPr>
            <w:tcW w:w="3510" w:type="dxa"/>
          </w:tcPr>
          <w:p w:rsidR="00A86DA7" w:rsidRDefault="00A86DA7" w:rsidP="009F592C">
            <w:pPr>
              <w:pStyle w:val="TableText"/>
              <w:spacing w:after="0"/>
              <w:rPr>
                <w:b/>
              </w:rPr>
            </w:pPr>
            <w:r>
              <w:t>Electronic Cash Register</w:t>
            </w:r>
          </w:p>
        </w:tc>
        <w:tc>
          <w:tcPr>
            <w:tcW w:w="1166" w:type="dxa"/>
          </w:tcPr>
          <w:p w:rsidR="00A86DA7" w:rsidRPr="00053ED2" w:rsidRDefault="00A86DA7" w:rsidP="009F592C">
            <w:pPr>
              <w:pStyle w:val="TableText"/>
              <w:spacing w:after="0"/>
              <w:rPr>
                <w:b/>
              </w:rPr>
            </w:pPr>
            <w:r w:rsidRPr="00053ED2">
              <w:t>RMFD</w:t>
            </w:r>
          </w:p>
        </w:tc>
        <w:tc>
          <w:tcPr>
            <w:tcW w:w="3514" w:type="dxa"/>
          </w:tcPr>
          <w:p w:rsidR="00A86DA7" w:rsidRDefault="00A86DA7" w:rsidP="009F592C">
            <w:pPr>
              <w:pStyle w:val="TableText"/>
              <w:spacing w:after="0"/>
              <w:rPr>
                <w:b/>
              </w:rPr>
            </w:pPr>
            <w:r>
              <w:t>Retail Motor Fuel Dispenser</w:t>
            </w:r>
          </w:p>
        </w:tc>
      </w:tr>
      <w:tr w:rsidR="00A86DA7" w:rsidRPr="00F3504E" w:rsidTr="009F592C">
        <w:tc>
          <w:tcPr>
            <w:tcW w:w="1170" w:type="dxa"/>
          </w:tcPr>
          <w:p w:rsidR="00A86DA7" w:rsidRPr="00053ED2" w:rsidRDefault="00A86DA7" w:rsidP="009F592C">
            <w:pPr>
              <w:pStyle w:val="TableText"/>
              <w:spacing w:after="0"/>
            </w:pPr>
            <w:r w:rsidRPr="00053ED2">
              <w:t>FHWA</w:t>
            </w:r>
          </w:p>
        </w:tc>
        <w:tc>
          <w:tcPr>
            <w:tcW w:w="3510" w:type="dxa"/>
          </w:tcPr>
          <w:p w:rsidR="00A86DA7" w:rsidRDefault="00A86DA7" w:rsidP="009F592C">
            <w:pPr>
              <w:pStyle w:val="TableText"/>
              <w:spacing w:after="0"/>
              <w:rPr>
                <w:b/>
              </w:rPr>
            </w:pPr>
            <w:r>
              <w:t>Federal Highway Administration</w:t>
            </w:r>
          </w:p>
        </w:tc>
        <w:tc>
          <w:tcPr>
            <w:tcW w:w="1166" w:type="dxa"/>
          </w:tcPr>
          <w:p w:rsidR="00A86DA7" w:rsidRPr="00053ED2" w:rsidRDefault="00A86DA7" w:rsidP="009F592C">
            <w:pPr>
              <w:pStyle w:val="TableText"/>
              <w:spacing w:after="0"/>
              <w:rPr>
                <w:b/>
              </w:rPr>
            </w:pPr>
            <w:r w:rsidRPr="00053ED2">
              <w:t>S&amp;T</w:t>
            </w:r>
          </w:p>
        </w:tc>
        <w:tc>
          <w:tcPr>
            <w:tcW w:w="3514" w:type="dxa"/>
          </w:tcPr>
          <w:p w:rsidR="00A86DA7" w:rsidRDefault="00A86DA7" w:rsidP="009F592C">
            <w:pPr>
              <w:pStyle w:val="TableText"/>
              <w:spacing w:after="0"/>
              <w:rPr>
                <w:b/>
              </w:rPr>
            </w:pPr>
            <w:r>
              <w:t>Specifications and Tolerances</w:t>
            </w:r>
          </w:p>
        </w:tc>
      </w:tr>
      <w:tr w:rsidR="00A86DA7" w:rsidRPr="00F3504E" w:rsidTr="009F592C">
        <w:tc>
          <w:tcPr>
            <w:tcW w:w="1170" w:type="dxa"/>
          </w:tcPr>
          <w:p w:rsidR="00A86DA7" w:rsidRPr="00053ED2" w:rsidRDefault="00A86DA7" w:rsidP="009F592C">
            <w:pPr>
              <w:pStyle w:val="TableText"/>
              <w:spacing w:after="0"/>
            </w:pPr>
            <w:r w:rsidRPr="00053ED2">
              <w:t>GIPSA</w:t>
            </w:r>
          </w:p>
        </w:tc>
        <w:tc>
          <w:tcPr>
            <w:tcW w:w="3510" w:type="dxa"/>
          </w:tcPr>
          <w:p w:rsidR="00A86DA7" w:rsidRDefault="00A86DA7" w:rsidP="009F592C">
            <w:pPr>
              <w:pStyle w:val="TableText"/>
              <w:spacing w:after="0"/>
              <w:rPr>
                <w:b/>
              </w:rPr>
            </w:pPr>
            <w:r>
              <w:t>Grain Inspection Packers and Stockyard Administration</w:t>
            </w:r>
          </w:p>
        </w:tc>
        <w:tc>
          <w:tcPr>
            <w:tcW w:w="1166" w:type="dxa"/>
          </w:tcPr>
          <w:p w:rsidR="00A86DA7" w:rsidRPr="00053ED2" w:rsidRDefault="00A86DA7" w:rsidP="009F592C">
            <w:pPr>
              <w:pStyle w:val="TableText"/>
              <w:spacing w:after="0"/>
              <w:rPr>
                <w:b/>
              </w:rPr>
            </w:pPr>
            <w:r w:rsidRPr="00053ED2">
              <w:t>SI</w:t>
            </w:r>
          </w:p>
        </w:tc>
        <w:tc>
          <w:tcPr>
            <w:tcW w:w="3514" w:type="dxa"/>
          </w:tcPr>
          <w:p w:rsidR="00A86DA7" w:rsidRDefault="00A86DA7" w:rsidP="009F592C">
            <w:pPr>
              <w:pStyle w:val="TableText"/>
              <w:spacing w:after="0"/>
              <w:rPr>
                <w:b/>
              </w:rPr>
            </w:pPr>
            <w:r>
              <w:t>International System of Units</w:t>
            </w:r>
          </w:p>
        </w:tc>
      </w:tr>
      <w:tr w:rsidR="00A86DA7" w:rsidRPr="00F3504E" w:rsidTr="009F592C">
        <w:tc>
          <w:tcPr>
            <w:tcW w:w="1170" w:type="dxa"/>
          </w:tcPr>
          <w:p w:rsidR="00A86DA7" w:rsidRPr="00053ED2" w:rsidRDefault="00A86DA7" w:rsidP="009F592C">
            <w:pPr>
              <w:pStyle w:val="TableText"/>
              <w:spacing w:after="0"/>
            </w:pPr>
            <w:r w:rsidRPr="00053ED2">
              <w:t>GPS</w:t>
            </w:r>
          </w:p>
        </w:tc>
        <w:tc>
          <w:tcPr>
            <w:tcW w:w="3510" w:type="dxa"/>
          </w:tcPr>
          <w:p w:rsidR="00A86DA7" w:rsidRDefault="00A86DA7" w:rsidP="009F592C">
            <w:pPr>
              <w:pStyle w:val="TableText"/>
              <w:spacing w:after="0"/>
              <w:rPr>
                <w:b/>
              </w:rPr>
            </w:pPr>
            <w:r>
              <w:t>Global Positioning System</w:t>
            </w:r>
          </w:p>
        </w:tc>
        <w:tc>
          <w:tcPr>
            <w:tcW w:w="1166" w:type="dxa"/>
          </w:tcPr>
          <w:p w:rsidR="00A86DA7" w:rsidRPr="00053ED2" w:rsidRDefault="00A86DA7" w:rsidP="009F592C">
            <w:pPr>
              <w:pStyle w:val="TableText"/>
              <w:spacing w:after="0"/>
              <w:rPr>
                <w:b/>
              </w:rPr>
            </w:pPr>
            <w:r w:rsidRPr="00053ED2">
              <w:t>SMA</w:t>
            </w:r>
          </w:p>
        </w:tc>
        <w:tc>
          <w:tcPr>
            <w:tcW w:w="3514" w:type="dxa"/>
          </w:tcPr>
          <w:p w:rsidR="00A86DA7" w:rsidRDefault="00A86DA7" w:rsidP="009F592C">
            <w:pPr>
              <w:pStyle w:val="TableText"/>
              <w:spacing w:after="0"/>
              <w:rPr>
                <w:b/>
              </w:rPr>
            </w:pPr>
            <w:r>
              <w:t>Scale Manufactures Association</w:t>
            </w:r>
          </w:p>
        </w:tc>
      </w:tr>
      <w:tr w:rsidR="00A86DA7" w:rsidRPr="00F3504E" w:rsidTr="009F592C">
        <w:tc>
          <w:tcPr>
            <w:tcW w:w="1170" w:type="dxa"/>
          </w:tcPr>
          <w:p w:rsidR="00A86DA7" w:rsidRPr="00053ED2" w:rsidRDefault="00A86DA7" w:rsidP="009F592C">
            <w:pPr>
              <w:pStyle w:val="TableText"/>
              <w:spacing w:after="0"/>
            </w:pPr>
            <w:r w:rsidRPr="00053ED2">
              <w:t>IATR</w:t>
            </w:r>
          </w:p>
        </w:tc>
        <w:tc>
          <w:tcPr>
            <w:tcW w:w="3510" w:type="dxa"/>
          </w:tcPr>
          <w:p w:rsidR="00A86DA7" w:rsidRDefault="00A86DA7" w:rsidP="009F592C">
            <w:pPr>
              <w:pStyle w:val="TableText"/>
              <w:spacing w:after="0"/>
              <w:rPr>
                <w:b/>
              </w:rPr>
            </w:pPr>
            <w:r>
              <w:t>International Association of Transportation Regulators</w:t>
            </w:r>
          </w:p>
        </w:tc>
        <w:tc>
          <w:tcPr>
            <w:tcW w:w="1166" w:type="dxa"/>
          </w:tcPr>
          <w:p w:rsidR="00A86DA7" w:rsidRPr="00053ED2" w:rsidRDefault="00A86DA7" w:rsidP="009F592C">
            <w:pPr>
              <w:pStyle w:val="TableText"/>
              <w:spacing w:after="0"/>
              <w:rPr>
                <w:b/>
              </w:rPr>
            </w:pPr>
            <w:r w:rsidRPr="00053ED2">
              <w:t>SWMA</w:t>
            </w:r>
          </w:p>
        </w:tc>
        <w:tc>
          <w:tcPr>
            <w:tcW w:w="3514" w:type="dxa"/>
          </w:tcPr>
          <w:p w:rsidR="00A86DA7" w:rsidRDefault="00A86DA7" w:rsidP="009F592C">
            <w:pPr>
              <w:pStyle w:val="TableText"/>
              <w:spacing w:after="0"/>
              <w:rPr>
                <w:b/>
              </w:rPr>
            </w:pPr>
            <w:r>
              <w:t>Southern Weights and Measures Association</w:t>
            </w:r>
          </w:p>
        </w:tc>
      </w:tr>
      <w:tr w:rsidR="00A86DA7" w:rsidRPr="00F3504E" w:rsidTr="009F592C">
        <w:tc>
          <w:tcPr>
            <w:tcW w:w="1170" w:type="dxa"/>
          </w:tcPr>
          <w:p w:rsidR="00A86DA7" w:rsidRPr="00053ED2" w:rsidRDefault="00A86DA7" w:rsidP="009F592C">
            <w:pPr>
              <w:pStyle w:val="TableText"/>
              <w:spacing w:after="0"/>
            </w:pPr>
            <w:r w:rsidRPr="00053ED2">
              <w:t>IEC</w:t>
            </w:r>
          </w:p>
        </w:tc>
        <w:tc>
          <w:tcPr>
            <w:tcW w:w="3510" w:type="dxa"/>
          </w:tcPr>
          <w:p w:rsidR="00A86DA7" w:rsidRDefault="00A86DA7" w:rsidP="009F592C">
            <w:pPr>
              <w:pStyle w:val="TableText"/>
              <w:spacing w:after="0"/>
              <w:rPr>
                <w:b/>
              </w:rPr>
            </w:pPr>
            <w:r>
              <w:t>International Electrotechnical Commission</w:t>
            </w:r>
          </w:p>
        </w:tc>
        <w:tc>
          <w:tcPr>
            <w:tcW w:w="1166" w:type="dxa"/>
          </w:tcPr>
          <w:p w:rsidR="00A86DA7" w:rsidRPr="00053ED2" w:rsidRDefault="00A86DA7" w:rsidP="009F592C">
            <w:pPr>
              <w:pStyle w:val="TableText"/>
              <w:spacing w:after="0"/>
              <w:rPr>
                <w:b/>
              </w:rPr>
            </w:pPr>
            <w:r w:rsidRPr="00053ED2">
              <w:t>TC</w:t>
            </w:r>
          </w:p>
        </w:tc>
        <w:tc>
          <w:tcPr>
            <w:tcW w:w="3514" w:type="dxa"/>
          </w:tcPr>
          <w:p w:rsidR="00A86DA7" w:rsidRDefault="00A86DA7" w:rsidP="009F592C">
            <w:pPr>
              <w:pStyle w:val="TableText"/>
              <w:spacing w:after="0"/>
              <w:rPr>
                <w:b/>
              </w:rPr>
            </w:pPr>
            <w:r>
              <w:t>Technical Committee</w:t>
            </w:r>
          </w:p>
        </w:tc>
      </w:tr>
      <w:tr w:rsidR="00A86DA7" w:rsidRPr="00F3504E" w:rsidTr="009F592C">
        <w:tc>
          <w:tcPr>
            <w:tcW w:w="1170" w:type="dxa"/>
          </w:tcPr>
          <w:p w:rsidR="00A86DA7" w:rsidRPr="00053ED2" w:rsidRDefault="00A86DA7" w:rsidP="009F592C">
            <w:pPr>
              <w:pStyle w:val="TableText"/>
              <w:spacing w:after="0"/>
            </w:pPr>
            <w:r w:rsidRPr="00053ED2">
              <w:t>ISO</w:t>
            </w:r>
          </w:p>
        </w:tc>
        <w:tc>
          <w:tcPr>
            <w:tcW w:w="3510" w:type="dxa"/>
          </w:tcPr>
          <w:p w:rsidR="00A86DA7" w:rsidRDefault="00A86DA7" w:rsidP="009F592C">
            <w:pPr>
              <w:pStyle w:val="TableText"/>
              <w:spacing w:after="0"/>
              <w:rPr>
                <w:b/>
              </w:rPr>
            </w:pPr>
            <w:r>
              <w:t>International Standardization Organization</w:t>
            </w:r>
          </w:p>
        </w:tc>
        <w:tc>
          <w:tcPr>
            <w:tcW w:w="1166" w:type="dxa"/>
          </w:tcPr>
          <w:p w:rsidR="00A86DA7" w:rsidRPr="00053ED2" w:rsidRDefault="00A86DA7" w:rsidP="009F592C">
            <w:pPr>
              <w:pStyle w:val="TableText"/>
              <w:spacing w:after="0"/>
              <w:rPr>
                <w:b/>
              </w:rPr>
            </w:pPr>
            <w:r w:rsidRPr="00053ED2">
              <w:t>USDA</w:t>
            </w:r>
          </w:p>
        </w:tc>
        <w:tc>
          <w:tcPr>
            <w:tcW w:w="3514" w:type="dxa"/>
          </w:tcPr>
          <w:p w:rsidR="00A86DA7" w:rsidRDefault="00CB0AA0" w:rsidP="009F592C">
            <w:pPr>
              <w:pStyle w:val="TableText"/>
              <w:spacing w:after="0"/>
              <w:rPr>
                <w:b/>
              </w:rPr>
            </w:pPr>
            <w:r>
              <w:t>U.S.</w:t>
            </w:r>
            <w:r w:rsidR="00A86DA7">
              <w:t xml:space="preserve"> Department of Agriculture</w:t>
            </w:r>
          </w:p>
        </w:tc>
      </w:tr>
      <w:tr w:rsidR="00A86DA7" w:rsidRPr="00F3504E" w:rsidTr="009F592C">
        <w:tc>
          <w:tcPr>
            <w:tcW w:w="1170" w:type="dxa"/>
          </w:tcPr>
          <w:p w:rsidR="00A86DA7" w:rsidRPr="00053ED2" w:rsidRDefault="00A86DA7" w:rsidP="009F592C">
            <w:pPr>
              <w:pStyle w:val="TableText"/>
              <w:spacing w:after="0"/>
            </w:pPr>
            <w:r w:rsidRPr="00053ED2">
              <w:t>LMD</w:t>
            </w:r>
          </w:p>
        </w:tc>
        <w:tc>
          <w:tcPr>
            <w:tcW w:w="3510" w:type="dxa"/>
          </w:tcPr>
          <w:p w:rsidR="00A86DA7" w:rsidRDefault="00A86DA7" w:rsidP="009F592C">
            <w:pPr>
              <w:pStyle w:val="TableText"/>
              <w:spacing w:after="0"/>
              <w:rPr>
                <w:b/>
              </w:rPr>
            </w:pPr>
            <w:r>
              <w:t>Liquid Measuring Devices</w:t>
            </w:r>
          </w:p>
        </w:tc>
        <w:tc>
          <w:tcPr>
            <w:tcW w:w="1166" w:type="dxa"/>
          </w:tcPr>
          <w:p w:rsidR="00A86DA7" w:rsidRPr="00053ED2" w:rsidRDefault="00A86DA7" w:rsidP="009F592C">
            <w:pPr>
              <w:pStyle w:val="TableText"/>
              <w:spacing w:after="0"/>
              <w:rPr>
                <w:b/>
              </w:rPr>
            </w:pPr>
            <w:r w:rsidRPr="00053ED2">
              <w:t>USNWG</w:t>
            </w:r>
          </w:p>
        </w:tc>
        <w:tc>
          <w:tcPr>
            <w:tcW w:w="3514" w:type="dxa"/>
          </w:tcPr>
          <w:p w:rsidR="00A86DA7" w:rsidRDefault="00A86DA7" w:rsidP="009F592C">
            <w:pPr>
              <w:pStyle w:val="TableText"/>
              <w:spacing w:after="0"/>
              <w:rPr>
                <w:b/>
              </w:rPr>
            </w:pPr>
            <w:r>
              <w:t>U.S. National Work Group</w:t>
            </w:r>
          </w:p>
        </w:tc>
      </w:tr>
      <w:tr w:rsidR="00BC4969" w:rsidRPr="00F3504E" w:rsidTr="009F592C">
        <w:tc>
          <w:tcPr>
            <w:tcW w:w="1170" w:type="dxa"/>
          </w:tcPr>
          <w:p w:rsidR="00BC4969" w:rsidRPr="00053ED2" w:rsidRDefault="00BC4969" w:rsidP="009F592C">
            <w:pPr>
              <w:pStyle w:val="TableText"/>
              <w:spacing w:after="0"/>
            </w:pPr>
            <w:r w:rsidRPr="00053ED2">
              <w:t>MDMD</w:t>
            </w:r>
          </w:p>
        </w:tc>
        <w:tc>
          <w:tcPr>
            <w:tcW w:w="3510" w:type="dxa"/>
          </w:tcPr>
          <w:p w:rsidR="00BC4969" w:rsidRDefault="00BC4969" w:rsidP="009F592C">
            <w:pPr>
              <w:pStyle w:val="TableText"/>
              <w:spacing w:after="0"/>
              <w:rPr>
                <w:b/>
              </w:rPr>
            </w:pPr>
            <w:r>
              <w:t>Multiple Dimensions Measuring Device</w:t>
            </w:r>
          </w:p>
        </w:tc>
        <w:tc>
          <w:tcPr>
            <w:tcW w:w="1166" w:type="dxa"/>
          </w:tcPr>
          <w:p w:rsidR="00BC4969" w:rsidRPr="00053ED2" w:rsidRDefault="00BC4969" w:rsidP="009F592C">
            <w:pPr>
              <w:pStyle w:val="TableText"/>
              <w:spacing w:after="0"/>
              <w:rPr>
                <w:b/>
              </w:rPr>
            </w:pPr>
            <w:r w:rsidRPr="00053ED2">
              <w:t>WIM</w:t>
            </w:r>
          </w:p>
        </w:tc>
        <w:tc>
          <w:tcPr>
            <w:tcW w:w="3514" w:type="dxa"/>
          </w:tcPr>
          <w:p w:rsidR="00BC4969" w:rsidRDefault="00BC4969" w:rsidP="009F592C">
            <w:pPr>
              <w:pStyle w:val="TableText"/>
              <w:spacing w:after="0"/>
              <w:rPr>
                <w:b/>
              </w:rPr>
            </w:pPr>
            <w:r>
              <w:t>Weigh-in-Motion</w:t>
            </w:r>
          </w:p>
        </w:tc>
      </w:tr>
      <w:tr w:rsidR="00BC4969" w:rsidRPr="00F3504E" w:rsidTr="009F592C">
        <w:tc>
          <w:tcPr>
            <w:tcW w:w="1170" w:type="dxa"/>
          </w:tcPr>
          <w:p w:rsidR="00BC4969" w:rsidRPr="00053ED2" w:rsidRDefault="00BC4969" w:rsidP="009F592C">
            <w:pPr>
              <w:pStyle w:val="TableText"/>
              <w:spacing w:after="0"/>
            </w:pPr>
            <w:r w:rsidRPr="00053ED2">
              <w:t>MMA</w:t>
            </w:r>
          </w:p>
        </w:tc>
        <w:tc>
          <w:tcPr>
            <w:tcW w:w="3510" w:type="dxa"/>
          </w:tcPr>
          <w:p w:rsidR="00BC4969" w:rsidRDefault="00BC4969" w:rsidP="009F592C">
            <w:pPr>
              <w:pStyle w:val="TableText"/>
              <w:spacing w:after="0"/>
              <w:rPr>
                <w:b/>
              </w:rPr>
            </w:pPr>
            <w:r>
              <w:t>Meter Manufacturers Association</w:t>
            </w:r>
          </w:p>
        </w:tc>
        <w:tc>
          <w:tcPr>
            <w:tcW w:w="1166" w:type="dxa"/>
          </w:tcPr>
          <w:p w:rsidR="00BC4969" w:rsidRPr="00053ED2" w:rsidRDefault="00BC4969" w:rsidP="009F592C">
            <w:pPr>
              <w:pStyle w:val="TableText"/>
              <w:spacing w:after="0"/>
              <w:rPr>
                <w:b/>
              </w:rPr>
            </w:pPr>
            <w:r w:rsidRPr="00053ED2">
              <w:t>WWMA</w:t>
            </w:r>
          </w:p>
        </w:tc>
        <w:tc>
          <w:tcPr>
            <w:tcW w:w="3514" w:type="dxa"/>
          </w:tcPr>
          <w:p w:rsidR="00BC4969" w:rsidRDefault="00BC4969" w:rsidP="009F592C">
            <w:pPr>
              <w:pStyle w:val="TableText"/>
              <w:spacing w:after="0"/>
              <w:rPr>
                <w:b/>
              </w:rPr>
            </w:pPr>
            <w:r>
              <w:t>Western Weights and Measures Association</w:t>
            </w:r>
          </w:p>
        </w:tc>
      </w:tr>
      <w:tr w:rsidR="00A86DA7" w:rsidRPr="00F3504E" w:rsidTr="009F592C">
        <w:tc>
          <w:tcPr>
            <w:tcW w:w="1170" w:type="dxa"/>
          </w:tcPr>
          <w:p w:rsidR="00A86DA7" w:rsidRPr="00053ED2" w:rsidRDefault="00A86DA7" w:rsidP="009F592C">
            <w:pPr>
              <w:pStyle w:val="TableText"/>
              <w:spacing w:after="0"/>
            </w:pPr>
            <w:r w:rsidRPr="00053ED2">
              <w:lastRenderedPageBreak/>
              <w:t>NACS</w:t>
            </w:r>
          </w:p>
        </w:tc>
        <w:tc>
          <w:tcPr>
            <w:tcW w:w="3510" w:type="dxa"/>
          </w:tcPr>
          <w:p w:rsidR="00A86DA7" w:rsidRDefault="00A86DA7" w:rsidP="009F592C">
            <w:pPr>
              <w:pStyle w:val="TableText"/>
              <w:spacing w:after="0"/>
              <w:rPr>
                <w:b/>
              </w:rPr>
            </w:pPr>
            <w:r>
              <w:t>National Association of Convenience Stores</w:t>
            </w:r>
          </w:p>
        </w:tc>
        <w:tc>
          <w:tcPr>
            <w:tcW w:w="1166" w:type="dxa"/>
          </w:tcPr>
          <w:p w:rsidR="00A86DA7" w:rsidRPr="00053ED2" w:rsidRDefault="00A86DA7" w:rsidP="009F592C">
            <w:pPr>
              <w:pStyle w:val="TableText"/>
              <w:spacing w:after="0"/>
            </w:pPr>
          </w:p>
        </w:tc>
        <w:tc>
          <w:tcPr>
            <w:tcW w:w="3514" w:type="dxa"/>
          </w:tcPr>
          <w:p w:rsidR="00A86DA7" w:rsidRDefault="00A86DA7" w:rsidP="009F592C">
            <w:pPr>
              <w:pStyle w:val="TableText"/>
              <w:spacing w:after="0"/>
            </w:pPr>
          </w:p>
        </w:tc>
      </w:tr>
    </w:tbl>
    <w:p w:rsidR="00D57566" w:rsidRDefault="00D57566"/>
    <w:tbl>
      <w:tblPr>
        <w:tblStyle w:val="TableGrid"/>
        <w:tblW w:w="0" w:type="auto"/>
        <w:tblBorders>
          <w:top w:val="single" w:sz="12" w:space="0" w:color="auto"/>
          <w:left w:val="none" w:sz="0" w:space="0" w:color="auto"/>
          <w:bottom w:val="single" w:sz="12" w:space="0" w:color="auto"/>
          <w:right w:val="none" w:sz="0" w:space="0" w:color="auto"/>
        </w:tblBorders>
        <w:tblCellMar>
          <w:top w:w="43" w:type="dxa"/>
          <w:left w:w="115" w:type="dxa"/>
          <w:bottom w:w="43" w:type="dxa"/>
          <w:right w:w="115" w:type="dxa"/>
        </w:tblCellMar>
        <w:tblLook w:val="04A0" w:firstRow="1" w:lastRow="0" w:firstColumn="1" w:lastColumn="0" w:noHBand="0" w:noVBand="1"/>
      </w:tblPr>
      <w:tblGrid>
        <w:gridCol w:w="9576"/>
      </w:tblGrid>
      <w:tr w:rsidR="00D30C53" w:rsidTr="009D59C4">
        <w:tc>
          <w:tcPr>
            <w:tcW w:w="9576" w:type="dxa"/>
          </w:tcPr>
          <w:p w:rsidR="00D30C53" w:rsidRPr="009F592C" w:rsidRDefault="00C379A2" w:rsidP="009F592C">
            <w:pPr>
              <w:pStyle w:val="TableHeading"/>
              <w:rPr>
                <w:bCs w:val="0"/>
              </w:rPr>
            </w:pPr>
            <w:r w:rsidRPr="009F592C">
              <w:t>Table C</w:t>
            </w:r>
          </w:p>
          <w:p w:rsidR="00C379A2" w:rsidRDefault="00C379A2" w:rsidP="009F592C">
            <w:pPr>
              <w:pStyle w:val="TableHeading"/>
              <w:rPr>
                <w:rFonts w:eastAsia="Times New Roman" w:cs="Times New Roman"/>
                <w:noProof/>
                <w:szCs w:val="20"/>
                <w:lang w:val="en-CA"/>
              </w:rPr>
            </w:pPr>
            <w:r w:rsidRPr="009F592C">
              <w:t>Voting Results</w:t>
            </w:r>
          </w:p>
        </w:tc>
      </w:tr>
    </w:tbl>
    <w:p w:rsidR="00D67867" w:rsidRPr="0037437F" w:rsidRDefault="00D67867" w:rsidP="009F592C">
      <w:pPr>
        <w:keepNext/>
        <w:keepLines/>
        <w:spacing w:after="0"/>
        <w:jc w:val="center"/>
        <w:rPr>
          <w:rFonts w:eastAsia="Times New Roman" w:cs="Times New Roman"/>
          <w:color w:val="000000"/>
          <w:sz w:val="16"/>
          <w:szCs w:val="16"/>
        </w:rPr>
      </w:pPr>
    </w:p>
    <w:tbl>
      <w:tblPr>
        <w:tblW w:w="5030" w:type="pct"/>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2189"/>
        <w:gridCol w:w="1305"/>
        <w:gridCol w:w="7"/>
        <w:gridCol w:w="1163"/>
        <w:gridCol w:w="1170"/>
        <w:gridCol w:w="1251"/>
        <w:gridCol w:w="2563"/>
      </w:tblGrid>
      <w:tr w:rsidR="00D67867" w:rsidRPr="009D59C4" w:rsidTr="009F592C">
        <w:trPr>
          <w:cantSplit/>
          <w:jc w:val="center"/>
        </w:trPr>
        <w:tc>
          <w:tcPr>
            <w:tcW w:w="2189" w:type="dxa"/>
            <w:vMerge w:val="restart"/>
            <w:tcBorders>
              <w:top w:val="double" w:sz="4" w:space="0" w:color="auto"/>
              <w:left w:val="double" w:sz="4" w:space="0" w:color="auto"/>
            </w:tcBorders>
            <w:vAlign w:val="center"/>
          </w:tcPr>
          <w:p w:rsidR="00D67867" w:rsidRPr="009D59C4" w:rsidRDefault="00D67867" w:rsidP="009F592C">
            <w:pPr>
              <w:keepNext/>
              <w:spacing w:after="0"/>
              <w:jc w:val="center"/>
              <w:rPr>
                <w:rFonts w:eastAsia="Times New Roman" w:cs="Times New Roman"/>
                <w:b/>
                <w:bCs/>
                <w:i/>
                <w:iCs/>
                <w:szCs w:val="24"/>
              </w:rPr>
            </w:pPr>
            <w:r w:rsidRPr="009D59C4">
              <w:rPr>
                <w:rFonts w:eastAsia="Times New Roman" w:cs="Times New Roman"/>
                <w:b/>
                <w:bCs/>
                <w:i/>
                <w:iCs/>
                <w:szCs w:val="24"/>
              </w:rPr>
              <w:t>Reference Key Number</w:t>
            </w:r>
          </w:p>
        </w:tc>
        <w:tc>
          <w:tcPr>
            <w:tcW w:w="2475" w:type="dxa"/>
            <w:gridSpan w:val="3"/>
            <w:tcBorders>
              <w:top w:val="double" w:sz="4" w:space="0" w:color="auto"/>
            </w:tcBorders>
            <w:vAlign w:val="center"/>
          </w:tcPr>
          <w:p w:rsidR="00D67867" w:rsidRPr="009D59C4" w:rsidRDefault="00D67867" w:rsidP="009F592C">
            <w:pPr>
              <w:keepNext/>
              <w:spacing w:after="0"/>
              <w:jc w:val="center"/>
              <w:rPr>
                <w:rFonts w:eastAsia="Times New Roman" w:cs="Times New Roman"/>
                <w:b/>
                <w:bCs/>
                <w:i/>
                <w:iCs/>
                <w:szCs w:val="24"/>
              </w:rPr>
            </w:pPr>
            <w:r w:rsidRPr="009D59C4">
              <w:rPr>
                <w:rFonts w:eastAsia="Times New Roman" w:cs="Times New Roman"/>
                <w:b/>
                <w:bCs/>
                <w:i/>
                <w:iCs/>
                <w:szCs w:val="24"/>
              </w:rPr>
              <w:t>House of State Representatives</w:t>
            </w:r>
          </w:p>
        </w:tc>
        <w:tc>
          <w:tcPr>
            <w:tcW w:w="2421" w:type="dxa"/>
            <w:gridSpan w:val="2"/>
            <w:tcBorders>
              <w:top w:val="double" w:sz="4" w:space="0" w:color="auto"/>
            </w:tcBorders>
            <w:vAlign w:val="center"/>
          </w:tcPr>
          <w:p w:rsidR="00D67867" w:rsidRPr="009D59C4" w:rsidRDefault="00D67867" w:rsidP="009F592C">
            <w:pPr>
              <w:keepNext/>
              <w:spacing w:after="0"/>
              <w:jc w:val="center"/>
              <w:rPr>
                <w:rFonts w:eastAsia="Times New Roman" w:cs="Times New Roman"/>
                <w:b/>
                <w:bCs/>
                <w:i/>
                <w:iCs/>
                <w:szCs w:val="24"/>
              </w:rPr>
            </w:pPr>
            <w:r w:rsidRPr="009D59C4">
              <w:rPr>
                <w:rFonts w:eastAsia="Times New Roman" w:cs="Times New Roman"/>
                <w:b/>
                <w:bCs/>
                <w:i/>
                <w:iCs/>
                <w:szCs w:val="24"/>
              </w:rPr>
              <w:t>House of Delegates</w:t>
            </w:r>
          </w:p>
        </w:tc>
        <w:tc>
          <w:tcPr>
            <w:tcW w:w="2563" w:type="dxa"/>
            <w:vMerge w:val="restart"/>
            <w:tcBorders>
              <w:top w:val="double" w:sz="4" w:space="0" w:color="auto"/>
              <w:right w:val="double" w:sz="4" w:space="0" w:color="auto"/>
            </w:tcBorders>
            <w:vAlign w:val="center"/>
          </w:tcPr>
          <w:p w:rsidR="00D67867" w:rsidRPr="009D59C4" w:rsidRDefault="00D67867" w:rsidP="009F592C">
            <w:pPr>
              <w:keepNext/>
              <w:spacing w:after="0"/>
              <w:jc w:val="center"/>
              <w:rPr>
                <w:rFonts w:eastAsia="Times New Roman" w:cs="Times New Roman"/>
                <w:b/>
                <w:bCs/>
                <w:i/>
                <w:iCs/>
                <w:szCs w:val="24"/>
              </w:rPr>
            </w:pPr>
            <w:r w:rsidRPr="009D59C4">
              <w:rPr>
                <w:rFonts w:eastAsia="Times New Roman" w:cs="Times New Roman"/>
                <w:b/>
                <w:bCs/>
                <w:i/>
                <w:iCs/>
                <w:szCs w:val="24"/>
              </w:rPr>
              <w:t>Results</w:t>
            </w:r>
          </w:p>
        </w:tc>
      </w:tr>
      <w:tr w:rsidR="00D67867" w:rsidRPr="009D59C4" w:rsidTr="009F592C">
        <w:trPr>
          <w:cantSplit/>
          <w:jc w:val="center"/>
        </w:trPr>
        <w:tc>
          <w:tcPr>
            <w:tcW w:w="2189" w:type="dxa"/>
            <w:vMerge/>
            <w:tcBorders>
              <w:left w:val="double" w:sz="4" w:space="0" w:color="auto"/>
              <w:bottom w:val="double" w:sz="4" w:space="0" w:color="auto"/>
            </w:tcBorders>
            <w:vAlign w:val="center"/>
          </w:tcPr>
          <w:p w:rsidR="00D67867" w:rsidRPr="009D59C4" w:rsidRDefault="00D67867" w:rsidP="009F592C">
            <w:pPr>
              <w:keepNext/>
              <w:spacing w:after="0"/>
              <w:jc w:val="center"/>
              <w:rPr>
                <w:rFonts w:eastAsia="Times New Roman" w:cs="Times New Roman"/>
                <w:b/>
                <w:bCs/>
                <w:iCs/>
                <w:szCs w:val="24"/>
              </w:rPr>
            </w:pPr>
          </w:p>
        </w:tc>
        <w:tc>
          <w:tcPr>
            <w:tcW w:w="1305" w:type="dxa"/>
            <w:tcBorders>
              <w:bottom w:val="double" w:sz="4" w:space="0" w:color="auto"/>
            </w:tcBorders>
            <w:vAlign w:val="center"/>
          </w:tcPr>
          <w:p w:rsidR="00D67867" w:rsidRPr="009D59C4" w:rsidRDefault="00D67867" w:rsidP="009F592C">
            <w:pPr>
              <w:keepNext/>
              <w:tabs>
                <w:tab w:val="left" w:pos="180"/>
              </w:tabs>
              <w:spacing w:after="0"/>
              <w:ind w:left="90"/>
              <w:jc w:val="center"/>
              <w:rPr>
                <w:rFonts w:eastAsia="Times New Roman" w:cs="Times New Roman"/>
                <w:b/>
                <w:bCs/>
                <w:i/>
                <w:iCs/>
                <w:szCs w:val="24"/>
              </w:rPr>
            </w:pPr>
            <w:r w:rsidRPr="009D59C4">
              <w:rPr>
                <w:rFonts w:eastAsia="Times New Roman" w:cs="Times New Roman"/>
                <w:b/>
                <w:bCs/>
                <w:i/>
                <w:iCs/>
                <w:szCs w:val="24"/>
              </w:rPr>
              <w:t>Yeas</w:t>
            </w:r>
          </w:p>
        </w:tc>
        <w:tc>
          <w:tcPr>
            <w:tcW w:w="1170" w:type="dxa"/>
            <w:gridSpan w:val="2"/>
            <w:tcBorders>
              <w:bottom w:val="double" w:sz="4" w:space="0" w:color="auto"/>
            </w:tcBorders>
            <w:vAlign w:val="center"/>
          </w:tcPr>
          <w:p w:rsidR="00D67867" w:rsidRPr="009D59C4" w:rsidRDefault="00B8095D" w:rsidP="009F592C">
            <w:pPr>
              <w:keepNext/>
              <w:spacing w:after="0"/>
              <w:ind w:left="45"/>
              <w:jc w:val="center"/>
              <w:rPr>
                <w:rFonts w:eastAsia="Times New Roman" w:cs="Times New Roman"/>
                <w:b/>
                <w:bCs/>
                <w:i/>
                <w:iCs/>
                <w:szCs w:val="24"/>
              </w:rPr>
            </w:pPr>
            <w:r w:rsidRPr="009D59C4">
              <w:rPr>
                <w:rFonts w:eastAsia="Times New Roman" w:cs="Times New Roman"/>
                <w:b/>
                <w:bCs/>
                <w:i/>
                <w:iCs/>
                <w:szCs w:val="24"/>
              </w:rPr>
              <w:t>Nays</w:t>
            </w:r>
          </w:p>
        </w:tc>
        <w:tc>
          <w:tcPr>
            <w:tcW w:w="1170" w:type="dxa"/>
            <w:tcBorders>
              <w:bottom w:val="double" w:sz="4" w:space="0" w:color="auto"/>
            </w:tcBorders>
            <w:vAlign w:val="center"/>
          </w:tcPr>
          <w:p w:rsidR="00D67867" w:rsidRPr="009D59C4" w:rsidRDefault="00D67867" w:rsidP="009F592C">
            <w:pPr>
              <w:keepNext/>
              <w:spacing w:after="0"/>
              <w:ind w:left="900" w:hanging="855"/>
              <w:jc w:val="center"/>
              <w:rPr>
                <w:rFonts w:eastAsia="Times New Roman" w:cs="Times New Roman"/>
                <w:b/>
                <w:bCs/>
                <w:i/>
                <w:iCs/>
                <w:szCs w:val="24"/>
              </w:rPr>
            </w:pPr>
            <w:r w:rsidRPr="009D59C4">
              <w:rPr>
                <w:rFonts w:eastAsia="Times New Roman" w:cs="Times New Roman"/>
                <w:b/>
                <w:bCs/>
                <w:i/>
                <w:iCs/>
                <w:szCs w:val="24"/>
              </w:rPr>
              <w:t>Yeas</w:t>
            </w:r>
          </w:p>
        </w:tc>
        <w:tc>
          <w:tcPr>
            <w:tcW w:w="1251" w:type="dxa"/>
            <w:tcBorders>
              <w:bottom w:val="double" w:sz="4" w:space="0" w:color="auto"/>
            </w:tcBorders>
            <w:vAlign w:val="center"/>
          </w:tcPr>
          <w:p w:rsidR="00D67867" w:rsidRPr="009D59C4" w:rsidRDefault="00D67867" w:rsidP="009F592C">
            <w:pPr>
              <w:keepNext/>
              <w:spacing w:after="0"/>
              <w:ind w:left="900" w:hanging="765"/>
              <w:jc w:val="center"/>
              <w:rPr>
                <w:rFonts w:eastAsia="Times New Roman" w:cs="Times New Roman"/>
                <w:b/>
                <w:bCs/>
                <w:i/>
                <w:iCs/>
                <w:szCs w:val="24"/>
              </w:rPr>
            </w:pPr>
            <w:r w:rsidRPr="009D59C4">
              <w:rPr>
                <w:rFonts w:eastAsia="Times New Roman" w:cs="Times New Roman"/>
                <w:b/>
                <w:bCs/>
                <w:i/>
                <w:iCs/>
                <w:szCs w:val="24"/>
              </w:rPr>
              <w:t>Nays</w:t>
            </w:r>
          </w:p>
        </w:tc>
        <w:tc>
          <w:tcPr>
            <w:tcW w:w="2563" w:type="dxa"/>
            <w:vMerge/>
            <w:tcBorders>
              <w:bottom w:val="double" w:sz="4" w:space="0" w:color="auto"/>
              <w:right w:val="double" w:sz="4" w:space="0" w:color="auto"/>
            </w:tcBorders>
            <w:vAlign w:val="center"/>
          </w:tcPr>
          <w:p w:rsidR="00D67867" w:rsidRPr="009D59C4" w:rsidRDefault="00D67867" w:rsidP="009F592C">
            <w:pPr>
              <w:keepNext/>
              <w:spacing w:after="0"/>
              <w:jc w:val="center"/>
              <w:rPr>
                <w:rFonts w:eastAsia="Times New Roman" w:cs="Times New Roman"/>
                <w:b/>
                <w:bCs/>
                <w:iCs/>
                <w:szCs w:val="24"/>
              </w:rPr>
            </w:pPr>
          </w:p>
        </w:tc>
      </w:tr>
      <w:tr w:rsidR="00D67867" w:rsidRPr="009D59C4" w:rsidTr="009F592C">
        <w:trPr>
          <w:trHeight w:val="890"/>
          <w:jc w:val="center"/>
        </w:trPr>
        <w:tc>
          <w:tcPr>
            <w:tcW w:w="2189" w:type="dxa"/>
            <w:tcBorders>
              <w:top w:val="double" w:sz="4" w:space="0" w:color="auto"/>
              <w:left w:val="double" w:sz="4" w:space="0" w:color="auto"/>
            </w:tcBorders>
            <w:tcMar>
              <w:bottom w:w="43" w:type="dxa"/>
            </w:tcMar>
            <w:vAlign w:val="center"/>
          </w:tcPr>
          <w:p w:rsidR="00D67867" w:rsidRPr="009D59C4" w:rsidRDefault="00D67867" w:rsidP="0043528A">
            <w:pPr>
              <w:keepNext/>
              <w:tabs>
                <w:tab w:val="left" w:pos="1556"/>
              </w:tabs>
              <w:spacing w:after="0"/>
              <w:ind w:right="23"/>
              <w:jc w:val="center"/>
              <w:rPr>
                <w:rFonts w:eastAsia="Times New Roman" w:cs="Times New Roman"/>
                <w:iCs/>
                <w:szCs w:val="24"/>
              </w:rPr>
            </w:pPr>
            <w:r w:rsidRPr="009D59C4">
              <w:rPr>
                <w:rFonts w:eastAsia="Times New Roman" w:cs="Times New Roman"/>
                <w:iCs/>
                <w:szCs w:val="24"/>
              </w:rPr>
              <w:t>Consent Calendar:</w:t>
            </w:r>
          </w:p>
          <w:p w:rsidR="00D67867" w:rsidRPr="009D59C4" w:rsidRDefault="00D67867" w:rsidP="0043528A">
            <w:pPr>
              <w:keepNext/>
              <w:tabs>
                <w:tab w:val="left" w:pos="1556"/>
              </w:tabs>
              <w:spacing w:after="0"/>
              <w:ind w:right="23"/>
              <w:jc w:val="center"/>
              <w:rPr>
                <w:rFonts w:eastAsia="Times New Roman" w:cs="Times New Roman"/>
                <w:iCs/>
                <w:szCs w:val="24"/>
              </w:rPr>
            </w:pPr>
            <w:r w:rsidRPr="009D59C4">
              <w:rPr>
                <w:rFonts w:eastAsia="Times New Roman" w:cs="Times New Roman"/>
                <w:iCs/>
                <w:szCs w:val="24"/>
              </w:rPr>
              <w:t>320-4, 320-6, 321-2, 358-1, 359-1</w:t>
            </w:r>
          </w:p>
        </w:tc>
        <w:tc>
          <w:tcPr>
            <w:tcW w:w="1312" w:type="dxa"/>
            <w:gridSpan w:val="2"/>
            <w:tcBorders>
              <w:top w:val="double" w:sz="4" w:space="0" w:color="auto"/>
            </w:tcBorders>
            <w:tcMar>
              <w:bottom w:w="43" w:type="dxa"/>
            </w:tcMar>
            <w:vAlign w:val="center"/>
          </w:tcPr>
          <w:p w:rsidR="00D67867" w:rsidRPr="009D59C4" w:rsidRDefault="00A36DB8" w:rsidP="0043528A">
            <w:pPr>
              <w:keepNext/>
              <w:spacing w:after="0"/>
              <w:jc w:val="center"/>
              <w:rPr>
                <w:rFonts w:eastAsia="Times New Roman" w:cs="Times New Roman"/>
                <w:iCs/>
                <w:szCs w:val="24"/>
              </w:rPr>
            </w:pPr>
            <w:r w:rsidRPr="009D59C4">
              <w:rPr>
                <w:rFonts w:eastAsia="Times New Roman" w:cs="Times New Roman"/>
                <w:iCs/>
                <w:szCs w:val="24"/>
              </w:rPr>
              <w:t>34</w:t>
            </w:r>
          </w:p>
        </w:tc>
        <w:tc>
          <w:tcPr>
            <w:tcW w:w="1163" w:type="dxa"/>
            <w:tcBorders>
              <w:top w:val="double" w:sz="4" w:space="0" w:color="auto"/>
            </w:tcBorders>
            <w:tcMar>
              <w:bottom w:w="43" w:type="dxa"/>
            </w:tcMar>
            <w:vAlign w:val="center"/>
          </w:tcPr>
          <w:p w:rsidR="00D67867" w:rsidRPr="009D59C4" w:rsidRDefault="00A36DB8" w:rsidP="0043528A">
            <w:pPr>
              <w:keepNext/>
              <w:spacing w:after="0"/>
              <w:ind w:right="-63"/>
              <w:jc w:val="center"/>
              <w:rPr>
                <w:rFonts w:eastAsia="Times New Roman" w:cs="Times New Roman"/>
                <w:iCs/>
                <w:szCs w:val="24"/>
              </w:rPr>
            </w:pPr>
            <w:r w:rsidRPr="009D59C4">
              <w:rPr>
                <w:rFonts w:eastAsia="Times New Roman" w:cs="Times New Roman"/>
                <w:iCs/>
                <w:szCs w:val="24"/>
              </w:rPr>
              <w:t>0</w:t>
            </w:r>
          </w:p>
        </w:tc>
        <w:tc>
          <w:tcPr>
            <w:tcW w:w="1170" w:type="dxa"/>
            <w:tcBorders>
              <w:top w:val="double" w:sz="4" w:space="0" w:color="auto"/>
            </w:tcBorders>
            <w:tcMar>
              <w:bottom w:w="43" w:type="dxa"/>
            </w:tcMar>
            <w:vAlign w:val="center"/>
          </w:tcPr>
          <w:p w:rsidR="00D67867" w:rsidRPr="009D59C4" w:rsidRDefault="00A36DB8" w:rsidP="0043528A">
            <w:pPr>
              <w:keepNext/>
              <w:spacing w:after="0"/>
              <w:jc w:val="center"/>
              <w:rPr>
                <w:rFonts w:eastAsia="Times New Roman" w:cs="Times New Roman"/>
                <w:iCs/>
                <w:szCs w:val="24"/>
              </w:rPr>
            </w:pPr>
            <w:r w:rsidRPr="009D59C4">
              <w:rPr>
                <w:rFonts w:eastAsia="Times New Roman" w:cs="Times New Roman"/>
                <w:iCs/>
                <w:szCs w:val="24"/>
              </w:rPr>
              <w:t>41</w:t>
            </w:r>
          </w:p>
        </w:tc>
        <w:tc>
          <w:tcPr>
            <w:tcW w:w="1251" w:type="dxa"/>
            <w:tcBorders>
              <w:top w:val="double" w:sz="4" w:space="0" w:color="auto"/>
            </w:tcBorders>
            <w:tcMar>
              <w:bottom w:w="43" w:type="dxa"/>
            </w:tcMar>
            <w:vAlign w:val="center"/>
          </w:tcPr>
          <w:p w:rsidR="00D67867" w:rsidRPr="009D59C4" w:rsidRDefault="00A36DB8" w:rsidP="0043528A">
            <w:pPr>
              <w:keepNext/>
              <w:spacing w:after="0"/>
              <w:ind w:right="-12"/>
              <w:jc w:val="center"/>
              <w:rPr>
                <w:rFonts w:eastAsia="Times New Roman" w:cs="Times New Roman"/>
                <w:iCs/>
                <w:szCs w:val="24"/>
              </w:rPr>
            </w:pPr>
            <w:r w:rsidRPr="009D59C4">
              <w:rPr>
                <w:rFonts w:eastAsia="Times New Roman" w:cs="Times New Roman"/>
                <w:iCs/>
                <w:szCs w:val="24"/>
              </w:rPr>
              <w:t>0</w:t>
            </w:r>
          </w:p>
        </w:tc>
        <w:tc>
          <w:tcPr>
            <w:tcW w:w="2563" w:type="dxa"/>
            <w:tcBorders>
              <w:top w:val="double" w:sz="4" w:space="0" w:color="auto"/>
              <w:right w:val="double" w:sz="4" w:space="0" w:color="auto"/>
            </w:tcBorders>
            <w:tcMar>
              <w:bottom w:w="43" w:type="dxa"/>
            </w:tcMar>
            <w:vAlign w:val="center"/>
          </w:tcPr>
          <w:p w:rsidR="00D67867" w:rsidRPr="009D59C4" w:rsidRDefault="00D67867" w:rsidP="00B8095D">
            <w:pPr>
              <w:keepNext/>
              <w:spacing w:after="0"/>
              <w:jc w:val="center"/>
              <w:rPr>
                <w:rFonts w:eastAsia="Times New Roman" w:cs="Times New Roman"/>
                <w:b/>
                <w:iCs/>
                <w:szCs w:val="24"/>
              </w:rPr>
            </w:pPr>
            <w:r w:rsidRPr="009D59C4">
              <w:rPr>
                <w:rFonts w:eastAsia="Times New Roman" w:cs="Times New Roman"/>
                <w:iCs/>
                <w:szCs w:val="24"/>
              </w:rPr>
              <w:t>Adopted</w:t>
            </w:r>
          </w:p>
        </w:tc>
      </w:tr>
      <w:tr w:rsidR="00D67867" w:rsidRPr="009D59C4" w:rsidTr="009F592C">
        <w:trPr>
          <w:jc w:val="center"/>
        </w:trPr>
        <w:tc>
          <w:tcPr>
            <w:tcW w:w="2189" w:type="dxa"/>
            <w:tcBorders>
              <w:left w:val="doub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r w:rsidRPr="009D59C4">
              <w:rPr>
                <w:rFonts w:eastAsia="Times New Roman" w:cs="Times New Roman"/>
                <w:szCs w:val="24"/>
              </w:rPr>
              <w:t>320-3</w:t>
            </w:r>
          </w:p>
        </w:tc>
        <w:tc>
          <w:tcPr>
            <w:tcW w:w="1312" w:type="dxa"/>
            <w:gridSpan w:val="2"/>
            <w:tcBorders>
              <w:bottom w:val="single" w:sz="4" w:space="0" w:color="auto"/>
            </w:tcBorders>
            <w:tcMar>
              <w:bottom w:w="43" w:type="dxa"/>
            </w:tcMar>
            <w:vAlign w:val="center"/>
          </w:tcPr>
          <w:p w:rsidR="00D67867" w:rsidRPr="009D59C4" w:rsidRDefault="00A36DB8" w:rsidP="0043528A">
            <w:pPr>
              <w:keepNext/>
              <w:spacing w:after="0"/>
              <w:jc w:val="center"/>
              <w:rPr>
                <w:rFonts w:eastAsia="Times New Roman" w:cs="Times New Roman"/>
                <w:szCs w:val="24"/>
              </w:rPr>
            </w:pPr>
            <w:r w:rsidRPr="009D59C4">
              <w:rPr>
                <w:rFonts w:eastAsia="Times New Roman" w:cs="Times New Roman"/>
                <w:szCs w:val="24"/>
              </w:rPr>
              <w:t>34</w:t>
            </w:r>
          </w:p>
        </w:tc>
        <w:tc>
          <w:tcPr>
            <w:tcW w:w="1163" w:type="dxa"/>
            <w:tcBorders>
              <w:bottom w:val="single" w:sz="4" w:space="0" w:color="auto"/>
            </w:tcBorders>
            <w:tcMar>
              <w:bottom w:w="43" w:type="dxa"/>
            </w:tcMar>
            <w:vAlign w:val="center"/>
          </w:tcPr>
          <w:p w:rsidR="00D67867" w:rsidRPr="009D59C4" w:rsidRDefault="00A36DB8" w:rsidP="0043528A">
            <w:pPr>
              <w:keepNext/>
              <w:spacing w:after="0"/>
              <w:ind w:right="-63"/>
              <w:jc w:val="center"/>
              <w:rPr>
                <w:rFonts w:eastAsia="Times New Roman" w:cs="Times New Roman"/>
                <w:szCs w:val="24"/>
              </w:rPr>
            </w:pPr>
            <w:r w:rsidRPr="009D59C4">
              <w:rPr>
                <w:rFonts w:eastAsia="Times New Roman" w:cs="Times New Roman"/>
                <w:szCs w:val="24"/>
              </w:rPr>
              <w:t>0</w:t>
            </w:r>
          </w:p>
        </w:tc>
        <w:tc>
          <w:tcPr>
            <w:tcW w:w="1170" w:type="dxa"/>
            <w:tcBorders>
              <w:bottom w:val="single" w:sz="4" w:space="0" w:color="auto"/>
            </w:tcBorders>
            <w:tcMar>
              <w:bottom w:w="43" w:type="dxa"/>
            </w:tcMar>
            <w:vAlign w:val="center"/>
          </w:tcPr>
          <w:p w:rsidR="00D67867" w:rsidRPr="009D59C4" w:rsidRDefault="00A36DB8" w:rsidP="0043528A">
            <w:pPr>
              <w:keepNext/>
              <w:spacing w:after="0"/>
              <w:jc w:val="center"/>
              <w:rPr>
                <w:rFonts w:eastAsia="Times New Roman" w:cs="Times New Roman"/>
                <w:szCs w:val="24"/>
              </w:rPr>
            </w:pPr>
            <w:r w:rsidRPr="009D59C4">
              <w:rPr>
                <w:rFonts w:eastAsia="Times New Roman" w:cs="Times New Roman"/>
                <w:szCs w:val="24"/>
              </w:rPr>
              <w:t>43</w:t>
            </w:r>
          </w:p>
        </w:tc>
        <w:tc>
          <w:tcPr>
            <w:tcW w:w="1251" w:type="dxa"/>
            <w:tcBorders>
              <w:bottom w:val="single" w:sz="4" w:space="0" w:color="auto"/>
            </w:tcBorders>
            <w:tcMar>
              <w:bottom w:w="43" w:type="dxa"/>
            </w:tcMar>
            <w:vAlign w:val="center"/>
          </w:tcPr>
          <w:p w:rsidR="00D67867" w:rsidRPr="009D59C4" w:rsidRDefault="00A36DB8" w:rsidP="0043528A">
            <w:pPr>
              <w:keepNext/>
              <w:spacing w:after="0"/>
              <w:ind w:right="-12"/>
              <w:jc w:val="center"/>
              <w:rPr>
                <w:rFonts w:eastAsia="Times New Roman" w:cs="Times New Roman"/>
                <w:szCs w:val="24"/>
              </w:rPr>
            </w:pPr>
            <w:r w:rsidRPr="009D59C4">
              <w:rPr>
                <w:rFonts w:eastAsia="Times New Roman" w:cs="Times New Roman"/>
                <w:szCs w:val="24"/>
              </w:rPr>
              <w:t>0</w:t>
            </w:r>
          </w:p>
        </w:tc>
        <w:tc>
          <w:tcPr>
            <w:tcW w:w="2563" w:type="dxa"/>
            <w:tcBorders>
              <w:bottom w:val="single" w:sz="4" w:space="0" w:color="auto"/>
              <w:right w:val="double" w:sz="4" w:space="0" w:color="auto"/>
            </w:tcBorders>
            <w:tcMar>
              <w:bottom w:w="43" w:type="dxa"/>
            </w:tcMar>
          </w:tcPr>
          <w:p w:rsidR="00D67867" w:rsidRPr="009D59C4" w:rsidRDefault="00D67867" w:rsidP="00B8095D">
            <w:pPr>
              <w:keepNext/>
              <w:spacing w:after="0"/>
              <w:jc w:val="center"/>
              <w:rPr>
                <w:rFonts w:eastAsia="Times New Roman" w:cs="Times New Roman"/>
                <w:b/>
                <w:iCs/>
                <w:szCs w:val="24"/>
              </w:rPr>
            </w:pPr>
            <w:r w:rsidRPr="009D59C4">
              <w:rPr>
                <w:rFonts w:eastAsia="Times New Roman" w:cs="Times New Roman"/>
                <w:iCs/>
                <w:szCs w:val="24"/>
              </w:rPr>
              <w:t>Adopted</w:t>
            </w:r>
          </w:p>
        </w:tc>
      </w:tr>
      <w:tr w:rsidR="00D67867" w:rsidRPr="009D59C4" w:rsidTr="009F592C">
        <w:trPr>
          <w:jc w:val="center"/>
        </w:trPr>
        <w:tc>
          <w:tcPr>
            <w:tcW w:w="2189" w:type="dxa"/>
            <w:tcBorders>
              <w:left w:val="double" w:sz="4" w:space="0" w:color="auto"/>
              <w:bottom w:val="single" w:sz="4" w:space="0" w:color="auto"/>
            </w:tcBorders>
            <w:tcMar>
              <w:bottom w:w="43" w:type="dxa"/>
            </w:tcMar>
            <w:vAlign w:val="center"/>
          </w:tcPr>
          <w:p w:rsidR="00D67867" w:rsidRPr="009D59C4" w:rsidRDefault="00D67867" w:rsidP="00B8095D">
            <w:pPr>
              <w:keepNext/>
              <w:spacing w:after="0"/>
              <w:jc w:val="center"/>
              <w:rPr>
                <w:rFonts w:eastAsia="Times New Roman" w:cs="Times New Roman"/>
                <w:b/>
                <w:szCs w:val="24"/>
              </w:rPr>
            </w:pPr>
            <w:r w:rsidRPr="009D59C4">
              <w:rPr>
                <w:rFonts w:eastAsia="Times New Roman" w:cs="Times New Roman"/>
                <w:szCs w:val="24"/>
              </w:rPr>
              <w:t>321-1</w:t>
            </w:r>
          </w:p>
        </w:tc>
        <w:tc>
          <w:tcPr>
            <w:tcW w:w="1312" w:type="dxa"/>
            <w:gridSpan w:val="2"/>
            <w:tcBorders>
              <w:bottom w:val="single" w:sz="4" w:space="0" w:color="auto"/>
            </w:tcBorders>
            <w:tcMar>
              <w:bottom w:w="43" w:type="dxa"/>
            </w:tcMar>
            <w:vAlign w:val="center"/>
          </w:tcPr>
          <w:p w:rsidR="00D67867" w:rsidRPr="009D59C4" w:rsidRDefault="00A36DB8" w:rsidP="0043528A">
            <w:pPr>
              <w:keepNext/>
              <w:spacing w:after="0"/>
              <w:jc w:val="center"/>
              <w:rPr>
                <w:rFonts w:eastAsia="Times New Roman" w:cs="Times New Roman"/>
                <w:szCs w:val="24"/>
              </w:rPr>
            </w:pPr>
            <w:r w:rsidRPr="009D59C4">
              <w:rPr>
                <w:rFonts w:eastAsia="Times New Roman" w:cs="Times New Roman"/>
                <w:szCs w:val="24"/>
              </w:rPr>
              <w:t>34</w:t>
            </w:r>
          </w:p>
        </w:tc>
        <w:tc>
          <w:tcPr>
            <w:tcW w:w="1163" w:type="dxa"/>
            <w:tcBorders>
              <w:bottom w:val="single" w:sz="4" w:space="0" w:color="auto"/>
            </w:tcBorders>
            <w:tcMar>
              <w:bottom w:w="43" w:type="dxa"/>
            </w:tcMar>
            <w:vAlign w:val="center"/>
          </w:tcPr>
          <w:p w:rsidR="00D67867" w:rsidRPr="009D59C4" w:rsidRDefault="00A36DB8" w:rsidP="0043528A">
            <w:pPr>
              <w:keepNext/>
              <w:spacing w:after="0"/>
              <w:ind w:right="-63"/>
              <w:jc w:val="center"/>
              <w:rPr>
                <w:rFonts w:eastAsia="Times New Roman" w:cs="Times New Roman"/>
                <w:szCs w:val="24"/>
              </w:rPr>
            </w:pPr>
            <w:r w:rsidRPr="009D59C4">
              <w:rPr>
                <w:rFonts w:eastAsia="Times New Roman" w:cs="Times New Roman"/>
                <w:szCs w:val="24"/>
              </w:rPr>
              <w:t>0</w:t>
            </w:r>
          </w:p>
        </w:tc>
        <w:tc>
          <w:tcPr>
            <w:tcW w:w="1170" w:type="dxa"/>
            <w:tcBorders>
              <w:bottom w:val="single" w:sz="4" w:space="0" w:color="auto"/>
            </w:tcBorders>
            <w:tcMar>
              <w:bottom w:w="43" w:type="dxa"/>
            </w:tcMar>
            <w:vAlign w:val="center"/>
          </w:tcPr>
          <w:p w:rsidR="00D67867" w:rsidRPr="009D59C4" w:rsidRDefault="00A36DB8" w:rsidP="0043528A">
            <w:pPr>
              <w:keepNext/>
              <w:spacing w:after="0"/>
              <w:jc w:val="center"/>
              <w:rPr>
                <w:rFonts w:eastAsia="Times New Roman" w:cs="Times New Roman"/>
                <w:szCs w:val="24"/>
              </w:rPr>
            </w:pPr>
            <w:r w:rsidRPr="009D59C4">
              <w:rPr>
                <w:rFonts w:eastAsia="Times New Roman" w:cs="Times New Roman"/>
                <w:szCs w:val="24"/>
              </w:rPr>
              <w:t>43</w:t>
            </w:r>
          </w:p>
        </w:tc>
        <w:tc>
          <w:tcPr>
            <w:tcW w:w="1251" w:type="dxa"/>
            <w:tcBorders>
              <w:bottom w:val="single" w:sz="4" w:space="0" w:color="auto"/>
            </w:tcBorders>
            <w:tcMar>
              <w:bottom w:w="43" w:type="dxa"/>
            </w:tcMar>
            <w:vAlign w:val="center"/>
          </w:tcPr>
          <w:p w:rsidR="00D67867" w:rsidRPr="009D59C4" w:rsidRDefault="00A36DB8" w:rsidP="0043528A">
            <w:pPr>
              <w:keepNext/>
              <w:spacing w:after="0"/>
              <w:ind w:right="-12"/>
              <w:jc w:val="center"/>
              <w:rPr>
                <w:rFonts w:eastAsia="Times New Roman" w:cs="Times New Roman"/>
                <w:szCs w:val="24"/>
              </w:rPr>
            </w:pPr>
            <w:r w:rsidRPr="009D59C4">
              <w:rPr>
                <w:rFonts w:eastAsia="Times New Roman" w:cs="Times New Roman"/>
                <w:szCs w:val="24"/>
              </w:rPr>
              <w:t>0</w:t>
            </w:r>
          </w:p>
        </w:tc>
        <w:tc>
          <w:tcPr>
            <w:tcW w:w="2563" w:type="dxa"/>
            <w:tcBorders>
              <w:bottom w:val="single" w:sz="4" w:space="0" w:color="auto"/>
              <w:right w:val="double" w:sz="4" w:space="0" w:color="auto"/>
            </w:tcBorders>
            <w:tcMar>
              <w:bottom w:w="43" w:type="dxa"/>
            </w:tcMar>
          </w:tcPr>
          <w:p w:rsidR="00D67867" w:rsidRPr="009D59C4" w:rsidRDefault="00D67867" w:rsidP="00B8095D">
            <w:pPr>
              <w:keepNext/>
              <w:spacing w:after="0"/>
              <w:jc w:val="center"/>
              <w:rPr>
                <w:rFonts w:eastAsia="Times New Roman" w:cs="Times New Roman"/>
                <w:b/>
                <w:iCs/>
                <w:szCs w:val="24"/>
              </w:rPr>
            </w:pPr>
            <w:r w:rsidRPr="009D59C4">
              <w:rPr>
                <w:rFonts w:eastAsia="Times New Roman" w:cs="Times New Roman"/>
                <w:iCs/>
                <w:szCs w:val="24"/>
              </w:rPr>
              <w:t>Adopted</w:t>
            </w:r>
          </w:p>
        </w:tc>
      </w:tr>
      <w:tr w:rsidR="00D67867" w:rsidRPr="009D59C4" w:rsidTr="009F592C">
        <w:trPr>
          <w:jc w:val="center"/>
        </w:trPr>
        <w:tc>
          <w:tcPr>
            <w:tcW w:w="2189" w:type="dxa"/>
            <w:tcBorders>
              <w:left w:val="double" w:sz="4" w:space="0" w:color="auto"/>
              <w:bottom w:val="single" w:sz="4" w:space="0" w:color="auto"/>
            </w:tcBorders>
            <w:tcMar>
              <w:bottom w:w="43" w:type="dxa"/>
            </w:tcMar>
            <w:vAlign w:val="center"/>
          </w:tcPr>
          <w:p w:rsidR="00D67867" w:rsidRPr="009D59C4" w:rsidRDefault="00D67867" w:rsidP="00B8095D">
            <w:pPr>
              <w:keepNext/>
              <w:spacing w:after="0"/>
              <w:jc w:val="center"/>
              <w:rPr>
                <w:rFonts w:eastAsia="Times New Roman" w:cs="Times New Roman"/>
                <w:b/>
                <w:szCs w:val="24"/>
              </w:rPr>
            </w:pPr>
            <w:r w:rsidRPr="009D59C4">
              <w:rPr>
                <w:rFonts w:eastAsia="Times New Roman" w:cs="Times New Roman"/>
                <w:szCs w:val="24"/>
              </w:rPr>
              <w:t xml:space="preserve">330-1 (Items 330-2 through 330-6 were consolidated into 330-1 and voted on as a single item) </w:t>
            </w:r>
          </w:p>
        </w:tc>
        <w:tc>
          <w:tcPr>
            <w:tcW w:w="1312" w:type="dxa"/>
            <w:gridSpan w:val="2"/>
            <w:tcBorders>
              <w:bottom w:val="single" w:sz="4" w:space="0" w:color="auto"/>
            </w:tcBorders>
            <w:tcMar>
              <w:bottom w:w="43" w:type="dxa"/>
            </w:tcMar>
            <w:vAlign w:val="center"/>
          </w:tcPr>
          <w:p w:rsidR="00D67867" w:rsidRPr="009D59C4" w:rsidRDefault="00A36DB8" w:rsidP="0043528A">
            <w:pPr>
              <w:keepNext/>
              <w:spacing w:after="0"/>
              <w:jc w:val="center"/>
              <w:rPr>
                <w:rFonts w:eastAsia="Times New Roman" w:cs="Times New Roman"/>
                <w:szCs w:val="24"/>
              </w:rPr>
            </w:pPr>
            <w:r w:rsidRPr="009D59C4">
              <w:rPr>
                <w:rFonts w:eastAsia="Times New Roman" w:cs="Times New Roman"/>
                <w:szCs w:val="24"/>
              </w:rPr>
              <w:t>31</w:t>
            </w:r>
          </w:p>
        </w:tc>
        <w:tc>
          <w:tcPr>
            <w:tcW w:w="1163" w:type="dxa"/>
            <w:tcBorders>
              <w:bottom w:val="single" w:sz="4" w:space="0" w:color="auto"/>
            </w:tcBorders>
            <w:tcMar>
              <w:bottom w:w="43" w:type="dxa"/>
            </w:tcMar>
            <w:vAlign w:val="center"/>
          </w:tcPr>
          <w:p w:rsidR="00D67867" w:rsidRPr="009D59C4" w:rsidRDefault="00A36DB8" w:rsidP="0043528A">
            <w:pPr>
              <w:keepNext/>
              <w:spacing w:after="0"/>
              <w:ind w:right="-63"/>
              <w:jc w:val="center"/>
              <w:rPr>
                <w:rFonts w:eastAsia="Times New Roman" w:cs="Times New Roman"/>
                <w:szCs w:val="24"/>
              </w:rPr>
            </w:pPr>
            <w:r w:rsidRPr="009D59C4">
              <w:rPr>
                <w:rFonts w:eastAsia="Times New Roman" w:cs="Times New Roman"/>
                <w:szCs w:val="24"/>
              </w:rPr>
              <w:t>0</w:t>
            </w:r>
          </w:p>
        </w:tc>
        <w:tc>
          <w:tcPr>
            <w:tcW w:w="1170" w:type="dxa"/>
            <w:tcBorders>
              <w:bottom w:val="single" w:sz="4" w:space="0" w:color="auto"/>
            </w:tcBorders>
            <w:tcMar>
              <w:bottom w:w="43" w:type="dxa"/>
            </w:tcMar>
            <w:vAlign w:val="center"/>
          </w:tcPr>
          <w:p w:rsidR="00D67867" w:rsidRPr="009D59C4" w:rsidRDefault="00A36DB8" w:rsidP="0043528A">
            <w:pPr>
              <w:keepNext/>
              <w:spacing w:after="0"/>
              <w:jc w:val="center"/>
              <w:rPr>
                <w:rFonts w:eastAsia="Times New Roman" w:cs="Times New Roman"/>
                <w:szCs w:val="24"/>
              </w:rPr>
            </w:pPr>
            <w:r w:rsidRPr="009D59C4">
              <w:rPr>
                <w:rFonts w:eastAsia="Times New Roman" w:cs="Times New Roman"/>
                <w:szCs w:val="24"/>
              </w:rPr>
              <w:t>43</w:t>
            </w:r>
          </w:p>
        </w:tc>
        <w:tc>
          <w:tcPr>
            <w:tcW w:w="1251" w:type="dxa"/>
            <w:tcBorders>
              <w:bottom w:val="single" w:sz="4" w:space="0" w:color="auto"/>
            </w:tcBorders>
            <w:tcMar>
              <w:bottom w:w="43" w:type="dxa"/>
            </w:tcMar>
            <w:vAlign w:val="center"/>
          </w:tcPr>
          <w:p w:rsidR="00D67867" w:rsidRPr="009D59C4" w:rsidRDefault="00A36DB8" w:rsidP="0043528A">
            <w:pPr>
              <w:keepNext/>
              <w:spacing w:after="0"/>
              <w:ind w:right="-12"/>
              <w:jc w:val="center"/>
              <w:rPr>
                <w:rFonts w:eastAsia="Times New Roman" w:cs="Times New Roman"/>
                <w:szCs w:val="24"/>
              </w:rPr>
            </w:pPr>
            <w:r w:rsidRPr="009D59C4">
              <w:rPr>
                <w:rFonts w:eastAsia="Times New Roman" w:cs="Times New Roman"/>
                <w:szCs w:val="24"/>
              </w:rPr>
              <w:t>0</w:t>
            </w:r>
          </w:p>
        </w:tc>
        <w:tc>
          <w:tcPr>
            <w:tcW w:w="2563" w:type="dxa"/>
            <w:tcBorders>
              <w:bottom w:val="single" w:sz="4" w:space="0" w:color="auto"/>
              <w:right w:val="double" w:sz="4" w:space="0" w:color="auto"/>
            </w:tcBorders>
            <w:tcMar>
              <w:bottom w:w="43" w:type="dxa"/>
            </w:tcMar>
          </w:tcPr>
          <w:p w:rsidR="00D67867" w:rsidRPr="009D59C4" w:rsidRDefault="00D67867" w:rsidP="00B8095D">
            <w:pPr>
              <w:keepNext/>
              <w:spacing w:after="0"/>
              <w:jc w:val="center"/>
              <w:rPr>
                <w:rFonts w:eastAsia="Times New Roman" w:cs="Times New Roman"/>
                <w:b/>
                <w:iCs/>
                <w:szCs w:val="24"/>
              </w:rPr>
            </w:pPr>
            <w:r w:rsidRPr="009D59C4">
              <w:rPr>
                <w:rFonts w:eastAsia="Times New Roman" w:cs="Times New Roman"/>
                <w:iCs/>
                <w:szCs w:val="24"/>
              </w:rPr>
              <w:t>Adopted</w:t>
            </w:r>
          </w:p>
        </w:tc>
      </w:tr>
      <w:tr w:rsidR="00D67867" w:rsidRPr="009D59C4" w:rsidTr="009F592C">
        <w:trPr>
          <w:jc w:val="center"/>
        </w:trPr>
        <w:tc>
          <w:tcPr>
            <w:tcW w:w="2189" w:type="dxa"/>
            <w:tcBorders>
              <w:top w:val="single" w:sz="4" w:space="0" w:color="auto"/>
              <w:left w:val="double" w:sz="4" w:space="0" w:color="auto"/>
              <w:bottom w:val="single" w:sz="4" w:space="0" w:color="auto"/>
            </w:tcBorders>
            <w:tcMar>
              <w:bottom w:w="43" w:type="dxa"/>
            </w:tcMar>
            <w:vAlign w:val="center"/>
          </w:tcPr>
          <w:p w:rsidR="00D67867" w:rsidRPr="009D59C4" w:rsidRDefault="00D67867" w:rsidP="00B8095D">
            <w:pPr>
              <w:keepNext/>
              <w:spacing w:after="0"/>
              <w:jc w:val="center"/>
              <w:rPr>
                <w:rFonts w:eastAsia="Times New Roman" w:cs="Times New Roman"/>
                <w:b/>
                <w:szCs w:val="24"/>
              </w:rPr>
            </w:pPr>
            <w:r w:rsidRPr="009D59C4">
              <w:rPr>
                <w:rFonts w:eastAsia="Times New Roman" w:cs="Times New Roman"/>
                <w:szCs w:val="24"/>
              </w:rPr>
              <w:t>330-2</w:t>
            </w:r>
          </w:p>
        </w:tc>
        <w:tc>
          <w:tcPr>
            <w:tcW w:w="1312" w:type="dxa"/>
            <w:gridSpan w:val="2"/>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163"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63"/>
              <w:jc w:val="center"/>
              <w:rPr>
                <w:rFonts w:eastAsia="Times New Roman" w:cs="Times New Roman"/>
                <w:szCs w:val="24"/>
              </w:rPr>
            </w:pPr>
          </w:p>
        </w:tc>
        <w:tc>
          <w:tcPr>
            <w:tcW w:w="1170"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251"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12"/>
              <w:jc w:val="center"/>
              <w:rPr>
                <w:rFonts w:eastAsia="Times New Roman" w:cs="Times New Roman"/>
                <w:szCs w:val="24"/>
              </w:rPr>
            </w:pPr>
          </w:p>
        </w:tc>
        <w:tc>
          <w:tcPr>
            <w:tcW w:w="2563" w:type="dxa"/>
            <w:tcBorders>
              <w:top w:val="single" w:sz="4" w:space="0" w:color="auto"/>
              <w:bottom w:val="single" w:sz="4" w:space="0" w:color="auto"/>
              <w:right w:val="double" w:sz="4" w:space="0" w:color="auto"/>
            </w:tcBorders>
            <w:tcMar>
              <w:bottom w:w="43" w:type="dxa"/>
            </w:tcMar>
            <w:vAlign w:val="center"/>
          </w:tcPr>
          <w:p w:rsidR="00D67867" w:rsidRPr="009D59C4" w:rsidRDefault="00D67867" w:rsidP="00B8095D">
            <w:pPr>
              <w:keepNext/>
              <w:spacing w:after="0"/>
              <w:jc w:val="center"/>
              <w:rPr>
                <w:rFonts w:eastAsia="Times New Roman" w:cs="Times New Roman"/>
                <w:b/>
                <w:szCs w:val="24"/>
              </w:rPr>
            </w:pPr>
            <w:r w:rsidRPr="009D59C4">
              <w:rPr>
                <w:rFonts w:eastAsia="Times New Roman" w:cs="Times New Roman"/>
                <w:szCs w:val="24"/>
              </w:rPr>
              <w:t>Consolidated into 330-1</w:t>
            </w:r>
          </w:p>
        </w:tc>
      </w:tr>
      <w:tr w:rsidR="00D67867" w:rsidRPr="009D59C4" w:rsidTr="009F592C">
        <w:trPr>
          <w:jc w:val="center"/>
        </w:trPr>
        <w:tc>
          <w:tcPr>
            <w:tcW w:w="2189" w:type="dxa"/>
            <w:tcBorders>
              <w:top w:val="single" w:sz="4" w:space="0" w:color="auto"/>
              <w:left w:val="double" w:sz="4" w:space="0" w:color="auto"/>
              <w:bottom w:val="single" w:sz="4" w:space="0" w:color="auto"/>
            </w:tcBorders>
            <w:tcMar>
              <w:bottom w:w="43" w:type="dxa"/>
            </w:tcMar>
            <w:vAlign w:val="center"/>
          </w:tcPr>
          <w:p w:rsidR="00D67867" w:rsidRPr="009D59C4" w:rsidRDefault="00D67867" w:rsidP="00B8095D">
            <w:pPr>
              <w:keepNext/>
              <w:spacing w:after="0"/>
              <w:jc w:val="center"/>
              <w:rPr>
                <w:rFonts w:eastAsia="Times New Roman" w:cs="Times New Roman"/>
                <w:b/>
                <w:szCs w:val="24"/>
              </w:rPr>
            </w:pPr>
            <w:r w:rsidRPr="009D59C4">
              <w:rPr>
                <w:rFonts w:eastAsia="Times New Roman" w:cs="Times New Roman"/>
                <w:szCs w:val="24"/>
              </w:rPr>
              <w:t>330-3</w:t>
            </w:r>
          </w:p>
        </w:tc>
        <w:tc>
          <w:tcPr>
            <w:tcW w:w="1312" w:type="dxa"/>
            <w:gridSpan w:val="2"/>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163"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63"/>
              <w:jc w:val="center"/>
              <w:rPr>
                <w:rFonts w:eastAsia="Times New Roman" w:cs="Times New Roman"/>
                <w:szCs w:val="24"/>
              </w:rPr>
            </w:pPr>
          </w:p>
        </w:tc>
        <w:tc>
          <w:tcPr>
            <w:tcW w:w="1170"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251"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12"/>
              <w:jc w:val="center"/>
              <w:rPr>
                <w:rFonts w:eastAsia="Times New Roman" w:cs="Times New Roman"/>
                <w:szCs w:val="24"/>
              </w:rPr>
            </w:pPr>
          </w:p>
        </w:tc>
        <w:tc>
          <w:tcPr>
            <w:tcW w:w="2563" w:type="dxa"/>
            <w:tcBorders>
              <w:top w:val="single" w:sz="4" w:space="0" w:color="auto"/>
              <w:bottom w:val="single" w:sz="4" w:space="0" w:color="auto"/>
              <w:right w:val="double" w:sz="4" w:space="0" w:color="auto"/>
            </w:tcBorders>
            <w:tcMar>
              <w:bottom w:w="43" w:type="dxa"/>
            </w:tcMar>
            <w:vAlign w:val="center"/>
          </w:tcPr>
          <w:p w:rsidR="00D67867" w:rsidRPr="009D59C4" w:rsidRDefault="00D67867" w:rsidP="00B8095D">
            <w:pPr>
              <w:keepNext/>
              <w:tabs>
                <w:tab w:val="center" w:pos="4320"/>
                <w:tab w:val="right" w:pos="8640"/>
              </w:tabs>
              <w:spacing w:after="0"/>
              <w:jc w:val="center"/>
              <w:rPr>
                <w:rFonts w:eastAsia="Times New Roman" w:cs="Times New Roman"/>
                <w:b/>
                <w:szCs w:val="24"/>
              </w:rPr>
            </w:pPr>
            <w:r w:rsidRPr="009D59C4">
              <w:rPr>
                <w:rFonts w:eastAsia="Times New Roman" w:cs="Times New Roman"/>
                <w:szCs w:val="24"/>
              </w:rPr>
              <w:t>Consolidated into 330-1</w:t>
            </w:r>
          </w:p>
        </w:tc>
      </w:tr>
      <w:tr w:rsidR="00D67867" w:rsidRPr="009D59C4" w:rsidTr="009F592C">
        <w:trPr>
          <w:jc w:val="center"/>
        </w:trPr>
        <w:tc>
          <w:tcPr>
            <w:tcW w:w="2189" w:type="dxa"/>
            <w:tcBorders>
              <w:top w:val="single" w:sz="4" w:space="0" w:color="auto"/>
              <w:left w:val="double" w:sz="4" w:space="0" w:color="auto"/>
              <w:bottom w:val="single" w:sz="4" w:space="0" w:color="auto"/>
            </w:tcBorders>
            <w:tcMar>
              <w:bottom w:w="43" w:type="dxa"/>
            </w:tcMar>
            <w:vAlign w:val="center"/>
          </w:tcPr>
          <w:p w:rsidR="00D67867" w:rsidRPr="009D59C4" w:rsidRDefault="00D67867" w:rsidP="00B8095D">
            <w:pPr>
              <w:keepNext/>
              <w:tabs>
                <w:tab w:val="center" w:pos="4320"/>
                <w:tab w:val="right" w:pos="8640"/>
              </w:tabs>
              <w:spacing w:after="0"/>
              <w:jc w:val="center"/>
              <w:rPr>
                <w:rFonts w:eastAsia="Times New Roman" w:cs="Times New Roman"/>
                <w:b/>
                <w:szCs w:val="24"/>
              </w:rPr>
            </w:pPr>
            <w:r w:rsidRPr="009D59C4">
              <w:rPr>
                <w:rFonts w:eastAsia="Times New Roman" w:cs="Times New Roman"/>
                <w:szCs w:val="24"/>
              </w:rPr>
              <w:t>330-4</w:t>
            </w:r>
          </w:p>
        </w:tc>
        <w:tc>
          <w:tcPr>
            <w:tcW w:w="1312" w:type="dxa"/>
            <w:gridSpan w:val="2"/>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163"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63"/>
              <w:jc w:val="center"/>
              <w:rPr>
                <w:rFonts w:eastAsia="Times New Roman" w:cs="Times New Roman"/>
                <w:szCs w:val="24"/>
              </w:rPr>
            </w:pPr>
          </w:p>
        </w:tc>
        <w:tc>
          <w:tcPr>
            <w:tcW w:w="1170"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251"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12"/>
              <w:jc w:val="center"/>
              <w:rPr>
                <w:rFonts w:eastAsia="Times New Roman" w:cs="Times New Roman"/>
                <w:szCs w:val="24"/>
              </w:rPr>
            </w:pPr>
          </w:p>
        </w:tc>
        <w:tc>
          <w:tcPr>
            <w:tcW w:w="2563" w:type="dxa"/>
            <w:tcBorders>
              <w:top w:val="single" w:sz="4" w:space="0" w:color="auto"/>
              <w:bottom w:val="single" w:sz="4" w:space="0" w:color="auto"/>
              <w:right w:val="double" w:sz="4" w:space="0" w:color="auto"/>
            </w:tcBorders>
            <w:tcMar>
              <w:bottom w:w="43" w:type="dxa"/>
            </w:tcMar>
            <w:vAlign w:val="center"/>
          </w:tcPr>
          <w:p w:rsidR="00D67867" w:rsidRPr="009D59C4" w:rsidRDefault="00D67867" w:rsidP="00B8095D">
            <w:pPr>
              <w:keepNext/>
              <w:spacing w:after="0"/>
              <w:jc w:val="center"/>
              <w:rPr>
                <w:rFonts w:eastAsia="Times New Roman" w:cs="Times New Roman"/>
                <w:b/>
                <w:iCs/>
                <w:szCs w:val="24"/>
              </w:rPr>
            </w:pPr>
            <w:r w:rsidRPr="009D59C4">
              <w:rPr>
                <w:rFonts w:eastAsia="Times New Roman" w:cs="Times New Roman"/>
                <w:szCs w:val="24"/>
              </w:rPr>
              <w:t>Consolidated into 330-1</w:t>
            </w:r>
          </w:p>
        </w:tc>
      </w:tr>
      <w:tr w:rsidR="00D67867" w:rsidRPr="009D59C4" w:rsidTr="009F592C">
        <w:trPr>
          <w:jc w:val="center"/>
        </w:trPr>
        <w:tc>
          <w:tcPr>
            <w:tcW w:w="2189" w:type="dxa"/>
            <w:tcBorders>
              <w:top w:val="single" w:sz="4" w:space="0" w:color="auto"/>
              <w:left w:val="double" w:sz="4" w:space="0" w:color="auto"/>
              <w:bottom w:val="single" w:sz="4" w:space="0" w:color="auto"/>
            </w:tcBorders>
            <w:tcMar>
              <w:bottom w:w="43" w:type="dxa"/>
            </w:tcMar>
            <w:vAlign w:val="center"/>
          </w:tcPr>
          <w:p w:rsidR="00D67867" w:rsidRPr="009D59C4" w:rsidRDefault="00D67867" w:rsidP="00B8095D">
            <w:pPr>
              <w:keepNext/>
              <w:spacing w:after="0"/>
              <w:jc w:val="center"/>
              <w:rPr>
                <w:rFonts w:eastAsia="Times New Roman" w:cs="Times New Roman"/>
                <w:b/>
                <w:szCs w:val="24"/>
              </w:rPr>
            </w:pPr>
            <w:r w:rsidRPr="009D59C4">
              <w:rPr>
                <w:rFonts w:eastAsia="Times New Roman" w:cs="Times New Roman"/>
                <w:szCs w:val="24"/>
              </w:rPr>
              <w:t>330-5</w:t>
            </w:r>
          </w:p>
        </w:tc>
        <w:tc>
          <w:tcPr>
            <w:tcW w:w="1312" w:type="dxa"/>
            <w:gridSpan w:val="2"/>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163"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63"/>
              <w:jc w:val="center"/>
              <w:rPr>
                <w:rFonts w:eastAsia="Times New Roman" w:cs="Times New Roman"/>
                <w:szCs w:val="24"/>
              </w:rPr>
            </w:pPr>
          </w:p>
        </w:tc>
        <w:tc>
          <w:tcPr>
            <w:tcW w:w="1170"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251"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12"/>
              <w:jc w:val="center"/>
              <w:rPr>
                <w:rFonts w:eastAsia="Times New Roman" w:cs="Times New Roman"/>
                <w:szCs w:val="24"/>
              </w:rPr>
            </w:pPr>
          </w:p>
        </w:tc>
        <w:tc>
          <w:tcPr>
            <w:tcW w:w="2563" w:type="dxa"/>
            <w:tcBorders>
              <w:top w:val="single" w:sz="4" w:space="0" w:color="auto"/>
              <w:bottom w:val="single" w:sz="4" w:space="0" w:color="auto"/>
              <w:right w:val="double" w:sz="4" w:space="0" w:color="auto"/>
            </w:tcBorders>
            <w:tcMar>
              <w:bottom w:w="43" w:type="dxa"/>
            </w:tcMar>
            <w:vAlign w:val="center"/>
          </w:tcPr>
          <w:p w:rsidR="00D67867" w:rsidRPr="009D59C4" w:rsidRDefault="00D67867" w:rsidP="00B8095D">
            <w:pPr>
              <w:keepNext/>
              <w:spacing w:after="0"/>
              <w:jc w:val="center"/>
              <w:rPr>
                <w:rFonts w:eastAsia="Times New Roman" w:cs="Times New Roman"/>
                <w:b/>
                <w:iCs/>
                <w:szCs w:val="24"/>
              </w:rPr>
            </w:pPr>
            <w:r w:rsidRPr="009D59C4">
              <w:rPr>
                <w:rFonts w:eastAsia="Times New Roman" w:cs="Times New Roman"/>
                <w:szCs w:val="24"/>
              </w:rPr>
              <w:t>Consolidated into 330-1</w:t>
            </w:r>
          </w:p>
        </w:tc>
      </w:tr>
      <w:tr w:rsidR="00D67867" w:rsidRPr="009D59C4" w:rsidTr="009F592C">
        <w:trPr>
          <w:jc w:val="center"/>
        </w:trPr>
        <w:tc>
          <w:tcPr>
            <w:tcW w:w="2189" w:type="dxa"/>
            <w:tcBorders>
              <w:top w:val="single" w:sz="4" w:space="0" w:color="auto"/>
              <w:left w:val="double" w:sz="4" w:space="0" w:color="auto"/>
              <w:bottom w:val="single" w:sz="4" w:space="0" w:color="auto"/>
            </w:tcBorders>
            <w:tcMar>
              <w:bottom w:w="43" w:type="dxa"/>
            </w:tcMar>
            <w:vAlign w:val="center"/>
          </w:tcPr>
          <w:p w:rsidR="00D67867" w:rsidRPr="009D59C4" w:rsidRDefault="00D67867" w:rsidP="00B8095D">
            <w:pPr>
              <w:keepNext/>
              <w:spacing w:after="0"/>
              <w:jc w:val="center"/>
              <w:rPr>
                <w:rFonts w:eastAsia="Times New Roman" w:cs="Times New Roman"/>
                <w:b/>
                <w:szCs w:val="24"/>
              </w:rPr>
            </w:pPr>
            <w:r w:rsidRPr="009D59C4">
              <w:rPr>
                <w:rFonts w:eastAsia="Times New Roman" w:cs="Times New Roman"/>
                <w:szCs w:val="24"/>
              </w:rPr>
              <w:t>330-6</w:t>
            </w:r>
          </w:p>
        </w:tc>
        <w:tc>
          <w:tcPr>
            <w:tcW w:w="1312" w:type="dxa"/>
            <w:gridSpan w:val="2"/>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163"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63"/>
              <w:jc w:val="center"/>
              <w:rPr>
                <w:rFonts w:eastAsia="Times New Roman" w:cs="Times New Roman"/>
                <w:szCs w:val="24"/>
              </w:rPr>
            </w:pPr>
          </w:p>
        </w:tc>
        <w:tc>
          <w:tcPr>
            <w:tcW w:w="1170"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jc w:val="center"/>
              <w:rPr>
                <w:rFonts w:eastAsia="Times New Roman" w:cs="Times New Roman"/>
                <w:szCs w:val="24"/>
              </w:rPr>
            </w:pPr>
          </w:p>
        </w:tc>
        <w:tc>
          <w:tcPr>
            <w:tcW w:w="1251" w:type="dxa"/>
            <w:tcBorders>
              <w:top w:val="single" w:sz="4" w:space="0" w:color="auto"/>
              <w:bottom w:val="single" w:sz="4" w:space="0" w:color="auto"/>
            </w:tcBorders>
            <w:tcMar>
              <w:bottom w:w="43" w:type="dxa"/>
            </w:tcMar>
            <w:vAlign w:val="center"/>
          </w:tcPr>
          <w:p w:rsidR="00D67867" w:rsidRPr="009D59C4" w:rsidRDefault="00D67867" w:rsidP="0043528A">
            <w:pPr>
              <w:keepNext/>
              <w:spacing w:after="0"/>
              <w:ind w:right="-12"/>
              <w:jc w:val="center"/>
              <w:rPr>
                <w:rFonts w:eastAsia="Times New Roman" w:cs="Times New Roman"/>
                <w:szCs w:val="24"/>
              </w:rPr>
            </w:pPr>
          </w:p>
        </w:tc>
        <w:tc>
          <w:tcPr>
            <w:tcW w:w="2563" w:type="dxa"/>
            <w:tcBorders>
              <w:top w:val="single" w:sz="4" w:space="0" w:color="auto"/>
              <w:bottom w:val="single" w:sz="4" w:space="0" w:color="auto"/>
              <w:right w:val="double" w:sz="4" w:space="0" w:color="auto"/>
            </w:tcBorders>
            <w:tcMar>
              <w:bottom w:w="43" w:type="dxa"/>
            </w:tcMar>
            <w:vAlign w:val="center"/>
          </w:tcPr>
          <w:p w:rsidR="00D67867" w:rsidRPr="009D59C4" w:rsidRDefault="00D67867" w:rsidP="00B8095D">
            <w:pPr>
              <w:keepNext/>
              <w:spacing w:after="0"/>
              <w:jc w:val="center"/>
              <w:rPr>
                <w:rFonts w:eastAsia="Times New Roman" w:cs="Times New Roman"/>
                <w:b/>
                <w:iCs/>
                <w:szCs w:val="24"/>
              </w:rPr>
            </w:pPr>
            <w:r w:rsidRPr="009D59C4">
              <w:rPr>
                <w:rFonts w:eastAsia="Times New Roman" w:cs="Times New Roman"/>
                <w:szCs w:val="24"/>
              </w:rPr>
              <w:t>Consolidated into 330-1</w:t>
            </w:r>
          </w:p>
        </w:tc>
      </w:tr>
      <w:tr w:rsidR="00D67867" w:rsidRPr="009D59C4" w:rsidTr="009F592C">
        <w:trPr>
          <w:jc w:val="center"/>
        </w:trPr>
        <w:tc>
          <w:tcPr>
            <w:tcW w:w="2189" w:type="dxa"/>
            <w:tcBorders>
              <w:top w:val="single" w:sz="4" w:space="0" w:color="auto"/>
              <w:left w:val="double" w:sz="4" w:space="0" w:color="auto"/>
              <w:bottom w:val="single" w:sz="4" w:space="0" w:color="auto"/>
            </w:tcBorders>
            <w:tcMar>
              <w:bottom w:w="43" w:type="dxa"/>
            </w:tcMar>
            <w:vAlign w:val="center"/>
          </w:tcPr>
          <w:p w:rsidR="00D67867" w:rsidRPr="009D59C4" w:rsidRDefault="00D67867" w:rsidP="00B8095D">
            <w:pPr>
              <w:keepNext/>
              <w:spacing w:after="0"/>
              <w:jc w:val="center"/>
              <w:rPr>
                <w:rFonts w:eastAsia="Times New Roman" w:cs="Times New Roman"/>
                <w:b/>
                <w:szCs w:val="24"/>
              </w:rPr>
            </w:pPr>
            <w:r w:rsidRPr="009D59C4">
              <w:rPr>
                <w:rFonts w:eastAsia="Times New Roman" w:cs="Times New Roman"/>
                <w:szCs w:val="24"/>
              </w:rPr>
              <w:t>336-1</w:t>
            </w:r>
          </w:p>
        </w:tc>
        <w:tc>
          <w:tcPr>
            <w:tcW w:w="1312" w:type="dxa"/>
            <w:gridSpan w:val="2"/>
            <w:tcBorders>
              <w:top w:val="single" w:sz="4" w:space="0" w:color="auto"/>
              <w:bottom w:val="single" w:sz="4" w:space="0" w:color="auto"/>
            </w:tcBorders>
            <w:tcMar>
              <w:bottom w:w="43" w:type="dxa"/>
            </w:tcMar>
            <w:vAlign w:val="center"/>
          </w:tcPr>
          <w:p w:rsidR="00D67867" w:rsidRPr="009D59C4" w:rsidRDefault="00A36DB8" w:rsidP="0043528A">
            <w:pPr>
              <w:keepNext/>
              <w:spacing w:after="0"/>
              <w:jc w:val="center"/>
              <w:rPr>
                <w:rFonts w:eastAsia="Times New Roman" w:cs="Times New Roman"/>
                <w:szCs w:val="24"/>
              </w:rPr>
            </w:pPr>
            <w:r w:rsidRPr="009D59C4">
              <w:rPr>
                <w:rFonts w:eastAsia="Times New Roman" w:cs="Times New Roman"/>
                <w:szCs w:val="24"/>
              </w:rPr>
              <w:t>34</w:t>
            </w:r>
          </w:p>
        </w:tc>
        <w:tc>
          <w:tcPr>
            <w:tcW w:w="1163" w:type="dxa"/>
            <w:tcBorders>
              <w:top w:val="single" w:sz="4" w:space="0" w:color="auto"/>
              <w:bottom w:val="single" w:sz="4" w:space="0" w:color="auto"/>
            </w:tcBorders>
            <w:tcMar>
              <w:bottom w:w="43" w:type="dxa"/>
            </w:tcMar>
            <w:vAlign w:val="center"/>
          </w:tcPr>
          <w:p w:rsidR="00D67867" w:rsidRPr="009D59C4" w:rsidRDefault="00A36DB8" w:rsidP="0043528A">
            <w:pPr>
              <w:keepNext/>
              <w:spacing w:after="0"/>
              <w:ind w:right="-63"/>
              <w:jc w:val="center"/>
              <w:rPr>
                <w:rFonts w:eastAsia="Times New Roman" w:cs="Times New Roman"/>
                <w:szCs w:val="24"/>
              </w:rPr>
            </w:pPr>
            <w:r w:rsidRPr="009D59C4">
              <w:rPr>
                <w:rFonts w:eastAsia="Times New Roman" w:cs="Times New Roman"/>
                <w:szCs w:val="24"/>
              </w:rPr>
              <w:t>0</w:t>
            </w:r>
          </w:p>
        </w:tc>
        <w:tc>
          <w:tcPr>
            <w:tcW w:w="1170" w:type="dxa"/>
            <w:tcBorders>
              <w:top w:val="single" w:sz="4" w:space="0" w:color="auto"/>
              <w:bottom w:val="single" w:sz="4" w:space="0" w:color="auto"/>
            </w:tcBorders>
            <w:tcMar>
              <w:bottom w:w="43" w:type="dxa"/>
            </w:tcMar>
            <w:vAlign w:val="center"/>
          </w:tcPr>
          <w:p w:rsidR="00D67867" w:rsidRPr="009D59C4" w:rsidRDefault="00A36DB8" w:rsidP="0043528A">
            <w:pPr>
              <w:keepNext/>
              <w:spacing w:after="0"/>
              <w:jc w:val="center"/>
              <w:rPr>
                <w:rFonts w:eastAsia="Times New Roman" w:cs="Times New Roman"/>
                <w:szCs w:val="24"/>
              </w:rPr>
            </w:pPr>
            <w:r w:rsidRPr="009D59C4">
              <w:rPr>
                <w:rFonts w:eastAsia="Times New Roman" w:cs="Times New Roman"/>
                <w:szCs w:val="24"/>
              </w:rPr>
              <w:t>42</w:t>
            </w:r>
          </w:p>
        </w:tc>
        <w:tc>
          <w:tcPr>
            <w:tcW w:w="1251" w:type="dxa"/>
            <w:tcBorders>
              <w:top w:val="single" w:sz="4" w:space="0" w:color="auto"/>
              <w:bottom w:val="single" w:sz="4" w:space="0" w:color="auto"/>
            </w:tcBorders>
            <w:tcMar>
              <w:bottom w:w="43" w:type="dxa"/>
            </w:tcMar>
            <w:vAlign w:val="center"/>
          </w:tcPr>
          <w:p w:rsidR="00D67867" w:rsidRPr="009D59C4" w:rsidRDefault="00A36DB8" w:rsidP="0043528A">
            <w:pPr>
              <w:keepNext/>
              <w:spacing w:after="0"/>
              <w:ind w:right="-12"/>
              <w:jc w:val="center"/>
              <w:rPr>
                <w:rFonts w:eastAsia="Times New Roman" w:cs="Times New Roman"/>
                <w:szCs w:val="24"/>
              </w:rPr>
            </w:pPr>
            <w:r w:rsidRPr="009D59C4">
              <w:rPr>
                <w:rFonts w:eastAsia="Times New Roman" w:cs="Times New Roman"/>
                <w:szCs w:val="24"/>
              </w:rPr>
              <w:t>0</w:t>
            </w:r>
          </w:p>
        </w:tc>
        <w:tc>
          <w:tcPr>
            <w:tcW w:w="2563" w:type="dxa"/>
            <w:tcBorders>
              <w:top w:val="single" w:sz="4" w:space="0" w:color="auto"/>
              <w:bottom w:val="single" w:sz="4" w:space="0" w:color="auto"/>
              <w:right w:val="double" w:sz="4" w:space="0" w:color="auto"/>
            </w:tcBorders>
            <w:tcMar>
              <w:bottom w:w="43" w:type="dxa"/>
            </w:tcMar>
            <w:vAlign w:val="center"/>
          </w:tcPr>
          <w:p w:rsidR="00D67867" w:rsidRPr="009D59C4" w:rsidRDefault="00D67867" w:rsidP="00B8095D">
            <w:pPr>
              <w:keepNext/>
              <w:spacing w:after="0"/>
              <w:jc w:val="center"/>
              <w:rPr>
                <w:rFonts w:eastAsia="Times New Roman" w:cs="Times New Roman"/>
                <w:b/>
                <w:szCs w:val="24"/>
              </w:rPr>
            </w:pPr>
            <w:r w:rsidRPr="009D59C4">
              <w:rPr>
                <w:rFonts w:eastAsia="Times New Roman" w:cs="Times New Roman"/>
                <w:szCs w:val="24"/>
              </w:rPr>
              <w:t>Adopted</w:t>
            </w:r>
          </w:p>
        </w:tc>
      </w:tr>
      <w:tr w:rsidR="00A36DB8" w:rsidRPr="0037437F" w:rsidTr="00336186">
        <w:trPr>
          <w:jc w:val="center"/>
        </w:trPr>
        <w:tc>
          <w:tcPr>
            <w:tcW w:w="2189" w:type="dxa"/>
            <w:tcBorders>
              <w:top w:val="single" w:sz="4" w:space="0" w:color="auto"/>
              <w:left w:val="double" w:sz="4" w:space="0" w:color="auto"/>
              <w:bottom w:val="single" w:sz="4" w:space="0" w:color="auto"/>
            </w:tcBorders>
            <w:tcMar>
              <w:bottom w:w="43" w:type="dxa"/>
            </w:tcMar>
            <w:vAlign w:val="center"/>
          </w:tcPr>
          <w:p w:rsidR="00A36DB8" w:rsidRPr="009D59C4" w:rsidRDefault="00A36DB8" w:rsidP="00B8095D">
            <w:pPr>
              <w:keepNext/>
              <w:spacing w:after="0"/>
              <w:jc w:val="center"/>
              <w:rPr>
                <w:rFonts w:eastAsia="Times New Roman" w:cs="Times New Roman"/>
                <w:b/>
                <w:szCs w:val="24"/>
              </w:rPr>
            </w:pPr>
            <w:r w:rsidRPr="009D59C4">
              <w:rPr>
                <w:rFonts w:eastAsia="Times New Roman" w:cs="Times New Roman"/>
                <w:szCs w:val="24"/>
              </w:rPr>
              <w:t>(Report on its Entirety</w:t>
            </w:r>
          </w:p>
          <w:p w:rsidR="00A36DB8" w:rsidRPr="009D59C4" w:rsidRDefault="00A36DB8" w:rsidP="00B8095D">
            <w:pPr>
              <w:keepNext/>
              <w:spacing w:after="0"/>
              <w:jc w:val="center"/>
              <w:rPr>
                <w:rFonts w:eastAsia="Times New Roman" w:cs="Times New Roman"/>
                <w:b/>
                <w:szCs w:val="24"/>
              </w:rPr>
            </w:pPr>
            <w:r w:rsidRPr="009D59C4">
              <w:rPr>
                <w:rFonts w:eastAsia="Times New Roman" w:cs="Times New Roman"/>
                <w:szCs w:val="24"/>
              </w:rPr>
              <w:t>Voice Vote)</w:t>
            </w:r>
          </w:p>
        </w:tc>
        <w:tc>
          <w:tcPr>
            <w:tcW w:w="4896" w:type="dxa"/>
            <w:gridSpan w:val="5"/>
            <w:tcBorders>
              <w:top w:val="single" w:sz="4" w:space="0" w:color="auto"/>
              <w:bottom w:val="single" w:sz="4" w:space="0" w:color="auto"/>
            </w:tcBorders>
            <w:tcMar>
              <w:bottom w:w="43" w:type="dxa"/>
            </w:tcMar>
            <w:vAlign w:val="center"/>
          </w:tcPr>
          <w:p w:rsidR="00A36DB8" w:rsidRPr="009D59C4" w:rsidRDefault="00A36DB8" w:rsidP="0043528A">
            <w:pPr>
              <w:keepNext/>
              <w:spacing w:after="0"/>
              <w:ind w:right="-12"/>
              <w:jc w:val="center"/>
              <w:rPr>
                <w:rFonts w:eastAsia="Times New Roman" w:cs="Times New Roman"/>
                <w:szCs w:val="24"/>
              </w:rPr>
            </w:pPr>
            <w:r w:rsidRPr="009D59C4">
              <w:rPr>
                <w:rFonts w:eastAsia="Times New Roman" w:cs="Times New Roman"/>
                <w:szCs w:val="24"/>
              </w:rPr>
              <w:t>Voice Vote</w:t>
            </w:r>
          </w:p>
        </w:tc>
        <w:tc>
          <w:tcPr>
            <w:tcW w:w="2563" w:type="dxa"/>
            <w:tcBorders>
              <w:top w:val="single" w:sz="4" w:space="0" w:color="auto"/>
              <w:bottom w:val="single" w:sz="4" w:space="0" w:color="auto"/>
              <w:right w:val="double" w:sz="4" w:space="0" w:color="auto"/>
            </w:tcBorders>
            <w:tcMar>
              <w:bottom w:w="43" w:type="dxa"/>
            </w:tcMar>
            <w:vAlign w:val="center"/>
          </w:tcPr>
          <w:p w:rsidR="00A36DB8" w:rsidRPr="009D59C4" w:rsidRDefault="00A36DB8" w:rsidP="00B8095D">
            <w:pPr>
              <w:keepNext/>
              <w:spacing w:after="0"/>
              <w:jc w:val="center"/>
              <w:rPr>
                <w:rFonts w:eastAsia="Times New Roman" w:cs="Times New Roman"/>
                <w:b/>
                <w:iCs/>
                <w:szCs w:val="24"/>
              </w:rPr>
            </w:pPr>
            <w:r w:rsidRPr="009D59C4">
              <w:rPr>
                <w:rFonts w:eastAsia="Times New Roman" w:cs="Times New Roman"/>
                <w:iCs/>
                <w:szCs w:val="24"/>
              </w:rPr>
              <w:t>Adopted</w:t>
            </w:r>
          </w:p>
        </w:tc>
      </w:tr>
    </w:tbl>
    <w:p w:rsidR="00D67867" w:rsidRPr="0037437F" w:rsidRDefault="00D67867" w:rsidP="00D67867">
      <w:pPr>
        <w:rPr>
          <w:rFonts w:eastAsia="Times New Roman" w:cs="Times New Roman"/>
          <w:sz w:val="16"/>
          <w:szCs w:val="16"/>
        </w:rPr>
      </w:pPr>
    </w:p>
    <w:p w:rsidR="00D67867" w:rsidRPr="0037437F" w:rsidRDefault="00D67867" w:rsidP="00D67867">
      <w:pPr>
        <w:pBdr>
          <w:top w:val="single" w:sz="12" w:space="1" w:color="auto"/>
        </w:pBdr>
        <w:rPr>
          <w:rFonts w:eastAsia="Times New Roman" w:cs="Times New Roman"/>
          <w:szCs w:val="24"/>
        </w:rPr>
      </w:pPr>
    </w:p>
    <w:p w:rsidR="00D67867" w:rsidRPr="0037437F" w:rsidRDefault="00D67867" w:rsidP="00D67867">
      <w:pPr>
        <w:jc w:val="left"/>
        <w:rPr>
          <w:rFonts w:eastAsia="Times New Roman" w:cs="Times New Roman"/>
          <w:szCs w:val="20"/>
        </w:rPr>
      </w:pPr>
      <w:r w:rsidRPr="0037437F">
        <w:rPr>
          <w:rFonts w:eastAsia="Times New Roman" w:cs="Times New Roman"/>
          <w:szCs w:val="20"/>
        </w:rP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0006B8" w:rsidRPr="00F3504E" w:rsidTr="000006B8">
        <w:tc>
          <w:tcPr>
            <w:tcW w:w="9360" w:type="dxa"/>
            <w:tcBorders>
              <w:top w:val="single" w:sz="12" w:space="0" w:color="auto"/>
              <w:bottom w:val="single" w:sz="12" w:space="0" w:color="auto"/>
            </w:tcBorders>
          </w:tcPr>
          <w:p w:rsidR="000006B8" w:rsidRPr="00F3504E" w:rsidRDefault="000006B8" w:rsidP="00AB1518">
            <w:pPr>
              <w:pStyle w:val="TableHeading"/>
            </w:pPr>
            <w:r w:rsidRPr="00F3504E">
              <w:lastRenderedPageBreak/>
              <w:t>Details of All Items</w:t>
            </w:r>
            <w:r w:rsidR="00443A38" w:rsidRPr="00F3504E">
              <w:br/>
            </w:r>
            <w:r w:rsidRPr="00F3504E">
              <w:rPr>
                <w:b w:val="0"/>
                <w:i/>
              </w:rPr>
              <w:t>(In order by Reference Key)</w:t>
            </w:r>
          </w:p>
        </w:tc>
      </w:tr>
    </w:tbl>
    <w:p w:rsidR="000F53F0" w:rsidRDefault="000F53F0" w:rsidP="0043528A">
      <w:pPr>
        <w:pStyle w:val="Heading1"/>
        <w:spacing w:after="0"/>
      </w:pPr>
      <w:bookmarkStart w:id="2" w:name="_Toc334183613"/>
      <w:bookmarkStart w:id="3" w:name="_Toc302379796"/>
      <w:bookmarkStart w:id="4" w:name="_Toc302381449"/>
      <w:bookmarkStart w:id="5" w:name="_Toc302382310"/>
      <w:bookmarkStart w:id="6" w:name="_Toc302382374"/>
      <w:bookmarkStart w:id="7" w:name="_Toc302382670"/>
      <w:bookmarkStart w:id="8" w:name="_Toc302383030"/>
      <w:bookmarkStart w:id="9" w:name="_Toc302383261"/>
      <w:bookmarkStart w:id="10" w:name="_Toc302383542"/>
      <w:r>
        <w:t>320</w:t>
      </w:r>
      <w:r>
        <w:tab/>
        <w:t>SCALES</w:t>
      </w:r>
      <w:bookmarkEnd w:id="2"/>
    </w:p>
    <w:p w:rsidR="000F53F0" w:rsidRDefault="000F53F0">
      <w:pPr>
        <w:pStyle w:val="ItemHeading"/>
      </w:pPr>
      <w:bookmarkStart w:id="11" w:name="_Toc334183614"/>
      <w:r>
        <w:t>320-1</w:t>
      </w:r>
      <w:r>
        <w:tab/>
      </w:r>
      <w:r w:rsidR="00441F8E">
        <w:t>W</w:t>
      </w:r>
      <w:r w:rsidR="00441F8E">
        <w:tab/>
      </w:r>
      <w:r>
        <w:t xml:space="preserve">S.1.7. </w:t>
      </w:r>
      <w:r w:rsidR="00B8095D">
        <w:t xml:space="preserve"> </w:t>
      </w:r>
      <w:r>
        <w:t>Capacity Indication, Weight Ranges, and Unit Weights</w:t>
      </w:r>
      <w:bookmarkEnd w:id="11"/>
    </w:p>
    <w:p w:rsidR="002C4874" w:rsidRDefault="002C4874" w:rsidP="002C4874">
      <w:pPr>
        <w:pStyle w:val="BoldHeading"/>
        <w:jc w:val="center"/>
      </w:pPr>
      <w:r w:rsidRPr="00EE5422">
        <w:rPr>
          <w:rFonts w:cs="Times New Roman"/>
          <w:b w:val="0"/>
          <w:szCs w:val="20"/>
        </w:rPr>
        <w:t>(This item was withdrawn.)</w:t>
      </w:r>
    </w:p>
    <w:p w:rsidR="000F53F0" w:rsidRDefault="000F53F0" w:rsidP="009F592C">
      <w:pPr>
        <w:pStyle w:val="BoldHeading"/>
        <w:spacing w:after="0"/>
      </w:pPr>
      <w:r>
        <w:t xml:space="preserve">Source:  </w:t>
      </w:r>
    </w:p>
    <w:p w:rsidR="000F53F0" w:rsidRDefault="000F53F0" w:rsidP="000F53F0">
      <w:r>
        <w:t>Kansas Department of Agriculture</w:t>
      </w:r>
      <w:r w:rsidR="004B1D04">
        <w:t xml:space="preserve"> (2012)</w:t>
      </w:r>
    </w:p>
    <w:p w:rsidR="000F53F0" w:rsidRDefault="000F53F0" w:rsidP="009F592C">
      <w:pPr>
        <w:pStyle w:val="BoldHeading"/>
        <w:spacing w:after="0"/>
      </w:pPr>
      <w:r>
        <w:t xml:space="preserve">Purpose: </w:t>
      </w:r>
    </w:p>
    <w:p w:rsidR="000F53F0" w:rsidRDefault="000F53F0" w:rsidP="000F53F0">
      <w:r>
        <w:t>Uniform testing of commercial devices.</w:t>
      </w:r>
    </w:p>
    <w:p w:rsidR="000F53F0" w:rsidRDefault="000F53F0" w:rsidP="009F592C">
      <w:pPr>
        <w:pStyle w:val="BoldHeading"/>
        <w:spacing w:after="0"/>
      </w:pPr>
      <w:r>
        <w:t xml:space="preserve">Item Under Consideration: </w:t>
      </w:r>
    </w:p>
    <w:p w:rsidR="000F53F0" w:rsidRDefault="000F53F0" w:rsidP="000F53F0">
      <w:r>
        <w:t xml:space="preserve">Amend </w:t>
      </w:r>
      <w:r w:rsidRPr="009F592C">
        <w:t>NIST Handbook 44</w:t>
      </w:r>
      <w:r w:rsidR="0032532B">
        <w:t>,</w:t>
      </w:r>
      <w:r>
        <w:t xml:space="preserve"> 2.20 Scales as follows:</w:t>
      </w:r>
    </w:p>
    <w:p w:rsidR="000F53F0" w:rsidRPr="00B54523" w:rsidRDefault="009D59C4" w:rsidP="009D59C4">
      <w:pPr>
        <w:pStyle w:val="I-Normalreg"/>
        <w:tabs>
          <w:tab w:val="left" w:pos="1080"/>
        </w:tabs>
        <w:rPr>
          <w:b/>
        </w:rPr>
      </w:pPr>
      <w:r>
        <w:rPr>
          <w:b/>
        </w:rPr>
        <w:t>S.1.7.</w:t>
      </w:r>
      <w:r>
        <w:rPr>
          <w:b/>
        </w:rPr>
        <w:tab/>
      </w:r>
      <w:r w:rsidR="000F53F0" w:rsidRPr="00B54523">
        <w:rPr>
          <w:b/>
        </w:rPr>
        <w:t>Capacity Indication, Weight Ranges, and Unit Weights.</w:t>
      </w:r>
    </w:p>
    <w:p w:rsidR="000F53F0" w:rsidRDefault="000F53F0" w:rsidP="00753246">
      <w:pPr>
        <w:pStyle w:val="I-LetterAreg"/>
        <w:numPr>
          <w:ilvl w:val="0"/>
          <w:numId w:val="14"/>
        </w:numPr>
        <w:ind w:left="1080"/>
      </w:pPr>
      <w:r>
        <w:t xml:space="preserve">Gross Capacity.  An indicating or recording element shall not display nor record any values when the gross load (not counting the initial dead load that has been canceled by an initial zero-setting mechanism) is in excess of </w:t>
      </w:r>
      <w:r w:rsidR="00B122A6">
        <w:t>105 </w:t>
      </w:r>
      <w:r>
        <w:t>% of scale capacity.</w:t>
      </w:r>
    </w:p>
    <w:p w:rsidR="000F53F0" w:rsidRPr="00B54523" w:rsidRDefault="000F53F0" w:rsidP="00753246">
      <w:pPr>
        <w:pStyle w:val="I-LetterAreg"/>
        <w:spacing w:after="0"/>
        <w:ind w:left="1080"/>
        <w:rPr>
          <w:i/>
        </w:rPr>
      </w:pPr>
      <w:r w:rsidRPr="00B54523">
        <w:rPr>
          <w:i/>
        </w:rPr>
        <w:t xml:space="preserve">Capacity Indication.  Electronic computing scales (excluding postal scales and weight classifiers) </w:t>
      </w:r>
      <w:r w:rsidRPr="00B54523">
        <w:rPr>
          <w:b/>
          <w:i/>
          <w:u w:val="single"/>
        </w:rPr>
        <w:t xml:space="preserve">shall display and record a gross or net weight of the scale capacity and the applicable tolerance but </w:t>
      </w:r>
      <w:r w:rsidRPr="00B54523">
        <w:rPr>
          <w:i/>
        </w:rPr>
        <w:t>shall neither display nor record a gross or net weight in excess of scale capacity plus 9d.</w:t>
      </w:r>
    </w:p>
    <w:p w:rsidR="000F53F0" w:rsidRPr="00B54523" w:rsidRDefault="000F53F0" w:rsidP="00392B05">
      <w:pPr>
        <w:pStyle w:val="I-LetterAIndent1"/>
        <w:spacing w:after="60"/>
        <w:ind w:left="1080" w:firstLine="0"/>
        <w:rPr>
          <w:i/>
        </w:rPr>
      </w:pPr>
      <w:r w:rsidRPr="00B54523">
        <w:rPr>
          <w:i/>
        </w:rPr>
        <w:t xml:space="preserve">[Nonretroactive as of January 1, 1993] </w:t>
      </w:r>
    </w:p>
    <w:p w:rsidR="000F53F0" w:rsidRPr="00B54523" w:rsidRDefault="000F53F0" w:rsidP="00B54523">
      <w:pPr>
        <w:pStyle w:val="I-Normalreg"/>
        <w:rPr>
          <w:b/>
          <w:u w:val="single"/>
        </w:rPr>
      </w:pPr>
      <w:r w:rsidRPr="00B54523">
        <w:rPr>
          <w:b/>
          <w:u w:val="single"/>
        </w:rPr>
        <w:t>(Amended 20XX)</w:t>
      </w:r>
    </w:p>
    <w:p w:rsidR="000F53F0" w:rsidRDefault="000F53F0" w:rsidP="00B54523">
      <w:pPr>
        <w:pStyle w:val="I-Normalreg"/>
      </w:pPr>
      <w:r>
        <w:t>The total value of weight ranges and of unit weights in effect or in place at any time shall automatically be accounted for on the reading face and on any recorded representation.</w:t>
      </w:r>
    </w:p>
    <w:p w:rsidR="000F53F0" w:rsidRDefault="000F53F0" w:rsidP="00B8095D">
      <w:pPr>
        <w:pStyle w:val="I-Normalreg"/>
        <w:spacing w:after="60"/>
      </w:pPr>
      <w:r>
        <w:t>This requirement does not apply to:  (1) single-revolution dial scales</w:t>
      </w:r>
      <w:r w:rsidR="00B47935">
        <w:t xml:space="preserve">; </w:t>
      </w:r>
      <w:r>
        <w:t>(2) multi-revolution dial scales not equipped with unit weights</w:t>
      </w:r>
      <w:r w:rsidR="00B47935">
        <w:t xml:space="preserve">; </w:t>
      </w:r>
      <w:r>
        <w:t>(3) scales equipped with two or more weigh beams</w:t>
      </w:r>
      <w:r w:rsidR="00B47935">
        <w:t xml:space="preserve">; </w:t>
      </w:r>
      <w:r>
        <w:t>nor (4) devices that indicate mathematically derived totalized values.</w:t>
      </w:r>
    </w:p>
    <w:p w:rsidR="000F53F0" w:rsidRDefault="000F53F0">
      <w:pPr>
        <w:pStyle w:val="I-Normalreg"/>
      </w:pPr>
      <w:r>
        <w:t>(Amended 1990, 1992, and 1995)</w:t>
      </w:r>
    </w:p>
    <w:p w:rsidR="000F53F0" w:rsidRDefault="000F53F0" w:rsidP="00B8095D">
      <w:pPr>
        <w:pStyle w:val="BoldHeading"/>
        <w:keepNext/>
        <w:spacing w:after="0"/>
      </w:pPr>
      <w:r>
        <w:t>Background</w:t>
      </w:r>
      <w:r w:rsidR="00B54523">
        <w:t>/</w:t>
      </w:r>
      <w:r>
        <w:t>Discussion:</w:t>
      </w:r>
    </w:p>
    <w:p w:rsidR="000F53F0" w:rsidRDefault="00441F8E" w:rsidP="00B8095D">
      <w:pPr>
        <w:keepNext/>
      </w:pPr>
      <w:r>
        <w:t xml:space="preserve">Kansas has noted that software </w:t>
      </w:r>
      <w:r w:rsidR="000F53F0">
        <w:t xml:space="preserve">used </w:t>
      </w:r>
      <w:r>
        <w:t xml:space="preserve">with </w:t>
      </w:r>
      <w:r w:rsidR="0044370C">
        <w:t>electronic-</w:t>
      </w:r>
      <w:r w:rsidR="000F53F0">
        <w:t xml:space="preserve">computing scales </w:t>
      </w:r>
      <w:r w:rsidR="004B1D04">
        <w:t xml:space="preserve">does not always allow </w:t>
      </w:r>
      <w:r w:rsidR="000F53F0">
        <w:t xml:space="preserve">the scales to indicate </w:t>
      </w:r>
      <w:r w:rsidR="004B1D04">
        <w:t xml:space="preserve">a weight value that is above marked scale capacity, even </w:t>
      </w:r>
      <w:r w:rsidR="0044370C">
        <w:t>though there</w:t>
      </w:r>
      <w:r w:rsidR="00755CCC">
        <w:t xml:space="preserve"> is</w:t>
      </w:r>
      <w:r w:rsidR="0044370C">
        <w:t xml:space="preserve"> a</w:t>
      </w:r>
      <w:r w:rsidR="00755CCC">
        <w:t>n</w:t>
      </w:r>
      <w:r w:rsidR="0044370C">
        <w:t xml:space="preserve"> </w:t>
      </w:r>
      <w:r w:rsidR="004B1D04">
        <w:t>allowance</w:t>
      </w:r>
      <w:r w:rsidR="0044370C">
        <w:t xml:space="preserve"> making it permissible for the scales to display an overcapacity indication that is up to nine divisions greater than the capacity marked</w:t>
      </w:r>
      <w:r w:rsidR="004B1D04">
        <w:t xml:space="preserve">.  </w:t>
      </w:r>
      <w:r w:rsidR="00755CCC">
        <w:t>That creates an inspection</w:t>
      </w:r>
      <w:r w:rsidR="0044370C">
        <w:t xml:space="preserve"> problem when the error in a computing scale, at or near capacity, is in the direction of overregistration by an amount greater than the programmed limit for the overcapacity indication.  </w:t>
      </w:r>
      <w:r w:rsidR="00755CCC">
        <w:t>In this situation,</w:t>
      </w:r>
      <w:r w:rsidR="0044370C">
        <w:t xml:space="preserve"> </w:t>
      </w:r>
      <w:r w:rsidR="004B1D04">
        <w:t>the inspector cannot verify the scale error at capacity.</w:t>
      </w:r>
    </w:p>
    <w:p w:rsidR="000F53F0" w:rsidRDefault="000F53F0" w:rsidP="009F592C">
      <w:pPr>
        <w:spacing w:after="0" w:line="276" w:lineRule="auto"/>
      </w:pPr>
      <w:r>
        <w:t>At the 2011</w:t>
      </w:r>
      <w:r w:rsidR="00E61AC4">
        <w:t>Central Weights and Measures Association</w:t>
      </w:r>
      <w:r>
        <w:t xml:space="preserve"> </w:t>
      </w:r>
      <w:r w:rsidR="00E61AC4">
        <w:t>(</w:t>
      </w:r>
      <w:r>
        <w:t>CWMA</w:t>
      </w:r>
      <w:r w:rsidR="00E61AC4">
        <w:t>)</w:t>
      </w:r>
      <w:r>
        <w:t xml:space="preserve"> Interim Meeting</w:t>
      </w:r>
      <w:r w:rsidR="004D4B5C">
        <w:t>,</w:t>
      </w:r>
      <w:r>
        <w:t xml:space="preserve"> </w:t>
      </w:r>
      <w:r w:rsidR="0044370C">
        <w:t xml:space="preserve">attendees representing the weighing </w:t>
      </w:r>
      <w:r>
        <w:t>industry asked how the software would know what the applicable tolerance is</w:t>
      </w:r>
      <w:r w:rsidR="00755CCC">
        <w:t>.  They also inquired</w:t>
      </w:r>
      <w:r>
        <w:t xml:space="preserve"> whether or not this item would be retroactive.  Regulatory officials</w:t>
      </w:r>
      <w:r w:rsidR="0044370C" w:rsidRPr="0044370C">
        <w:t xml:space="preserve"> </w:t>
      </w:r>
      <w:r w:rsidR="0044370C">
        <w:t>responded that</w:t>
      </w:r>
      <w:r>
        <w:t>:</w:t>
      </w:r>
    </w:p>
    <w:p w:rsidR="00FD1464" w:rsidRDefault="00FD1464" w:rsidP="009F592C">
      <w:pPr>
        <w:spacing w:after="0" w:line="276" w:lineRule="auto"/>
      </w:pPr>
    </w:p>
    <w:p w:rsidR="000F53F0" w:rsidRPr="00762DFC" w:rsidRDefault="000F53F0" w:rsidP="00762DFC">
      <w:pPr>
        <w:pStyle w:val="bulletedlist"/>
      </w:pPr>
      <w:r w:rsidRPr="00762DFC">
        <w:t>When testing a scale at capacity and the device is over registering, it may blank out and not allow the inspector to determine the error at capacity</w:t>
      </w:r>
      <w:r w:rsidR="00B47935" w:rsidRPr="00762DFC">
        <w:t>.</w:t>
      </w:r>
    </w:p>
    <w:p w:rsidR="000F53F0" w:rsidRPr="00762DFC" w:rsidRDefault="0044370C" w:rsidP="00762DFC">
      <w:pPr>
        <w:pStyle w:val="bulletedlist"/>
      </w:pPr>
      <w:r w:rsidRPr="00762DFC">
        <w:lastRenderedPageBreak/>
        <w:t xml:space="preserve">This proposed amendment to paragraph S.1.7. </w:t>
      </w:r>
      <w:r w:rsidR="000F53F0" w:rsidRPr="00762DFC">
        <w:t>would promote uniformity</w:t>
      </w:r>
      <w:r w:rsidRPr="00762DFC">
        <w:t>, and</w:t>
      </w:r>
    </w:p>
    <w:p w:rsidR="000F53F0" w:rsidRPr="00762DFC" w:rsidRDefault="000F53F0" w:rsidP="00762DFC">
      <w:pPr>
        <w:pStyle w:val="bulletedlist"/>
      </w:pPr>
      <w:r w:rsidRPr="00762DFC">
        <w:t>Provide for ease of testing.</w:t>
      </w:r>
    </w:p>
    <w:p w:rsidR="000F53F0" w:rsidRDefault="000F53F0" w:rsidP="000F53F0">
      <w:r>
        <w:t xml:space="preserve">The CWMA </w:t>
      </w:r>
      <w:r w:rsidR="0044370C">
        <w:t xml:space="preserve">recommended </w:t>
      </w:r>
      <w:r>
        <w:t xml:space="preserve">the proposed language be changed to </w:t>
      </w:r>
      <w:r w:rsidRPr="00B54523">
        <w:rPr>
          <w:b/>
          <w:i/>
          <w:u w:val="single"/>
        </w:rPr>
        <w:t>“shall display and record a gross or net weight of the scale capacity and the applicable maintenance tolerance</w:t>
      </w:r>
      <w:r w:rsidR="00755CCC">
        <w:rPr>
          <w:b/>
          <w:i/>
          <w:u w:val="single"/>
        </w:rPr>
        <w:t>.</w:t>
      </w:r>
      <w:r w:rsidRPr="00B54523">
        <w:rPr>
          <w:b/>
          <w:i/>
          <w:u w:val="single"/>
        </w:rPr>
        <w:t>”</w:t>
      </w:r>
      <w:r>
        <w:t xml:space="preserve">  This proposal would </w:t>
      </w:r>
      <w:r w:rsidR="0044370C">
        <w:t xml:space="preserve">facilitate the uniform testing of </w:t>
      </w:r>
      <w:r>
        <w:t xml:space="preserve">computing scales and </w:t>
      </w:r>
      <w:r w:rsidR="0044370C">
        <w:t xml:space="preserve">allow the inspector </w:t>
      </w:r>
      <w:r>
        <w:t>to determine the error at capacity.</w:t>
      </w:r>
      <w:r w:rsidR="00755CCC">
        <w:t xml:space="preserve">  </w:t>
      </w:r>
      <w:r w:rsidR="00755CCC">
        <w:rPr>
          <w:rFonts w:cs="Times New Roman"/>
        </w:rPr>
        <w:t>CWMA</w:t>
      </w:r>
      <w:r w:rsidR="00755CCC" w:rsidRPr="006273B2">
        <w:rPr>
          <w:rFonts w:cs="Times New Roman"/>
        </w:rPr>
        <w:t xml:space="preserve"> </w:t>
      </w:r>
      <w:r w:rsidR="00755CCC">
        <w:rPr>
          <w:rFonts w:cs="Times New Roman"/>
        </w:rPr>
        <w:t>f</w:t>
      </w:r>
      <w:r w:rsidR="00755CCC" w:rsidRPr="006273B2">
        <w:rPr>
          <w:rFonts w:cs="Times New Roman"/>
        </w:rPr>
        <w:t>orward</w:t>
      </w:r>
      <w:r w:rsidR="00755CCC">
        <w:rPr>
          <w:rFonts w:cs="Times New Roman"/>
        </w:rPr>
        <w:t>ed</w:t>
      </w:r>
      <w:r w:rsidR="00755CCC" w:rsidRPr="006273B2">
        <w:rPr>
          <w:rFonts w:cs="Times New Roman"/>
        </w:rPr>
        <w:t xml:space="preserve"> the item to NCWM</w:t>
      </w:r>
      <w:r w:rsidR="00755CCC">
        <w:rPr>
          <w:rFonts w:cs="Times New Roman"/>
        </w:rPr>
        <w:t xml:space="preserve">, recommending it as </w:t>
      </w:r>
      <w:r w:rsidR="00755CCC" w:rsidRPr="006273B2">
        <w:rPr>
          <w:rFonts w:cs="Times New Roman"/>
        </w:rPr>
        <w:t>a</w:t>
      </w:r>
      <w:r w:rsidR="00755CCC">
        <w:rPr>
          <w:rFonts w:cs="Times New Roman"/>
        </w:rPr>
        <w:t>n</w:t>
      </w:r>
      <w:r w:rsidR="00755CCC" w:rsidRPr="006273B2">
        <w:rPr>
          <w:rFonts w:cs="Times New Roman"/>
        </w:rPr>
        <w:t xml:space="preserve"> Informational Item</w:t>
      </w:r>
      <w:r w:rsidR="00755CCC">
        <w:rPr>
          <w:rFonts w:cs="Times New Roman"/>
        </w:rPr>
        <w:t xml:space="preserve"> with the above amendment to the original proposal</w:t>
      </w:r>
      <w:r w:rsidR="00755CCC" w:rsidRPr="006273B2">
        <w:rPr>
          <w:rFonts w:cs="Times New Roman"/>
        </w:rPr>
        <w:t>.</w:t>
      </w:r>
    </w:p>
    <w:p w:rsidR="0044370C" w:rsidRDefault="0044370C" w:rsidP="0044370C">
      <w:r>
        <w:t>During the 201</w:t>
      </w:r>
      <w:r w:rsidR="007C5108">
        <w:t>2</w:t>
      </w:r>
      <w:r>
        <w:t xml:space="preserve"> NCWM Interim Meeting, Ms. Henzler, </w:t>
      </w:r>
      <w:r w:rsidRPr="0044370C">
        <w:t>Kansas Department of Agriculture</w:t>
      </w:r>
      <w:r>
        <w:t>, reported that Kansas inspectors had discovered some unattended scanner scales that “blanked out” when a capacity test load was applied to the load-receiving element.  The overcapacity indication on the scales discovered by Kansas is controlled by software that causes the scales to “blank out” at an indication slightly over capacity (e.g.</w:t>
      </w:r>
      <w:r w:rsidR="008E54BD">
        <w:t>,</w:t>
      </w:r>
      <w:r>
        <w:t xml:space="preserve"> one or two divisions over capacity).  Thus, when one of these scales is being tested, if it is overregistering (i.e., registering a value that is greater than the test load applied) by an amount to cause the indication to reach the point where the software blanks the scale when a capacity test load is applied, there is no way of knowing (at that particular test load) whether or not the scale is performing within acceptable tolerance limits.  </w:t>
      </w:r>
      <w:r w:rsidRPr="004B6F4B">
        <w:t>Ms.</w:t>
      </w:r>
      <w:r>
        <w:t xml:space="preserve"> Henzler stated that she was aware that the test procedures could be modified to enable that determination be made.  It was her view, however, that the modified procedures would be labor intensive and not likely applied by service technicians, who, in the State of Kansas, are permitted to perform official tests on scales.  She also indicated that some service technicians may not have the necessary equipment to apply the modified procedures.  </w:t>
      </w:r>
    </w:p>
    <w:p w:rsidR="0044370C" w:rsidRDefault="003C307C" w:rsidP="0044370C">
      <w:r>
        <w:t>National Institute of Standards and Technology (</w:t>
      </w:r>
      <w:r w:rsidR="0044370C">
        <w:t>NIST</w:t>
      </w:r>
      <w:r>
        <w:t>)</w:t>
      </w:r>
      <w:r w:rsidR="0044370C">
        <w:t xml:space="preserve">, </w:t>
      </w:r>
      <w:r>
        <w:t>Office of Weights and Measures (</w:t>
      </w:r>
      <w:r w:rsidR="0044370C">
        <w:t>OWM</w:t>
      </w:r>
      <w:r>
        <w:t>)</w:t>
      </w:r>
      <w:r w:rsidR="0044370C">
        <w:rPr>
          <w:rFonts w:ascii="Berlin Sans FB" w:hAnsi="Berlin Sans FB"/>
          <w:color w:val="1F497D"/>
        </w:rPr>
        <w:t xml:space="preserve"> </w:t>
      </w:r>
      <w:r w:rsidR="0044370C">
        <w:t xml:space="preserve">pointed out there are three critical verifications that officials need to make relative to testing an electronic-computing scale, manufactured as of January 1, 1993, at maximum test load: </w:t>
      </w:r>
    </w:p>
    <w:p w:rsidR="0044370C" w:rsidRDefault="0044370C" w:rsidP="0023324C">
      <w:pPr>
        <w:pStyle w:val="numberedlist"/>
      </w:pPr>
      <w:r>
        <w:t>The scale must be capable of displaying the nominal capacity marked on the device.</w:t>
      </w:r>
    </w:p>
    <w:p w:rsidR="0044370C" w:rsidRDefault="0044370C" w:rsidP="0023324C">
      <w:pPr>
        <w:pStyle w:val="numberedlist"/>
      </w:pPr>
      <w:r>
        <w:t>The scale must not indicate or record any values in excess of nominal capacity plus 9 d.</w:t>
      </w:r>
    </w:p>
    <w:p w:rsidR="0044370C" w:rsidRDefault="0044370C" w:rsidP="0023324C">
      <w:pPr>
        <w:pStyle w:val="numberedlist"/>
      </w:pPr>
      <w:r>
        <w:t xml:space="preserve">The scale must be within tolerance at the maximum test load (i.e., the maximum value the device is capable of displaying).  </w:t>
      </w:r>
    </w:p>
    <w:p w:rsidR="0044370C" w:rsidRDefault="0044370C" w:rsidP="0044370C">
      <w:r>
        <w:t xml:space="preserve">NIST, OWM </w:t>
      </w:r>
      <w:r w:rsidR="0025054F">
        <w:t>has</w:t>
      </w:r>
      <w:r>
        <w:t xml:space="preserve"> traditionally recommended a slight modification to test procedures in order</w:t>
      </w:r>
      <w:r w:rsidRPr="000A758D">
        <w:t xml:space="preserve"> to make it easy for an inspector to determine whether or not a scale is capable of displaying a value equal to nominal capacity and comply</w:t>
      </w:r>
      <w:r w:rsidR="0025054F">
        <w:t>ing</w:t>
      </w:r>
      <w:r w:rsidRPr="000A758D">
        <w:t xml:space="preserve"> with paragraph S.1.7.(b).  </w:t>
      </w:r>
      <w:r>
        <w:t>The following example pro</w:t>
      </w:r>
      <w:r w:rsidR="00B13B2F">
        <w:t xml:space="preserve">cedures were provided: step (1) </w:t>
      </w:r>
      <w:r>
        <w:t>a</w:t>
      </w:r>
      <w:r w:rsidRPr="004F22B8">
        <w:t xml:space="preserve">pply fractional weights in the amount of applicable tolerance; </w:t>
      </w:r>
      <w:r>
        <w:t>step (2) z</w:t>
      </w:r>
      <w:r w:rsidRPr="004F22B8">
        <w:t xml:space="preserve">ero the scale; </w:t>
      </w:r>
      <w:r w:rsidR="00732822">
        <w:t xml:space="preserve">and </w:t>
      </w:r>
      <w:r>
        <w:t>step (3) c</w:t>
      </w:r>
      <w:r w:rsidRPr="004F22B8">
        <w:t>onduct an increasing</w:t>
      </w:r>
      <w:r>
        <w:t>-</w:t>
      </w:r>
      <w:r w:rsidRPr="004F22B8">
        <w:t>load test to the</w:t>
      </w:r>
      <w:r>
        <w:t xml:space="preserve"> nominal capacity of the scale. </w:t>
      </w:r>
      <w:r w:rsidRPr="004F22B8">
        <w:t xml:space="preserve"> If the scale fails to display the nominal capacity with a nominal capacit</w:t>
      </w:r>
      <w:r>
        <w:t>y test load applied due to over</w:t>
      </w:r>
      <w:r w:rsidRPr="004F22B8">
        <w:t xml:space="preserve">registration, incrementally remove the fraction weights </w:t>
      </w:r>
      <w:r>
        <w:t>one division</w:t>
      </w:r>
      <w:r w:rsidRPr="004F22B8">
        <w:t xml:space="preserve"> at a time until the scale displays nominal capacity.  The amount of weight removed to cause the scale to display the capacity indication represents the</w:t>
      </w:r>
      <w:r>
        <w:t xml:space="preserve"> amount of error in the scale.  </w:t>
      </w:r>
      <w:r w:rsidR="00B13B2F">
        <w:t xml:space="preserve">NIST, </w:t>
      </w:r>
      <w:r>
        <w:t>OWM noted that this simple modification</w:t>
      </w:r>
      <w:r w:rsidRPr="00DF6C0B">
        <w:t xml:space="preserve"> to the procedures would enable an inspector to verify compliance with S.1.7., thus eliminating the need to modify a scale</w:t>
      </w:r>
      <w:r w:rsidR="007C5108">
        <w:t>’</w:t>
      </w:r>
      <w:r w:rsidRPr="00DF6C0B">
        <w:t xml:space="preserve">s (or </w:t>
      </w:r>
      <w:r>
        <w:t>electronic cash register’s</w:t>
      </w:r>
      <w:r w:rsidRPr="00DF6C0B">
        <w:t xml:space="preserve">) software. </w:t>
      </w:r>
      <w:r w:rsidR="00B13B2F">
        <w:t xml:space="preserve"> </w:t>
      </w:r>
      <w:r w:rsidRPr="00DF6C0B">
        <w:t xml:space="preserve">Given the ease at which these procedures can be applied, consideration should be given as to whether or not the cost of modifying would warrant the proposed change.  </w:t>
      </w:r>
    </w:p>
    <w:p w:rsidR="0044370C" w:rsidRDefault="00B13B2F" w:rsidP="009F592C">
      <w:pPr>
        <w:spacing w:after="200" w:line="276" w:lineRule="auto"/>
        <w:jc w:val="left"/>
      </w:pPr>
      <w:r>
        <w:t xml:space="preserve">NIST, </w:t>
      </w:r>
      <w:r w:rsidR="0044370C">
        <w:t>OWM noted the following additional concerns should the committee decide to proceed with the proposal:</w:t>
      </w:r>
    </w:p>
    <w:p w:rsidR="0044370C" w:rsidRPr="00041A2B" w:rsidRDefault="0044370C" w:rsidP="00B77FD2">
      <w:pPr>
        <w:pStyle w:val="numberedlist"/>
        <w:numPr>
          <w:ilvl w:val="0"/>
          <w:numId w:val="27"/>
        </w:numPr>
      </w:pPr>
      <w:r w:rsidRPr="00825F2C">
        <w:t>The proposed new text</w:t>
      </w:r>
      <w:r w:rsidR="00B13B2F">
        <w:t xml:space="preserve"> specifies “gross or net weight</w:t>
      </w:r>
      <w:r w:rsidR="003F11D3">
        <w:t>.</w:t>
      </w:r>
      <w:r w:rsidRPr="00825F2C">
        <w:t>”</w:t>
      </w:r>
      <w:r w:rsidRPr="00041A2B">
        <w:t xml:space="preserve"> </w:t>
      </w:r>
      <w:r>
        <w:t xml:space="preserve"> </w:t>
      </w:r>
      <w:r w:rsidR="00B13B2F">
        <w:t xml:space="preserve">NIST, </w:t>
      </w:r>
      <w:r w:rsidRPr="00041A2B">
        <w:t>OWM recommend</w:t>
      </w:r>
      <w:r>
        <w:t>ed</w:t>
      </w:r>
      <w:r w:rsidRPr="00041A2B">
        <w:t xml:space="preserve"> that the proposed requirement should not apply to “net weight” indications.  There is the potential to overload a scale using tare values above </w:t>
      </w:r>
      <w:r w:rsidR="00762BCA" w:rsidRPr="00041A2B">
        <w:t>5</w:t>
      </w:r>
      <w:r w:rsidR="00762BCA">
        <w:t> </w:t>
      </w:r>
      <w:r w:rsidRPr="00041A2B">
        <w:t xml:space="preserve">% of the capacity of the scale.  </w:t>
      </w:r>
    </w:p>
    <w:p w:rsidR="0044370C" w:rsidRDefault="0044370C" w:rsidP="0023324C">
      <w:pPr>
        <w:pStyle w:val="numberedlist"/>
      </w:pPr>
      <w:r w:rsidRPr="00825F2C">
        <w:t>The proposed new text spec</w:t>
      </w:r>
      <w:r w:rsidR="00B13B2F">
        <w:t>ifies “shall display and record</w:t>
      </w:r>
      <w:r w:rsidR="008323CC">
        <w:t>.</w:t>
      </w:r>
      <w:r w:rsidRPr="00825F2C">
        <w:t xml:space="preserve">”  </w:t>
      </w:r>
      <w:r w:rsidRPr="00041A2B">
        <w:t xml:space="preserve">If this proposal were to be adopted as written, all electronic computing scales manufactured as of </w:t>
      </w:r>
      <w:r w:rsidR="00762BCA">
        <w:t>January 1, 1993,</w:t>
      </w:r>
      <w:r w:rsidRPr="00041A2B">
        <w:t xml:space="preserve"> would be required to be equipped or interfaced with </w:t>
      </w:r>
      <w:r>
        <w:t xml:space="preserve">a </w:t>
      </w:r>
      <w:r w:rsidRPr="00041A2B">
        <w:t>ticke</w:t>
      </w:r>
      <w:r>
        <w:t>t printer.</w:t>
      </w:r>
    </w:p>
    <w:p w:rsidR="0044370C" w:rsidRDefault="0044370C" w:rsidP="0023324C">
      <w:pPr>
        <w:pStyle w:val="numberedlist"/>
      </w:pPr>
      <w:r w:rsidRPr="00825F2C">
        <w:lastRenderedPageBreak/>
        <w:t>The proposed new text would require the display and recording of “scale capacity and the applicable tolerance”</w:t>
      </w:r>
      <w:r w:rsidRPr="00041A2B">
        <w:t xml:space="preserve"> </w:t>
      </w:r>
      <w:r w:rsidR="00762BCA">
        <w:t>that</w:t>
      </w:r>
      <w:r w:rsidR="00762BCA" w:rsidRPr="00041A2B">
        <w:t xml:space="preserve"> </w:t>
      </w:r>
      <w:r w:rsidRPr="00041A2B">
        <w:t>can be interpreted to mean that two separate values need to be displayed and recorded, the first being the value of nominal capacity, and the second being the applicable tolerance.</w:t>
      </w:r>
    </w:p>
    <w:p w:rsidR="0044370C" w:rsidRPr="00041A2B" w:rsidRDefault="0044370C" w:rsidP="0023324C">
      <w:pPr>
        <w:pStyle w:val="numberedlist"/>
      </w:pPr>
      <w:r w:rsidRPr="00041A2B">
        <w:t>The proposed new text would require software on existing applicable computing scales to be modified since the proposed language is written as a nonretroactive requirement that would be applicable to devices manufacture</w:t>
      </w:r>
      <w:r>
        <w:t>d after January 1, 1993</w:t>
      </w:r>
      <w:r w:rsidR="00762BCA">
        <w:t>,</w:t>
      </w:r>
      <w:r>
        <w:t xml:space="preserve"> unless </w:t>
      </w:r>
      <w:r w:rsidRPr="00041A2B">
        <w:t>amended.</w:t>
      </w:r>
    </w:p>
    <w:p w:rsidR="0044370C" w:rsidRDefault="0044370C" w:rsidP="0023324C">
      <w:pPr>
        <w:pStyle w:val="numberedlist"/>
      </w:pPr>
      <w:r w:rsidRPr="00041A2B">
        <w:t xml:space="preserve">The proposed new text is not clear as to whether it is applicable to non-computing scales interfaced with </w:t>
      </w:r>
      <w:r w:rsidR="00B13B2F">
        <w:t>E</w:t>
      </w:r>
      <w:r w:rsidRPr="00041A2B">
        <w:t xml:space="preserve">lectronic </w:t>
      </w:r>
      <w:r w:rsidR="00B13B2F">
        <w:t>C</w:t>
      </w:r>
      <w:r w:rsidRPr="00041A2B">
        <w:t xml:space="preserve">ash </w:t>
      </w:r>
      <w:r w:rsidR="00B13B2F">
        <w:t>R</w:t>
      </w:r>
      <w:r w:rsidRPr="00041A2B">
        <w:t>egisters (</w:t>
      </w:r>
      <w:r w:rsidRPr="006D756D">
        <w:t>ECR</w:t>
      </w:r>
      <w:r w:rsidRPr="00041A2B">
        <w:t>) in a point-of-sale system since an ECR is a computing accessory used in conjunction to a non-computing scale in a point-of-sale system.</w:t>
      </w:r>
    </w:p>
    <w:p w:rsidR="0044370C" w:rsidRDefault="0044370C" w:rsidP="0044370C">
      <w:r>
        <w:t xml:space="preserve">Mr. </w:t>
      </w:r>
      <w:r w:rsidR="002C4874">
        <w:t xml:space="preserve">Darrell </w:t>
      </w:r>
      <w:r w:rsidR="00755CCC">
        <w:t>Flocken</w:t>
      </w:r>
      <w:r>
        <w:t xml:space="preserve">, </w:t>
      </w:r>
      <w:r w:rsidR="002C4874">
        <w:t xml:space="preserve">Mettler-Toledo LLC </w:t>
      </w:r>
      <w:r>
        <w:t xml:space="preserve">speaking on behalf of the </w:t>
      </w:r>
      <w:r w:rsidR="00C12B80">
        <w:t>Scale Manufacturers Association (</w:t>
      </w:r>
      <w:r>
        <w:t>SMA</w:t>
      </w:r>
      <w:r w:rsidR="00C12B80">
        <w:t>)</w:t>
      </w:r>
      <w:r>
        <w:t>, opposed the item, stating that the proposed changes were unnecessary and that the overcapacity indication should not be tied to device tolerance.</w:t>
      </w:r>
    </w:p>
    <w:p w:rsidR="0044370C" w:rsidRDefault="0044370C" w:rsidP="0044370C">
      <w:r>
        <w:t>Mr. Calix, NCR C</w:t>
      </w:r>
      <w:r w:rsidR="006421BD">
        <w:t>orporation and Mr. Grabski, Walm</w:t>
      </w:r>
      <w:r>
        <w:t xml:space="preserve">art Stores, Inc., also indicated their opposition to the item. </w:t>
      </w:r>
    </w:p>
    <w:p w:rsidR="0044370C" w:rsidRDefault="0044370C" w:rsidP="0044370C">
      <w:r>
        <w:t>In discussing this item, the committee agreed that the test procedures used to verify whether or not an electronic-computing scale complies with paragraph S.1.7</w:t>
      </w:r>
      <w:r w:rsidR="00387230">
        <w:t>. (</w:t>
      </w:r>
      <w:r>
        <w:t xml:space="preserve">b) are well known, fairly simple to apply, and are already being consistently applied by field officials.  The </w:t>
      </w:r>
      <w:r w:rsidR="00F6144D">
        <w:t xml:space="preserve">Committee </w:t>
      </w:r>
      <w:r>
        <w:t xml:space="preserve">considered whether service technicians would need additional equipment to enable them to apply those test procedures.  The </w:t>
      </w:r>
      <w:r w:rsidR="00F6144D">
        <w:t xml:space="preserve">Committee </w:t>
      </w:r>
      <w:r>
        <w:t xml:space="preserve">concluded that the equipment needed to perform the modified procedures recommended by </w:t>
      </w:r>
      <w:r w:rsidR="00B13B2F">
        <w:t xml:space="preserve">NIST, </w:t>
      </w:r>
      <w:r>
        <w:t>OWM would include that which service technicians should already possess in order for them to properly conduct</w:t>
      </w:r>
      <w:r w:rsidR="00B13B2F">
        <w:t xml:space="preserve"> an official test on a scale.  </w:t>
      </w:r>
    </w:p>
    <w:p w:rsidR="002C4874" w:rsidRDefault="002C4874" w:rsidP="002C4874">
      <w:r>
        <w:t xml:space="preserve">During the 2012 NCWM Annual Meeting </w:t>
      </w:r>
      <w:r w:rsidR="00762BCA">
        <w:t>Open Hearings</w:t>
      </w:r>
      <w:r>
        <w:t>, Mr. Flocken, speaking on behalf of the SMA</w:t>
      </w:r>
      <w:r w:rsidR="00762DFC">
        <w:t>,</w:t>
      </w:r>
      <w:r>
        <w:t xml:space="preserve"> supported withdrawing the item.  </w:t>
      </w:r>
    </w:p>
    <w:p w:rsidR="002C4874" w:rsidRDefault="002C4874" w:rsidP="002C4874">
      <w:r>
        <w:t xml:space="preserve">No further action was taken by the Committee at the 2012 NCWM Annual Meeting since the Committee had previously agreed to </w:t>
      </w:r>
      <w:r w:rsidR="00762BCA">
        <w:t xml:space="preserve">“Withdraw” </w:t>
      </w:r>
      <w:r>
        <w:t xml:space="preserve">the item. </w:t>
      </w:r>
    </w:p>
    <w:p w:rsidR="00F815F9" w:rsidRDefault="00F815F9">
      <w:pPr>
        <w:pStyle w:val="ItemHeading"/>
      </w:pPr>
      <w:bookmarkStart w:id="12" w:name="_Toc334183615"/>
      <w:r>
        <w:t>320-2</w:t>
      </w:r>
      <w:r>
        <w:tab/>
      </w:r>
      <w:r w:rsidR="0032532B">
        <w:t>I</w:t>
      </w:r>
      <w:r w:rsidR="0032532B">
        <w:tab/>
      </w:r>
      <w:r>
        <w:t>S.6.4</w:t>
      </w:r>
      <w:r w:rsidR="004D4B5C">
        <w:t>.</w:t>
      </w:r>
      <w:r>
        <w:t xml:space="preserve"> </w:t>
      </w:r>
      <w:r w:rsidR="00406CA4">
        <w:t xml:space="preserve"> </w:t>
      </w:r>
      <w:r>
        <w:t>Railway Track Scales and Appendix D – Definitions</w:t>
      </w:r>
      <w:bookmarkEnd w:id="12"/>
    </w:p>
    <w:p w:rsidR="00F815F9" w:rsidRDefault="00F815F9" w:rsidP="009F592C">
      <w:pPr>
        <w:pStyle w:val="BoldHeading"/>
        <w:spacing w:after="0"/>
      </w:pPr>
      <w:r>
        <w:t>Source:</w:t>
      </w:r>
    </w:p>
    <w:p w:rsidR="00F815F9" w:rsidRDefault="00F815F9" w:rsidP="00F815F9">
      <w:r>
        <w:t xml:space="preserve">Systems Associates, Inc., </w:t>
      </w:r>
      <w:r w:rsidR="004B1D04">
        <w:t>(2012)</w:t>
      </w:r>
    </w:p>
    <w:p w:rsidR="00F815F9" w:rsidRDefault="00F815F9" w:rsidP="009F592C">
      <w:pPr>
        <w:pStyle w:val="BoldHeading"/>
        <w:spacing w:after="0"/>
      </w:pPr>
      <w:r>
        <w:t xml:space="preserve">Purpose: </w:t>
      </w:r>
    </w:p>
    <w:p w:rsidR="00F815F9" w:rsidRDefault="00755CCC" w:rsidP="00F815F9">
      <w:r>
        <w:t>A</w:t>
      </w:r>
      <w:r w:rsidR="00F815F9" w:rsidRPr="00D57566">
        <w:t xml:space="preserve">lign </w:t>
      </w:r>
      <w:r w:rsidR="00F815F9" w:rsidRPr="009F592C">
        <w:t>NIST Handbook 44</w:t>
      </w:r>
      <w:r w:rsidR="00F815F9" w:rsidRPr="00D57566">
        <w:t xml:space="preserve"> with updated material in </w:t>
      </w:r>
      <w:r w:rsidR="00F815F9" w:rsidRPr="00D57566">
        <w:rPr>
          <w:i/>
        </w:rPr>
        <w:t>AAR Scale Handbook</w:t>
      </w:r>
      <w:r w:rsidR="00F815F9" w:rsidRPr="00D57566">
        <w:t>.</w:t>
      </w:r>
    </w:p>
    <w:p w:rsidR="00F815F9" w:rsidRDefault="00F815F9" w:rsidP="009F592C">
      <w:pPr>
        <w:pStyle w:val="BoldHeading"/>
        <w:spacing w:after="0"/>
      </w:pPr>
      <w:r>
        <w:t xml:space="preserve">Item Under Consideration: </w:t>
      </w:r>
    </w:p>
    <w:p w:rsidR="00F815F9" w:rsidRDefault="0032532B" w:rsidP="00F815F9">
      <w:r>
        <w:t xml:space="preserve">1) </w:t>
      </w:r>
      <w:r w:rsidR="00F815F9">
        <w:t xml:space="preserve">Amend </w:t>
      </w:r>
      <w:r w:rsidR="00F815F9" w:rsidRPr="009F592C">
        <w:t>NIST Handbook 44</w:t>
      </w:r>
      <w:r>
        <w:t>,</w:t>
      </w:r>
      <w:r w:rsidR="00B16D53">
        <w:t xml:space="preserve"> </w:t>
      </w:r>
      <w:r w:rsidR="00F815F9">
        <w:t xml:space="preserve">Scales Code </w:t>
      </w:r>
      <w:r>
        <w:t xml:space="preserve">paragraph S.6.4. Railway Track Scales </w:t>
      </w:r>
      <w:r w:rsidR="00F815F9">
        <w:t>as follows:</w:t>
      </w:r>
    </w:p>
    <w:p w:rsidR="00F815F9" w:rsidRDefault="00F815F9" w:rsidP="005E0695">
      <w:pPr>
        <w:pStyle w:val="I-Normalreg"/>
        <w:tabs>
          <w:tab w:val="left" w:pos="990"/>
        </w:tabs>
      </w:pPr>
      <w:r w:rsidRPr="00F815F9">
        <w:rPr>
          <w:b/>
        </w:rPr>
        <w:t>S.6.4.</w:t>
      </w:r>
      <w:r w:rsidR="005E0695">
        <w:rPr>
          <w:b/>
        </w:rPr>
        <w:tab/>
      </w:r>
      <w:r w:rsidRPr="00F815F9">
        <w:rPr>
          <w:b/>
        </w:rPr>
        <w:t>Railway Track Scales.</w:t>
      </w:r>
      <w:r>
        <w:t xml:space="preserve"> – A railway track scale shall be marked with the maximum capacity of each section of the load-receiving element of the scale.  Such marking shall be accurately and conspicuously presented on, or adjacent to, the identification or nomenclature plate that is attached to the indicating element of the scale.  </w:t>
      </w:r>
      <w:r w:rsidRPr="00F815F9">
        <w:rPr>
          <w:b/>
          <w:i/>
          <w:strike/>
        </w:rPr>
        <w:t>The nominal capacity of a scale with more than two sections shall not exceed twice its rated section capacity.  The nominal capacity of a two section scale shall not exceed its rated section capacity.*</w:t>
      </w:r>
      <w:r>
        <w:t xml:space="preserve"> </w:t>
      </w:r>
      <w:r w:rsidRPr="00F815F9">
        <w:rPr>
          <w:b/>
          <w:u w:val="single"/>
        </w:rPr>
        <w:t>The nominal scale capacity shall not exceed the lesser of;</w:t>
      </w:r>
    </w:p>
    <w:p w:rsidR="00F815F9" w:rsidRPr="00F22A8D" w:rsidRDefault="00F22A8D" w:rsidP="009F592C">
      <w:pPr>
        <w:tabs>
          <w:tab w:val="left" w:pos="1080"/>
        </w:tabs>
        <w:spacing w:after="200" w:line="276" w:lineRule="auto"/>
        <w:ind w:firstLine="720"/>
        <w:jc w:val="left"/>
        <w:rPr>
          <w:b/>
          <w:u w:val="single"/>
        </w:rPr>
      </w:pPr>
      <w:r>
        <w:rPr>
          <w:b/>
          <w:u w:val="single"/>
        </w:rPr>
        <w:t>(a)</w:t>
      </w:r>
      <w:r w:rsidR="00FF529C" w:rsidRPr="00FF529C">
        <w:rPr>
          <w:b/>
        </w:rPr>
        <w:tab/>
      </w:r>
      <w:r w:rsidR="00F815F9" w:rsidRPr="00F22A8D">
        <w:rPr>
          <w:b/>
          <w:u w:val="single"/>
        </w:rPr>
        <w:t>The sum of the Weigh Module Capacities as shown in Table S.6.4</w:t>
      </w:r>
      <w:r w:rsidR="009F592C">
        <w:rPr>
          <w:b/>
          <w:u w:val="single"/>
        </w:rPr>
        <w:t>.</w:t>
      </w:r>
      <w:r w:rsidR="00F815F9" w:rsidRPr="00F22A8D">
        <w:rPr>
          <w:b/>
          <w:u w:val="single"/>
        </w:rPr>
        <w:t>, or;</w:t>
      </w:r>
    </w:p>
    <w:p w:rsidR="00F815F9" w:rsidRPr="00F22A8D" w:rsidRDefault="00F22A8D" w:rsidP="00F22A8D">
      <w:pPr>
        <w:pStyle w:val="I-LetterAreg"/>
        <w:numPr>
          <w:ilvl w:val="0"/>
          <w:numId w:val="0"/>
        </w:numPr>
        <w:ind w:left="1080" w:hanging="360"/>
        <w:rPr>
          <w:b/>
          <w:u w:val="single"/>
        </w:rPr>
      </w:pPr>
      <w:r>
        <w:rPr>
          <w:b/>
          <w:u w:val="single"/>
        </w:rPr>
        <w:t>(b)</w:t>
      </w:r>
      <w:r>
        <w:rPr>
          <w:b/>
        </w:rPr>
        <w:tab/>
      </w:r>
      <w:r w:rsidR="00F815F9" w:rsidRPr="00F22A8D">
        <w:rPr>
          <w:b/>
          <w:u w:val="single"/>
        </w:rPr>
        <w:t xml:space="preserve">Rated Sectional Capacity (RSC) multiplied by the quantity of the Number of Sections (Ns) minus the Number of Dead Spaces (Nd) minus 0.5. As a formula this is stated as RSC x (Ns - Nd - 0.5), </w:t>
      </w:r>
    </w:p>
    <w:p w:rsidR="0032532B" w:rsidRDefault="00F22A8D" w:rsidP="0023324C">
      <w:pPr>
        <w:pStyle w:val="I-LetterAreg"/>
        <w:numPr>
          <w:ilvl w:val="0"/>
          <w:numId w:val="0"/>
        </w:numPr>
        <w:ind w:left="1080" w:hanging="360"/>
        <w:rPr>
          <w:b/>
          <w:u w:val="single"/>
        </w:rPr>
      </w:pPr>
      <w:r>
        <w:rPr>
          <w:b/>
          <w:u w:val="single"/>
        </w:rPr>
        <w:t>(c)</w:t>
      </w:r>
      <w:r>
        <w:rPr>
          <w:b/>
        </w:rPr>
        <w:tab/>
      </w:r>
      <w:r w:rsidR="00F815F9" w:rsidRPr="00F22A8D">
        <w:rPr>
          <w:b/>
          <w:u w:val="single"/>
        </w:rPr>
        <w:t>640</w:t>
      </w:r>
      <w:r w:rsidR="00350256">
        <w:rPr>
          <w:b/>
          <w:u w:val="single"/>
        </w:rPr>
        <w:t> </w:t>
      </w:r>
      <w:r w:rsidR="00350256" w:rsidRPr="00F22A8D">
        <w:rPr>
          <w:b/>
          <w:u w:val="single"/>
        </w:rPr>
        <w:t>000</w:t>
      </w:r>
      <w:r w:rsidR="00350256">
        <w:rPr>
          <w:b/>
          <w:u w:val="single"/>
        </w:rPr>
        <w:t> </w:t>
      </w:r>
      <w:r w:rsidR="00F815F9" w:rsidRPr="00F22A8D">
        <w:rPr>
          <w:b/>
          <w:u w:val="single"/>
        </w:rPr>
        <w:t>lb</w:t>
      </w:r>
      <w:r w:rsidR="0032532B">
        <w:rPr>
          <w:b/>
          <w:u w:val="single"/>
        </w:rPr>
        <w:t>; or</w:t>
      </w:r>
    </w:p>
    <w:p w:rsidR="0032532B" w:rsidRDefault="0032532B" w:rsidP="0023324C">
      <w:pPr>
        <w:pStyle w:val="I-LetterAreg"/>
        <w:numPr>
          <w:ilvl w:val="0"/>
          <w:numId w:val="0"/>
        </w:numPr>
        <w:ind w:left="1080" w:hanging="360"/>
        <w:rPr>
          <w:b/>
          <w:u w:val="single"/>
        </w:rPr>
      </w:pPr>
      <w:r>
        <w:rPr>
          <w:b/>
          <w:u w:val="single"/>
        </w:rPr>
        <w:lastRenderedPageBreak/>
        <w:t>(d)</w:t>
      </w:r>
      <w:r w:rsidRPr="0023324C">
        <w:rPr>
          <w:b/>
        </w:rPr>
        <w:tab/>
      </w:r>
      <w:r>
        <w:rPr>
          <w:b/>
          <w:u w:val="single"/>
        </w:rPr>
        <w:t>The nominal capacity listed on the CC.</w:t>
      </w:r>
    </w:p>
    <w:p w:rsidR="00F6144D" w:rsidRDefault="00F6144D" w:rsidP="0023324C">
      <w:pPr>
        <w:pStyle w:val="I-LetterAreg"/>
        <w:numPr>
          <w:ilvl w:val="0"/>
          <w:numId w:val="0"/>
        </w:numPr>
        <w:ind w:left="1080" w:hanging="360"/>
        <w:rPr>
          <w:b/>
          <w:u w:val="single"/>
        </w:rPr>
      </w:pPr>
    </w:p>
    <w:tbl>
      <w:tblPr>
        <w:tblStyle w:val="TableGrid"/>
        <w:tblW w:w="0" w:type="auto"/>
        <w:tblInd w:w="360" w:type="dxa"/>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4608"/>
        <w:gridCol w:w="4608"/>
      </w:tblGrid>
      <w:tr w:rsidR="00F22A8D" w:rsidTr="005E0695">
        <w:tc>
          <w:tcPr>
            <w:tcW w:w="9216" w:type="dxa"/>
            <w:gridSpan w:val="2"/>
            <w:tcBorders>
              <w:top w:val="double" w:sz="4" w:space="0" w:color="auto"/>
              <w:bottom w:val="double" w:sz="4" w:space="0" w:color="auto"/>
            </w:tcBorders>
          </w:tcPr>
          <w:p w:rsidR="00F22A8D" w:rsidRPr="00F22A8D" w:rsidRDefault="00F22A8D" w:rsidP="005E0695">
            <w:pPr>
              <w:pStyle w:val="TableHeading"/>
              <w:spacing w:after="0"/>
              <w:rPr>
                <w:u w:val="single"/>
              </w:rPr>
            </w:pPr>
            <w:r w:rsidRPr="00F22A8D">
              <w:rPr>
                <w:u w:val="single"/>
              </w:rPr>
              <w:t>Table S.6.4.</w:t>
            </w:r>
          </w:p>
          <w:p w:rsidR="00F22A8D" w:rsidRDefault="00F22A8D" w:rsidP="005E0695">
            <w:pPr>
              <w:pStyle w:val="TableHeading"/>
              <w:spacing w:after="0"/>
            </w:pPr>
            <w:r w:rsidRPr="00F22A8D">
              <w:rPr>
                <w:u w:val="single"/>
              </w:rPr>
              <w:t>Railway Track Scale – Weigh Module Capacity</w:t>
            </w:r>
          </w:p>
        </w:tc>
      </w:tr>
      <w:tr w:rsidR="00F22A8D" w:rsidTr="005E0695">
        <w:tc>
          <w:tcPr>
            <w:tcW w:w="4608" w:type="dxa"/>
            <w:tcBorders>
              <w:top w:val="double" w:sz="4" w:space="0" w:color="auto"/>
            </w:tcBorders>
          </w:tcPr>
          <w:p w:rsidR="00F22A8D" w:rsidRPr="00F22A8D" w:rsidRDefault="00F22A8D" w:rsidP="005E0695">
            <w:pPr>
              <w:pStyle w:val="TableColumnHeadings"/>
              <w:spacing w:after="0"/>
              <w:rPr>
                <w:u w:val="single"/>
              </w:rPr>
            </w:pPr>
            <w:r w:rsidRPr="00F22A8D">
              <w:rPr>
                <w:u w:val="single"/>
              </w:rPr>
              <w:t>Weigh Module Length (ft)</w:t>
            </w:r>
          </w:p>
        </w:tc>
        <w:tc>
          <w:tcPr>
            <w:tcW w:w="4608" w:type="dxa"/>
            <w:tcBorders>
              <w:top w:val="double" w:sz="4" w:space="0" w:color="auto"/>
            </w:tcBorders>
          </w:tcPr>
          <w:p w:rsidR="00F22A8D" w:rsidRPr="00F22A8D" w:rsidRDefault="00F22A8D" w:rsidP="005E0695">
            <w:pPr>
              <w:pStyle w:val="TableColumnHeadings"/>
              <w:spacing w:after="0"/>
              <w:rPr>
                <w:u w:val="single"/>
              </w:rPr>
            </w:pPr>
            <w:r w:rsidRPr="00F22A8D">
              <w:rPr>
                <w:u w:val="single"/>
              </w:rPr>
              <w:t>Weigh Module Capacity (ton)</w:t>
            </w:r>
          </w:p>
        </w:tc>
      </w:tr>
      <w:tr w:rsidR="00F22A8D" w:rsidTr="005E0695">
        <w:tc>
          <w:tcPr>
            <w:tcW w:w="4608" w:type="dxa"/>
          </w:tcPr>
          <w:p w:rsidR="00F22A8D" w:rsidRPr="00F22A8D" w:rsidRDefault="00F22A8D" w:rsidP="005E0695">
            <w:pPr>
              <w:pStyle w:val="TableText"/>
              <w:spacing w:after="0"/>
              <w:jc w:val="center"/>
              <w:rPr>
                <w:b/>
                <w:u w:val="single"/>
              </w:rPr>
            </w:pPr>
            <w:r w:rsidRPr="00F22A8D">
              <w:rPr>
                <w:b/>
                <w:u w:val="single"/>
              </w:rPr>
              <w:t>&lt;</w:t>
            </w:r>
            <w:r w:rsidR="00762BCA">
              <w:rPr>
                <w:b/>
                <w:u w:val="single"/>
              </w:rPr>
              <w:t> </w:t>
            </w:r>
            <w:r w:rsidRPr="00F22A8D">
              <w:rPr>
                <w:b/>
                <w:u w:val="single"/>
              </w:rPr>
              <w:t>5</w:t>
            </w:r>
          </w:p>
        </w:tc>
        <w:tc>
          <w:tcPr>
            <w:tcW w:w="4608" w:type="dxa"/>
          </w:tcPr>
          <w:p w:rsidR="00F22A8D" w:rsidRPr="00F22A8D" w:rsidRDefault="00F22A8D" w:rsidP="005E0695">
            <w:pPr>
              <w:pStyle w:val="TableText"/>
              <w:spacing w:after="0"/>
              <w:jc w:val="center"/>
              <w:rPr>
                <w:b/>
                <w:u w:val="single"/>
              </w:rPr>
            </w:pPr>
            <w:r w:rsidRPr="00F22A8D">
              <w:rPr>
                <w:b/>
                <w:u w:val="single"/>
              </w:rPr>
              <w:t>40</w:t>
            </w:r>
          </w:p>
        </w:tc>
      </w:tr>
      <w:tr w:rsidR="00F22A8D" w:rsidTr="005E0695">
        <w:tc>
          <w:tcPr>
            <w:tcW w:w="4608" w:type="dxa"/>
          </w:tcPr>
          <w:p w:rsidR="00F22A8D" w:rsidRPr="00F22A8D" w:rsidRDefault="00F22A8D" w:rsidP="00CC1C7A">
            <w:pPr>
              <w:pStyle w:val="TableText"/>
              <w:spacing w:after="0"/>
              <w:ind w:right="1768"/>
              <w:jc w:val="right"/>
              <w:rPr>
                <w:b/>
                <w:u w:val="single"/>
              </w:rPr>
            </w:pPr>
            <w:r w:rsidRPr="00F22A8D">
              <w:rPr>
                <w:b/>
                <w:u w:val="single"/>
              </w:rPr>
              <w:t>5 to &lt; 10</w:t>
            </w:r>
          </w:p>
        </w:tc>
        <w:tc>
          <w:tcPr>
            <w:tcW w:w="4608" w:type="dxa"/>
          </w:tcPr>
          <w:p w:rsidR="00F22A8D" w:rsidRPr="00F22A8D" w:rsidRDefault="00F22A8D" w:rsidP="005E0695">
            <w:pPr>
              <w:pStyle w:val="TableText"/>
              <w:spacing w:after="0"/>
              <w:jc w:val="center"/>
              <w:rPr>
                <w:b/>
                <w:u w:val="single"/>
              </w:rPr>
            </w:pPr>
            <w:r w:rsidRPr="00F22A8D">
              <w:rPr>
                <w:b/>
                <w:u w:val="single"/>
              </w:rPr>
              <w:t>80</w:t>
            </w:r>
          </w:p>
        </w:tc>
      </w:tr>
      <w:tr w:rsidR="00F22A8D" w:rsidTr="005E0695">
        <w:tc>
          <w:tcPr>
            <w:tcW w:w="4608" w:type="dxa"/>
          </w:tcPr>
          <w:p w:rsidR="00F22A8D" w:rsidRPr="00F22A8D" w:rsidRDefault="00F22A8D" w:rsidP="00CC1C7A">
            <w:pPr>
              <w:pStyle w:val="TableText"/>
              <w:spacing w:after="0"/>
              <w:ind w:right="1768"/>
              <w:jc w:val="right"/>
              <w:rPr>
                <w:b/>
                <w:u w:val="single"/>
              </w:rPr>
            </w:pPr>
            <w:r w:rsidRPr="00F22A8D">
              <w:rPr>
                <w:b/>
                <w:u w:val="single"/>
              </w:rPr>
              <w:t>10 to &lt; 15</w:t>
            </w:r>
          </w:p>
        </w:tc>
        <w:tc>
          <w:tcPr>
            <w:tcW w:w="4608" w:type="dxa"/>
          </w:tcPr>
          <w:p w:rsidR="00F22A8D" w:rsidRPr="00F22A8D" w:rsidRDefault="00F22A8D" w:rsidP="005E0695">
            <w:pPr>
              <w:pStyle w:val="TableText"/>
              <w:spacing w:after="0"/>
              <w:jc w:val="center"/>
              <w:rPr>
                <w:b/>
                <w:u w:val="single"/>
              </w:rPr>
            </w:pPr>
            <w:r w:rsidRPr="00F22A8D">
              <w:rPr>
                <w:b/>
                <w:u w:val="single"/>
              </w:rPr>
              <w:t>120</w:t>
            </w:r>
          </w:p>
        </w:tc>
      </w:tr>
      <w:tr w:rsidR="00F22A8D" w:rsidTr="005E0695">
        <w:tc>
          <w:tcPr>
            <w:tcW w:w="4608" w:type="dxa"/>
          </w:tcPr>
          <w:p w:rsidR="00F22A8D" w:rsidRPr="00F22A8D" w:rsidRDefault="00F22A8D" w:rsidP="00CC1C7A">
            <w:pPr>
              <w:pStyle w:val="TableText"/>
              <w:spacing w:after="0"/>
              <w:ind w:right="1768"/>
              <w:jc w:val="right"/>
              <w:rPr>
                <w:b/>
                <w:u w:val="single"/>
              </w:rPr>
            </w:pPr>
            <w:r w:rsidRPr="00F22A8D">
              <w:rPr>
                <w:b/>
                <w:u w:val="single"/>
              </w:rPr>
              <w:t>15 to &lt; 23</w:t>
            </w:r>
          </w:p>
        </w:tc>
        <w:tc>
          <w:tcPr>
            <w:tcW w:w="4608" w:type="dxa"/>
          </w:tcPr>
          <w:p w:rsidR="00F22A8D" w:rsidRPr="00F22A8D" w:rsidRDefault="00F22A8D" w:rsidP="005E0695">
            <w:pPr>
              <w:pStyle w:val="TableText"/>
              <w:spacing w:after="0"/>
              <w:jc w:val="center"/>
              <w:rPr>
                <w:b/>
                <w:u w:val="single"/>
              </w:rPr>
            </w:pPr>
            <w:r w:rsidRPr="00F22A8D">
              <w:rPr>
                <w:b/>
                <w:u w:val="single"/>
              </w:rPr>
              <w:t>160</w:t>
            </w:r>
          </w:p>
        </w:tc>
      </w:tr>
      <w:tr w:rsidR="00F22A8D" w:rsidTr="005E0695">
        <w:tc>
          <w:tcPr>
            <w:tcW w:w="4608" w:type="dxa"/>
          </w:tcPr>
          <w:p w:rsidR="00F22A8D" w:rsidRPr="00F22A8D" w:rsidRDefault="00F22A8D" w:rsidP="00CC1C7A">
            <w:pPr>
              <w:pStyle w:val="TableText"/>
              <w:spacing w:after="0"/>
              <w:ind w:right="1768"/>
              <w:jc w:val="right"/>
              <w:rPr>
                <w:b/>
                <w:u w:val="single"/>
              </w:rPr>
            </w:pPr>
            <w:r w:rsidRPr="00F22A8D">
              <w:rPr>
                <w:b/>
                <w:u w:val="single"/>
              </w:rPr>
              <w:t>23 to &lt; 29</w:t>
            </w:r>
          </w:p>
        </w:tc>
        <w:tc>
          <w:tcPr>
            <w:tcW w:w="4608" w:type="dxa"/>
          </w:tcPr>
          <w:p w:rsidR="00F22A8D" w:rsidRPr="00F22A8D" w:rsidRDefault="00F22A8D" w:rsidP="005E0695">
            <w:pPr>
              <w:pStyle w:val="TableText"/>
              <w:spacing w:after="0"/>
              <w:jc w:val="center"/>
              <w:rPr>
                <w:b/>
                <w:u w:val="single"/>
              </w:rPr>
            </w:pPr>
            <w:r w:rsidRPr="00F22A8D">
              <w:rPr>
                <w:b/>
                <w:u w:val="single"/>
              </w:rPr>
              <w:t>186</w:t>
            </w:r>
          </w:p>
        </w:tc>
      </w:tr>
      <w:tr w:rsidR="00F22A8D" w:rsidTr="005E0695">
        <w:tc>
          <w:tcPr>
            <w:tcW w:w="4608" w:type="dxa"/>
          </w:tcPr>
          <w:p w:rsidR="00F22A8D" w:rsidRPr="00F22A8D" w:rsidRDefault="00F22A8D" w:rsidP="00CC1C7A">
            <w:pPr>
              <w:pStyle w:val="TableText"/>
              <w:spacing w:after="0"/>
              <w:ind w:right="1768"/>
              <w:jc w:val="right"/>
              <w:rPr>
                <w:b/>
                <w:u w:val="single"/>
              </w:rPr>
            </w:pPr>
            <w:r w:rsidRPr="00F22A8D">
              <w:rPr>
                <w:b/>
                <w:u w:val="single"/>
              </w:rPr>
              <w:t>29 to &lt; 35</w:t>
            </w:r>
          </w:p>
        </w:tc>
        <w:tc>
          <w:tcPr>
            <w:tcW w:w="4608" w:type="dxa"/>
          </w:tcPr>
          <w:p w:rsidR="00F22A8D" w:rsidRPr="00F22A8D" w:rsidRDefault="00F22A8D" w:rsidP="005E0695">
            <w:pPr>
              <w:pStyle w:val="TableText"/>
              <w:spacing w:after="0"/>
              <w:jc w:val="center"/>
              <w:rPr>
                <w:b/>
                <w:u w:val="single"/>
              </w:rPr>
            </w:pPr>
            <w:r w:rsidRPr="00F22A8D">
              <w:rPr>
                <w:b/>
                <w:u w:val="single"/>
              </w:rPr>
              <w:t>212</w:t>
            </w:r>
          </w:p>
        </w:tc>
      </w:tr>
      <w:tr w:rsidR="00F22A8D" w:rsidTr="005E0695">
        <w:tc>
          <w:tcPr>
            <w:tcW w:w="4608" w:type="dxa"/>
          </w:tcPr>
          <w:p w:rsidR="00F22A8D" w:rsidRPr="00F22A8D" w:rsidRDefault="00F22A8D" w:rsidP="00CC1C7A">
            <w:pPr>
              <w:pStyle w:val="TableText"/>
              <w:spacing w:after="0"/>
              <w:ind w:right="1768"/>
              <w:jc w:val="right"/>
              <w:rPr>
                <w:b/>
                <w:u w:val="single"/>
              </w:rPr>
            </w:pPr>
            <w:r w:rsidRPr="00F22A8D">
              <w:rPr>
                <w:b/>
                <w:u w:val="single"/>
              </w:rPr>
              <w:t>35 to &lt; 40</w:t>
            </w:r>
          </w:p>
        </w:tc>
        <w:tc>
          <w:tcPr>
            <w:tcW w:w="4608" w:type="dxa"/>
          </w:tcPr>
          <w:p w:rsidR="00F22A8D" w:rsidRPr="00F22A8D" w:rsidRDefault="00F22A8D" w:rsidP="005E0695">
            <w:pPr>
              <w:pStyle w:val="TableText"/>
              <w:spacing w:after="0"/>
              <w:jc w:val="center"/>
              <w:rPr>
                <w:b/>
                <w:u w:val="single"/>
              </w:rPr>
            </w:pPr>
            <w:r w:rsidRPr="00F22A8D">
              <w:rPr>
                <w:b/>
                <w:u w:val="single"/>
              </w:rPr>
              <w:t>258</w:t>
            </w:r>
          </w:p>
        </w:tc>
      </w:tr>
      <w:tr w:rsidR="00F22A8D" w:rsidTr="005E0695">
        <w:tc>
          <w:tcPr>
            <w:tcW w:w="4608" w:type="dxa"/>
          </w:tcPr>
          <w:p w:rsidR="00F22A8D" w:rsidRPr="00F22A8D" w:rsidRDefault="00F22A8D" w:rsidP="00CC1C7A">
            <w:pPr>
              <w:pStyle w:val="TableText"/>
              <w:spacing w:after="0"/>
              <w:ind w:right="1768"/>
              <w:jc w:val="right"/>
              <w:rPr>
                <w:b/>
                <w:u w:val="single"/>
              </w:rPr>
            </w:pPr>
            <w:r w:rsidRPr="00F22A8D">
              <w:rPr>
                <w:b/>
                <w:u w:val="single"/>
              </w:rPr>
              <w:t>40 to &lt; 56</w:t>
            </w:r>
          </w:p>
        </w:tc>
        <w:tc>
          <w:tcPr>
            <w:tcW w:w="4608" w:type="dxa"/>
          </w:tcPr>
          <w:p w:rsidR="00F22A8D" w:rsidRPr="00F22A8D" w:rsidRDefault="00F22A8D" w:rsidP="005E0695">
            <w:pPr>
              <w:pStyle w:val="TableText"/>
              <w:spacing w:after="0"/>
              <w:jc w:val="center"/>
              <w:rPr>
                <w:b/>
                <w:u w:val="single"/>
              </w:rPr>
            </w:pPr>
            <w:r w:rsidRPr="00F22A8D">
              <w:rPr>
                <w:b/>
                <w:u w:val="single"/>
              </w:rPr>
              <w:t>284</w:t>
            </w:r>
          </w:p>
        </w:tc>
      </w:tr>
    </w:tbl>
    <w:p w:rsidR="0032532B" w:rsidRPr="00406CA4" w:rsidRDefault="0032532B" w:rsidP="009F592C">
      <w:pPr>
        <w:pStyle w:val="I-Normalreg"/>
        <w:spacing w:before="240" w:after="0"/>
        <w:rPr>
          <w:rFonts w:ascii="Arial Narrow" w:hAnsi="Arial Narrow"/>
          <w:b/>
          <w:u w:val="single"/>
        </w:rPr>
      </w:pPr>
      <w:r w:rsidRPr="00406CA4">
        <w:rPr>
          <w:rFonts w:ascii="Arial Narrow" w:hAnsi="Arial Narrow"/>
          <w:b/>
          <w:u w:val="single"/>
        </w:rPr>
        <w:t xml:space="preserve">Note:  The capacity of a particular module is based on its length and determined from corresponding capacity values specified in Table S.6.4. </w:t>
      </w:r>
    </w:p>
    <w:p w:rsidR="00F22A8D" w:rsidRPr="005D36E6" w:rsidRDefault="0059553E" w:rsidP="009F592C">
      <w:pPr>
        <w:pStyle w:val="I-Normalreg"/>
        <w:spacing w:after="60"/>
        <w:rPr>
          <w:b/>
          <w:i/>
          <w:strike/>
        </w:rPr>
      </w:pPr>
      <w:r w:rsidRPr="005D36E6">
        <w:rPr>
          <w:b/>
          <w:i/>
          <w:strike/>
        </w:rPr>
        <w:t xml:space="preserve"> </w:t>
      </w:r>
      <w:r w:rsidR="00F22A8D" w:rsidRPr="005D36E6">
        <w:rPr>
          <w:b/>
          <w:i/>
          <w:strike/>
        </w:rPr>
        <w:t>[*Nonretroactive as of January 1, 2002]</w:t>
      </w:r>
    </w:p>
    <w:p w:rsidR="00F22A8D" w:rsidRDefault="00F22A8D" w:rsidP="00F22A8D">
      <w:pPr>
        <w:pStyle w:val="I-Normalreg"/>
      </w:pPr>
      <w:r>
        <w:t xml:space="preserve">(Amended 1988, 2001, </w:t>
      </w:r>
      <w:r w:rsidRPr="00F22A8D">
        <w:rPr>
          <w:b/>
          <w:strike/>
        </w:rPr>
        <w:t>and</w:t>
      </w:r>
      <w:r>
        <w:t xml:space="preserve"> 2002</w:t>
      </w:r>
      <w:r w:rsidRPr="00F22A8D">
        <w:rPr>
          <w:b/>
          <w:u w:val="single"/>
        </w:rPr>
        <w:t>, and 20XX</w:t>
      </w:r>
      <w:r>
        <w:t>)</w:t>
      </w:r>
    </w:p>
    <w:p w:rsidR="00F22A8D" w:rsidRDefault="00CA2577" w:rsidP="00F22A8D">
      <w:r w:rsidRPr="005508FC">
        <w:t xml:space="preserve">2) </w:t>
      </w:r>
      <w:r w:rsidR="00F22A8D" w:rsidRPr="005508FC">
        <w:t xml:space="preserve">Add the following </w:t>
      </w:r>
      <w:r w:rsidRPr="005508FC">
        <w:t xml:space="preserve">definition for the term “Weigh Module” </w:t>
      </w:r>
      <w:r w:rsidR="00F22A8D" w:rsidRPr="005508FC">
        <w:t xml:space="preserve">to </w:t>
      </w:r>
      <w:r w:rsidR="00F22A8D" w:rsidRPr="00D677D9">
        <w:t>NIST Handbook 44</w:t>
      </w:r>
      <w:r w:rsidRPr="00350256">
        <w:t>,</w:t>
      </w:r>
      <w:r w:rsidR="0023324C" w:rsidRPr="005508FC">
        <w:t xml:space="preserve"> </w:t>
      </w:r>
      <w:r w:rsidRPr="005508FC">
        <w:t>Appendix D</w:t>
      </w:r>
      <w:r w:rsidR="00F22A8D" w:rsidRPr="005508FC">
        <w:t>:</w:t>
      </w:r>
    </w:p>
    <w:p w:rsidR="00F22A8D" w:rsidRDefault="005E0695" w:rsidP="00F22A8D">
      <w:pPr>
        <w:pStyle w:val="I-Normalreg"/>
        <w:rPr>
          <w:b/>
          <w:u w:val="single"/>
        </w:rPr>
      </w:pPr>
      <w:r w:rsidRPr="00F22A8D">
        <w:rPr>
          <w:b/>
          <w:u w:val="single"/>
        </w:rPr>
        <w:t xml:space="preserve">weigh module </w:t>
      </w:r>
      <w:r w:rsidR="00762BCA">
        <w:rPr>
          <w:b/>
          <w:u w:val="single"/>
        </w:rPr>
        <w:t>–</w:t>
      </w:r>
      <w:r w:rsidR="00762BCA" w:rsidRPr="00F22A8D">
        <w:rPr>
          <w:b/>
          <w:u w:val="single"/>
        </w:rPr>
        <w:t xml:space="preserve"> </w:t>
      </w:r>
      <w:r w:rsidR="00F22A8D" w:rsidRPr="00F22A8D">
        <w:rPr>
          <w:b/>
          <w:u w:val="single"/>
        </w:rPr>
        <w:t xml:space="preserve">The portion of a </w:t>
      </w:r>
      <w:r w:rsidR="00CA2577">
        <w:rPr>
          <w:b/>
          <w:u w:val="single"/>
        </w:rPr>
        <w:t xml:space="preserve">load-receiving </w:t>
      </w:r>
      <w:r w:rsidR="00F22A8D" w:rsidRPr="00F22A8D">
        <w:rPr>
          <w:b/>
          <w:u w:val="single"/>
        </w:rPr>
        <w:t>element supported by two sections</w:t>
      </w:r>
      <w:r w:rsidR="00CA2577">
        <w:rPr>
          <w:b/>
          <w:u w:val="single"/>
        </w:rPr>
        <w:t xml:space="preserve"> of the weighing element</w:t>
      </w:r>
      <w:r w:rsidR="00F22A8D" w:rsidRPr="00F22A8D">
        <w:rPr>
          <w:b/>
          <w:u w:val="single"/>
        </w:rPr>
        <w:t>.  The length of a module is the distance to which load can be applied. [2.20]</w:t>
      </w:r>
    </w:p>
    <w:p w:rsidR="00F22A8D" w:rsidRDefault="00F22A8D" w:rsidP="00D677D9">
      <w:pPr>
        <w:pStyle w:val="BoldHeading"/>
        <w:spacing w:after="0"/>
      </w:pPr>
      <w:r>
        <w:t>Background/Discussion:</w:t>
      </w:r>
    </w:p>
    <w:p w:rsidR="00F22A8D" w:rsidRDefault="00F22A8D" w:rsidP="00F22A8D">
      <w:r>
        <w:t xml:space="preserve">The capacity of a railcar weighing system has historically been based on the capacity of the pivots or load cells supporting the scale section.  As pivots were generally the weakest element, this was logical.  With the introduction of load cell technology, the capacity of the section could far outreach the capacity of the weighbridge.  Weighbridge design, based on the requirements of the </w:t>
      </w:r>
      <w:r w:rsidRPr="00D677D9">
        <w:rPr>
          <w:i/>
        </w:rPr>
        <w:t>AAR Scale Handbook</w:t>
      </w:r>
      <w:r>
        <w:t>, must be capable of supporting 80</w:t>
      </w:r>
      <w:r w:rsidR="00FC7C22">
        <w:t> </w:t>
      </w:r>
      <w:r>
        <w:t xml:space="preserve">000 pound axles on </w:t>
      </w:r>
      <w:r w:rsidR="00350256">
        <w:t>five</w:t>
      </w:r>
      <w:r w:rsidR="00762BCA">
        <w:t>-</w:t>
      </w:r>
      <w:r>
        <w:t xml:space="preserve">foot centers.  With the introduction of combined short span weigh modules over multiple sections, the use of the section capacity to determine scale capacity provides both the opportunity for overloaded structures and/or the requirement to overdesign the section.  </w:t>
      </w:r>
      <w:r w:rsidR="00CA2577">
        <w:t xml:space="preserve">The submitter stated that determining </w:t>
      </w:r>
      <w:r>
        <w:t xml:space="preserve">the nominal scale capacity based on both the section capacity and the structural capacity is the best solution.  </w:t>
      </w:r>
      <w:r w:rsidR="00CA2577">
        <w:t xml:space="preserve">Additionally, a </w:t>
      </w:r>
      <w:r>
        <w:t>640</w:t>
      </w:r>
      <w:r w:rsidR="00350256">
        <w:t> 000 </w:t>
      </w:r>
      <w:r>
        <w:t>lb limit assures these scales can be calibrated with 12.</w:t>
      </w:r>
      <w:r w:rsidR="00350256">
        <w:t>5 </w:t>
      </w:r>
      <w:r>
        <w:t>% of capacity using the conventional 80</w:t>
      </w:r>
      <w:r w:rsidR="00350256">
        <w:t> 000 </w:t>
      </w:r>
      <w:r>
        <w:t>lb test weight equipment.</w:t>
      </w:r>
    </w:p>
    <w:p w:rsidR="00755CCC" w:rsidRDefault="00F22A8D" w:rsidP="00F22A8D">
      <w:r>
        <w:t>The changes to the nominal capacity specification w</w:t>
      </w:r>
      <w:r w:rsidR="004B1D04">
        <w:t>ere</w:t>
      </w:r>
      <w:r>
        <w:t xml:space="preserve"> developed by </w:t>
      </w:r>
      <w:r w:rsidR="004B1D04">
        <w:t>C</w:t>
      </w:r>
      <w:r>
        <w:t>ommittee 34 - Scales, of the American Railway Engineering and Maintenance-of-Way Association (AREMA) and approved</w:t>
      </w:r>
      <w:r w:rsidR="008323CC">
        <w:t>, by unanimous vote,</w:t>
      </w:r>
      <w:r>
        <w:t xml:space="preserve"> for inclusion in the </w:t>
      </w:r>
      <w:r w:rsidRPr="00D677D9">
        <w:rPr>
          <w:i/>
        </w:rPr>
        <w:t>AAR Scale Handbook</w:t>
      </w:r>
      <w:r w:rsidR="0023324C">
        <w:t>.</w:t>
      </w:r>
      <w:r w:rsidR="00CA2577">
        <w:t xml:space="preserve">  </w:t>
      </w:r>
    </w:p>
    <w:p w:rsidR="00F22A8D" w:rsidRDefault="00F22A8D" w:rsidP="00F22A8D">
      <w:r>
        <w:t>At the 2011 CWMA Interim Meeting</w:t>
      </w:r>
      <w:r w:rsidR="004D4B5C">
        <w:t>,</w:t>
      </w:r>
      <w:r>
        <w:t xml:space="preserve"> </w:t>
      </w:r>
      <w:r w:rsidR="00CA2577">
        <w:t xml:space="preserve">members of the weighing </w:t>
      </w:r>
      <w:r>
        <w:t xml:space="preserve">industry </w:t>
      </w:r>
      <w:r w:rsidR="00CA2577">
        <w:t xml:space="preserve">reported </w:t>
      </w:r>
      <w:r>
        <w:t>that it is inappropriate to rate a scale</w:t>
      </w:r>
      <w:r w:rsidR="0025054F">
        <w:t>’</w:t>
      </w:r>
      <w:r>
        <w:t xml:space="preserve">s capacity based solely on the sectional capacity of the scale.  </w:t>
      </w:r>
      <w:r w:rsidR="00CA2577">
        <w:t xml:space="preserve">One </w:t>
      </w:r>
      <w:r>
        <w:t xml:space="preserve">regulatory official questioned whether the capacities in </w:t>
      </w:r>
      <w:r w:rsidR="00711A70">
        <w:t>T</w:t>
      </w:r>
      <w:r>
        <w:t>able S.6.4</w:t>
      </w:r>
      <w:r w:rsidR="00350256">
        <w:t>.</w:t>
      </w:r>
      <w:r>
        <w:t xml:space="preserve"> should be listed in pounds.  </w:t>
      </w:r>
      <w:r w:rsidR="004B1D04">
        <w:t>In addition to the</w:t>
      </w:r>
      <w:r>
        <w:t xml:space="preserve"> propo</w:t>
      </w:r>
      <w:r w:rsidR="004B1D04">
        <w:t xml:space="preserve">sed definition for weigh module, the CWMA noted it may also be appropriate to </w:t>
      </w:r>
      <w:r>
        <w:t>include a definition of dead spaces.  CWMA</w:t>
      </w:r>
      <w:r w:rsidR="00755CCC">
        <w:t xml:space="preserve"> believed there would be support for the item</w:t>
      </w:r>
      <w:r>
        <w:t xml:space="preserve"> </w:t>
      </w:r>
      <w:r w:rsidR="00755CCC">
        <w:t xml:space="preserve">to </w:t>
      </w:r>
      <w:r>
        <w:t xml:space="preserve">align </w:t>
      </w:r>
      <w:r w:rsidRPr="00D677D9">
        <w:t>NIST Handbook 44</w:t>
      </w:r>
      <w:r w:rsidRPr="00F6144D">
        <w:t xml:space="preserve"> and the </w:t>
      </w:r>
      <w:r w:rsidRPr="00D677D9">
        <w:t>AAR Handbook</w:t>
      </w:r>
      <w:r>
        <w:t>.</w:t>
      </w:r>
      <w:r w:rsidR="00755CCC">
        <w:t xml:space="preserve">  </w:t>
      </w:r>
      <w:r w:rsidR="00755CCC">
        <w:rPr>
          <w:rFonts w:cs="Times New Roman"/>
        </w:rPr>
        <w:t xml:space="preserve">CWMA </w:t>
      </w:r>
      <w:r w:rsidR="00755CCC" w:rsidRPr="006273B2">
        <w:rPr>
          <w:rFonts w:cs="Times New Roman"/>
        </w:rPr>
        <w:t>forward</w:t>
      </w:r>
      <w:r w:rsidR="00755CCC">
        <w:rPr>
          <w:rFonts w:cs="Times New Roman"/>
        </w:rPr>
        <w:t>ed</w:t>
      </w:r>
      <w:r w:rsidR="00755CCC" w:rsidRPr="006273B2">
        <w:rPr>
          <w:rFonts w:cs="Times New Roman"/>
        </w:rPr>
        <w:t xml:space="preserve"> the item to NCWM</w:t>
      </w:r>
      <w:r w:rsidR="00755CCC">
        <w:rPr>
          <w:rFonts w:cs="Times New Roman"/>
        </w:rPr>
        <w:t xml:space="preserve">, recommending it </w:t>
      </w:r>
      <w:r w:rsidR="00755CCC" w:rsidRPr="006273B2">
        <w:rPr>
          <w:rFonts w:cs="Times New Roman"/>
        </w:rPr>
        <w:t>as a Voting Item</w:t>
      </w:r>
      <w:r w:rsidR="00755CCC">
        <w:rPr>
          <w:rFonts w:cs="Times New Roman"/>
        </w:rPr>
        <w:t>.</w:t>
      </w:r>
    </w:p>
    <w:p w:rsidR="00F22A8D" w:rsidRDefault="00F22A8D" w:rsidP="00F22A8D">
      <w:r>
        <w:t xml:space="preserve">At the 2011 </w:t>
      </w:r>
      <w:r w:rsidR="00D05F61">
        <w:t>Western Weights and Measures Association (</w:t>
      </w:r>
      <w:r>
        <w:t>WWMA</w:t>
      </w:r>
      <w:r w:rsidR="00D05F61">
        <w:t>)</w:t>
      </w:r>
      <w:r>
        <w:t xml:space="preserve"> Annual Meeting, Mr. Straub, Fairbanks Scales</w:t>
      </w:r>
      <w:r w:rsidR="007C4060">
        <w:t>, Inc.</w:t>
      </w:r>
      <w:r>
        <w:t>, supported the item as submitted.  Mr. Cook, NIST,</w:t>
      </w:r>
      <w:r w:rsidR="00711A70">
        <w:t xml:space="preserve"> </w:t>
      </w:r>
      <w:r w:rsidR="007C4060">
        <w:t>OWM</w:t>
      </w:r>
      <w:r>
        <w:t xml:space="preserve"> stated that the definition of weigh module may be </w:t>
      </w:r>
      <w:r>
        <w:lastRenderedPageBreak/>
        <w:t xml:space="preserve">confusing and suggested that the submitter include diagrams to NCWM S&amp;T Committee illustrating some typical weigh module installations.  The </w:t>
      </w:r>
      <w:r w:rsidR="00CA2577">
        <w:t>WWMA S&amp;T C</w:t>
      </w:r>
      <w:r>
        <w:t xml:space="preserve">ommittee recognized that this proposal aligns </w:t>
      </w:r>
      <w:r w:rsidRPr="00D677D9">
        <w:t>NIST Handbook 44</w:t>
      </w:r>
      <w:r>
        <w:t xml:space="preserve"> with the updated material in the </w:t>
      </w:r>
      <w:r w:rsidRPr="00D677D9">
        <w:rPr>
          <w:i/>
        </w:rPr>
        <w:t>AAR Scale Handbook</w:t>
      </w:r>
      <w:r w:rsidR="0023324C">
        <w:t xml:space="preserve">, and added that </w:t>
      </w:r>
      <w:r>
        <w:t xml:space="preserve">there remains some confusion around the use of the word “articulated” in the definition which could be clarified with illustrations.  </w:t>
      </w:r>
      <w:r w:rsidR="00755CCC">
        <w:rPr>
          <w:rFonts w:cs="Times New Roman"/>
        </w:rPr>
        <w:t xml:space="preserve">WWMA </w:t>
      </w:r>
      <w:r w:rsidR="00755CCC" w:rsidRPr="006273B2">
        <w:rPr>
          <w:rFonts w:cs="Times New Roman"/>
        </w:rPr>
        <w:t>fo</w:t>
      </w:r>
      <w:r w:rsidR="00755CCC">
        <w:rPr>
          <w:rFonts w:cs="Times New Roman"/>
        </w:rPr>
        <w:t>rwarded the item to NCWM, recommending it as a Developing</w:t>
      </w:r>
      <w:r w:rsidR="00755CCC" w:rsidRPr="006273B2">
        <w:rPr>
          <w:rFonts w:cs="Times New Roman"/>
        </w:rPr>
        <w:t xml:space="preserve"> Item</w:t>
      </w:r>
      <w:r>
        <w:t xml:space="preserve"> until</w:t>
      </w:r>
      <w:r w:rsidR="00CA2577">
        <w:t xml:space="preserve"> such time that</w:t>
      </w:r>
      <w:r>
        <w:t xml:space="preserve"> the </w:t>
      </w:r>
      <w:r w:rsidR="00711A70">
        <w:t>C</w:t>
      </w:r>
      <w:r>
        <w:t xml:space="preserve">ommittee receives diagrams that illustrate weigh module installations from the submitter.  </w:t>
      </w:r>
    </w:p>
    <w:p w:rsidR="00F22A8D" w:rsidRDefault="00F22A8D" w:rsidP="00F22A8D">
      <w:r>
        <w:t xml:space="preserve">At </w:t>
      </w:r>
      <w:r w:rsidR="004D4B5C">
        <w:t xml:space="preserve">its </w:t>
      </w:r>
      <w:r>
        <w:t xml:space="preserve">2011 </w:t>
      </w:r>
      <w:r w:rsidR="00C12B80">
        <w:t>Northeastern Weights and Measures Association (</w:t>
      </w:r>
      <w:r w:rsidR="004D4B5C">
        <w:t>NEWMA</w:t>
      </w:r>
      <w:r w:rsidR="00C12B80">
        <w:t>)</w:t>
      </w:r>
      <w:r>
        <w:t xml:space="preserve"> </w:t>
      </w:r>
      <w:r w:rsidR="00755CCC">
        <w:t>Interim Meeting, NEWMA forwarded the item to NCWM, recommending it as an Informational</w:t>
      </w:r>
      <w:r>
        <w:t xml:space="preserve"> Item.</w:t>
      </w:r>
    </w:p>
    <w:p w:rsidR="00F22A8D" w:rsidRDefault="00F22A8D" w:rsidP="00F22A8D">
      <w:r>
        <w:t xml:space="preserve">At the 2011 </w:t>
      </w:r>
      <w:r w:rsidR="00D05F61">
        <w:t>Southern Weights and Measures Association (</w:t>
      </w:r>
      <w:r>
        <w:t>SWMA</w:t>
      </w:r>
      <w:r w:rsidR="00D05F61">
        <w:t>)</w:t>
      </w:r>
      <w:r>
        <w:t xml:space="preserve"> Annual Meeting</w:t>
      </w:r>
      <w:r w:rsidR="004D4B5C">
        <w:t>,</w:t>
      </w:r>
      <w:r>
        <w:t xml:space="preserve"> Mr. Oppermann, </w:t>
      </w:r>
      <w:r w:rsidR="007C4060" w:rsidRPr="007C4060">
        <w:t>Weights and Measures Consulting, LLC</w:t>
      </w:r>
      <w:r>
        <w:t>, suggested that the reference to “single or articulated” are unnecessary and could be deleted.</w:t>
      </w:r>
      <w:r w:rsidR="00E85363">
        <w:t xml:space="preserve"> </w:t>
      </w:r>
      <w:r>
        <w:t xml:space="preserve"> It doesn’t matter how the module is put together.  The </w:t>
      </w:r>
      <w:r w:rsidR="00FF6B59">
        <w:t xml:space="preserve">SWMA S&amp;T Committee </w:t>
      </w:r>
      <w:r>
        <w:t xml:space="preserve">also heard from Mr. Feezor, </w:t>
      </w:r>
      <w:r w:rsidR="00E85363">
        <w:t xml:space="preserve">Scales Consulting and Testing, </w:t>
      </w:r>
      <w:r w:rsidR="00882F3E">
        <w:t>who noted that the term</w:t>
      </w:r>
      <w:r>
        <w:t xml:space="preserve"> “articulated” refers to how the modules are connected.  He offered to submit some drawings </w:t>
      </w:r>
      <w:r w:rsidR="00882F3E">
        <w:t>of</w:t>
      </w:r>
      <w:r>
        <w:t xml:space="preserve"> how these are made in the field</w:t>
      </w:r>
      <w:r w:rsidR="00711A70">
        <w:t>,</w:t>
      </w:r>
      <w:r>
        <w:t xml:space="preserve"> and he noted that this could apply to more than just railway track scales.  Mr. Straub, Fairbanks</w:t>
      </w:r>
      <w:r w:rsidR="007C4060">
        <w:t xml:space="preserve"> Scales, Inc.</w:t>
      </w:r>
      <w:r>
        <w:t>, indicated support for the proposal.  He stated t</w:t>
      </w:r>
      <w:r w:rsidR="00E85363">
        <w:t xml:space="preserve">hat he had talked with </w:t>
      </w:r>
      <w:r w:rsidR="00755CCC">
        <w:t xml:space="preserve">the original submitter, </w:t>
      </w:r>
      <w:r w:rsidR="00E85363">
        <w:t xml:space="preserve">Mr. </w:t>
      </w:r>
      <w:r>
        <w:t xml:space="preserve">Beitzel, </w:t>
      </w:r>
      <w:r w:rsidR="007C4060" w:rsidRPr="007C4060">
        <w:t>Systems Associates, Inc.</w:t>
      </w:r>
      <w:r>
        <w:t xml:space="preserve">, and suggested that perhaps diagrams from </w:t>
      </w:r>
      <w:r w:rsidR="00E85363" w:rsidRPr="00D677D9">
        <w:t xml:space="preserve">NCWM </w:t>
      </w:r>
      <w:r w:rsidRPr="00D677D9">
        <w:t>Publication 14</w:t>
      </w:r>
      <w:r>
        <w:t xml:space="preserve"> might be considered to help illustrate the</w:t>
      </w:r>
      <w:r w:rsidR="00882F3E">
        <w:t xml:space="preserve"> use of the term “articulated.”  </w:t>
      </w:r>
      <w:r w:rsidR="00755CCC">
        <w:t xml:space="preserve">SWMA </w:t>
      </w:r>
      <w:r w:rsidR="00755CCC" w:rsidRPr="006273B2">
        <w:rPr>
          <w:rFonts w:cs="Times New Roman"/>
        </w:rPr>
        <w:t>forward</w:t>
      </w:r>
      <w:r w:rsidR="00755CCC">
        <w:rPr>
          <w:rFonts w:cs="Times New Roman"/>
        </w:rPr>
        <w:t>ed</w:t>
      </w:r>
      <w:r w:rsidR="00755CCC" w:rsidRPr="006273B2">
        <w:rPr>
          <w:rFonts w:cs="Times New Roman"/>
        </w:rPr>
        <w:t xml:space="preserve"> the item to NCWM</w:t>
      </w:r>
      <w:r w:rsidR="00755CCC">
        <w:rPr>
          <w:rFonts w:cs="Times New Roman"/>
        </w:rPr>
        <w:t xml:space="preserve">, recommending it </w:t>
      </w:r>
      <w:r w:rsidR="00755CCC" w:rsidRPr="006273B2">
        <w:rPr>
          <w:rFonts w:cs="Times New Roman"/>
        </w:rPr>
        <w:t>as a Voting Item</w:t>
      </w:r>
      <w:r w:rsidR="00755CCC">
        <w:t xml:space="preserve"> </w:t>
      </w:r>
      <w:r w:rsidR="00882F3E">
        <w:t>with</w:t>
      </w:r>
      <w:r w:rsidR="00755CCC">
        <w:t xml:space="preserve"> unanimous support for</w:t>
      </w:r>
      <w:r w:rsidR="00882F3E">
        <w:t xml:space="preserve"> the following change to the definition</w:t>
      </w:r>
      <w:r w:rsidR="004D4B5C">
        <w:t>,</w:t>
      </w:r>
      <w:r w:rsidR="00882F3E">
        <w:t xml:space="preserve"> eliminat</w:t>
      </w:r>
      <w:r w:rsidR="00755CCC">
        <w:t>ing</w:t>
      </w:r>
      <w:r>
        <w:t xml:space="preserve"> the phrase “single or articulate”</w:t>
      </w:r>
      <w:r w:rsidR="009937DF">
        <w:t>:</w:t>
      </w:r>
    </w:p>
    <w:p w:rsidR="00E85363" w:rsidRDefault="005E0695" w:rsidP="00E85363">
      <w:pPr>
        <w:pStyle w:val="I-Normalreg"/>
        <w:rPr>
          <w:b/>
          <w:u w:val="single"/>
        </w:rPr>
      </w:pPr>
      <w:r w:rsidRPr="00E85363">
        <w:rPr>
          <w:b/>
          <w:u w:val="single"/>
        </w:rPr>
        <w:t xml:space="preserve">weigh module </w:t>
      </w:r>
      <w:r w:rsidR="00762BCA">
        <w:rPr>
          <w:b/>
          <w:u w:val="single"/>
        </w:rPr>
        <w:t>–</w:t>
      </w:r>
      <w:r w:rsidR="00762BCA" w:rsidRPr="00E85363">
        <w:rPr>
          <w:b/>
          <w:u w:val="single"/>
        </w:rPr>
        <w:t xml:space="preserve"> </w:t>
      </w:r>
      <w:r w:rsidR="00E85363" w:rsidRPr="00E85363">
        <w:rPr>
          <w:b/>
          <w:u w:val="single"/>
        </w:rPr>
        <w:t>The</w:t>
      </w:r>
      <w:r w:rsidR="00E85363" w:rsidRPr="00E85363">
        <w:rPr>
          <w:b/>
        </w:rPr>
        <w:t xml:space="preserve"> </w:t>
      </w:r>
      <w:r w:rsidR="00E85363" w:rsidRPr="00E85363">
        <w:rPr>
          <w:b/>
          <w:strike/>
        </w:rPr>
        <w:t>single or articulated</w:t>
      </w:r>
      <w:r w:rsidR="00E85363" w:rsidRPr="00E85363">
        <w:rPr>
          <w:b/>
        </w:rPr>
        <w:t xml:space="preserve"> </w:t>
      </w:r>
      <w:r w:rsidR="00E85363" w:rsidRPr="00E85363">
        <w:rPr>
          <w:b/>
          <w:u w:val="single"/>
        </w:rPr>
        <w:t>portion of a weighing element supported by two sections.  The length of a module is the distance to which load can be applied. [2.20]</w:t>
      </w:r>
    </w:p>
    <w:p w:rsidR="00FF6B59" w:rsidRDefault="008323CC" w:rsidP="00B60B18">
      <w:r>
        <w:t>A</w:t>
      </w:r>
      <w:r w:rsidR="00FF6B59">
        <w:t xml:space="preserve">t the 2012 </w:t>
      </w:r>
      <w:r w:rsidR="0025054F">
        <w:t xml:space="preserve">NCWM </w:t>
      </w:r>
      <w:r w:rsidR="00FF6B59">
        <w:t>Interim Meeting</w:t>
      </w:r>
      <w:r w:rsidR="0025054F">
        <w:t>,</w:t>
      </w:r>
      <w:r>
        <w:t xml:space="preserve"> </w:t>
      </w:r>
      <w:r w:rsidR="00FF6B59">
        <w:t>Mr. Co</w:t>
      </w:r>
      <w:r w:rsidR="0025054F">
        <w:t>tsoradis, Flint Hills Resources</w:t>
      </w:r>
      <w:r w:rsidR="00FF6B59">
        <w:t xml:space="preserve"> questioned whether anyone had considered the impact that the item would have on existing scales considering that the new language proposed is retroactive.  </w:t>
      </w:r>
    </w:p>
    <w:p w:rsidR="00FF6B59" w:rsidRDefault="00FF6B59" w:rsidP="00B60B18">
      <w:r>
        <w:t>Mr. Lewis, Rice Lake Weighing Systems</w:t>
      </w:r>
      <w:r w:rsidR="00B93A2D">
        <w:t>, Inc.</w:t>
      </w:r>
      <w:r>
        <w:t xml:space="preserve">, indicated that the proposal, if adopted, would affect two existing </w:t>
      </w:r>
      <w:r w:rsidR="00C12B80">
        <w:t>National Type Evaluation Program (</w:t>
      </w:r>
      <w:r>
        <w:t>NTEP</w:t>
      </w:r>
      <w:r w:rsidR="00C12B80">
        <w:t>)</w:t>
      </w:r>
      <w:r>
        <w:t xml:space="preserve"> </w:t>
      </w:r>
      <w:r w:rsidR="00FF529C">
        <w:t>Certificate of Conformance (CC</w:t>
      </w:r>
      <w:r>
        <w:t>s</w:t>
      </w:r>
      <w:r w:rsidR="00FF529C">
        <w:t>)</w:t>
      </w:r>
      <w:r>
        <w:t xml:space="preserve"> issued to Rice Lake Weighing Systems</w:t>
      </w:r>
      <w:r w:rsidR="00B93A2D">
        <w:t>, Inc.</w:t>
      </w:r>
      <w:r w:rsidR="00711A70">
        <w:t xml:space="preserve"> </w:t>
      </w:r>
      <w:r w:rsidR="008323CC">
        <w:t xml:space="preserve"> </w:t>
      </w:r>
      <w:r>
        <w:t xml:space="preserve">Mr. Lewis questioned whether those CC’s would need to be updated if the proposal was adopted and who would be responsible for the costs associated with those updates should they be required.  </w:t>
      </w:r>
    </w:p>
    <w:p w:rsidR="00FF6B59" w:rsidRDefault="00FF6B59" w:rsidP="00B60B18">
      <w:r>
        <w:t>Mr. Flocken, speaking on behalf of the SMA, supported the item.  However, he suggested that the word “articulated” be removed from the language in the definition originally proposed because it could be misunderstood and its removal would not have any impact on the requirement.</w:t>
      </w:r>
    </w:p>
    <w:p w:rsidR="00FF6B59" w:rsidRDefault="00FF6B59" w:rsidP="00B60B18">
      <w:r>
        <w:t xml:space="preserve">NIST, OWM stated that </w:t>
      </w:r>
      <w:r w:rsidRPr="00612ABA">
        <w:t>the SMA recommendation to delete the word “articulated” f</w:t>
      </w:r>
      <w:r>
        <w:t>rom the definition originally proposed would</w:t>
      </w:r>
      <w:r w:rsidRPr="00612ABA">
        <w:t xml:space="preserve"> n</w:t>
      </w:r>
      <w:r>
        <w:t>ot change its meaning and agreed</w:t>
      </w:r>
      <w:r w:rsidRPr="00612ABA">
        <w:t xml:space="preserve"> that it may facilitate a better understanding of the definition.</w:t>
      </w:r>
      <w:r>
        <w:t xml:space="preserve">  Regarding use of the term “weighing element” in the</w:t>
      </w:r>
      <w:r w:rsidRPr="00612ABA">
        <w:t xml:space="preserve"> proposed definition</w:t>
      </w:r>
      <w:r>
        <w:t>, NIST, OWM indicated that t</w:t>
      </w:r>
      <w:r w:rsidRPr="00612ABA">
        <w:t>he term “load-receiving element” seem</w:t>
      </w:r>
      <w:r>
        <w:t>ed</w:t>
      </w:r>
      <w:r w:rsidRPr="00612ABA">
        <w:t xml:space="preserve"> more appropriate given the definition of the two terms in </w:t>
      </w:r>
      <w:r w:rsidRPr="00D677D9">
        <w:t>NIST Handbook 44</w:t>
      </w:r>
      <w:r>
        <w:t xml:space="preserve"> (i.e., load-receiving element and weighing element)</w:t>
      </w:r>
      <w:r w:rsidRPr="00612ABA">
        <w:t xml:space="preserve">.  </w:t>
      </w:r>
    </w:p>
    <w:p w:rsidR="00FF6B59" w:rsidRDefault="00FF6B59" w:rsidP="00B60B18">
      <w:r>
        <w:t xml:space="preserve">Similar to the question raised by Mr. Cotsoradis, NIST, OWM </w:t>
      </w:r>
      <w:r w:rsidRPr="00215B5A">
        <w:t>question</w:t>
      </w:r>
      <w:r>
        <w:t>ed</w:t>
      </w:r>
      <w:r w:rsidRPr="00215B5A">
        <w:t xml:space="preserve"> whether adequate consideration ha</w:t>
      </w:r>
      <w:r>
        <w:t>d</w:t>
      </w:r>
      <w:r w:rsidRPr="00215B5A">
        <w:t xml:space="preserve"> been </w:t>
      </w:r>
      <w:r>
        <w:t xml:space="preserve">given </w:t>
      </w:r>
      <w:r w:rsidR="00755CCC">
        <w:t>to</w:t>
      </w:r>
      <w:r>
        <w:t xml:space="preserve"> the impact the</w:t>
      </w:r>
      <w:r w:rsidRPr="00215B5A">
        <w:t xml:space="preserve"> proposal might have on existing equipment, especially equipment</w:t>
      </w:r>
      <w:r w:rsidR="008323CC">
        <w:t xml:space="preserve"> manufactured between the dates</w:t>
      </w:r>
      <w:r w:rsidRPr="00215B5A">
        <w:t xml:space="preserve"> January 1, 2002</w:t>
      </w:r>
      <w:r w:rsidR="00762BCA">
        <w:t>,</w:t>
      </w:r>
      <w:r w:rsidRPr="00215B5A">
        <w:t xml:space="preserve"> (the effective date of enforcement of the nonretroactive portion of the current paragraph proposed for deletion) and the date the proposed changes to the paragraph </w:t>
      </w:r>
      <w:r w:rsidR="00755CCC">
        <w:t>would</w:t>
      </w:r>
      <w:r w:rsidRPr="00215B5A">
        <w:t xml:space="preserve"> take effect.  Of particular concern is whet</w:t>
      </w:r>
      <w:r>
        <w:t>her or not existing equipment would be</w:t>
      </w:r>
      <w:r w:rsidRPr="00215B5A">
        <w:t xml:space="preserve"> able to comply with the changes being proposed</w:t>
      </w:r>
      <w:r w:rsidR="007C5108">
        <w:t>.</w:t>
      </w:r>
      <w:r w:rsidRPr="00215B5A">
        <w:t xml:space="preserve">  </w:t>
      </w:r>
      <w:r>
        <w:t xml:space="preserve">To that end, NIST, OWM provided the </w:t>
      </w:r>
      <w:r w:rsidR="00711A70">
        <w:t>C</w:t>
      </w:r>
      <w:r>
        <w:t xml:space="preserve">ommittee a brief analysis of existing </w:t>
      </w:r>
      <w:r w:rsidR="00755CCC">
        <w:t xml:space="preserve">NTEP CC’s for </w:t>
      </w:r>
      <w:r>
        <w:t>modular railway track scale</w:t>
      </w:r>
      <w:r w:rsidR="00755CCC">
        <w:t>s</w:t>
      </w:r>
      <w:r>
        <w:t>.  The analysis showed that the nominal capacity listed on the CC for some single module scales was greater than the less</w:t>
      </w:r>
      <w:r w:rsidR="007C5108">
        <w:t>e</w:t>
      </w:r>
      <w:r>
        <w:t xml:space="preserve">r of the three values derived from the three bullets specified in the proposal.  </w:t>
      </w:r>
      <w:r w:rsidRPr="003A556A">
        <w:t xml:space="preserve">There were even more instances where the lesser value in the proposal exceeded the nominal capacity listed on the CC for module installations with and without dead </w:t>
      </w:r>
      <w:r w:rsidRPr="00CF5434">
        <w:t xml:space="preserve">spaces. </w:t>
      </w:r>
      <w:r>
        <w:t xml:space="preserve"> NIST, </w:t>
      </w:r>
      <w:r w:rsidRPr="00857D92">
        <w:t xml:space="preserve">OWM’s </w:t>
      </w:r>
      <w:r w:rsidRPr="00A22D3F">
        <w:t>analysis d</w:t>
      </w:r>
      <w:r w:rsidRPr="00252BD3">
        <w:t xml:space="preserve">id not include </w:t>
      </w:r>
      <w:r w:rsidRPr="0018197D">
        <w:t xml:space="preserve">all of the </w:t>
      </w:r>
      <w:r w:rsidRPr="00757231">
        <w:t>various</w:t>
      </w:r>
      <w:r w:rsidRPr="00E35642">
        <w:t xml:space="preserve"> </w:t>
      </w:r>
      <w:r w:rsidRPr="000669AF">
        <w:t>configurations listed on the CC’s</w:t>
      </w:r>
      <w:r w:rsidRPr="00857D92">
        <w:t>.</w:t>
      </w:r>
      <w:r>
        <w:t xml:space="preserve">  A related concern noted by NIST, OWM was whether anyone had considered the impact of the proposal relative to combination vehicle/railway track scales.</w:t>
      </w:r>
    </w:p>
    <w:p w:rsidR="00FF6B59" w:rsidRDefault="00FF6B59" w:rsidP="00B60B18">
      <w:r>
        <w:lastRenderedPageBreak/>
        <w:t xml:space="preserve">Should the </w:t>
      </w:r>
      <w:r w:rsidR="00F17D2C">
        <w:t xml:space="preserve">Committee </w:t>
      </w:r>
      <w:r>
        <w:t xml:space="preserve">decide to proceed with the proposal, NIST, OWM suggested that the </w:t>
      </w:r>
      <w:r w:rsidR="00F17D2C">
        <w:t xml:space="preserve">Committee </w:t>
      </w:r>
      <w:r>
        <w:t xml:space="preserve">consider adding a fourth bullet to the list of proposed nominal capacity considerations that includes the nominal capacity listed on the CC and that a note be added to proposed Table S.6.4. to make clear that module capacities are to be based on the length of the module and corresponding capacities specified in Table S.4.  NIST, OWM offered the following proposed additions to the </w:t>
      </w:r>
      <w:r w:rsidR="00711A70">
        <w:t>C</w:t>
      </w:r>
      <w:r>
        <w:t xml:space="preserve">ommittee in relation to these recommendations: </w:t>
      </w:r>
    </w:p>
    <w:p w:rsidR="00FF6B59" w:rsidRDefault="00FF6B59" w:rsidP="00B77FD2">
      <w:pPr>
        <w:pStyle w:val="numberedlist"/>
        <w:numPr>
          <w:ilvl w:val="0"/>
          <w:numId w:val="28"/>
        </w:numPr>
      </w:pPr>
      <w:r>
        <w:t>Add the following note to proposed Table S.6.4.:</w:t>
      </w:r>
    </w:p>
    <w:p w:rsidR="00FF6B59" w:rsidRPr="00D677D9" w:rsidRDefault="00FF6B59" w:rsidP="0023324C">
      <w:pPr>
        <w:pStyle w:val="I-Normal1indent"/>
        <w:rPr>
          <w:rFonts w:ascii="Arial Narrow" w:hAnsi="Arial Narrow"/>
          <w:b/>
          <w:u w:val="single"/>
        </w:rPr>
      </w:pPr>
      <w:r w:rsidRPr="00D677D9">
        <w:rPr>
          <w:rFonts w:ascii="Arial Narrow" w:hAnsi="Arial Narrow"/>
          <w:b/>
          <w:u w:val="single"/>
        </w:rPr>
        <w:t xml:space="preserve">Note:  The capacity of a particular module is based on its length and determined from corresponding capacity values specified in Table S.6.4. </w:t>
      </w:r>
    </w:p>
    <w:p w:rsidR="00FF6B59" w:rsidRDefault="00FF6B59" w:rsidP="00D677D9">
      <w:pPr>
        <w:pStyle w:val="I-Normalreg"/>
        <w:ind w:left="720" w:hanging="360"/>
      </w:pPr>
      <w:r>
        <w:t>2.</w:t>
      </w:r>
      <w:r>
        <w:tab/>
        <w:t>Add a fourth bullet to the list of nominal capacity considerations that includes the no</w:t>
      </w:r>
      <w:r w:rsidR="00711A70">
        <w:t>minal capacity listed on the CC:</w:t>
      </w:r>
      <w:r>
        <w:t xml:space="preserve"> </w:t>
      </w:r>
    </w:p>
    <w:p w:rsidR="00FF6B59" w:rsidRPr="001A3A3A" w:rsidRDefault="001A3A3A" w:rsidP="0023324C">
      <w:pPr>
        <w:pStyle w:val="I-Normal1indent"/>
        <w:ind w:left="1080" w:hanging="360"/>
      </w:pPr>
      <w:r w:rsidRPr="001A3A3A">
        <w:t>(a)</w:t>
      </w:r>
      <w:r w:rsidRPr="001A3A3A">
        <w:tab/>
      </w:r>
      <w:r w:rsidR="00711A70">
        <w:t>t</w:t>
      </w:r>
      <w:r w:rsidR="00FF6B59" w:rsidRPr="001A3A3A">
        <w:t>he sum of weigh module capacities in the proposed table</w:t>
      </w:r>
      <w:r w:rsidR="00711A70">
        <w:t>;</w:t>
      </w:r>
    </w:p>
    <w:p w:rsidR="00FF6B59" w:rsidRPr="00FF6B59" w:rsidRDefault="001A3A3A" w:rsidP="0023324C">
      <w:pPr>
        <w:pStyle w:val="I-Normal1indent"/>
        <w:ind w:left="1080" w:hanging="360"/>
      </w:pPr>
      <w:r>
        <w:t>(b)</w:t>
      </w:r>
      <w:r>
        <w:tab/>
      </w:r>
      <w:r w:rsidR="00711A70">
        <w:t>t</w:t>
      </w:r>
      <w:r w:rsidR="00FF6B59" w:rsidRPr="00FF6B59">
        <w:t>he results of a calculation using the rated section capacity, number of sections and number of dead spaces</w:t>
      </w:r>
      <w:r w:rsidR="00711A70">
        <w:t>;</w:t>
      </w:r>
      <w:r w:rsidR="00FF6B59" w:rsidRPr="00FF6B59">
        <w:t xml:space="preserve"> </w:t>
      </w:r>
    </w:p>
    <w:p w:rsidR="00FF6B59" w:rsidRPr="00FF6B59" w:rsidRDefault="001A3A3A" w:rsidP="0023324C">
      <w:pPr>
        <w:pStyle w:val="I-Normal1indent"/>
        <w:ind w:left="1080" w:hanging="360"/>
      </w:pPr>
      <w:r>
        <w:t>(c)</w:t>
      </w:r>
      <w:r>
        <w:tab/>
      </w:r>
      <w:r w:rsidR="00FF6B59" w:rsidRPr="00FF6B59">
        <w:t>300</w:t>
      </w:r>
      <w:r w:rsidR="00D677D9">
        <w:t> </w:t>
      </w:r>
      <w:r w:rsidR="00FF6B59" w:rsidRPr="00FF6B59">
        <w:t>000 kg (640</w:t>
      </w:r>
      <w:r w:rsidR="00D677D9">
        <w:t> </w:t>
      </w:r>
      <w:r w:rsidR="00FF6B59" w:rsidRPr="00FF6B59">
        <w:t>000 lb), or</w:t>
      </w:r>
    </w:p>
    <w:p w:rsidR="00FF6B59" w:rsidRPr="00B60B18" w:rsidRDefault="001A3A3A" w:rsidP="00B60B18">
      <w:pPr>
        <w:pStyle w:val="I-Normal1indent"/>
        <w:ind w:left="1080" w:hanging="360"/>
        <w:rPr>
          <w:b/>
          <w:u w:val="single"/>
        </w:rPr>
      </w:pPr>
      <w:r w:rsidRPr="0023324C">
        <w:rPr>
          <w:b/>
          <w:u w:val="single"/>
        </w:rPr>
        <w:t>(d)</w:t>
      </w:r>
      <w:r w:rsidRPr="00B60B18">
        <w:rPr>
          <w:b/>
        </w:rPr>
        <w:tab/>
      </w:r>
      <w:r w:rsidR="00711A70">
        <w:rPr>
          <w:b/>
          <w:u w:val="single"/>
        </w:rPr>
        <w:t>t</w:t>
      </w:r>
      <w:r w:rsidR="00FF6B59" w:rsidRPr="001A3A3A">
        <w:rPr>
          <w:b/>
          <w:u w:val="single"/>
        </w:rPr>
        <w:t>he nominal capacity listed on the CC.</w:t>
      </w:r>
    </w:p>
    <w:p w:rsidR="00FF6B59" w:rsidRDefault="001A3A3A" w:rsidP="00B60B18">
      <w:r>
        <w:t xml:space="preserve">NIST, </w:t>
      </w:r>
      <w:r w:rsidR="00FF6B59">
        <w:t>OWM also noted that the current version of the proposed language uses “ton” units in the proposed table and “lb” units in the proposed changes to paragraph S.6.4.  It was suggested that the committee consider making the units consistent by either including both units for every value [e.g., 640</w:t>
      </w:r>
      <w:r w:rsidR="00762BCA">
        <w:t> 000 </w:t>
      </w:r>
      <w:r w:rsidR="00FF6B59">
        <w:t>lb (</w:t>
      </w:r>
      <w:r w:rsidR="00762BCA">
        <w:t>320 </w:t>
      </w:r>
      <w:r w:rsidR="00FF6B59">
        <w:t xml:space="preserve">ton)] or only a single unit.  Note that the railroad industry has traditionally rated section capacity in tons and nominal capacity in </w:t>
      </w:r>
      <w:r w:rsidR="00762BCA">
        <w:t xml:space="preserve">pound </w:t>
      </w:r>
      <w:r w:rsidR="00FF6B59">
        <w:t xml:space="preserve">units.  Additionally, </w:t>
      </w:r>
      <w:r w:rsidR="003B306F">
        <w:t xml:space="preserve">NIST, </w:t>
      </w:r>
      <w:r w:rsidR="00FF6B59">
        <w:t xml:space="preserve">OWM noted that </w:t>
      </w:r>
      <w:r w:rsidR="007C5108">
        <w:t xml:space="preserve">it </w:t>
      </w:r>
      <w:r w:rsidR="00FF6B59">
        <w:t xml:space="preserve">will likely include equivalent </w:t>
      </w:r>
      <w:r w:rsidR="003C307C">
        <w:t>International System of Units (</w:t>
      </w:r>
      <w:r w:rsidR="00FF6B59">
        <w:t>SI</w:t>
      </w:r>
      <w:r w:rsidR="003C307C">
        <w:t>)</w:t>
      </w:r>
      <w:r w:rsidR="00FF6B59">
        <w:t xml:space="preserve"> values in </w:t>
      </w:r>
      <w:r w:rsidR="00FF6B59" w:rsidRPr="00BD5BEB">
        <w:t>NIST Handbook 44</w:t>
      </w:r>
      <w:r w:rsidR="00FF6B59">
        <w:t xml:space="preserve"> if this item is adopted.</w:t>
      </w:r>
    </w:p>
    <w:p w:rsidR="00FF6B59" w:rsidRDefault="00FF6B59" w:rsidP="00B60B18">
      <w:r>
        <w:t xml:space="preserve">Mr. Oppermann, Weights and Measures Consulting, LLC., suggested amending the first sentence in the definition of weigh module (originally proposed) to read as follows:  </w:t>
      </w:r>
    </w:p>
    <w:p w:rsidR="00FF6B59" w:rsidRPr="000B56DA" w:rsidRDefault="00FF6B59" w:rsidP="00B60B18">
      <w:pPr>
        <w:pStyle w:val="I-Normal-bold"/>
      </w:pPr>
      <w:r w:rsidRPr="000B56DA">
        <w:t xml:space="preserve">The portion of a load-receiving element supported by two sections of the weighing element. </w:t>
      </w:r>
    </w:p>
    <w:p w:rsidR="00FF6B59" w:rsidRDefault="00FF6B59" w:rsidP="00B60B18">
      <w:r>
        <w:t xml:space="preserve">Mr. </w:t>
      </w:r>
      <w:r w:rsidRPr="00B379E4">
        <w:t>Beitzel, Systems Associates, Inc., stated that he supported removal of the words “single or articulated” from the proposed definition of weigh module, but would be opposed to adding a fourth bullet “</w:t>
      </w:r>
      <w:r w:rsidR="00711A70">
        <w:t>(</w:t>
      </w:r>
      <w:r w:rsidRPr="00B379E4">
        <w:t>d</w:t>
      </w:r>
      <w:r w:rsidR="00711A70">
        <w:t>)</w:t>
      </w:r>
      <w:r w:rsidRPr="00B379E4">
        <w:t>” to reference the nom</w:t>
      </w:r>
      <w:r w:rsidR="003B306F">
        <w:t>inal capacity listed on the CC.</w:t>
      </w:r>
      <w:r w:rsidRPr="00B379E4">
        <w:t xml:space="preserve">  Adding a reference to the nominal capacity on the CC would create a circular argument in that, if added, some might interpret that to mean that the nominal capacity of a scale cannot be increased beyond the value specified on the orig</w:t>
      </w:r>
      <w:r>
        <w:t>inal CC, even if load cell capacity and the structural integrity of the weighbridge make possible an increase to the capacity.  Subparagraph (</w:t>
      </w:r>
      <w:r w:rsidRPr="00B379E4">
        <w:t>d</w:t>
      </w:r>
      <w:r>
        <w:t>)</w:t>
      </w:r>
      <w:r w:rsidRPr="00B379E4">
        <w:t xml:space="preserve"> would continue to li</w:t>
      </w:r>
      <w:r>
        <w:t>mit the nominal capacity for the</w:t>
      </w:r>
      <w:r w:rsidRPr="00B379E4">
        <w:t xml:space="preserve"> system.  With resp</w:t>
      </w:r>
      <w:r>
        <w:t xml:space="preserve">ect to </w:t>
      </w:r>
      <w:r w:rsidR="003B306F">
        <w:t xml:space="preserve">NIST, </w:t>
      </w:r>
      <w:r>
        <w:t xml:space="preserve">OWM’s suggestion to the </w:t>
      </w:r>
      <w:r w:rsidR="00587096">
        <w:t>C</w:t>
      </w:r>
      <w:r w:rsidRPr="00B379E4">
        <w:t>ommittee to change the units of measure in proposed table S.6.4. from tons to pounds, there would be no problem as Nominal Capacity is generally represented in pounds</w:t>
      </w:r>
      <w:r>
        <w:t xml:space="preserve"> on railway track scales</w:t>
      </w:r>
      <w:r w:rsidRPr="00B379E4">
        <w:t xml:space="preserve">.  </w:t>
      </w:r>
    </w:p>
    <w:p w:rsidR="00FF6B59" w:rsidRDefault="00FF6B59" w:rsidP="00B60B18">
      <w:r w:rsidRPr="0025054F">
        <w:t xml:space="preserve">Prior to the 2012 Interim </w:t>
      </w:r>
      <w:r w:rsidR="00F17D2C">
        <w:t>M</w:t>
      </w:r>
      <w:r w:rsidR="00F17D2C" w:rsidRPr="0025054F">
        <w:t>eeting</w:t>
      </w:r>
      <w:r w:rsidRPr="0025054F">
        <w:t xml:space="preserve">, the </w:t>
      </w:r>
      <w:r w:rsidR="00F17D2C">
        <w:t>C</w:t>
      </w:r>
      <w:r w:rsidR="00F17D2C" w:rsidRPr="0025054F">
        <w:t xml:space="preserve">ommittee </w:t>
      </w:r>
      <w:r w:rsidRPr="0025054F">
        <w:t>received a letter of support of this item as proposed from the Association of American Railroads (AAR).</w:t>
      </w:r>
      <w:r>
        <w:t xml:space="preserve">  </w:t>
      </w:r>
    </w:p>
    <w:p w:rsidR="00FF6B59" w:rsidRPr="00032D21" w:rsidRDefault="00FF6B59">
      <w:pPr>
        <w:rPr>
          <w:rFonts w:eastAsia="Times New Roman" w:cs="Times New Roman"/>
          <w:szCs w:val="20"/>
        </w:rPr>
      </w:pPr>
      <w:r w:rsidRPr="000B56DA">
        <w:rPr>
          <w:rFonts w:eastAsia="Times New Roman" w:cs="Times New Roman"/>
          <w:bCs/>
          <w:szCs w:val="20"/>
        </w:rPr>
        <w:t xml:space="preserve">The </w:t>
      </w:r>
      <w:r w:rsidR="00F17D2C">
        <w:rPr>
          <w:rFonts w:eastAsia="Times New Roman" w:cs="Times New Roman"/>
          <w:bCs/>
          <w:szCs w:val="20"/>
        </w:rPr>
        <w:t>C</w:t>
      </w:r>
      <w:r w:rsidR="00F17D2C" w:rsidRPr="000B56DA">
        <w:rPr>
          <w:rFonts w:eastAsia="Times New Roman" w:cs="Times New Roman"/>
          <w:bCs/>
          <w:szCs w:val="20"/>
        </w:rPr>
        <w:t xml:space="preserve">ommittee </w:t>
      </w:r>
      <w:r w:rsidRPr="000B56DA">
        <w:rPr>
          <w:rFonts w:eastAsia="Times New Roman" w:cs="Times New Roman"/>
          <w:bCs/>
          <w:szCs w:val="20"/>
        </w:rPr>
        <w:t>considered th</w:t>
      </w:r>
      <w:r>
        <w:rPr>
          <w:rFonts w:eastAsia="Times New Roman" w:cs="Times New Roman"/>
          <w:bCs/>
          <w:szCs w:val="20"/>
        </w:rPr>
        <w:t xml:space="preserve">e comments received during the </w:t>
      </w:r>
      <w:r w:rsidR="003B306F">
        <w:rPr>
          <w:rFonts w:eastAsia="Times New Roman" w:cs="Times New Roman"/>
          <w:bCs/>
          <w:szCs w:val="20"/>
        </w:rPr>
        <w:t>O</w:t>
      </w:r>
      <w:r>
        <w:rPr>
          <w:rFonts w:eastAsia="Times New Roman" w:cs="Times New Roman"/>
          <w:bCs/>
          <w:szCs w:val="20"/>
        </w:rPr>
        <w:t xml:space="preserve">pen </w:t>
      </w:r>
      <w:r w:rsidR="003B306F">
        <w:rPr>
          <w:rFonts w:eastAsia="Times New Roman" w:cs="Times New Roman"/>
          <w:bCs/>
          <w:szCs w:val="20"/>
        </w:rPr>
        <w:t>H</w:t>
      </w:r>
      <w:r w:rsidRPr="000B56DA">
        <w:rPr>
          <w:rFonts w:eastAsia="Times New Roman" w:cs="Times New Roman"/>
          <w:bCs/>
          <w:szCs w:val="20"/>
        </w:rPr>
        <w:t xml:space="preserve">earings and agreed with concerns </w:t>
      </w:r>
      <w:r w:rsidR="00755CCC">
        <w:rPr>
          <w:rFonts w:eastAsia="Times New Roman" w:cs="Times New Roman"/>
          <w:bCs/>
          <w:szCs w:val="20"/>
        </w:rPr>
        <w:t>for</w:t>
      </w:r>
      <w:r w:rsidRPr="000B56DA">
        <w:rPr>
          <w:rFonts w:eastAsia="Times New Roman" w:cs="Times New Roman"/>
          <w:bCs/>
          <w:szCs w:val="20"/>
        </w:rPr>
        <w:t xml:space="preserve"> how the proposed new language would affect </w:t>
      </w:r>
      <w:r>
        <w:rPr>
          <w:rFonts w:eastAsia="Times New Roman" w:cs="Times New Roman"/>
          <w:bCs/>
          <w:szCs w:val="20"/>
        </w:rPr>
        <w:t xml:space="preserve">current </w:t>
      </w:r>
      <w:r w:rsidRPr="000B56DA">
        <w:rPr>
          <w:rFonts w:eastAsia="Times New Roman" w:cs="Times New Roman"/>
          <w:bCs/>
          <w:szCs w:val="20"/>
        </w:rPr>
        <w:t>equipment</w:t>
      </w:r>
      <w:r w:rsidR="00755CCC">
        <w:rPr>
          <w:rFonts w:eastAsia="Times New Roman" w:cs="Times New Roman"/>
          <w:bCs/>
          <w:szCs w:val="20"/>
        </w:rPr>
        <w:t xml:space="preserve"> that i</w:t>
      </w:r>
      <w:r>
        <w:rPr>
          <w:rFonts w:eastAsia="Times New Roman" w:cs="Times New Roman"/>
          <w:bCs/>
          <w:szCs w:val="20"/>
        </w:rPr>
        <w:t>s already in service.</w:t>
      </w:r>
      <w:r w:rsidRPr="000B56DA">
        <w:rPr>
          <w:rFonts w:eastAsia="Times New Roman" w:cs="Times New Roman"/>
          <w:bCs/>
          <w:szCs w:val="20"/>
        </w:rPr>
        <w:t xml:space="preserve">  </w:t>
      </w:r>
    </w:p>
    <w:p w:rsidR="00FF6B59" w:rsidRDefault="00FF6B59" w:rsidP="00BD5BEB">
      <w:pPr>
        <w:spacing w:after="200"/>
        <w:rPr>
          <w:rFonts w:eastAsia="Times New Roman" w:cs="Times New Roman"/>
          <w:szCs w:val="20"/>
        </w:rPr>
      </w:pPr>
      <w:r>
        <w:rPr>
          <w:rFonts w:eastAsia="Times New Roman" w:cs="Times New Roman"/>
          <w:bCs/>
          <w:szCs w:val="20"/>
        </w:rPr>
        <w:t xml:space="preserve">In consideration of the analysis </w:t>
      </w:r>
      <w:r w:rsidR="00755CCC">
        <w:rPr>
          <w:rFonts w:eastAsia="Times New Roman" w:cs="Times New Roman"/>
          <w:bCs/>
          <w:szCs w:val="20"/>
        </w:rPr>
        <w:t>presented</w:t>
      </w:r>
      <w:r>
        <w:rPr>
          <w:rFonts w:eastAsia="Times New Roman" w:cs="Times New Roman"/>
          <w:bCs/>
          <w:szCs w:val="20"/>
        </w:rPr>
        <w:t xml:space="preserve"> by </w:t>
      </w:r>
      <w:r w:rsidR="003B306F">
        <w:rPr>
          <w:rFonts w:eastAsia="Times New Roman" w:cs="Times New Roman"/>
          <w:bCs/>
          <w:szCs w:val="20"/>
        </w:rPr>
        <w:t xml:space="preserve">NIST, </w:t>
      </w:r>
      <w:r>
        <w:rPr>
          <w:rFonts w:eastAsia="Times New Roman" w:cs="Times New Roman"/>
          <w:bCs/>
          <w:szCs w:val="20"/>
        </w:rPr>
        <w:t xml:space="preserve">OWM the </w:t>
      </w:r>
      <w:r w:rsidR="009A7732">
        <w:rPr>
          <w:rFonts w:eastAsia="Times New Roman" w:cs="Times New Roman"/>
          <w:bCs/>
          <w:szCs w:val="20"/>
        </w:rPr>
        <w:t xml:space="preserve">Committee </w:t>
      </w:r>
      <w:r>
        <w:rPr>
          <w:rFonts w:eastAsia="Times New Roman" w:cs="Times New Roman"/>
          <w:bCs/>
          <w:szCs w:val="20"/>
        </w:rPr>
        <w:t xml:space="preserve">agreed with </w:t>
      </w:r>
      <w:r w:rsidR="00755CCC">
        <w:rPr>
          <w:rFonts w:eastAsia="Times New Roman" w:cs="Times New Roman"/>
          <w:bCs/>
          <w:szCs w:val="20"/>
        </w:rPr>
        <w:t>their</w:t>
      </w:r>
      <w:r>
        <w:rPr>
          <w:rFonts w:eastAsia="Times New Roman" w:cs="Times New Roman"/>
          <w:bCs/>
          <w:szCs w:val="20"/>
        </w:rPr>
        <w:t xml:space="preserve"> suggestion to add a fourth bullet </w:t>
      </w:r>
      <w:r>
        <w:t xml:space="preserve">to the list of proposed nominal capacity considerations that include the nominal capacity listed on the CC. </w:t>
      </w:r>
      <w:r>
        <w:rPr>
          <w:rFonts w:eastAsia="Times New Roman" w:cs="Times New Roman"/>
          <w:bCs/>
          <w:szCs w:val="20"/>
        </w:rPr>
        <w:t xml:space="preserve"> T</w:t>
      </w:r>
      <w:r w:rsidRPr="000B56DA">
        <w:rPr>
          <w:rFonts w:eastAsia="Times New Roman" w:cs="Times New Roman"/>
          <w:bCs/>
          <w:szCs w:val="20"/>
        </w:rPr>
        <w:t xml:space="preserve">he </w:t>
      </w:r>
      <w:r w:rsidR="009A7732">
        <w:rPr>
          <w:rFonts w:eastAsia="Times New Roman" w:cs="Times New Roman"/>
          <w:bCs/>
          <w:szCs w:val="20"/>
        </w:rPr>
        <w:t>C</w:t>
      </w:r>
      <w:r w:rsidR="009A7732" w:rsidRPr="000B56DA">
        <w:rPr>
          <w:rFonts w:eastAsia="Times New Roman" w:cs="Times New Roman"/>
          <w:bCs/>
          <w:szCs w:val="20"/>
        </w:rPr>
        <w:t xml:space="preserve">ommittee </w:t>
      </w:r>
      <w:r>
        <w:rPr>
          <w:rFonts w:eastAsia="Times New Roman" w:cs="Times New Roman"/>
          <w:bCs/>
          <w:szCs w:val="20"/>
        </w:rPr>
        <w:t xml:space="preserve">also </w:t>
      </w:r>
      <w:r w:rsidRPr="000B56DA">
        <w:rPr>
          <w:rFonts w:eastAsia="Times New Roman" w:cs="Times New Roman"/>
          <w:bCs/>
          <w:szCs w:val="20"/>
        </w:rPr>
        <w:t>agreed to add a note beneath proposed Table S.6.4. to make clear that the module capacities are to be based on the length of the module and corresponding capacities specified in th</w:t>
      </w:r>
      <w:r>
        <w:rPr>
          <w:rFonts w:eastAsia="Times New Roman" w:cs="Times New Roman"/>
          <w:bCs/>
          <w:szCs w:val="20"/>
        </w:rPr>
        <w:t xml:space="preserve">e proposed table.  </w:t>
      </w:r>
      <w:r>
        <w:rPr>
          <w:rFonts w:eastAsia="Times New Roman" w:cs="Times New Roman"/>
          <w:bCs/>
          <w:szCs w:val="20"/>
        </w:rPr>
        <w:lastRenderedPageBreak/>
        <w:t xml:space="preserve">A final change agreed to by the </w:t>
      </w:r>
      <w:r w:rsidR="00CE7CB1">
        <w:rPr>
          <w:rFonts w:eastAsia="Times New Roman" w:cs="Times New Roman"/>
          <w:bCs/>
          <w:szCs w:val="20"/>
        </w:rPr>
        <w:t>C</w:t>
      </w:r>
      <w:r>
        <w:rPr>
          <w:rFonts w:eastAsia="Times New Roman" w:cs="Times New Roman"/>
          <w:bCs/>
          <w:szCs w:val="20"/>
        </w:rPr>
        <w:t>ommittee was to amend the definition originally proposed.  All of t</w:t>
      </w:r>
      <w:r>
        <w:rPr>
          <w:rFonts w:eastAsia="Times New Roman" w:cs="Times New Roman"/>
          <w:szCs w:val="20"/>
        </w:rPr>
        <w:t xml:space="preserve">he changes agreed to by the </w:t>
      </w:r>
      <w:r w:rsidR="009A7732">
        <w:rPr>
          <w:rFonts w:eastAsia="Times New Roman" w:cs="Times New Roman"/>
          <w:szCs w:val="20"/>
        </w:rPr>
        <w:t xml:space="preserve">Committee </w:t>
      </w:r>
      <w:r>
        <w:rPr>
          <w:rFonts w:eastAsia="Times New Roman" w:cs="Times New Roman"/>
          <w:bCs/>
          <w:szCs w:val="20"/>
        </w:rPr>
        <w:t xml:space="preserve">are included </w:t>
      </w:r>
      <w:r>
        <w:rPr>
          <w:rFonts w:eastAsia="Times New Roman" w:cs="Times New Roman"/>
          <w:szCs w:val="20"/>
        </w:rPr>
        <w:t xml:space="preserve">in the </w:t>
      </w:r>
      <w:r w:rsidRPr="00032D21">
        <w:rPr>
          <w:rFonts w:eastAsia="Times New Roman" w:cs="Times New Roman"/>
          <w:szCs w:val="20"/>
        </w:rPr>
        <w:t>Item Under C</w:t>
      </w:r>
      <w:r>
        <w:rPr>
          <w:rFonts w:eastAsia="Times New Roman" w:cs="Times New Roman"/>
          <w:szCs w:val="20"/>
        </w:rPr>
        <w:t>onsideration.</w:t>
      </w:r>
      <w:r w:rsidRPr="008B65E8">
        <w:rPr>
          <w:rFonts w:eastAsia="Times New Roman" w:cs="Times New Roman"/>
          <w:bCs/>
          <w:szCs w:val="20"/>
        </w:rPr>
        <w:t xml:space="preserve"> </w:t>
      </w:r>
      <w:r w:rsidR="003B306F">
        <w:rPr>
          <w:rFonts w:eastAsia="Times New Roman" w:cs="Times New Roman"/>
          <w:bCs/>
          <w:szCs w:val="20"/>
        </w:rPr>
        <w:t xml:space="preserve"> </w:t>
      </w:r>
      <w:r w:rsidR="00755CCC" w:rsidRPr="006273B2">
        <w:rPr>
          <w:rFonts w:cs="Times New Roman"/>
        </w:rPr>
        <w:t>The 20</w:t>
      </w:r>
      <w:r w:rsidR="00755CCC">
        <w:rPr>
          <w:rFonts w:cs="Times New Roman"/>
        </w:rPr>
        <w:t>12</w:t>
      </w:r>
      <w:r w:rsidR="00755CCC" w:rsidRPr="006273B2">
        <w:rPr>
          <w:rFonts w:cs="Times New Roman"/>
        </w:rPr>
        <w:t xml:space="preserve"> </w:t>
      </w:r>
      <w:r w:rsidR="00755CCC">
        <w:rPr>
          <w:rFonts w:cs="Times New Roman"/>
        </w:rPr>
        <w:t>S&amp;T</w:t>
      </w:r>
      <w:r w:rsidR="00755CCC" w:rsidRPr="006273B2">
        <w:rPr>
          <w:rFonts w:cs="Times New Roman"/>
        </w:rPr>
        <w:t xml:space="preserve"> Committee designated this item as an Informational Item</w:t>
      </w:r>
      <w:r w:rsidR="00755CCC" w:rsidRPr="0033607C" w:rsidDel="00BF422E">
        <w:rPr>
          <w:rFonts w:eastAsia="Times New Roman" w:cs="Times New Roman"/>
          <w:bCs/>
          <w:szCs w:val="20"/>
        </w:rPr>
        <w:t xml:space="preserve"> </w:t>
      </w:r>
      <w:r w:rsidR="00755CCC">
        <w:rPr>
          <w:rFonts w:eastAsia="Times New Roman" w:cs="Times New Roman"/>
          <w:bCs/>
          <w:szCs w:val="20"/>
        </w:rPr>
        <w:t>to allow time for</w:t>
      </w:r>
      <w:r>
        <w:rPr>
          <w:rFonts w:eastAsia="Times New Roman" w:cs="Times New Roman"/>
          <w:bCs/>
          <w:szCs w:val="20"/>
        </w:rPr>
        <w:t xml:space="preserve"> additional information relative to these concerns and </w:t>
      </w:r>
      <w:r>
        <w:rPr>
          <w:rFonts w:eastAsia="Times New Roman" w:cs="Times New Roman"/>
          <w:szCs w:val="20"/>
        </w:rPr>
        <w:t xml:space="preserve">further analysis and comments on the amended proposal. </w:t>
      </w:r>
    </w:p>
    <w:p w:rsidR="002C4874" w:rsidRPr="002748CF" w:rsidRDefault="002C4874" w:rsidP="002C4874">
      <w:pPr>
        <w:rPr>
          <w:rFonts w:eastAsia="Calibri" w:cs="Times New Roman"/>
        </w:rPr>
      </w:pPr>
      <w:r w:rsidRPr="002748CF">
        <w:rPr>
          <w:rFonts w:eastAsia="Calibri" w:cs="Times New Roman"/>
        </w:rPr>
        <w:t xml:space="preserve">At the 2012 NCWM Annual Meeting </w:t>
      </w:r>
      <w:r w:rsidR="00762BCA">
        <w:rPr>
          <w:rFonts w:eastAsia="Calibri" w:cs="Times New Roman"/>
        </w:rPr>
        <w:t>Open Hearings</w:t>
      </w:r>
      <w:r>
        <w:rPr>
          <w:rFonts w:eastAsia="Calibri" w:cs="Times New Roman"/>
        </w:rPr>
        <w:t>, Mr. Flocken</w:t>
      </w:r>
      <w:r w:rsidR="003E26A5">
        <w:rPr>
          <w:rFonts w:eastAsia="Calibri" w:cs="Times New Roman"/>
        </w:rPr>
        <w:t>,</w:t>
      </w:r>
      <w:r w:rsidRPr="002748CF">
        <w:rPr>
          <w:rFonts w:eastAsia="Calibri" w:cs="Times New Roman"/>
        </w:rPr>
        <w:t xml:space="preserve"> speaking on behalf</w:t>
      </w:r>
      <w:r>
        <w:rPr>
          <w:rFonts w:eastAsia="Calibri" w:cs="Times New Roman"/>
        </w:rPr>
        <w:t xml:space="preserve"> of SMA</w:t>
      </w:r>
      <w:r w:rsidR="003E26A5">
        <w:rPr>
          <w:rFonts w:eastAsia="Calibri" w:cs="Times New Roman"/>
        </w:rPr>
        <w:t>,</w:t>
      </w:r>
      <w:r>
        <w:rPr>
          <w:rFonts w:eastAsia="Calibri" w:cs="Times New Roman"/>
        </w:rPr>
        <w:t xml:space="preserve"> stated that SMA supports</w:t>
      </w:r>
      <w:r w:rsidRPr="002748CF">
        <w:rPr>
          <w:rFonts w:eastAsia="Calibri" w:cs="Times New Roman"/>
        </w:rPr>
        <w:t xml:space="preserve"> the proposal as written.</w:t>
      </w:r>
    </w:p>
    <w:p w:rsidR="002C4874" w:rsidRPr="002748CF" w:rsidRDefault="002C4874" w:rsidP="002C4874">
      <w:pPr>
        <w:rPr>
          <w:rFonts w:eastAsia="Calibri" w:cs="Times New Roman"/>
        </w:rPr>
      </w:pPr>
      <w:r w:rsidRPr="002748CF">
        <w:rPr>
          <w:rFonts w:eastAsia="Calibri" w:cs="Times New Roman"/>
        </w:rPr>
        <w:t>The Committee also heard comments from Ms. Juana Williams, speaking o</w:t>
      </w:r>
      <w:r>
        <w:rPr>
          <w:rFonts w:eastAsia="Calibri" w:cs="Times New Roman"/>
        </w:rPr>
        <w:t>n behalf of NIST</w:t>
      </w:r>
      <w:r w:rsidR="00F841D3">
        <w:rPr>
          <w:rFonts w:eastAsia="Calibri" w:cs="Times New Roman"/>
        </w:rPr>
        <w:t>,</w:t>
      </w:r>
      <w:r>
        <w:rPr>
          <w:rFonts w:eastAsia="Calibri" w:cs="Times New Roman"/>
        </w:rPr>
        <w:t xml:space="preserve"> OWM.  </w:t>
      </w:r>
      <w:r w:rsidR="00F841D3">
        <w:rPr>
          <w:rFonts w:eastAsia="Calibri" w:cs="Times New Roman"/>
        </w:rPr>
        <w:t xml:space="preserve">NIST, </w:t>
      </w:r>
      <w:r>
        <w:rPr>
          <w:rFonts w:eastAsia="Calibri" w:cs="Times New Roman"/>
        </w:rPr>
        <w:t>OWM noted</w:t>
      </w:r>
      <w:r w:rsidRPr="002748CF">
        <w:rPr>
          <w:rFonts w:eastAsia="Calibri" w:cs="Times New Roman"/>
        </w:rPr>
        <w:t xml:space="preserve"> that bullet (d) of the proposal was added by the Committee during the 2012 NCWM Interim Meeting after it was made known there existed at least one CC (and possibly more) for railway track scales with nominal capacities greater than the lessor of the values corresponding to bullets (a), (b), and (c), which created potential conflicts between the requirement as originally proposed and the information on some existing CCs. </w:t>
      </w:r>
    </w:p>
    <w:p w:rsidR="002C4874" w:rsidRPr="002748CF" w:rsidRDefault="002C4874" w:rsidP="002C4874">
      <w:pPr>
        <w:rPr>
          <w:rFonts w:eastAsia="Calibri" w:cs="Times New Roman"/>
        </w:rPr>
      </w:pPr>
      <w:r w:rsidRPr="002748CF">
        <w:rPr>
          <w:rFonts w:eastAsia="Calibri" w:cs="Times New Roman"/>
        </w:rPr>
        <w:t xml:space="preserve">During further analysis of this item, </w:t>
      </w:r>
      <w:r w:rsidR="00F841D3">
        <w:rPr>
          <w:rFonts w:eastAsia="Calibri" w:cs="Times New Roman"/>
        </w:rPr>
        <w:t xml:space="preserve">NIST, </w:t>
      </w:r>
      <w:r w:rsidRPr="002748CF">
        <w:rPr>
          <w:rFonts w:eastAsia="Calibri" w:cs="Times New Roman"/>
        </w:rPr>
        <w:t>OWM recognized that information on CCs is sometimes amended.  If the capacity specified on a CC issued for a railroad scale were changed, it could have an impact on the application of the proposed requirement; perhaps causing a device that once was compliant to be in violation. For this reason, OWM question</w:t>
      </w:r>
      <w:r>
        <w:rPr>
          <w:rFonts w:eastAsia="Calibri" w:cs="Times New Roman"/>
        </w:rPr>
        <w:t>ed</w:t>
      </w:r>
      <w:r w:rsidRPr="002748CF">
        <w:rPr>
          <w:rFonts w:eastAsia="Calibri" w:cs="Times New Roman"/>
        </w:rPr>
        <w:t xml:space="preserve"> whether bullet (d) in the Item Under Consideration should be included as one of the factors to be used in determining whether or not a device complies.  If the Committee agrees with this concern, it might, as an alternative to adding bullet (d), consider dividing the Item Under Consideration into two parts and assigning different enforcement dates to those parts.  For example, new equipment could be required to comply with the proposed new portion of the paragraph while equipment already in service could continue to have to comply</w:t>
      </w:r>
      <w:r>
        <w:rPr>
          <w:rFonts w:eastAsia="Calibri" w:cs="Times New Roman"/>
        </w:rPr>
        <w:t xml:space="preserve"> with the existing paragraph.  Should the Committee decide to divide the</w:t>
      </w:r>
      <w:r w:rsidRPr="002748CF">
        <w:rPr>
          <w:rFonts w:eastAsia="Calibri" w:cs="Times New Roman"/>
        </w:rPr>
        <w:t xml:space="preserve"> paragraph into two parts, it would be necessary to include the two struck out sentences in the Item Under Consideration with the existing (old) portion of the paragraph.  OWM offered an example to show how the concerns described in the analysis of this item might be addressed in the language and proposed modifying the requirements to be retroactive in nature.</w:t>
      </w:r>
    </w:p>
    <w:p w:rsidR="002C4874" w:rsidRPr="002748CF" w:rsidRDefault="00F841D3" w:rsidP="002C4874">
      <w:pPr>
        <w:rPr>
          <w:rFonts w:eastAsia="Calibri" w:cs="Times New Roman"/>
        </w:rPr>
      </w:pPr>
      <w:r>
        <w:rPr>
          <w:rFonts w:eastAsia="Times New Roman" w:cs="Times New Roman"/>
          <w:szCs w:val="24"/>
        </w:rPr>
        <w:t xml:space="preserve">NIST, </w:t>
      </w:r>
      <w:r w:rsidR="002C4874" w:rsidRPr="002748CF">
        <w:rPr>
          <w:rFonts w:eastAsia="Times New Roman" w:cs="Times New Roman"/>
          <w:szCs w:val="24"/>
        </w:rPr>
        <w:t xml:space="preserve">OWM also pointed out that the current version of the proposed language uses “ton” units in the proposed </w:t>
      </w:r>
      <w:r w:rsidR="00CE7CB1">
        <w:rPr>
          <w:rFonts w:eastAsia="Times New Roman" w:cs="Times New Roman"/>
          <w:szCs w:val="24"/>
        </w:rPr>
        <w:t>table and “pound</w:t>
      </w:r>
      <w:r w:rsidR="002C4874" w:rsidRPr="002748CF">
        <w:rPr>
          <w:rFonts w:eastAsia="Times New Roman" w:cs="Times New Roman"/>
          <w:szCs w:val="24"/>
        </w:rPr>
        <w:t>” units in the proposed changes to paragraph S.6.4.  The Committee may wish to consider making the units consistent by either using both units for every value [e.g., 640</w:t>
      </w:r>
      <w:r w:rsidR="006D0936">
        <w:rPr>
          <w:rFonts w:eastAsia="Times New Roman" w:cs="Times New Roman"/>
          <w:szCs w:val="24"/>
        </w:rPr>
        <w:t> </w:t>
      </w:r>
      <w:r w:rsidR="006D0936" w:rsidRPr="002748CF">
        <w:rPr>
          <w:rFonts w:eastAsia="Times New Roman" w:cs="Times New Roman"/>
          <w:szCs w:val="24"/>
        </w:rPr>
        <w:t>000</w:t>
      </w:r>
      <w:r w:rsidR="006D0936">
        <w:rPr>
          <w:rFonts w:eastAsia="Times New Roman" w:cs="Times New Roman"/>
          <w:szCs w:val="24"/>
        </w:rPr>
        <w:t> </w:t>
      </w:r>
      <w:r w:rsidR="002C4874" w:rsidRPr="002748CF">
        <w:rPr>
          <w:rFonts w:eastAsia="Times New Roman" w:cs="Times New Roman"/>
          <w:szCs w:val="24"/>
        </w:rPr>
        <w:t>lb (</w:t>
      </w:r>
      <w:r w:rsidR="006D0936" w:rsidRPr="002748CF">
        <w:rPr>
          <w:rFonts w:eastAsia="Times New Roman" w:cs="Times New Roman"/>
          <w:szCs w:val="24"/>
        </w:rPr>
        <w:t>320</w:t>
      </w:r>
      <w:r w:rsidR="006D0936">
        <w:rPr>
          <w:rFonts w:eastAsia="Times New Roman" w:cs="Times New Roman"/>
          <w:szCs w:val="24"/>
        </w:rPr>
        <w:t> </w:t>
      </w:r>
      <w:r w:rsidR="002C4874" w:rsidRPr="002748CF">
        <w:rPr>
          <w:rFonts w:eastAsia="Times New Roman" w:cs="Times New Roman"/>
          <w:szCs w:val="24"/>
        </w:rPr>
        <w:t>ton)] or on</w:t>
      </w:r>
      <w:r w:rsidR="002C4874">
        <w:rPr>
          <w:rFonts w:eastAsia="Times New Roman" w:cs="Times New Roman"/>
          <w:szCs w:val="24"/>
        </w:rPr>
        <w:t>ly use a single unit.  T</w:t>
      </w:r>
      <w:r w:rsidR="002C4874" w:rsidRPr="002748CF">
        <w:rPr>
          <w:rFonts w:eastAsia="Times New Roman" w:cs="Times New Roman"/>
          <w:szCs w:val="24"/>
        </w:rPr>
        <w:t>he railroad industry has traditionally rated section capacity in tons and nominal capacity in “</w:t>
      </w:r>
      <w:r w:rsidR="006D0936">
        <w:rPr>
          <w:rFonts w:eastAsia="Times New Roman" w:cs="Times New Roman"/>
          <w:szCs w:val="24"/>
        </w:rPr>
        <w:t>pound</w:t>
      </w:r>
      <w:r w:rsidR="002C4874" w:rsidRPr="002748CF">
        <w:rPr>
          <w:rFonts w:eastAsia="Times New Roman" w:cs="Times New Roman"/>
          <w:szCs w:val="24"/>
        </w:rPr>
        <w:t xml:space="preserve">” units.  Additionally, OWM will likely include equivalent SI values in </w:t>
      </w:r>
      <w:r w:rsidR="0012198E">
        <w:rPr>
          <w:rFonts w:eastAsia="Times New Roman" w:cs="Times New Roman"/>
          <w:szCs w:val="24"/>
        </w:rPr>
        <w:t xml:space="preserve">NIST </w:t>
      </w:r>
      <w:r w:rsidR="0012198E" w:rsidRPr="002748CF">
        <w:rPr>
          <w:rFonts w:eastAsia="Times New Roman" w:cs="Times New Roman"/>
          <w:szCs w:val="24"/>
        </w:rPr>
        <w:t>H</w:t>
      </w:r>
      <w:r w:rsidR="0012198E">
        <w:rPr>
          <w:rFonts w:eastAsia="Times New Roman" w:cs="Times New Roman"/>
          <w:szCs w:val="24"/>
        </w:rPr>
        <w:t>andbook</w:t>
      </w:r>
      <w:r w:rsidR="0012198E" w:rsidRPr="002748CF">
        <w:rPr>
          <w:rFonts w:eastAsia="Times New Roman" w:cs="Times New Roman"/>
          <w:szCs w:val="24"/>
        </w:rPr>
        <w:t xml:space="preserve"> </w:t>
      </w:r>
      <w:r w:rsidR="002C4874" w:rsidRPr="002748CF">
        <w:rPr>
          <w:rFonts w:eastAsia="Times New Roman" w:cs="Times New Roman"/>
          <w:szCs w:val="24"/>
        </w:rPr>
        <w:t>44 if this item is adopted.</w:t>
      </w:r>
    </w:p>
    <w:p w:rsidR="002C4874" w:rsidRPr="002748CF" w:rsidRDefault="002C4874" w:rsidP="002C4874">
      <w:pPr>
        <w:rPr>
          <w:rFonts w:eastAsia="Calibri" w:cs="Times New Roman"/>
        </w:rPr>
      </w:pPr>
      <w:r w:rsidRPr="002748CF">
        <w:rPr>
          <w:rFonts w:eastAsia="Calibri" w:cs="Times New Roman"/>
        </w:rPr>
        <w:t>Mr. Steve Beitzel, S</w:t>
      </w:r>
      <w:r>
        <w:rPr>
          <w:rFonts w:eastAsia="Calibri" w:cs="Times New Roman"/>
        </w:rPr>
        <w:t xml:space="preserve">ystems Associates, </w:t>
      </w:r>
      <w:r w:rsidRPr="002748CF">
        <w:rPr>
          <w:rFonts w:eastAsia="Calibri" w:cs="Times New Roman"/>
        </w:rPr>
        <w:t>I</w:t>
      </w:r>
      <w:r>
        <w:rPr>
          <w:rFonts w:eastAsia="Calibri" w:cs="Times New Roman"/>
        </w:rPr>
        <w:t>nc.,</w:t>
      </w:r>
      <w:r w:rsidRPr="002748CF">
        <w:rPr>
          <w:rFonts w:eastAsia="Calibri" w:cs="Times New Roman"/>
        </w:rPr>
        <w:t xml:space="preserve"> commented that, as the original submitter, he supports the changes proposed by </w:t>
      </w:r>
      <w:r w:rsidR="00F841D3">
        <w:rPr>
          <w:rFonts w:eastAsia="Calibri" w:cs="Times New Roman"/>
        </w:rPr>
        <w:t xml:space="preserve">NIST, </w:t>
      </w:r>
      <w:r w:rsidRPr="002748CF">
        <w:rPr>
          <w:rFonts w:eastAsia="Calibri" w:cs="Times New Roman"/>
        </w:rPr>
        <w:t xml:space="preserve">OWM to the item, including the proposed change to a retroactive status and the proposed change of the values in the table from tons to pounds.  He also suggested that the definition for “Weigh Module” be further modified to delete the phrase “of the weighing element” at the end of the first sentence.  Mr. Beitzel also agreed with </w:t>
      </w:r>
      <w:r w:rsidR="00F841D3">
        <w:rPr>
          <w:rFonts w:eastAsia="Calibri" w:cs="Times New Roman"/>
        </w:rPr>
        <w:t xml:space="preserve">NIST, </w:t>
      </w:r>
      <w:r w:rsidRPr="002748CF">
        <w:rPr>
          <w:rFonts w:eastAsia="Calibri" w:cs="Times New Roman"/>
        </w:rPr>
        <w:t>OWM’s suggestion to delete subpar</w:t>
      </w:r>
      <w:r>
        <w:rPr>
          <w:rFonts w:eastAsia="Calibri" w:cs="Times New Roman"/>
        </w:rPr>
        <w:t>a</w:t>
      </w:r>
      <w:r w:rsidRPr="002748CF">
        <w:rPr>
          <w:rFonts w:eastAsia="Calibri" w:cs="Times New Roman"/>
        </w:rPr>
        <w:t>graph S.6.4</w:t>
      </w:r>
      <w:r w:rsidR="00387230" w:rsidRPr="002748CF">
        <w:rPr>
          <w:rFonts w:eastAsia="Calibri" w:cs="Times New Roman"/>
        </w:rPr>
        <w:t>. (</w:t>
      </w:r>
      <w:r w:rsidRPr="002748CF">
        <w:rPr>
          <w:rFonts w:eastAsia="Calibri" w:cs="Times New Roman"/>
        </w:rPr>
        <w:t>d).</w:t>
      </w:r>
    </w:p>
    <w:p w:rsidR="002C4874" w:rsidRDefault="002C4874" w:rsidP="002C4874">
      <w:pPr>
        <w:rPr>
          <w:rFonts w:eastAsia="Calibri" w:cs="Times New Roman"/>
        </w:rPr>
      </w:pPr>
      <w:r w:rsidRPr="002748CF">
        <w:rPr>
          <w:rFonts w:eastAsia="Calibri" w:cs="Times New Roman"/>
        </w:rPr>
        <w:t>Mr. Rafael Jimenez, A</w:t>
      </w:r>
      <w:r>
        <w:rPr>
          <w:rFonts w:eastAsia="Calibri" w:cs="Times New Roman"/>
        </w:rPr>
        <w:t xml:space="preserve">AR Transportation Technology Center, </w:t>
      </w:r>
      <w:r w:rsidRPr="002748CF">
        <w:rPr>
          <w:rFonts w:eastAsia="Calibri" w:cs="Times New Roman"/>
        </w:rPr>
        <w:t>stated that AAR suppor</w:t>
      </w:r>
      <w:r>
        <w:rPr>
          <w:rFonts w:eastAsia="Calibri" w:cs="Times New Roman"/>
        </w:rPr>
        <w:t>ted the changes outlined by Mr. Beitzel</w:t>
      </w:r>
      <w:r w:rsidRPr="002748CF">
        <w:rPr>
          <w:rFonts w:eastAsia="Calibri" w:cs="Times New Roman"/>
        </w:rPr>
        <w:t xml:space="preserve">, including those offered by </w:t>
      </w:r>
      <w:r w:rsidR="00F841D3">
        <w:rPr>
          <w:rFonts w:eastAsia="Calibri" w:cs="Times New Roman"/>
        </w:rPr>
        <w:t xml:space="preserve">NIST, </w:t>
      </w:r>
      <w:r w:rsidRPr="002748CF">
        <w:rPr>
          <w:rFonts w:eastAsia="Calibri" w:cs="Times New Roman"/>
        </w:rPr>
        <w:t>OWM.</w:t>
      </w:r>
    </w:p>
    <w:p w:rsidR="002C4874" w:rsidRPr="002748CF" w:rsidRDefault="002C4874" w:rsidP="002C4874">
      <w:pPr>
        <w:rPr>
          <w:rFonts w:eastAsia="Calibri" w:cs="Times New Roman"/>
        </w:rPr>
      </w:pPr>
      <w:r w:rsidRPr="00321F59">
        <w:rPr>
          <w:szCs w:val="20"/>
        </w:rPr>
        <w:t>There were three p</w:t>
      </w:r>
      <w:r>
        <w:rPr>
          <w:szCs w:val="20"/>
        </w:rPr>
        <w:t>ositions posted on the NCWM 2012</w:t>
      </w:r>
      <w:r w:rsidRPr="00321F59">
        <w:rPr>
          <w:szCs w:val="20"/>
        </w:rPr>
        <w:t xml:space="preserve"> Online Position Forum.  Of those three, two </w:t>
      </w:r>
      <w:r>
        <w:rPr>
          <w:szCs w:val="20"/>
        </w:rPr>
        <w:t xml:space="preserve">supported the proposal and one was neutral to the proposal.  </w:t>
      </w:r>
    </w:p>
    <w:p w:rsidR="002C4874" w:rsidRPr="002748CF" w:rsidRDefault="002C4874" w:rsidP="002C4874">
      <w:pPr>
        <w:rPr>
          <w:rFonts w:eastAsia="Calibri" w:cs="Times New Roman"/>
        </w:rPr>
      </w:pPr>
      <w:r>
        <w:rPr>
          <w:rFonts w:eastAsia="Calibri" w:cs="Times New Roman"/>
        </w:rPr>
        <w:t xml:space="preserve">During its deliberations, the Committee agreed with </w:t>
      </w:r>
      <w:r w:rsidR="00F841D3">
        <w:rPr>
          <w:rFonts w:eastAsia="Calibri" w:cs="Times New Roman"/>
        </w:rPr>
        <w:t xml:space="preserve">NIST, </w:t>
      </w:r>
      <w:r>
        <w:rPr>
          <w:rFonts w:eastAsia="Calibri" w:cs="Times New Roman"/>
        </w:rPr>
        <w:t xml:space="preserve">OWM’s concern that if an NTEP CC corresponding to existing equipment were changed, that equipment may not be able to comply with proposed bullet (d).  For this reason the Committee agreed that bullet (d) should be eliminated from the proposal.  The Committee agreed with </w:t>
      </w:r>
      <w:r w:rsidR="00F841D3">
        <w:rPr>
          <w:rFonts w:eastAsia="Calibri" w:cs="Times New Roman"/>
        </w:rPr>
        <w:t xml:space="preserve">NIST, </w:t>
      </w:r>
      <w:r>
        <w:rPr>
          <w:rFonts w:eastAsia="Calibri" w:cs="Times New Roman"/>
        </w:rPr>
        <w:t>OWM’s suggested alternative to adding a fourth bullet, which was to divide the I</w:t>
      </w:r>
      <w:r w:rsidRPr="002748CF">
        <w:rPr>
          <w:rFonts w:eastAsia="Calibri" w:cs="Times New Roman"/>
        </w:rPr>
        <w:t>tem Under Considerat</w:t>
      </w:r>
      <w:r>
        <w:rPr>
          <w:rFonts w:eastAsia="Calibri" w:cs="Times New Roman"/>
        </w:rPr>
        <w:t>ion into two parts, assigning each a different enforcement date.  The Committee also agreed to modify the proposed definition of “</w:t>
      </w:r>
      <w:r w:rsidR="006D0936">
        <w:rPr>
          <w:rFonts w:eastAsia="Calibri" w:cs="Times New Roman"/>
        </w:rPr>
        <w:t>weigh module</w:t>
      </w:r>
      <w:r>
        <w:rPr>
          <w:rFonts w:eastAsia="Calibri" w:cs="Times New Roman"/>
        </w:rPr>
        <w:t>” by deleting the words “</w:t>
      </w:r>
      <w:r w:rsidRPr="002748CF">
        <w:rPr>
          <w:rFonts w:eastAsia="Calibri" w:cs="Times New Roman"/>
        </w:rPr>
        <w:t>of the weighing element”</w:t>
      </w:r>
      <w:r>
        <w:rPr>
          <w:rFonts w:eastAsia="Calibri" w:cs="Times New Roman"/>
        </w:rPr>
        <w:t xml:space="preserve"> from the proposed definition.  In consideration of the number of changes agreed upon, t</w:t>
      </w:r>
      <w:r w:rsidRPr="002748CF">
        <w:rPr>
          <w:rFonts w:eastAsia="Calibri" w:cs="Times New Roman"/>
        </w:rPr>
        <w:t>he Committee recommend</w:t>
      </w:r>
      <w:r>
        <w:rPr>
          <w:rFonts w:eastAsia="Calibri" w:cs="Times New Roman"/>
        </w:rPr>
        <w:t>ed</w:t>
      </w:r>
      <w:r w:rsidRPr="002748CF">
        <w:rPr>
          <w:rFonts w:eastAsia="Calibri" w:cs="Times New Roman"/>
        </w:rPr>
        <w:t xml:space="preserve"> deleting the proposal under “Item Under Consideration” in NCWM Publication 16 and replacing it with the following:  </w:t>
      </w:r>
    </w:p>
    <w:p w:rsidR="002C4874" w:rsidRPr="002748CF" w:rsidRDefault="002C4874" w:rsidP="00406CA4">
      <w:pPr>
        <w:tabs>
          <w:tab w:val="left" w:pos="990"/>
        </w:tabs>
        <w:ind w:left="360"/>
        <w:rPr>
          <w:rFonts w:eastAsia="Calibri" w:cs="Times New Roman"/>
        </w:rPr>
      </w:pPr>
      <w:r w:rsidRPr="002748CF">
        <w:rPr>
          <w:rFonts w:eastAsia="Calibri" w:cs="Times New Roman"/>
          <w:b/>
        </w:rPr>
        <w:t>S.6.4.</w:t>
      </w:r>
      <w:r w:rsidR="00406CA4">
        <w:rPr>
          <w:rFonts w:eastAsia="Calibri" w:cs="Times New Roman"/>
          <w:b/>
        </w:rPr>
        <w:tab/>
      </w:r>
      <w:r w:rsidRPr="002748CF">
        <w:rPr>
          <w:rFonts w:eastAsia="Calibri" w:cs="Times New Roman"/>
          <w:b/>
        </w:rPr>
        <w:t>Railway Track Scales.</w:t>
      </w:r>
      <w:r w:rsidRPr="002748CF">
        <w:rPr>
          <w:rFonts w:eastAsia="Calibri" w:cs="Times New Roman"/>
        </w:rPr>
        <w:t xml:space="preserve"> – A railway track scale shall be marked with the maximum capacity of each section of the load-receiving element of the scale.  Such marking shall be accurately and conspicuously </w:t>
      </w:r>
      <w:r w:rsidRPr="002748CF">
        <w:rPr>
          <w:rFonts w:eastAsia="Calibri" w:cs="Times New Roman"/>
        </w:rPr>
        <w:lastRenderedPageBreak/>
        <w:t xml:space="preserve">presented on, or adjacent to, the identification or nomenclature plate that is attached to the indicating element of the scale. </w:t>
      </w:r>
      <w:r w:rsidRPr="002748CF">
        <w:rPr>
          <w:rFonts w:eastAsia="Calibri" w:cs="Times New Roman"/>
          <w:b/>
          <w:i/>
          <w:strike/>
        </w:rPr>
        <w:t>The nominal capacity of a scale with more than two sections shall not exceed twice its rated section capacity.  The nominal capacity of a two section scale shall not exceed its rated section capacity.*</w:t>
      </w:r>
      <w:r w:rsidRPr="002748CF">
        <w:rPr>
          <w:rFonts w:eastAsia="Calibri" w:cs="Times New Roman"/>
        </w:rPr>
        <w:t xml:space="preserve"> </w:t>
      </w:r>
    </w:p>
    <w:p w:rsidR="002C4874" w:rsidRPr="002748CF" w:rsidRDefault="002C4874" w:rsidP="002C4874">
      <w:pPr>
        <w:ind w:left="360"/>
        <w:rPr>
          <w:rFonts w:eastAsia="Calibri" w:cs="Times New Roman"/>
          <w:b/>
          <w:u w:val="single"/>
        </w:rPr>
      </w:pPr>
      <w:r w:rsidRPr="002748CF">
        <w:rPr>
          <w:rFonts w:eastAsia="Calibri" w:cs="Times New Roman"/>
          <w:b/>
          <w:u w:val="single"/>
        </w:rPr>
        <w:t>The nominal capacity marking shall satisfy the following.</w:t>
      </w:r>
    </w:p>
    <w:p w:rsidR="002C4874" w:rsidRPr="002748CF" w:rsidRDefault="002C4874" w:rsidP="00B77FD2">
      <w:pPr>
        <w:numPr>
          <w:ilvl w:val="0"/>
          <w:numId w:val="31"/>
        </w:numPr>
        <w:rPr>
          <w:rFonts w:eastAsia="Calibri" w:cs="Times New Roman"/>
          <w:b/>
        </w:rPr>
      </w:pPr>
      <w:r w:rsidRPr="002748CF">
        <w:rPr>
          <w:rFonts w:eastAsia="Calibri" w:cs="Times New Roman"/>
          <w:b/>
          <w:u w:val="single"/>
        </w:rPr>
        <w:t>For scales manufactured from January 1, 2002</w:t>
      </w:r>
      <w:r w:rsidR="00765FBB">
        <w:rPr>
          <w:rFonts w:eastAsia="Calibri" w:cs="Times New Roman"/>
          <w:b/>
          <w:u w:val="single"/>
        </w:rPr>
        <w:t>,</w:t>
      </w:r>
      <w:r w:rsidRPr="002748CF">
        <w:rPr>
          <w:rFonts w:eastAsia="Calibri" w:cs="Times New Roman"/>
          <w:b/>
          <w:u w:val="single"/>
        </w:rPr>
        <w:t xml:space="preserve"> through December 31, </w:t>
      </w:r>
      <w:r w:rsidRPr="00810228">
        <w:rPr>
          <w:rFonts w:eastAsia="Calibri" w:cs="Times New Roman"/>
          <w:b/>
          <w:u w:val="single"/>
        </w:rPr>
        <w:t>20</w:t>
      </w:r>
      <w:r>
        <w:rPr>
          <w:rFonts w:eastAsia="Calibri" w:cs="Times New Roman"/>
          <w:b/>
          <w:u w:val="single"/>
        </w:rPr>
        <w:t>XX</w:t>
      </w:r>
      <w:r w:rsidRPr="002748CF">
        <w:rPr>
          <w:rFonts w:eastAsia="Calibri" w:cs="Times New Roman"/>
          <w:b/>
          <w:u w:val="single"/>
        </w:rPr>
        <w:t>:</w:t>
      </w:r>
    </w:p>
    <w:p w:rsidR="002C4874" w:rsidRPr="002748CF" w:rsidRDefault="002C4874" w:rsidP="006D0936">
      <w:pPr>
        <w:numPr>
          <w:ilvl w:val="0"/>
          <w:numId w:val="32"/>
        </w:numPr>
        <w:ind w:left="1530" w:hanging="180"/>
        <w:rPr>
          <w:rFonts w:eastAsia="Calibri" w:cs="Times New Roman"/>
          <w:b/>
          <w:u w:val="single"/>
        </w:rPr>
      </w:pPr>
      <w:r w:rsidRPr="002748CF">
        <w:rPr>
          <w:rFonts w:eastAsia="Calibri" w:cs="Times New Roman"/>
          <w:b/>
          <w:u w:val="single"/>
        </w:rPr>
        <w:t xml:space="preserve">The nominal capacity of a scale with more than two sections shall not exceed twice its rated section capacity.  </w:t>
      </w:r>
    </w:p>
    <w:p w:rsidR="002C4874" w:rsidRPr="002748CF" w:rsidRDefault="002C4874" w:rsidP="006D0936">
      <w:pPr>
        <w:numPr>
          <w:ilvl w:val="0"/>
          <w:numId w:val="32"/>
        </w:numPr>
        <w:ind w:left="1530" w:hanging="180"/>
        <w:rPr>
          <w:rFonts w:eastAsia="Calibri" w:cs="Times New Roman"/>
          <w:b/>
          <w:u w:val="single"/>
        </w:rPr>
      </w:pPr>
      <w:r w:rsidRPr="002748CF">
        <w:rPr>
          <w:rFonts w:eastAsia="Calibri" w:cs="Times New Roman"/>
          <w:b/>
          <w:u w:val="single"/>
        </w:rPr>
        <w:t>The nominal capacity of a two section scale shall not exceed its rated section capacity.</w:t>
      </w:r>
      <w:r w:rsidRPr="002748CF">
        <w:rPr>
          <w:rFonts w:eastAsia="Calibri" w:cs="Times New Roman"/>
          <w:u w:val="single"/>
        </w:rPr>
        <w:t xml:space="preserve"> </w:t>
      </w:r>
    </w:p>
    <w:p w:rsidR="002C4874" w:rsidRPr="002748CF" w:rsidRDefault="002C4874" w:rsidP="00B77FD2">
      <w:pPr>
        <w:numPr>
          <w:ilvl w:val="0"/>
          <w:numId w:val="31"/>
        </w:numPr>
        <w:rPr>
          <w:rFonts w:eastAsia="Calibri" w:cs="Times New Roman"/>
          <w:b/>
        </w:rPr>
      </w:pPr>
      <w:r w:rsidRPr="002748CF">
        <w:rPr>
          <w:rFonts w:eastAsia="Calibri" w:cs="Times New Roman"/>
          <w:b/>
          <w:u w:val="single"/>
        </w:rPr>
        <w:t xml:space="preserve">For scales manufactured on or after January 1, </w:t>
      </w:r>
      <w:r w:rsidRPr="00810228">
        <w:rPr>
          <w:rFonts w:eastAsia="Calibri" w:cs="Times New Roman"/>
          <w:b/>
          <w:u w:val="single"/>
        </w:rPr>
        <w:t>20</w:t>
      </w:r>
      <w:r>
        <w:rPr>
          <w:rFonts w:eastAsia="Calibri" w:cs="Times New Roman"/>
          <w:b/>
          <w:u w:val="single"/>
        </w:rPr>
        <w:t>XX</w:t>
      </w:r>
      <w:r w:rsidRPr="002748CF">
        <w:rPr>
          <w:rFonts w:eastAsia="Calibri" w:cs="Times New Roman"/>
          <w:u w:val="single"/>
        </w:rPr>
        <w:t>, t</w:t>
      </w:r>
      <w:r w:rsidRPr="002748CF">
        <w:rPr>
          <w:rFonts w:eastAsia="Calibri" w:cs="Times New Roman"/>
          <w:b/>
          <w:u w:val="single"/>
        </w:rPr>
        <w:t>he nominal scale capacity shall not exceed the lesser of:</w:t>
      </w:r>
    </w:p>
    <w:p w:rsidR="002C4874" w:rsidRPr="002748CF" w:rsidRDefault="002C4874" w:rsidP="006D0936">
      <w:pPr>
        <w:numPr>
          <w:ilvl w:val="0"/>
          <w:numId w:val="33"/>
        </w:numPr>
        <w:ind w:left="1530" w:hanging="180"/>
        <w:rPr>
          <w:rFonts w:eastAsia="Calibri" w:cs="Times New Roman"/>
          <w:b/>
          <w:u w:val="single"/>
        </w:rPr>
      </w:pPr>
      <w:r w:rsidRPr="002748CF">
        <w:rPr>
          <w:rFonts w:eastAsia="Calibri" w:cs="Times New Roman"/>
          <w:b/>
          <w:u w:val="single"/>
        </w:rPr>
        <w:t xml:space="preserve">The sum of the Weigh Module Capacities as shown in </w:t>
      </w:r>
      <w:r w:rsidRPr="004E6688">
        <w:rPr>
          <w:rFonts w:eastAsia="Calibri" w:cs="Times New Roman"/>
          <w:b/>
          <w:u w:val="single"/>
        </w:rPr>
        <w:t>Table S.6.4</w:t>
      </w:r>
      <w:r w:rsidR="00765FBB" w:rsidRPr="004E6688">
        <w:rPr>
          <w:rFonts w:eastAsia="Calibri" w:cs="Times New Roman"/>
          <w:b/>
          <w:u w:val="single"/>
        </w:rPr>
        <w:t>.</w:t>
      </w:r>
      <w:r w:rsidRPr="004E6688">
        <w:rPr>
          <w:rFonts w:eastAsia="Calibri" w:cs="Times New Roman"/>
          <w:b/>
          <w:u w:val="single"/>
        </w:rPr>
        <w:t>,</w:t>
      </w:r>
      <w:r w:rsidRPr="002748CF">
        <w:rPr>
          <w:rFonts w:eastAsia="Calibri" w:cs="Times New Roman"/>
          <w:b/>
          <w:u w:val="single"/>
        </w:rPr>
        <w:t xml:space="preserve"> or;</w:t>
      </w:r>
    </w:p>
    <w:p w:rsidR="002C4874" w:rsidRPr="002748CF" w:rsidRDefault="002C4874" w:rsidP="006D0936">
      <w:pPr>
        <w:numPr>
          <w:ilvl w:val="0"/>
          <w:numId w:val="33"/>
        </w:numPr>
        <w:ind w:left="1530" w:hanging="180"/>
        <w:rPr>
          <w:rFonts w:eastAsia="Calibri" w:cs="Times New Roman"/>
          <w:b/>
          <w:u w:val="single"/>
        </w:rPr>
      </w:pPr>
      <w:r w:rsidRPr="002748CF">
        <w:rPr>
          <w:rFonts w:eastAsia="Calibri" w:cs="Times New Roman"/>
          <w:b/>
          <w:u w:val="single"/>
        </w:rPr>
        <w:t>Rated Sectional Capacity (RSC) multiplied by the quantity of the Number of Sections (Ns) minus the Number of Dead Spaces (Nd) minus 0.5. As a formula this is stated as RSC x (Ns - Nd - 0.5); or</w:t>
      </w:r>
    </w:p>
    <w:p w:rsidR="002C4874" w:rsidRPr="002748CF" w:rsidRDefault="002C4874" w:rsidP="006D0936">
      <w:pPr>
        <w:numPr>
          <w:ilvl w:val="0"/>
          <w:numId w:val="33"/>
        </w:numPr>
        <w:spacing w:after="0"/>
        <w:ind w:left="1530" w:hanging="180"/>
        <w:rPr>
          <w:rFonts w:eastAsia="Calibri" w:cs="Times New Roman"/>
          <w:b/>
          <w:u w:val="single"/>
        </w:rPr>
      </w:pPr>
      <w:r w:rsidRPr="002748CF">
        <w:rPr>
          <w:rFonts w:eastAsia="Calibri" w:cs="Times New Roman"/>
          <w:b/>
          <w:u w:val="single"/>
        </w:rPr>
        <w:t>640,000 lb.</w:t>
      </w:r>
    </w:p>
    <w:p w:rsidR="002C4874" w:rsidRPr="002748CF" w:rsidRDefault="002C4874" w:rsidP="00BD5BEB">
      <w:pPr>
        <w:spacing w:after="0"/>
        <w:ind w:left="360"/>
        <w:rPr>
          <w:rFonts w:eastAsia="Calibri" w:cs="Times New Roman"/>
          <w:b/>
          <w:i/>
          <w:strike/>
        </w:rPr>
      </w:pPr>
      <w:r w:rsidRPr="002748CF">
        <w:rPr>
          <w:rFonts w:eastAsia="Calibri" w:cs="Times New Roman"/>
          <w:b/>
          <w:i/>
          <w:strike/>
        </w:rPr>
        <w:t>[*Nonretroactive as of January 1, 2002]</w:t>
      </w:r>
    </w:p>
    <w:p w:rsidR="002C4874" w:rsidRPr="002748CF" w:rsidRDefault="002C4874" w:rsidP="00BD5BEB">
      <w:pPr>
        <w:spacing w:before="60"/>
        <w:ind w:left="360"/>
        <w:rPr>
          <w:rFonts w:eastAsia="Calibri" w:cs="Times New Roman"/>
        </w:rPr>
      </w:pPr>
      <w:r w:rsidRPr="002748CF">
        <w:rPr>
          <w:rFonts w:eastAsia="Calibri" w:cs="Times New Roman"/>
        </w:rPr>
        <w:t xml:space="preserve">(Amended 1988, 2001, </w:t>
      </w:r>
      <w:r w:rsidRPr="002748CF">
        <w:rPr>
          <w:rFonts w:eastAsia="Calibri" w:cs="Times New Roman"/>
          <w:b/>
          <w:strike/>
        </w:rPr>
        <w:t>and</w:t>
      </w:r>
      <w:r w:rsidRPr="002748CF">
        <w:rPr>
          <w:rFonts w:eastAsia="Calibri" w:cs="Times New Roman"/>
        </w:rPr>
        <w:t xml:space="preserve"> 2002</w:t>
      </w:r>
      <w:r w:rsidRPr="002748CF">
        <w:rPr>
          <w:rFonts w:eastAsia="Calibri" w:cs="Times New Roman"/>
          <w:b/>
          <w:u w:val="single"/>
        </w:rPr>
        <w:t xml:space="preserve">, and </w:t>
      </w:r>
      <w:r w:rsidRPr="00810228">
        <w:rPr>
          <w:rFonts w:eastAsia="Calibri" w:cs="Times New Roman"/>
          <w:b/>
          <w:u w:val="single"/>
        </w:rPr>
        <w:t>20</w:t>
      </w:r>
      <w:r>
        <w:rPr>
          <w:rFonts w:eastAsia="Calibri" w:cs="Times New Roman"/>
          <w:b/>
          <w:u w:val="single"/>
        </w:rPr>
        <w:t>XX</w:t>
      </w:r>
      <w:r w:rsidRPr="00810228">
        <w:rPr>
          <w:rFonts w:eastAsia="Calibri" w:cs="Times New Roman"/>
        </w:rPr>
        <w:t>)</w:t>
      </w:r>
    </w:p>
    <w:tbl>
      <w:tblPr>
        <w:tblpPr w:leftFromText="180" w:rightFromText="180" w:vertAnchor="text" w:horzAnchor="margin" w:tblpY="256"/>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tblGrid>
      <w:tr w:rsidR="0012198E" w:rsidRPr="002748CF" w:rsidTr="00BD5BEB">
        <w:tc>
          <w:tcPr>
            <w:tcW w:w="8970" w:type="dxa"/>
            <w:gridSpan w:val="2"/>
            <w:tcBorders>
              <w:top w:val="double" w:sz="4" w:space="0" w:color="auto"/>
              <w:left w:val="double" w:sz="4" w:space="0" w:color="auto"/>
              <w:bottom w:val="double" w:sz="4" w:space="0" w:color="auto"/>
              <w:right w:val="double" w:sz="4" w:space="0" w:color="auto"/>
            </w:tcBorders>
            <w:vAlign w:val="center"/>
            <w:hideMark/>
          </w:tcPr>
          <w:p w:rsidR="0012198E" w:rsidRPr="002748CF" w:rsidRDefault="0012198E" w:rsidP="00BD5BEB">
            <w:pPr>
              <w:keepNext/>
              <w:keepLines/>
              <w:spacing w:before="40" w:after="0"/>
              <w:jc w:val="center"/>
              <w:rPr>
                <w:rFonts w:eastAsia="Times New Roman" w:cs="Times New Roman"/>
                <w:b/>
                <w:bCs/>
                <w:sz w:val="22"/>
                <w:u w:val="single"/>
              </w:rPr>
            </w:pPr>
            <w:r w:rsidRPr="002748CF">
              <w:rPr>
                <w:rFonts w:eastAsia="Times New Roman" w:cs="Times New Roman"/>
                <w:sz w:val="22"/>
              </w:rPr>
              <w:br w:type="page"/>
            </w:r>
            <w:r w:rsidRPr="002748CF">
              <w:rPr>
                <w:rFonts w:eastAsia="Times New Roman" w:cs="Times New Roman"/>
                <w:b/>
                <w:bCs/>
                <w:sz w:val="22"/>
                <w:u w:val="single"/>
              </w:rPr>
              <w:t>Table S.6.4.M.</w:t>
            </w:r>
          </w:p>
          <w:p w:rsidR="0012198E" w:rsidRPr="002748CF" w:rsidRDefault="0012198E" w:rsidP="00BD5BEB">
            <w:pPr>
              <w:keepNext/>
              <w:keepLines/>
              <w:spacing w:before="40" w:after="0"/>
              <w:jc w:val="center"/>
              <w:rPr>
                <w:rFonts w:eastAsia="Times New Roman" w:cs="Times New Roman"/>
                <w:b/>
                <w:bCs/>
                <w:sz w:val="22"/>
                <w:u w:val="single"/>
              </w:rPr>
            </w:pPr>
            <w:r w:rsidRPr="002748CF">
              <w:rPr>
                <w:rFonts w:eastAsia="Times New Roman" w:cs="Times New Roman"/>
                <w:b/>
                <w:bCs/>
                <w:sz w:val="22"/>
                <w:u w:val="single"/>
              </w:rPr>
              <w:t>Railway Track Scale – Weigh Module Capacity</w:t>
            </w:r>
          </w:p>
        </w:tc>
      </w:tr>
      <w:tr w:rsidR="0012198E" w:rsidRPr="002748CF" w:rsidTr="00BD5BEB">
        <w:tc>
          <w:tcPr>
            <w:tcW w:w="4483" w:type="dxa"/>
            <w:tcBorders>
              <w:top w:val="double" w:sz="4" w:space="0" w:color="auto"/>
              <w:left w:val="double" w:sz="4" w:space="0" w:color="auto"/>
              <w:bottom w:val="single" w:sz="4" w:space="0" w:color="auto"/>
              <w:right w:val="single" w:sz="4" w:space="0" w:color="auto"/>
            </w:tcBorders>
            <w:vAlign w:val="center"/>
            <w:hideMark/>
          </w:tcPr>
          <w:p w:rsidR="0012198E" w:rsidRPr="002748CF" w:rsidRDefault="0012198E" w:rsidP="0043528A">
            <w:pPr>
              <w:keepNext/>
              <w:keepLines/>
              <w:spacing w:after="0"/>
              <w:jc w:val="center"/>
              <w:outlineLvl w:val="2"/>
              <w:rPr>
                <w:rFonts w:eastAsia="Times New Roman" w:cs="Times New Roman"/>
                <w:b/>
                <w:bCs/>
                <w:u w:val="single"/>
                <w:lang w:eastAsia="ja-JP"/>
              </w:rPr>
            </w:pPr>
            <w:r w:rsidRPr="002748CF">
              <w:rPr>
                <w:rFonts w:eastAsia="Times New Roman" w:cs="Times New Roman"/>
                <w:b/>
                <w:bCs/>
                <w:u w:val="single"/>
                <w:lang w:eastAsia="ja-JP"/>
              </w:rPr>
              <w:t>Weigh Module Length (m)</w:t>
            </w:r>
          </w:p>
        </w:tc>
        <w:tc>
          <w:tcPr>
            <w:tcW w:w="4487" w:type="dxa"/>
            <w:tcBorders>
              <w:top w:val="double" w:sz="4" w:space="0" w:color="auto"/>
              <w:left w:val="single" w:sz="4" w:space="0" w:color="auto"/>
              <w:bottom w:val="single" w:sz="4" w:space="0" w:color="auto"/>
              <w:right w:val="double" w:sz="4" w:space="0" w:color="auto"/>
            </w:tcBorders>
            <w:vAlign w:val="center"/>
            <w:hideMark/>
          </w:tcPr>
          <w:p w:rsidR="0012198E" w:rsidRPr="002748CF" w:rsidRDefault="0012198E" w:rsidP="00BD5BEB">
            <w:pPr>
              <w:keepNext/>
              <w:keepLines/>
              <w:spacing w:after="0"/>
              <w:ind w:left="107"/>
              <w:jc w:val="center"/>
              <w:outlineLvl w:val="2"/>
              <w:rPr>
                <w:rFonts w:eastAsia="Times New Roman" w:cs="Times New Roman"/>
                <w:bCs/>
                <w:u w:val="single"/>
                <w:lang w:eastAsia="ja-JP"/>
              </w:rPr>
            </w:pPr>
            <w:r w:rsidRPr="002748CF">
              <w:rPr>
                <w:rFonts w:eastAsia="Times New Roman" w:cs="Times New Roman"/>
                <w:b/>
                <w:bCs/>
                <w:u w:val="single"/>
                <w:lang w:eastAsia="ja-JP"/>
              </w:rPr>
              <w:t>Weigh Module Capacity (kg)</w:t>
            </w:r>
          </w:p>
        </w:tc>
      </w:tr>
      <w:tr w:rsidR="0012198E" w:rsidRPr="002748CF" w:rsidTr="00BD5BEB">
        <w:tc>
          <w:tcPr>
            <w:tcW w:w="4483" w:type="dxa"/>
            <w:tcBorders>
              <w:top w:val="single" w:sz="4" w:space="0" w:color="auto"/>
              <w:left w:val="double" w:sz="4" w:space="0" w:color="auto"/>
              <w:bottom w:val="single" w:sz="4" w:space="0" w:color="auto"/>
              <w:right w:val="single" w:sz="4" w:space="0" w:color="auto"/>
            </w:tcBorders>
            <w:vAlign w:val="center"/>
            <w:hideMark/>
          </w:tcPr>
          <w:p w:rsidR="0012198E" w:rsidRPr="002748CF" w:rsidRDefault="0012198E" w:rsidP="005E0695">
            <w:pPr>
              <w:spacing w:after="0"/>
              <w:jc w:val="center"/>
              <w:rPr>
                <w:rFonts w:eastAsia="Calibri" w:cs="Times New Roman"/>
                <w:b/>
                <w:u w:val="single"/>
              </w:rPr>
            </w:pPr>
            <w:r w:rsidRPr="002748CF">
              <w:rPr>
                <w:rFonts w:eastAsia="Calibri" w:cs="Times New Roman"/>
                <w:b/>
                <w:u w:val="single"/>
              </w:rPr>
              <w:t>&lt; 1.5</w:t>
            </w:r>
          </w:p>
        </w:tc>
        <w:tc>
          <w:tcPr>
            <w:tcW w:w="4487" w:type="dxa"/>
            <w:tcBorders>
              <w:top w:val="single" w:sz="4" w:space="0" w:color="auto"/>
              <w:left w:val="single" w:sz="4" w:space="0" w:color="auto"/>
              <w:bottom w:val="single" w:sz="4" w:space="0" w:color="auto"/>
              <w:right w:val="double" w:sz="4" w:space="0" w:color="auto"/>
            </w:tcBorders>
            <w:vAlign w:val="center"/>
            <w:hideMark/>
          </w:tcPr>
          <w:p w:rsidR="0012198E" w:rsidRPr="002748CF" w:rsidRDefault="008332AE" w:rsidP="008332AE">
            <w:pPr>
              <w:spacing w:after="0"/>
              <w:ind w:left="107"/>
              <w:jc w:val="center"/>
              <w:rPr>
                <w:rFonts w:eastAsia="Calibri" w:cs="Times New Roman"/>
                <w:b/>
                <w:u w:val="single"/>
              </w:rPr>
            </w:pPr>
            <w:r w:rsidRPr="002748CF">
              <w:rPr>
                <w:rFonts w:eastAsia="Calibri" w:cs="Times New Roman"/>
                <w:b/>
                <w:u w:val="single"/>
              </w:rPr>
              <w:t>36</w:t>
            </w:r>
            <w:r>
              <w:rPr>
                <w:rFonts w:eastAsia="Calibri" w:cs="Times New Roman"/>
                <w:b/>
                <w:u w:val="single"/>
              </w:rPr>
              <w:t> </w:t>
            </w:r>
            <w:r w:rsidR="0012198E" w:rsidRPr="002748CF">
              <w:rPr>
                <w:rFonts w:eastAsia="Calibri" w:cs="Times New Roman"/>
                <w:b/>
                <w:u w:val="single"/>
              </w:rPr>
              <w:t>300</w:t>
            </w:r>
          </w:p>
        </w:tc>
      </w:tr>
      <w:tr w:rsidR="0012198E" w:rsidRPr="002748CF" w:rsidTr="00BD5BEB">
        <w:tc>
          <w:tcPr>
            <w:tcW w:w="4483" w:type="dxa"/>
            <w:tcBorders>
              <w:top w:val="single" w:sz="4" w:space="0" w:color="auto"/>
              <w:left w:val="double" w:sz="4" w:space="0" w:color="auto"/>
              <w:bottom w:val="single" w:sz="4" w:space="0" w:color="auto"/>
              <w:right w:val="single" w:sz="4" w:space="0" w:color="auto"/>
            </w:tcBorders>
            <w:vAlign w:val="center"/>
            <w:hideMark/>
          </w:tcPr>
          <w:p w:rsidR="0012198E" w:rsidRPr="002748CF" w:rsidRDefault="0012198E" w:rsidP="005E0695">
            <w:pPr>
              <w:spacing w:after="0"/>
              <w:jc w:val="center"/>
              <w:rPr>
                <w:rFonts w:eastAsia="Calibri" w:cs="Times New Roman"/>
                <w:b/>
                <w:u w:val="single"/>
              </w:rPr>
            </w:pPr>
            <w:r w:rsidRPr="002748CF">
              <w:rPr>
                <w:rFonts w:eastAsia="Calibri" w:cs="Times New Roman"/>
                <w:b/>
                <w:u w:val="single"/>
              </w:rPr>
              <w:t>1.5 to &lt; 3.0</w:t>
            </w:r>
          </w:p>
        </w:tc>
        <w:tc>
          <w:tcPr>
            <w:tcW w:w="4487" w:type="dxa"/>
            <w:tcBorders>
              <w:top w:val="single" w:sz="4" w:space="0" w:color="auto"/>
              <w:left w:val="single" w:sz="4" w:space="0" w:color="auto"/>
              <w:bottom w:val="single" w:sz="4" w:space="0" w:color="auto"/>
              <w:right w:val="double" w:sz="4" w:space="0" w:color="auto"/>
            </w:tcBorders>
            <w:vAlign w:val="center"/>
            <w:hideMark/>
          </w:tcPr>
          <w:p w:rsidR="0012198E" w:rsidRPr="002748CF" w:rsidRDefault="008332AE" w:rsidP="008332AE">
            <w:pPr>
              <w:spacing w:after="0"/>
              <w:ind w:left="107"/>
              <w:jc w:val="center"/>
              <w:rPr>
                <w:rFonts w:eastAsia="Calibri" w:cs="Times New Roman"/>
                <w:b/>
                <w:u w:val="single"/>
              </w:rPr>
            </w:pPr>
            <w:r w:rsidRPr="002748CF">
              <w:rPr>
                <w:rFonts w:eastAsia="Calibri" w:cs="Times New Roman"/>
                <w:b/>
                <w:u w:val="single"/>
              </w:rPr>
              <w:t>72</w:t>
            </w:r>
            <w:r>
              <w:rPr>
                <w:rFonts w:eastAsia="Calibri" w:cs="Times New Roman"/>
                <w:b/>
                <w:u w:val="single"/>
              </w:rPr>
              <w:t> </w:t>
            </w:r>
            <w:r w:rsidR="0012198E" w:rsidRPr="002748CF">
              <w:rPr>
                <w:rFonts w:eastAsia="Calibri" w:cs="Times New Roman"/>
                <w:b/>
                <w:u w:val="single"/>
              </w:rPr>
              <w:t>600</w:t>
            </w:r>
          </w:p>
        </w:tc>
      </w:tr>
      <w:tr w:rsidR="0012198E" w:rsidRPr="002748CF" w:rsidTr="00BD5BEB">
        <w:tc>
          <w:tcPr>
            <w:tcW w:w="4483" w:type="dxa"/>
            <w:tcBorders>
              <w:top w:val="single" w:sz="4" w:space="0" w:color="auto"/>
              <w:left w:val="double" w:sz="4" w:space="0" w:color="auto"/>
              <w:bottom w:val="single" w:sz="4" w:space="0" w:color="auto"/>
              <w:right w:val="single" w:sz="4" w:space="0" w:color="auto"/>
            </w:tcBorders>
            <w:vAlign w:val="center"/>
            <w:hideMark/>
          </w:tcPr>
          <w:p w:rsidR="0012198E" w:rsidRPr="002748CF" w:rsidRDefault="0012198E" w:rsidP="005E0695">
            <w:pPr>
              <w:spacing w:after="0"/>
              <w:jc w:val="center"/>
              <w:rPr>
                <w:rFonts w:eastAsia="Calibri" w:cs="Times New Roman"/>
                <w:b/>
                <w:u w:val="single"/>
              </w:rPr>
            </w:pPr>
            <w:r w:rsidRPr="002748CF">
              <w:rPr>
                <w:rFonts w:eastAsia="Calibri" w:cs="Times New Roman"/>
                <w:b/>
                <w:u w:val="single"/>
              </w:rPr>
              <w:t>3.0 to &lt; 4.5</w:t>
            </w:r>
          </w:p>
        </w:tc>
        <w:tc>
          <w:tcPr>
            <w:tcW w:w="4487" w:type="dxa"/>
            <w:tcBorders>
              <w:top w:val="single" w:sz="4" w:space="0" w:color="auto"/>
              <w:left w:val="single" w:sz="4" w:space="0" w:color="auto"/>
              <w:bottom w:val="single" w:sz="4" w:space="0" w:color="auto"/>
              <w:right w:val="double" w:sz="4" w:space="0" w:color="auto"/>
            </w:tcBorders>
            <w:vAlign w:val="center"/>
            <w:hideMark/>
          </w:tcPr>
          <w:p w:rsidR="0012198E" w:rsidRPr="002748CF" w:rsidRDefault="008332AE" w:rsidP="008332AE">
            <w:pPr>
              <w:spacing w:after="0"/>
              <w:ind w:left="107"/>
              <w:jc w:val="center"/>
              <w:rPr>
                <w:rFonts w:eastAsia="Calibri" w:cs="Times New Roman"/>
                <w:b/>
                <w:u w:val="single"/>
              </w:rPr>
            </w:pPr>
            <w:r w:rsidRPr="002748CF">
              <w:rPr>
                <w:rFonts w:eastAsia="Calibri" w:cs="Times New Roman"/>
                <w:b/>
                <w:u w:val="single"/>
              </w:rPr>
              <w:t>108</w:t>
            </w:r>
            <w:r>
              <w:rPr>
                <w:rFonts w:eastAsia="Calibri" w:cs="Times New Roman"/>
                <w:b/>
                <w:u w:val="single"/>
              </w:rPr>
              <w:t> </w:t>
            </w:r>
            <w:r w:rsidR="0012198E" w:rsidRPr="002748CF">
              <w:rPr>
                <w:rFonts w:eastAsia="Calibri" w:cs="Times New Roman"/>
                <w:b/>
                <w:u w:val="single"/>
              </w:rPr>
              <w:t>900</w:t>
            </w:r>
          </w:p>
        </w:tc>
      </w:tr>
      <w:tr w:rsidR="0012198E" w:rsidRPr="002748CF" w:rsidTr="00BD5BEB">
        <w:tc>
          <w:tcPr>
            <w:tcW w:w="4483" w:type="dxa"/>
            <w:tcBorders>
              <w:top w:val="single" w:sz="4" w:space="0" w:color="auto"/>
              <w:left w:val="double" w:sz="4" w:space="0" w:color="auto"/>
              <w:bottom w:val="single" w:sz="4" w:space="0" w:color="auto"/>
              <w:right w:val="single" w:sz="4" w:space="0" w:color="auto"/>
            </w:tcBorders>
            <w:vAlign w:val="center"/>
            <w:hideMark/>
          </w:tcPr>
          <w:p w:rsidR="0012198E" w:rsidRPr="002748CF" w:rsidRDefault="0012198E" w:rsidP="005E0695">
            <w:pPr>
              <w:spacing w:after="0"/>
              <w:jc w:val="center"/>
              <w:rPr>
                <w:rFonts w:eastAsia="Calibri" w:cs="Times New Roman"/>
                <w:b/>
                <w:u w:val="single"/>
              </w:rPr>
            </w:pPr>
            <w:r w:rsidRPr="002748CF">
              <w:rPr>
                <w:rFonts w:eastAsia="Calibri" w:cs="Times New Roman"/>
                <w:b/>
                <w:u w:val="single"/>
              </w:rPr>
              <w:t>4.5 to &lt; 7.0</w:t>
            </w:r>
          </w:p>
        </w:tc>
        <w:tc>
          <w:tcPr>
            <w:tcW w:w="4487" w:type="dxa"/>
            <w:tcBorders>
              <w:top w:val="single" w:sz="4" w:space="0" w:color="auto"/>
              <w:left w:val="single" w:sz="4" w:space="0" w:color="auto"/>
              <w:bottom w:val="single" w:sz="4" w:space="0" w:color="auto"/>
              <w:right w:val="double" w:sz="4" w:space="0" w:color="auto"/>
            </w:tcBorders>
            <w:vAlign w:val="center"/>
            <w:hideMark/>
          </w:tcPr>
          <w:p w:rsidR="0012198E" w:rsidRPr="002748CF" w:rsidRDefault="008332AE" w:rsidP="008332AE">
            <w:pPr>
              <w:spacing w:after="0"/>
              <w:ind w:left="107"/>
              <w:jc w:val="center"/>
              <w:rPr>
                <w:rFonts w:eastAsia="Calibri" w:cs="Times New Roman"/>
                <w:b/>
                <w:u w:val="single"/>
              </w:rPr>
            </w:pPr>
            <w:r w:rsidRPr="002748CF">
              <w:rPr>
                <w:rFonts w:eastAsia="Calibri" w:cs="Times New Roman"/>
                <w:b/>
                <w:u w:val="single"/>
              </w:rPr>
              <w:t>145</w:t>
            </w:r>
            <w:r>
              <w:rPr>
                <w:rFonts w:eastAsia="Calibri" w:cs="Times New Roman"/>
                <w:b/>
                <w:u w:val="single"/>
              </w:rPr>
              <w:t> </w:t>
            </w:r>
            <w:r w:rsidR="0012198E" w:rsidRPr="002748CF">
              <w:rPr>
                <w:rFonts w:eastAsia="Calibri" w:cs="Times New Roman"/>
                <w:b/>
                <w:u w:val="single"/>
              </w:rPr>
              <w:t>100</w:t>
            </w:r>
          </w:p>
        </w:tc>
      </w:tr>
      <w:tr w:rsidR="0012198E" w:rsidRPr="002748CF" w:rsidTr="00BD5BEB">
        <w:tc>
          <w:tcPr>
            <w:tcW w:w="4483" w:type="dxa"/>
            <w:tcBorders>
              <w:top w:val="single" w:sz="4" w:space="0" w:color="auto"/>
              <w:left w:val="double" w:sz="4" w:space="0" w:color="auto"/>
              <w:bottom w:val="single" w:sz="4" w:space="0" w:color="auto"/>
              <w:right w:val="single" w:sz="4" w:space="0" w:color="auto"/>
            </w:tcBorders>
            <w:vAlign w:val="center"/>
            <w:hideMark/>
          </w:tcPr>
          <w:p w:rsidR="0012198E" w:rsidRPr="002748CF" w:rsidRDefault="0012198E" w:rsidP="005E0695">
            <w:pPr>
              <w:spacing w:after="0"/>
              <w:jc w:val="center"/>
              <w:rPr>
                <w:rFonts w:eastAsia="Calibri" w:cs="Times New Roman"/>
                <w:b/>
                <w:u w:val="single"/>
              </w:rPr>
            </w:pPr>
            <w:r w:rsidRPr="002748CF">
              <w:rPr>
                <w:rFonts w:eastAsia="Calibri" w:cs="Times New Roman"/>
                <w:b/>
                <w:u w:val="single"/>
              </w:rPr>
              <w:t>7.0 to &lt; 9.0</w:t>
            </w:r>
          </w:p>
        </w:tc>
        <w:tc>
          <w:tcPr>
            <w:tcW w:w="4487" w:type="dxa"/>
            <w:tcBorders>
              <w:top w:val="single" w:sz="4" w:space="0" w:color="auto"/>
              <w:left w:val="single" w:sz="4" w:space="0" w:color="auto"/>
              <w:bottom w:val="single" w:sz="4" w:space="0" w:color="auto"/>
              <w:right w:val="double" w:sz="4" w:space="0" w:color="auto"/>
            </w:tcBorders>
            <w:vAlign w:val="center"/>
            <w:hideMark/>
          </w:tcPr>
          <w:p w:rsidR="0012198E" w:rsidRPr="002748CF" w:rsidRDefault="008332AE" w:rsidP="008332AE">
            <w:pPr>
              <w:spacing w:after="0"/>
              <w:ind w:left="107"/>
              <w:jc w:val="center"/>
              <w:rPr>
                <w:rFonts w:eastAsia="Calibri" w:cs="Times New Roman"/>
                <w:b/>
                <w:u w:val="single"/>
              </w:rPr>
            </w:pPr>
            <w:r w:rsidRPr="002748CF">
              <w:rPr>
                <w:rFonts w:eastAsia="Calibri" w:cs="Times New Roman"/>
                <w:b/>
                <w:u w:val="single"/>
              </w:rPr>
              <w:t>168</w:t>
            </w:r>
            <w:r>
              <w:rPr>
                <w:rFonts w:eastAsia="Calibri" w:cs="Times New Roman"/>
                <w:b/>
                <w:u w:val="single"/>
              </w:rPr>
              <w:t> </w:t>
            </w:r>
            <w:r w:rsidR="0012198E" w:rsidRPr="002748CF">
              <w:rPr>
                <w:rFonts w:eastAsia="Calibri" w:cs="Times New Roman"/>
                <w:b/>
                <w:u w:val="single"/>
              </w:rPr>
              <w:t>700</w:t>
            </w:r>
          </w:p>
        </w:tc>
      </w:tr>
      <w:tr w:rsidR="0012198E" w:rsidRPr="002748CF" w:rsidTr="00BD5BEB">
        <w:tc>
          <w:tcPr>
            <w:tcW w:w="4483" w:type="dxa"/>
            <w:tcBorders>
              <w:top w:val="single" w:sz="4" w:space="0" w:color="auto"/>
              <w:left w:val="double" w:sz="4" w:space="0" w:color="auto"/>
              <w:bottom w:val="single" w:sz="4" w:space="0" w:color="auto"/>
              <w:right w:val="single" w:sz="4" w:space="0" w:color="auto"/>
            </w:tcBorders>
            <w:vAlign w:val="center"/>
            <w:hideMark/>
          </w:tcPr>
          <w:p w:rsidR="0012198E" w:rsidRPr="002748CF" w:rsidRDefault="0012198E" w:rsidP="005E0695">
            <w:pPr>
              <w:spacing w:after="0"/>
              <w:jc w:val="center"/>
              <w:rPr>
                <w:rFonts w:eastAsia="Calibri" w:cs="Times New Roman"/>
                <w:b/>
                <w:u w:val="single"/>
              </w:rPr>
            </w:pPr>
            <w:r w:rsidRPr="002748CF">
              <w:rPr>
                <w:rFonts w:eastAsia="Calibri" w:cs="Times New Roman"/>
                <w:b/>
                <w:u w:val="single"/>
              </w:rPr>
              <w:t>9.0 to &lt; 10.5</w:t>
            </w:r>
          </w:p>
        </w:tc>
        <w:tc>
          <w:tcPr>
            <w:tcW w:w="4487" w:type="dxa"/>
            <w:tcBorders>
              <w:top w:val="single" w:sz="4" w:space="0" w:color="auto"/>
              <w:left w:val="single" w:sz="4" w:space="0" w:color="auto"/>
              <w:bottom w:val="single" w:sz="4" w:space="0" w:color="auto"/>
              <w:right w:val="double" w:sz="4" w:space="0" w:color="auto"/>
            </w:tcBorders>
            <w:vAlign w:val="center"/>
            <w:hideMark/>
          </w:tcPr>
          <w:p w:rsidR="0012198E" w:rsidRPr="002748CF" w:rsidRDefault="008332AE" w:rsidP="008332AE">
            <w:pPr>
              <w:spacing w:after="0"/>
              <w:ind w:left="107"/>
              <w:jc w:val="center"/>
              <w:rPr>
                <w:rFonts w:eastAsia="Calibri" w:cs="Times New Roman"/>
                <w:b/>
                <w:u w:val="single"/>
              </w:rPr>
            </w:pPr>
            <w:r w:rsidRPr="002748CF">
              <w:rPr>
                <w:rFonts w:eastAsia="Calibri" w:cs="Times New Roman"/>
                <w:b/>
                <w:u w:val="single"/>
              </w:rPr>
              <w:t>192</w:t>
            </w:r>
            <w:r>
              <w:rPr>
                <w:rFonts w:eastAsia="Calibri" w:cs="Times New Roman"/>
                <w:b/>
                <w:u w:val="single"/>
              </w:rPr>
              <w:t> </w:t>
            </w:r>
            <w:r w:rsidR="0012198E" w:rsidRPr="002748CF">
              <w:rPr>
                <w:rFonts w:eastAsia="Calibri" w:cs="Times New Roman"/>
                <w:b/>
                <w:u w:val="single"/>
              </w:rPr>
              <w:t>300</w:t>
            </w:r>
          </w:p>
        </w:tc>
      </w:tr>
      <w:tr w:rsidR="0012198E" w:rsidRPr="002748CF" w:rsidTr="00BD5BEB">
        <w:tc>
          <w:tcPr>
            <w:tcW w:w="4483" w:type="dxa"/>
            <w:tcBorders>
              <w:top w:val="single" w:sz="4" w:space="0" w:color="auto"/>
              <w:left w:val="double" w:sz="4" w:space="0" w:color="auto"/>
              <w:bottom w:val="single" w:sz="4" w:space="0" w:color="auto"/>
              <w:right w:val="single" w:sz="4" w:space="0" w:color="auto"/>
            </w:tcBorders>
            <w:vAlign w:val="center"/>
            <w:hideMark/>
          </w:tcPr>
          <w:p w:rsidR="0012198E" w:rsidRPr="002748CF" w:rsidRDefault="0012198E" w:rsidP="005E0695">
            <w:pPr>
              <w:spacing w:after="0"/>
              <w:jc w:val="center"/>
              <w:rPr>
                <w:rFonts w:eastAsia="Calibri" w:cs="Times New Roman"/>
                <w:b/>
                <w:u w:val="single"/>
              </w:rPr>
            </w:pPr>
            <w:r w:rsidRPr="002748CF">
              <w:rPr>
                <w:rFonts w:eastAsia="Calibri" w:cs="Times New Roman"/>
                <w:b/>
                <w:u w:val="single"/>
              </w:rPr>
              <w:t>10.5 to &lt; 12.0</w:t>
            </w:r>
          </w:p>
        </w:tc>
        <w:tc>
          <w:tcPr>
            <w:tcW w:w="4487" w:type="dxa"/>
            <w:tcBorders>
              <w:top w:val="single" w:sz="4" w:space="0" w:color="auto"/>
              <w:left w:val="single" w:sz="4" w:space="0" w:color="auto"/>
              <w:bottom w:val="single" w:sz="4" w:space="0" w:color="auto"/>
              <w:right w:val="double" w:sz="4" w:space="0" w:color="auto"/>
            </w:tcBorders>
            <w:vAlign w:val="center"/>
            <w:hideMark/>
          </w:tcPr>
          <w:p w:rsidR="0012198E" w:rsidRPr="002748CF" w:rsidRDefault="008332AE" w:rsidP="008332AE">
            <w:pPr>
              <w:spacing w:after="0"/>
              <w:ind w:left="107"/>
              <w:jc w:val="center"/>
              <w:rPr>
                <w:rFonts w:eastAsia="Calibri" w:cs="Times New Roman"/>
                <w:b/>
                <w:u w:val="single"/>
              </w:rPr>
            </w:pPr>
            <w:r w:rsidRPr="002748CF">
              <w:rPr>
                <w:rFonts w:eastAsia="Calibri" w:cs="Times New Roman"/>
                <w:b/>
                <w:u w:val="single"/>
              </w:rPr>
              <w:t>234</w:t>
            </w:r>
            <w:r>
              <w:rPr>
                <w:rFonts w:eastAsia="Calibri" w:cs="Times New Roman"/>
                <w:b/>
                <w:u w:val="single"/>
              </w:rPr>
              <w:t> </w:t>
            </w:r>
            <w:r w:rsidR="0012198E" w:rsidRPr="002748CF">
              <w:rPr>
                <w:rFonts w:eastAsia="Calibri" w:cs="Times New Roman"/>
                <w:b/>
                <w:u w:val="single"/>
              </w:rPr>
              <w:t>100</w:t>
            </w:r>
          </w:p>
        </w:tc>
      </w:tr>
      <w:tr w:rsidR="0012198E" w:rsidRPr="002748CF" w:rsidTr="00BD5BEB">
        <w:tc>
          <w:tcPr>
            <w:tcW w:w="4483" w:type="dxa"/>
            <w:tcBorders>
              <w:top w:val="single" w:sz="4" w:space="0" w:color="auto"/>
              <w:left w:val="double" w:sz="4" w:space="0" w:color="auto"/>
              <w:bottom w:val="single" w:sz="4" w:space="0" w:color="auto"/>
              <w:right w:val="single" w:sz="4" w:space="0" w:color="auto"/>
            </w:tcBorders>
            <w:vAlign w:val="center"/>
            <w:hideMark/>
          </w:tcPr>
          <w:p w:rsidR="0012198E" w:rsidRPr="002748CF" w:rsidRDefault="0012198E" w:rsidP="005E0695">
            <w:pPr>
              <w:spacing w:after="0"/>
              <w:jc w:val="center"/>
              <w:rPr>
                <w:rFonts w:eastAsia="Calibri" w:cs="Times New Roman"/>
                <w:b/>
                <w:u w:val="single"/>
              </w:rPr>
            </w:pPr>
            <w:r w:rsidRPr="002748CF">
              <w:rPr>
                <w:rFonts w:eastAsia="Calibri" w:cs="Times New Roman"/>
                <w:b/>
                <w:u w:val="single"/>
              </w:rPr>
              <w:t>12.0 to &lt; 17.0</w:t>
            </w:r>
          </w:p>
        </w:tc>
        <w:tc>
          <w:tcPr>
            <w:tcW w:w="4487" w:type="dxa"/>
            <w:tcBorders>
              <w:top w:val="single" w:sz="4" w:space="0" w:color="auto"/>
              <w:left w:val="single" w:sz="4" w:space="0" w:color="auto"/>
              <w:bottom w:val="single" w:sz="4" w:space="0" w:color="auto"/>
              <w:right w:val="double" w:sz="4" w:space="0" w:color="auto"/>
            </w:tcBorders>
            <w:vAlign w:val="center"/>
            <w:hideMark/>
          </w:tcPr>
          <w:p w:rsidR="0012198E" w:rsidRPr="002748CF" w:rsidRDefault="008332AE" w:rsidP="008332AE">
            <w:pPr>
              <w:spacing w:after="0"/>
              <w:ind w:left="107"/>
              <w:jc w:val="center"/>
              <w:rPr>
                <w:rFonts w:eastAsia="Calibri" w:cs="Times New Roman"/>
                <w:b/>
                <w:u w:val="single"/>
              </w:rPr>
            </w:pPr>
            <w:r w:rsidRPr="002748CF">
              <w:rPr>
                <w:rFonts w:eastAsia="Calibri" w:cs="Times New Roman"/>
                <w:b/>
                <w:u w:val="single"/>
              </w:rPr>
              <w:t>257</w:t>
            </w:r>
            <w:r>
              <w:rPr>
                <w:rFonts w:eastAsia="Calibri" w:cs="Times New Roman"/>
                <w:b/>
                <w:u w:val="single"/>
              </w:rPr>
              <w:t> </w:t>
            </w:r>
            <w:r w:rsidR="0012198E" w:rsidRPr="002748CF">
              <w:rPr>
                <w:rFonts w:eastAsia="Calibri" w:cs="Times New Roman"/>
                <w:b/>
                <w:u w:val="single"/>
              </w:rPr>
              <w:t>600</w:t>
            </w:r>
          </w:p>
        </w:tc>
      </w:tr>
      <w:tr w:rsidR="0012198E" w:rsidRPr="002748CF" w:rsidTr="00BD5BEB">
        <w:tc>
          <w:tcPr>
            <w:tcW w:w="8970" w:type="dxa"/>
            <w:gridSpan w:val="2"/>
            <w:tcBorders>
              <w:top w:val="single" w:sz="4" w:space="0" w:color="auto"/>
              <w:left w:val="double" w:sz="4" w:space="0" w:color="auto"/>
              <w:bottom w:val="double" w:sz="4" w:space="0" w:color="auto"/>
              <w:right w:val="double" w:sz="4" w:space="0" w:color="auto"/>
            </w:tcBorders>
            <w:vAlign w:val="center"/>
            <w:hideMark/>
          </w:tcPr>
          <w:p w:rsidR="0012198E" w:rsidRPr="002748CF" w:rsidRDefault="0012198E" w:rsidP="00BD5BEB">
            <w:pPr>
              <w:spacing w:after="0"/>
              <w:rPr>
                <w:rFonts w:eastAsia="Calibri" w:cs="Times New Roman"/>
                <w:b/>
                <w:highlight w:val="cyan"/>
                <w:u w:val="single"/>
              </w:rPr>
            </w:pPr>
            <w:r w:rsidRPr="002748CF">
              <w:rPr>
                <w:rFonts w:eastAsia="Calibri" w:cs="Times New Roman"/>
                <w:b/>
                <w:u w:val="single"/>
              </w:rPr>
              <w:t>Note:  The capacity of a particular module is based on its length and determined from corresponding capacity values specified in Table S.6.4.M.</w:t>
            </w:r>
          </w:p>
        </w:tc>
      </w:tr>
      <w:tr w:rsidR="0012198E" w:rsidRPr="002748CF" w:rsidTr="00BD5BEB">
        <w:tc>
          <w:tcPr>
            <w:tcW w:w="8970" w:type="dxa"/>
            <w:gridSpan w:val="2"/>
            <w:tcBorders>
              <w:top w:val="double" w:sz="4" w:space="0" w:color="auto"/>
              <w:left w:val="nil"/>
              <w:bottom w:val="nil"/>
              <w:right w:val="nil"/>
            </w:tcBorders>
            <w:vAlign w:val="center"/>
            <w:hideMark/>
          </w:tcPr>
          <w:p w:rsidR="0012198E" w:rsidRPr="002748CF" w:rsidRDefault="0012198E" w:rsidP="00BD5BEB">
            <w:pPr>
              <w:spacing w:after="0"/>
              <w:rPr>
                <w:rFonts w:eastAsia="Calibri" w:cs="Times New Roman"/>
                <w:b/>
                <w:u w:val="single"/>
              </w:rPr>
            </w:pPr>
            <w:r w:rsidRPr="002748CF">
              <w:rPr>
                <w:rFonts w:eastAsia="Calibri" w:cs="Times New Roman"/>
                <w:b/>
                <w:u w:val="single"/>
              </w:rPr>
              <w:t xml:space="preserve">(Table Added </w:t>
            </w:r>
            <w:r w:rsidRPr="00AC3267">
              <w:rPr>
                <w:rFonts w:eastAsia="Calibri" w:cs="Times New Roman"/>
                <w:b/>
                <w:u w:val="single"/>
              </w:rPr>
              <w:t>20</w:t>
            </w:r>
            <w:r>
              <w:rPr>
                <w:rFonts w:eastAsia="Calibri" w:cs="Times New Roman"/>
                <w:b/>
                <w:u w:val="single"/>
              </w:rPr>
              <w:t>XX</w:t>
            </w:r>
            <w:r w:rsidRPr="00AC3267">
              <w:rPr>
                <w:rFonts w:eastAsia="Calibri" w:cs="Times New Roman"/>
                <w:b/>
                <w:u w:val="single"/>
              </w:rPr>
              <w:t>)</w:t>
            </w:r>
          </w:p>
        </w:tc>
      </w:tr>
    </w:tbl>
    <w:p w:rsidR="00181C90" w:rsidRPr="005E0695" w:rsidRDefault="00181C90" w:rsidP="005E0695"/>
    <w:tbl>
      <w:tblPr>
        <w:tblpPr w:leftFromText="180" w:rightFromText="180" w:vertAnchor="text" w:horzAnchor="margin" w:tblpY="124"/>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4483"/>
        <w:gridCol w:w="4487"/>
      </w:tblGrid>
      <w:tr w:rsidR="005E0695" w:rsidRPr="002748CF" w:rsidTr="000D2FD9">
        <w:tc>
          <w:tcPr>
            <w:tcW w:w="8970" w:type="dxa"/>
            <w:gridSpan w:val="2"/>
            <w:tcBorders>
              <w:top w:val="double" w:sz="4" w:space="0" w:color="auto"/>
              <w:left w:val="double" w:sz="4" w:space="0" w:color="auto"/>
              <w:bottom w:val="double" w:sz="4" w:space="0" w:color="auto"/>
              <w:right w:val="double" w:sz="4" w:space="0" w:color="auto"/>
            </w:tcBorders>
            <w:hideMark/>
          </w:tcPr>
          <w:p w:rsidR="005E0695" w:rsidRPr="002748CF" w:rsidRDefault="005E0695" w:rsidP="00BD5BEB">
            <w:pPr>
              <w:keepNext/>
              <w:spacing w:before="40" w:after="0"/>
              <w:jc w:val="center"/>
              <w:rPr>
                <w:rFonts w:eastAsia="Times New Roman" w:cs="Times New Roman"/>
                <w:b/>
                <w:bCs/>
                <w:sz w:val="22"/>
                <w:u w:val="single"/>
              </w:rPr>
            </w:pPr>
            <w:r w:rsidRPr="002748CF">
              <w:rPr>
                <w:rFonts w:eastAsia="Times New Roman" w:cs="Times New Roman"/>
                <w:b/>
                <w:bCs/>
                <w:sz w:val="22"/>
                <w:u w:val="single"/>
              </w:rPr>
              <w:t>Table S.6.4.</w:t>
            </w:r>
          </w:p>
          <w:p w:rsidR="005E0695" w:rsidRPr="002748CF" w:rsidRDefault="005E0695" w:rsidP="00BD5BEB">
            <w:pPr>
              <w:keepNext/>
              <w:spacing w:before="40" w:after="0"/>
              <w:jc w:val="center"/>
              <w:rPr>
                <w:rFonts w:eastAsia="Times New Roman" w:cs="Times New Roman"/>
                <w:b/>
                <w:bCs/>
                <w:sz w:val="22"/>
                <w:u w:val="single"/>
              </w:rPr>
            </w:pPr>
            <w:r w:rsidRPr="002748CF">
              <w:rPr>
                <w:rFonts w:eastAsia="Times New Roman" w:cs="Times New Roman"/>
                <w:b/>
                <w:bCs/>
                <w:sz w:val="22"/>
                <w:u w:val="single"/>
              </w:rPr>
              <w:t>Railway Track Scale – Weigh Module Capacity</w:t>
            </w:r>
          </w:p>
        </w:tc>
      </w:tr>
      <w:tr w:rsidR="005E0695" w:rsidRPr="002748CF" w:rsidTr="000D2FD9">
        <w:tc>
          <w:tcPr>
            <w:tcW w:w="4483" w:type="dxa"/>
            <w:tcBorders>
              <w:top w:val="double" w:sz="4" w:space="0" w:color="auto"/>
              <w:left w:val="double" w:sz="4" w:space="0" w:color="auto"/>
              <w:bottom w:val="single" w:sz="4" w:space="0" w:color="auto"/>
              <w:right w:val="single" w:sz="4" w:space="0" w:color="auto"/>
            </w:tcBorders>
            <w:hideMark/>
          </w:tcPr>
          <w:p w:rsidR="005E0695" w:rsidRPr="002748CF" w:rsidRDefault="005E0695" w:rsidP="00BD5BEB">
            <w:pPr>
              <w:keepNext/>
              <w:spacing w:after="0"/>
              <w:jc w:val="center"/>
              <w:outlineLvl w:val="2"/>
              <w:rPr>
                <w:rFonts w:eastAsia="Times New Roman" w:cs="Times New Roman"/>
                <w:b/>
                <w:bCs/>
                <w:u w:val="single"/>
                <w:lang w:eastAsia="ja-JP"/>
              </w:rPr>
            </w:pPr>
            <w:r w:rsidRPr="002748CF">
              <w:rPr>
                <w:rFonts w:eastAsia="Times New Roman" w:cs="Times New Roman"/>
                <w:b/>
                <w:bCs/>
                <w:u w:val="single"/>
                <w:lang w:eastAsia="ja-JP"/>
              </w:rPr>
              <w:t>Weigh Module Length (ft)</w:t>
            </w:r>
          </w:p>
        </w:tc>
        <w:tc>
          <w:tcPr>
            <w:tcW w:w="4487" w:type="dxa"/>
            <w:tcBorders>
              <w:top w:val="double" w:sz="4" w:space="0" w:color="auto"/>
              <w:left w:val="single" w:sz="4" w:space="0" w:color="auto"/>
              <w:bottom w:val="single" w:sz="4" w:space="0" w:color="auto"/>
              <w:right w:val="double" w:sz="4" w:space="0" w:color="auto"/>
            </w:tcBorders>
            <w:vAlign w:val="center"/>
            <w:hideMark/>
          </w:tcPr>
          <w:p w:rsidR="005E0695" w:rsidRPr="002748CF" w:rsidRDefault="005E0695" w:rsidP="00BD5BEB">
            <w:pPr>
              <w:keepNext/>
              <w:spacing w:after="0"/>
              <w:ind w:left="17"/>
              <w:jc w:val="center"/>
              <w:outlineLvl w:val="2"/>
              <w:rPr>
                <w:rFonts w:eastAsia="Times New Roman" w:cs="Times New Roman"/>
                <w:bCs/>
                <w:u w:val="single"/>
                <w:lang w:eastAsia="ja-JP"/>
              </w:rPr>
            </w:pPr>
            <w:r w:rsidRPr="002748CF">
              <w:rPr>
                <w:rFonts w:eastAsia="Times New Roman" w:cs="Times New Roman"/>
                <w:b/>
                <w:bCs/>
                <w:u w:val="single"/>
                <w:lang w:eastAsia="ja-JP"/>
              </w:rPr>
              <w:t>Weigh Module Capacity (lb)</w:t>
            </w:r>
          </w:p>
        </w:tc>
      </w:tr>
      <w:tr w:rsidR="005E0695" w:rsidRPr="002748CF" w:rsidTr="005E0695">
        <w:tc>
          <w:tcPr>
            <w:tcW w:w="4483" w:type="dxa"/>
            <w:tcBorders>
              <w:top w:val="single" w:sz="4" w:space="0" w:color="auto"/>
              <w:left w:val="double" w:sz="4" w:space="0" w:color="auto"/>
              <w:bottom w:val="single" w:sz="4" w:space="0" w:color="auto"/>
              <w:right w:val="single" w:sz="4" w:space="0" w:color="auto"/>
            </w:tcBorders>
            <w:vAlign w:val="center"/>
            <w:hideMark/>
          </w:tcPr>
          <w:p w:rsidR="005E0695" w:rsidRPr="002748CF" w:rsidRDefault="005E0695" w:rsidP="00BD5BEB">
            <w:pPr>
              <w:keepNext/>
              <w:spacing w:after="0"/>
              <w:jc w:val="center"/>
              <w:rPr>
                <w:rFonts w:eastAsia="Calibri" w:cs="Times New Roman"/>
                <w:b/>
                <w:u w:val="single"/>
              </w:rPr>
            </w:pPr>
            <w:r w:rsidRPr="002748CF">
              <w:rPr>
                <w:rFonts w:eastAsia="Calibri" w:cs="Times New Roman"/>
                <w:b/>
                <w:u w:val="single"/>
              </w:rPr>
              <w:t>&lt;</w:t>
            </w:r>
            <w:r w:rsidR="00BD5BEB">
              <w:rPr>
                <w:rFonts w:eastAsia="Calibri" w:cs="Times New Roman"/>
                <w:b/>
                <w:u w:val="single"/>
              </w:rPr>
              <w:t> </w:t>
            </w:r>
            <w:r w:rsidRPr="002748CF">
              <w:rPr>
                <w:rFonts w:eastAsia="Calibri" w:cs="Times New Roman"/>
                <w:b/>
                <w:u w:val="single"/>
              </w:rPr>
              <w:t>5</w:t>
            </w:r>
          </w:p>
        </w:tc>
        <w:tc>
          <w:tcPr>
            <w:tcW w:w="4487" w:type="dxa"/>
            <w:tcBorders>
              <w:top w:val="single" w:sz="4" w:space="0" w:color="auto"/>
              <w:left w:val="single" w:sz="4" w:space="0" w:color="auto"/>
              <w:bottom w:val="single" w:sz="4" w:space="0" w:color="auto"/>
              <w:right w:val="double" w:sz="4" w:space="0" w:color="auto"/>
            </w:tcBorders>
            <w:vAlign w:val="center"/>
            <w:hideMark/>
          </w:tcPr>
          <w:p w:rsidR="005E0695" w:rsidRPr="002748CF" w:rsidRDefault="005E0695" w:rsidP="00BD5BEB">
            <w:pPr>
              <w:keepNext/>
              <w:spacing w:after="0"/>
              <w:ind w:left="17"/>
              <w:jc w:val="center"/>
              <w:rPr>
                <w:rFonts w:eastAsia="Calibri" w:cs="Times New Roman"/>
                <w:b/>
                <w:u w:val="single"/>
              </w:rPr>
            </w:pPr>
            <w:r w:rsidRPr="002748CF">
              <w:rPr>
                <w:rFonts w:eastAsia="Calibri" w:cs="Times New Roman"/>
                <w:b/>
                <w:u w:val="single"/>
              </w:rPr>
              <w:t>80</w:t>
            </w:r>
            <w:r>
              <w:rPr>
                <w:rFonts w:eastAsia="Calibri" w:cs="Times New Roman"/>
                <w:b/>
                <w:u w:val="single"/>
              </w:rPr>
              <w:t> </w:t>
            </w:r>
            <w:r w:rsidRPr="002748CF">
              <w:rPr>
                <w:rFonts w:eastAsia="Calibri" w:cs="Times New Roman"/>
                <w:b/>
                <w:u w:val="single"/>
              </w:rPr>
              <w:t>000</w:t>
            </w:r>
          </w:p>
        </w:tc>
      </w:tr>
      <w:tr w:rsidR="005E0695" w:rsidRPr="002748CF" w:rsidTr="005E0695">
        <w:tc>
          <w:tcPr>
            <w:tcW w:w="4483" w:type="dxa"/>
            <w:tcBorders>
              <w:top w:val="single" w:sz="4" w:space="0" w:color="auto"/>
              <w:left w:val="double" w:sz="4" w:space="0" w:color="auto"/>
              <w:bottom w:val="single" w:sz="4" w:space="0" w:color="auto"/>
              <w:right w:val="single" w:sz="4" w:space="0" w:color="auto"/>
            </w:tcBorders>
            <w:vAlign w:val="center"/>
            <w:hideMark/>
          </w:tcPr>
          <w:p w:rsidR="005E0695" w:rsidRPr="002748CF" w:rsidRDefault="005E0695" w:rsidP="00CE7CB1">
            <w:pPr>
              <w:keepNext/>
              <w:spacing w:after="0"/>
              <w:ind w:right="1733"/>
              <w:jc w:val="right"/>
              <w:rPr>
                <w:rFonts w:eastAsia="Calibri" w:cs="Times New Roman"/>
                <w:b/>
                <w:u w:val="single"/>
              </w:rPr>
            </w:pPr>
            <w:r w:rsidRPr="002748CF">
              <w:rPr>
                <w:rFonts w:eastAsia="Calibri" w:cs="Times New Roman"/>
                <w:b/>
                <w:u w:val="single"/>
              </w:rPr>
              <w:lastRenderedPageBreak/>
              <w:t>5 to &lt; 10</w:t>
            </w:r>
          </w:p>
        </w:tc>
        <w:tc>
          <w:tcPr>
            <w:tcW w:w="4487" w:type="dxa"/>
            <w:tcBorders>
              <w:top w:val="single" w:sz="4" w:space="0" w:color="auto"/>
              <w:left w:val="single" w:sz="4" w:space="0" w:color="auto"/>
              <w:bottom w:val="single" w:sz="4" w:space="0" w:color="auto"/>
              <w:right w:val="double" w:sz="4" w:space="0" w:color="auto"/>
            </w:tcBorders>
            <w:vAlign w:val="center"/>
            <w:hideMark/>
          </w:tcPr>
          <w:p w:rsidR="005E0695" w:rsidRPr="002748CF" w:rsidRDefault="005E0695" w:rsidP="00BD5BEB">
            <w:pPr>
              <w:keepNext/>
              <w:spacing w:after="0"/>
              <w:ind w:left="17"/>
              <w:jc w:val="center"/>
              <w:rPr>
                <w:rFonts w:eastAsia="Calibri" w:cs="Times New Roman"/>
                <w:b/>
                <w:u w:val="single"/>
              </w:rPr>
            </w:pPr>
            <w:r w:rsidRPr="002748CF">
              <w:rPr>
                <w:rFonts w:eastAsia="Calibri" w:cs="Times New Roman"/>
                <w:b/>
                <w:u w:val="single"/>
              </w:rPr>
              <w:t>160</w:t>
            </w:r>
            <w:r>
              <w:rPr>
                <w:rFonts w:eastAsia="Calibri" w:cs="Times New Roman"/>
                <w:b/>
                <w:u w:val="single"/>
              </w:rPr>
              <w:t> </w:t>
            </w:r>
            <w:r w:rsidRPr="002748CF">
              <w:rPr>
                <w:rFonts w:eastAsia="Calibri" w:cs="Times New Roman"/>
                <w:b/>
                <w:u w:val="single"/>
              </w:rPr>
              <w:t>000</w:t>
            </w:r>
          </w:p>
        </w:tc>
      </w:tr>
      <w:tr w:rsidR="005E0695" w:rsidRPr="002748CF" w:rsidTr="005E0695">
        <w:tc>
          <w:tcPr>
            <w:tcW w:w="4483" w:type="dxa"/>
            <w:tcBorders>
              <w:top w:val="single" w:sz="4" w:space="0" w:color="auto"/>
              <w:left w:val="double" w:sz="4" w:space="0" w:color="auto"/>
              <w:bottom w:val="single" w:sz="4" w:space="0" w:color="auto"/>
              <w:right w:val="single" w:sz="4" w:space="0" w:color="auto"/>
            </w:tcBorders>
            <w:vAlign w:val="center"/>
            <w:hideMark/>
          </w:tcPr>
          <w:p w:rsidR="005E0695" w:rsidRPr="002748CF" w:rsidRDefault="005E0695" w:rsidP="00CE7CB1">
            <w:pPr>
              <w:keepNext/>
              <w:spacing w:after="0"/>
              <w:ind w:right="1733"/>
              <w:jc w:val="right"/>
              <w:rPr>
                <w:rFonts w:eastAsia="Calibri" w:cs="Times New Roman"/>
                <w:b/>
                <w:u w:val="single"/>
              </w:rPr>
            </w:pPr>
            <w:r w:rsidRPr="002748CF">
              <w:rPr>
                <w:rFonts w:eastAsia="Calibri" w:cs="Times New Roman"/>
                <w:b/>
                <w:u w:val="single"/>
              </w:rPr>
              <w:t>10 to &lt; 15</w:t>
            </w:r>
          </w:p>
        </w:tc>
        <w:tc>
          <w:tcPr>
            <w:tcW w:w="4487" w:type="dxa"/>
            <w:tcBorders>
              <w:top w:val="single" w:sz="4" w:space="0" w:color="auto"/>
              <w:left w:val="single" w:sz="4" w:space="0" w:color="auto"/>
              <w:bottom w:val="single" w:sz="4" w:space="0" w:color="auto"/>
              <w:right w:val="double" w:sz="4" w:space="0" w:color="auto"/>
            </w:tcBorders>
            <w:vAlign w:val="center"/>
            <w:hideMark/>
          </w:tcPr>
          <w:p w:rsidR="005E0695" w:rsidRPr="002748CF" w:rsidRDefault="005E0695" w:rsidP="00BD5BEB">
            <w:pPr>
              <w:keepNext/>
              <w:spacing w:after="0"/>
              <w:ind w:left="17"/>
              <w:jc w:val="center"/>
              <w:rPr>
                <w:rFonts w:eastAsia="Calibri" w:cs="Times New Roman"/>
                <w:b/>
                <w:u w:val="single"/>
              </w:rPr>
            </w:pPr>
            <w:r w:rsidRPr="002748CF">
              <w:rPr>
                <w:rFonts w:eastAsia="Calibri" w:cs="Times New Roman"/>
                <w:b/>
                <w:u w:val="single"/>
              </w:rPr>
              <w:t>240</w:t>
            </w:r>
            <w:r>
              <w:rPr>
                <w:rFonts w:eastAsia="Calibri" w:cs="Times New Roman"/>
                <w:b/>
                <w:u w:val="single"/>
              </w:rPr>
              <w:t> </w:t>
            </w:r>
            <w:r w:rsidRPr="002748CF">
              <w:rPr>
                <w:rFonts w:eastAsia="Calibri" w:cs="Times New Roman"/>
                <w:b/>
                <w:u w:val="single"/>
              </w:rPr>
              <w:t>000</w:t>
            </w:r>
          </w:p>
        </w:tc>
      </w:tr>
      <w:tr w:rsidR="005E0695" w:rsidRPr="002748CF" w:rsidTr="005E0695">
        <w:tc>
          <w:tcPr>
            <w:tcW w:w="4483" w:type="dxa"/>
            <w:tcBorders>
              <w:top w:val="single" w:sz="4" w:space="0" w:color="auto"/>
              <w:left w:val="double" w:sz="4" w:space="0" w:color="auto"/>
              <w:bottom w:val="single" w:sz="4" w:space="0" w:color="auto"/>
              <w:right w:val="single" w:sz="4" w:space="0" w:color="auto"/>
            </w:tcBorders>
            <w:vAlign w:val="center"/>
            <w:hideMark/>
          </w:tcPr>
          <w:p w:rsidR="005E0695" w:rsidRPr="002748CF" w:rsidRDefault="005E0695" w:rsidP="00CE7CB1">
            <w:pPr>
              <w:keepNext/>
              <w:spacing w:after="0"/>
              <w:ind w:right="1733"/>
              <w:jc w:val="right"/>
              <w:rPr>
                <w:rFonts w:eastAsia="Calibri" w:cs="Times New Roman"/>
                <w:b/>
                <w:u w:val="single"/>
              </w:rPr>
            </w:pPr>
            <w:r w:rsidRPr="002748CF">
              <w:rPr>
                <w:rFonts w:eastAsia="Calibri" w:cs="Times New Roman"/>
                <w:b/>
                <w:u w:val="single"/>
              </w:rPr>
              <w:t>15 to &lt; 23</w:t>
            </w:r>
          </w:p>
        </w:tc>
        <w:tc>
          <w:tcPr>
            <w:tcW w:w="4487" w:type="dxa"/>
            <w:tcBorders>
              <w:top w:val="single" w:sz="4" w:space="0" w:color="auto"/>
              <w:left w:val="single" w:sz="4" w:space="0" w:color="auto"/>
              <w:bottom w:val="single" w:sz="4" w:space="0" w:color="auto"/>
              <w:right w:val="double" w:sz="4" w:space="0" w:color="auto"/>
            </w:tcBorders>
            <w:vAlign w:val="center"/>
            <w:hideMark/>
          </w:tcPr>
          <w:p w:rsidR="005E0695" w:rsidRPr="002748CF" w:rsidRDefault="005E0695" w:rsidP="00BD5BEB">
            <w:pPr>
              <w:keepNext/>
              <w:spacing w:after="0"/>
              <w:ind w:left="17"/>
              <w:jc w:val="center"/>
              <w:rPr>
                <w:rFonts w:eastAsia="Calibri" w:cs="Times New Roman"/>
                <w:b/>
                <w:u w:val="single"/>
              </w:rPr>
            </w:pPr>
            <w:r w:rsidRPr="002748CF">
              <w:rPr>
                <w:rFonts w:eastAsia="Calibri" w:cs="Times New Roman"/>
                <w:b/>
                <w:u w:val="single"/>
              </w:rPr>
              <w:t>320</w:t>
            </w:r>
            <w:r>
              <w:rPr>
                <w:rFonts w:eastAsia="Calibri" w:cs="Times New Roman"/>
                <w:b/>
                <w:u w:val="single"/>
              </w:rPr>
              <w:t> </w:t>
            </w:r>
            <w:r w:rsidRPr="002748CF">
              <w:rPr>
                <w:rFonts w:eastAsia="Calibri" w:cs="Times New Roman"/>
                <w:b/>
                <w:u w:val="single"/>
              </w:rPr>
              <w:t>000</w:t>
            </w:r>
          </w:p>
        </w:tc>
      </w:tr>
      <w:tr w:rsidR="005E0695" w:rsidRPr="002748CF" w:rsidTr="005E0695">
        <w:tc>
          <w:tcPr>
            <w:tcW w:w="4483" w:type="dxa"/>
            <w:tcBorders>
              <w:top w:val="single" w:sz="4" w:space="0" w:color="auto"/>
              <w:left w:val="double" w:sz="4" w:space="0" w:color="auto"/>
              <w:bottom w:val="single" w:sz="4" w:space="0" w:color="auto"/>
              <w:right w:val="single" w:sz="4" w:space="0" w:color="auto"/>
            </w:tcBorders>
            <w:vAlign w:val="center"/>
            <w:hideMark/>
          </w:tcPr>
          <w:p w:rsidR="005E0695" w:rsidRPr="002748CF" w:rsidRDefault="005E0695" w:rsidP="00CE7CB1">
            <w:pPr>
              <w:keepNext/>
              <w:spacing w:after="0"/>
              <w:ind w:right="1733"/>
              <w:jc w:val="right"/>
              <w:rPr>
                <w:rFonts w:eastAsia="Calibri" w:cs="Times New Roman"/>
                <w:b/>
                <w:u w:val="single"/>
              </w:rPr>
            </w:pPr>
            <w:r w:rsidRPr="002748CF">
              <w:rPr>
                <w:rFonts w:eastAsia="Calibri" w:cs="Times New Roman"/>
                <w:b/>
                <w:u w:val="single"/>
              </w:rPr>
              <w:t>23 to &lt; 29</w:t>
            </w:r>
          </w:p>
        </w:tc>
        <w:tc>
          <w:tcPr>
            <w:tcW w:w="4487" w:type="dxa"/>
            <w:tcBorders>
              <w:top w:val="single" w:sz="4" w:space="0" w:color="auto"/>
              <w:left w:val="single" w:sz="4" w:space="0" w:color="auto"/>
              <w:bottom w:val="single" w:sz="4" w:space="0" w:color="auto"/>
              <w:right w:val="double" w:sz="4" w:space="0" w:color="auto"/>
            </w:tcBorders>
            <w:vAlign w:val="center"/>
            <w:hideMark/>
          </w:tcPr>
          <w:p w:rsidR="005E0695" w:rsidRPr="002748CF" w:rsidRDefault="005E0695" w:rsidP="00BD5BEB">
            <w:pPr>
              <w:keepNext/>
              <w:spacing w:after="0"/>
              <w:ind w:left="17"/>
              <w:jc w:val="center"/>
              <w:rPr>
                <w:rFonts w:eastAsia="Calibri" w:cs="Times New Roman"/>
                <w:b/>
                <w:u w:val="single"/>
              </w:rPr>
            </w:pPr>
            <w:r w:rsidRPr="002748CF">
              <w:rPr>
                <w:rFonts w:eastAsia="Calibri" w:cs="Times New Roman"/>
                <w:b/>
                <w:u w:val="single"/>
              </w:rPr>
              <w:t>372</w:t>
            </w:r>
            <w:r>
              <w:rPr>
                <w:rFonts w:eastAsia="Calibri" w:cs="Times New Roman"/>
                <w:b/>
                <w:u w:val="single"/>
              </w:rPr>
              <w:t> </w:t>
            </w:r>
            <w:r w:rsidRPr="002748CF">
              <w:rPr>
                <w:rFonts w:eastAsia="Calibri" w:cs="Times New Roman"/>
                <w:b/>
                <w:u w:val="single"/>
              </w:rPr>
              <w:t>000</w:t>
            </w:r>
          </w:p>
        </w:tc>
      </w:tr>
      <w:tr w:rsidR="005E0695" w:rsidRPr="002748CF" w:rsidTr="005E0695">
        <w:tc>
          <w:tcPr>
            <w:tcW w:w="4483" w:type="dxa"/>
            <w:tcBorders>
              <w:top w:val="single" w:sz="4" w:space="0" w:color="auto"/>
              <w:left w:val="double" w:sz="4" w:space="0" w:color="auto"/>
              <w:bottom w:val="single" w:sz="4" w:space="0" w:color="auto"/>
              <w:right w:val="single" w:sz="4" w:space="0" w:color="auto"/>
            </w:tcBorders>
            <w:vAlign w:val="center"/>
            <w:hideMark/>
          </w:tcPr>
          <w:p w:rsidR="005E0695" w:rsidRPr="002748CF" w:rsidRDefault="005E0695" w:rsidP="00CE7CB1">
            <w:pPr>
              <w:keepNext/>
              <w:spacing w:after="0"/>
              <w:ind w:right="1733"/>
              <w:jc w:val="right"/>
              <w:rPr>
                <w:rFonts w:eastAsia="Calibri" w:cs="Times New Roman"/>
                <w:b/>
                <w:u w:val="single"/>
              </w:rPr>
            </w:pPr>
            <w:r w:rsidRPr="002748CF">
              <w:rPr>
                <w:rFonts w:eastAsia="Calibri" w:cs="Times New Roman"/>
                <w:b/>
                <w:u w:val="single"/>
              </w:rPr>
              <w:t>29 to &lt; 35</w:t>
            </w:r>
          </w:p>
        </w:tc>
        <w:tc>
          <w:tcPr>
            <w:tcW w:w="4487" w:type="dxa"/>
            <w:tcBorders>
              <w:top w:val="single" w:sz="4" w:space="0" w:color="auto"/>
              <w:left w:val="single" w:sz="4" w:space="0" w:color="auto"/>
              <w:bottom w:val="single" w:sz="4" w:space="0" w:color="auto"/>
              <w:right w:val="double" w:sz="4" w:space="0" w:color="auto"/>
            </w:tcBorders>
            <w:vAlign w:val="center"/>
            <w:hideMark/>
          </w:tcPr>
          <w:p w:rsidR="005E0695" w:rsidRPr="002748CF" w:rsidRDefault="005E0695" w:rsidP="00BD5BEB">
            <w:pPr>
              <w:keepNext/>
              <w:spacing w:after="0"/>
              <w:ind w:left="17"/>
              <w:jc w:val="center"/>
              <w:rPr>
                <w:rFonts w:eastAsia="Calibri" w:cs="Times New Roman"/>
                <w:b/>
                <w:u w:val="single"/>
              </w:rPr>
            </w:pPr>
            <w:r w:rsidRPr="002748CF">
              <w:rPr>
                <w:rFonts w:eastAsia="Calibri" w:cs="Times New Roman"/>
                <w:b/>
                <w:u w:val="single"/>
              </w:rPr>
              <w:t>424</w:t>
            </w:r>
            <w:r>
              <w:rPr>
                <w:rFonts w:eastAsia="Calibri" w:cs="Times New Roman"/>
                <w:b/>
                <w:u w:val="single"/>
              </w:rPr>
              <w:t> </w:t>
            </w:r>
            <w:r w:rsidRPr="002748CF">
              <w:rPr>
                <w:rFonts w:eastAsia="Calibri" w:cs="Times New Roman"/>
                <w:b/>
                <w:u w:val="single"/>
              </w:rPr>
              <w:t>000</w:t>
            </w:r>
          </w:p>
        </w:tc>
      </w:tr>
      <w:tr w:rsidR="005E0695" w:rsidRPr="002748CF" w:rsidTr="005E0695">
        <w:tc>
          <w:tcPr>
            <w:tcW w:w="4483" w:type="dxa"/>
            <w:tcBorders>
              <w:top w:val="single" w:sz="4" w:space="0" w:color="auto"/>
              <w:left w:val="double" w:sz="4" w:space="0" w:color="auto"/>
              <w:bottom w:val="single" w:sz="4" w:space="0" w:color="auto"/>
              <w:right w:val="single" w:sz="4" w:space="0" w:color="auto"/>
            </w:tcBorders>
            <w:vAlign w:val="center"/>
            <w:hideMark/>
          </w:tcPr>
          <w:p w:rsidR="005E0695" w:rsidRPr="002748CF" w:rsidRDefault="005E0695" w:rsidP="00CE7CB1">
            <w:pPr>
              <w:keepNext/>
              <w:spacing w:after="0"/>
              <w:ind w:right="1733"/>
              <w:jc w:val="right"/>
              <w:rPr>
                <w:rFonts w:eastAsia="Calibri" w:cs="Times New Roman"/>
                <w:b/>
                <w:u w:val="single"/>
              </w:rPr>
            </w:pPr>
            <w:r w:rsidRPr="002748CF">
              <w:rPr>
                <w:rFonts w:eastAsia="Calibri" w:cs="Times New Roman"/>
                <w:b/>
                <w:u w:val="single"/>
              </w:rPr>
              <w:t>35 to &lt; 40</w:t>
            </w:r>
          </w:p>
        </w:tc>
        <w:tc>
          <w:tcPr>
            <w:tcW w:w="4487" w:type="dxa"/>
            <w:tcBorders>
              <w:top w:val="single" w:sz="4" w:space="0" w:color="auto"/>
              <w:left w:val="single" w:sz="4" w:space="0" w:color="auto"/>
              <w:bottom w:val="single" w:sz="4" w:space="0" w:color="auto"/>
              <w:right w:val="double" w:sz="4" w:space="0" w:color="auto"/>
            </w:tcBorders>
            <w:vAlign w:val="center"/>
            <w:hideMark/>
          </w:tcPr>
          <w:p w:rsidR="005E0695" w:rsidRPr="002748CF" w:rsidRDefault="005E0695" w:rsidP="00BD5BEB">
            <w:pPr>
              <w:keepNext/>
              <w:spacing w:after="0"/>
              <w:ind w:left="17"/>
              <w:jc w:val="center"/>
              <w:rPr>
                <w:rFonts w:eastAsia="Calibri" w:cs="Times New Roman"/>
                <w:b/>
                <w:u w:val="single"/>
              </w:rPr>
            </w:pPr>
            <w:r w:rsidRPr="002748CF">
              <w:rPr>
                <w:rFonts w:eastAsia="Calibri" w:cs="Times New Roman"/>
                <w:b/>
                <w:u w:val="single"/>
              </w:rPr>
              <w:t>516</w:t>
            </w:r>
            <w:r>
              <w:rPr>
                <w:rFonts w:eastAsia="Calibri" w:cs="Times New Roman"/>
                <w:b/>
                <w:u w:val="single"/>
              </w:rPr>
              <w:t> </w:t>
            </w:r>
            <w:r w:rsidRPr="002748CF">
              <w:rPr>
                <w:rFonts w:eastAsia="Calibri" w:cs="Times New Roman"/>
                <w:b/>
                <w:u w:val="single"/>
              </w:rPr>
              <w:t>000</w:t>
            </w:r>
          </w:p>
        </w:tc>
      </w:tr>
      <w:tr w:rsidR="005E0695" w:rsidRPr="002748CF" w:rsidTr="005E0695">
        <w:tc>
          <w:tcPr>
            <w:tcW w:w="4483" w:type="dxa"/>
            <w:tcBorders>
              <w:top w:val="single" w:sz="4" w:space="0" w:color="auto"/>
              <w:left w:val="double" w:sz="4" w:space="0" w:color="auto"/>
              <w:bottom w:val="single" w:sz="4" w:space="0" w:color="auto"/>
              <w:right w:val="single" w:sz="4" w:space="0" w:color="auto"/>
            </w:tcBorders>
            <w:vAlign w:val="center"/>
            <w:hideMark/>
          </w:tcPr>
          <w:p w:rsidR="005E0695" w:rsidRPr="002748CF" w:rsidRDefault="005E0695" w:rsidP="00CE7CB1">
            <w:pPr>
              <w:keepNext/>
              <w:spacing w:after="0"/>
              <w:ind w:right="1733"/>
              <w:jc w:val="right"/>
              <w:rPr>
                <w:rFonts w:eastAsia="Calibri" w:cs="Times New Roman"/>
                <w:b/>
                <w:u w:val="single"/>
              </w:rPr>
            </w:pPr>
            <w:r w:rsidRPr="002748CF">
              <w:rPr>
                <w:rFonts w:eastAsia="Calibri" w:cs="Times New Roman"/>
                <w:b/>
                <w:u w:val="single"/>
              </w:rPr>
              <w:t>40 to &lt; 56</w:t>
            </w:r>
          </w:p>
        </w:tc>
        <w:tc>
          <w:tcPr>
            <w:tcW w:w="4487" w:type="dxa"/>
            <w:tcBorders>
              <w:top w:val="single" w:sz="4" w:space="0" w:color="auto"/>
              <w:left w:val="single" w:sz="4" w:space="0" w:color="auto"/>
              <w:bottom w:val="single" w:sz="4" w:space="0" w:color="auto"/>
              <w:right w:val="double" w:sz="4" w:space="0" w:color="auto"/>
            </w:tcBorders>
            <w:vAlign w:val="center"/>
            <w:hideMark/>
          </w:tcPr>
          <w:p w:rsidR="005E0695" w:rsidRPr="002748CF" w:rsidRDefault="005E0695" w:rsidP="00BD5BEB">
            <w:pPr>
              <w:keepNext/>
              <w:spacing w:after="0"/>
              <w:ind w:left="17"/>
              <w:jc w:val="center"/>
              <w:rPr>
                <w:rFonts w:eastAsia="Calibri" w:cs="Times New Roman"/>
                <w:b/>
                <w:u w:val="single"/>
              </w:rPr>
            </w:pPr>
            <w:r w:rsidRPr="002748CF">
              <w:rPr>
                <w:rFonts w:eastAsia="Calibri" w:cs="Times New Roman"/>
                <w:b/>
                <w:u w:val="single"/>
              </w:rPr>
              <w:t>568</w:t>
            </w:r>
            <w:r>
              <w:rPr>
                <w:rFonts w:eastAsia="Calibri" w:cs="Times New Roman"/>
                <w:b/>
                <w:u w:val="single"/>
              </w:rPr>
              <w:t> </w:t>
            </w:r>
            <w:r w:rsidRPr="002748CF">
              <w:rPr>
                <w:rFonts w:eastAsia="Calibri" w:cs="Times New Roman"/>
                <w:b/>
                <w:u w:val="single"/>
              </w:rPr>
              <w:t>000</w:t>
            </w:r>
          </w:p>
        </w:tc>
      </w:tr>
      <w:tr w:rsidR="005E0695" w:rsidRPr="002748CF" w:rsidTr="005E0695">
        <w:tc>
          <w:tcPr>
            <w:tcW w:w="8970" w:type="dxa"/>
            <w:gridSpan w:val="2"/>
            <w:tcBorders>
              <w:top w:val="single" w:sz="4" w:space="0" w:color="auto"/>
              <w:left w:val="double" w:sz="4" w:space="0" w:color="auto"/>
              <w:bottom w:val="double" w:sz="4" w:space="0" w:color="auto"/>
              <w:right w:val="double" w:sz="4" w:space="0" w:color="auto"/>
            </w:tcBorders>
            <w:hideMark/>
          </w:tcPr>
          <w:p w:rsidR="005E0695" w:rsidRPr="002748CF" w:rsidRDefault="005E0695" w:rsidP="00BD5BEB">
            <w:pPr>
              <w:keepNext/>
              <w:spacing w:after="0"/>
              <w:jc w:val="left"/>
              <w:rPr>
                <w:rFonts w:eastAsia="Calibri" w:cs="Times New Roman"/>
                <w:b/>
                <w:u w:val="single"/>
              </w:rPr>
            </w:pPr>
            <w:r w:rsidRPr="002748CF">
              <w:rPr>
                <w:rFonts w:eastAsia="Calibri" w:cs="Times New Roman"/>
                <w:b/>
                <w:u w:val="single"/>
              </w:rPr>
              <w:t>Note:  The capacity of a particular module is based on its length and determined from corresponding capacity values specified in Table S.6.4.</w:t>
            </w:r>
          </w:p>
        </w:tc>
      </w:tr>
      <w:tr w:rsidR="005E0695" w:rsidRPr="002748CF" w:rsidTr="005E0695">
        <w:tc>
          <w:tcPr>
            <w:tcW w:w="8970" w:type="dxa"/>
            <w:gridSpan w:val="2"/>
            <w:tcBorders>
              <w:top w:val="double" w:sz="4" w:space="0" w:color="auto"/>
              <w:left w:val="nil"/>
              <w:bottom w:val="nil"/>
              <w:right w:val="nil"/>
            </w:tcBorders>
          </w:tcPr>
          <w:p w:rsidR="005E0695" w:rsidRPr="002748CF" w:rsidRDefault="005E0695" w:rsidP="005E0695">
            <w:pPr>
              <w:keepNext/>
              <w:spacing w:after="0"/>
              <w:jc w:val="left"/>
              <w:rPr>
                <w:rFonts w:eastAsia="Calibri" w:cs="Times New Roman"/>
                <w:b/>
                <w:u w:val="single"/>
              </w:rPr>
            </w:pPr>
            <w:r>
              <w:rPr>
                <w:rFonts w:eastAsia="Calibri" w:cs="Times New Roman"/>
                <w:b/>
                <w:u w:val="single"/>
              </w:rPr>
              <w:t>(Table Added 20XX)</w:t>
            </w:r>
          </w:p>
        </w:tc>
      </w:tr>
    </w:tbl>
    <w:p w:rsidR="002C4874" w:rsidRPr="002748CF" w:rsidRDefault="002C4874" w:rsidP="000D2FD9">
      <w:pPr>
        <w:spacing w:before="240"/>
        <w:rPr>
          <w:rFonts w:eastAsia="Calibri" w:cs="Times New Roman"/>
        </w:rPr>
      </w:pPr>
      <w:r w:rsidRPr="002748CF">
        <w:rPr>
          <w:rFonts w:eastAsia="Calibri" w:cs="Times New Roman"/>
        </w:rPr>
        <w:t>2) Add the following definition for the term “</w:t>
      </w:r>
      <w:r w:rsidR="00336186" w:rsidRPr="002748CF">
        <w:rPr>
          <w:rFonts w:eastAsia="Calibri" w:cs="Times New Roman"/>
        </w:rPr>
        <w:t>weigh module</w:t>
      </w:r>
      <w:r w:rsidRPr="002748CF">
        <w:rPr>
          <w:rFonts w:eastAsia="Calibri" w:cs="Times New Roman"/>
        </w:rPr>
        <w:t xml:space="preserve">” to </w:t>
      </w:r>
      <w:r w:rsidRPr="00BD5BEB">
        <w:rPr>
          <w:rFonts w:eastAsia="Calibri" w:cs="Times New Roman"/>
        </w:rPr>
        <w:t>NIST Handbook 44</w:t>
      </w:r>
      <w:r w:rsidRPr="002748CF">
        <w:rPr>
          <w:rFonts w:eastAsia="Calibri" w:cs="Times New Roman"/>
        </w:rPr>
        <w:t>, Appendix D:</w:t>
      </w:r>
    </w:p>
    <w:p w:rsidR="002C4874" w:rsidRPr="00EE5422" w:rsidRDefault="000D2FD9" w:rsidP="00A24CA7">
      <w:pPr>
        <w:ind w:left="360"/>
        <w:rPr>
          <w:rFonts w:eastAsia="Times New Roman" w:cs="Times New Roman"/>
          <w:bCs/>
          <w:szCs w:val="20"/>
        </w:rPr>
      </w:pPr>
      <w:r w:rsidRPr="002748CF">
        <w:rPr>
          <w:rFonts w:eastAsia="Calibri" w:cs="Times New Roman"/>
          <w:b/>
          <w:u w:val="single"/>
        </w:rPr>
        <w:t xml:space="preserve">weigh module </w:t>
      </w:r>
      <w:r w:rsidR="002C4874" w:rsidRPr="002748CF">
        <w:rPr>
          <w:rFonts w:eastAsia="Calibri" w:cs="Times New Roman"/>
          <w:b/>
          <w:u w:val="single"/>
        </w:rPr>
        <w:t>- The portion of a load-receiving element supported by two sections.  The length of a module is the distance to which load can be applied. [2.20]</w:t>
      </w:r>
    </w:p>
    <w:p w:rsidR="00C27975" w:rsidRDefault="00C27975" w:rsidP="00C27975">
      <w:r>
        <w:t>A</w:t>
      </w:r>
      <w:r w:rsidR="00FA744F">
        <w:t>n</w:t>
      </w:r>
      <w:r>
        <w:t>y a</w:t>
      </w:r>
      <w:r w:rsidRPr="00762DFC">
        <w:t xml:space="preserve">dditional letters, presentations, and data </w:t>
      </w:r>
      <w:r>
        <w:t xml:space="preserve">that was </w:t>
      </w:r>
      <w:r w:rsidRPr="00762DFC">
        <w:t xml:space="preserve">submitted </w:t>
      </w:r>
      <w:r>
        <w:t>for consideration for this item is located in the S&amp;T Appendix A</w:t>
      </w:r>
      <w:r w:rsidRPr="00762DFC">
        <w:rPr>
          <w:rStyle w:val="Hyperlink"/>
          <w:u w:val="none"/>
        </w:rPr>
        <w:t>.</w:t>
      </w:r>
      <w:r w:rsidRPr="00960D99">
        <w:t xml:space="preserve">  </w:t>
      </w:r>
    </w:p>
    <w:p w:rsidR="00074C75" w:rsidRDefault="00074C75">
      <w:pPr>
        <w:pStyle w:val="ItemHeading"/>
      </w:pPr>
      <w:bookmarkStart w:id="13" w:name="_Toc334183616"/>
      <w:r>
        <w:t>320-3</w:t>
      </w:r>
      <w:r>
        <w:tab/>
      </w:r>
      <w:r w:rsidR="00F52FE8">
        <w:t>V</w:t>
      </w:r>
      <w:r w:rsidR="00F52FE8">
        <w:tab/>
      </w:r>
      <w:r>
        <w:t>N.3.1.2</w:t>
      </w:r>
      <w:r w:rsidR="009937DF">
        <w:t>.</w:t>
      </w:r>
      <w:r w:rsidR="00406CA4">
        <w:t xml:space="preserve"> </w:t>
      </w:r>
      <w:r>
        <w:t xml:space="preserve"> Interim Approval</w:t>
      </w:r>
      <w:bookmarkEnd w:id="13"/>
    </w:p>
    <w:p w:rsidR="002C4874" w:rsidRDefault="002C4874" w:rsidP="002C4874">
      <w:pPr>
        <w:jc w:val="center"/>
      </w:pPr>
      <w:r>
        <w:rPr>
          <w:szCs w:val="20"/>
          <w:lang w:val="en-CA"/>
        </w:rPr>
        <w:t>(This item was adopted.)</w:t>
      </w:r>
    </w:p>
    <w:p w:rsidR="00074C75" w:rsidRDefault="00074C75" w:rsidP="00BD5BEB">
      <w:pPr>
        <w:pStyle w:val="BoldHeading"/>
        <w:spacing w:after="0"/>
      </w:pPr>
      <w:r>
        <w:t xml:space="preserve">Source: </w:t>
      </w:r>
    </w:p>
    <w:p w:rsidR="00074C75" w:rsidRDefault="00074C75" w:rsidP="00074C75">
      <w:r>
        <w:t xml:space="preserve">Systems Associates, Inc., </w:t>
      </w:r>
      <w:r w:rsidR="00882F3E">
        <w:t>(2012)</w:t>
      </w:r>
    </w:p>
    <w:p w:rsidR="00074C75" w:rsidRDefault="00074C75" w:rsidP="00BD5BEB">
      <w:pPr>
        <w:pStyle w:val="BoldHeading"/>
        <w:spacing w:after="0"/>
      </w:pPr>
      <w:r>
        <w:t xml:space="preserve">Purpose: </w:t>
      </w:r>
    </w:p>
    <w:p w:rsidR="00074C75" w:rsidRDefault="00755CCC" w:rsidP="00074C75">
      <w:r>
        <w:t>A</w:t>
      </w:r>
      <w:r w:rsidR="00074C75">
        <w:t xml:space="preserve">lign </w:t>
      </w:r>
      <w:r w:rsidR="00074C75" w:rsidRPr="00BD5BEB">
        <w:t>NIST Handbook 44</w:t>
      </w:r>
      <w:r w:rsidR="00074C75">
        <w:t xml:space="preserve"> with updated material in </w:t>
      </w:r>
      <w:r w:rsidR="00074C75" w:rsidRPr="00074C75">
        <w:rPr>
          <w:i/>
        </w:rPr>
        <w:t>AAR Scale Handbook</w:t>
      </w:r>
      <w:r w:rsidR="009937DF">
        <w:rPr>
          <w:i/>
        </w:rPr>
        <w:t>.</w:t>
      </w:r>
    </w:p>
    <w:p w:rsidR="00074C75" w:rsidRDefault="00074C75" w:rsidP="00BD5BEB">
      <w:pPr>
        <w:pStyle w:val="BoldHeading"/>
        <w:spacing w:after="0"/>
      </w:pPr>
      <w:r>
        <w:t>Item Under Consideration:</w:t>
      </w:r>
    </w:p>
    <w:p w:rsidR="00074C75" w:rsidRDefault="00074C75" w:rsidP="00074C75">
      <w:r>
        <w:t xml:space="preserve">Amend </w:t>
      </w:r>
      <w:r w:rsidRPr="00BD5BEB">
        <w:t>NIST Handbook 44</w:t>
      </w:r>
      <w:r w:rsidR="00F52FE8">
        <w:rPr>
          <w:i/>
        </w:rPr>
        <w:t xml:space="preserve">, </w:t>
      </w:r>
      <w:r>
        <w:t xml:space="preserve">Scales Code paragraph N.3.1.2. </w:t>
      </w:r>
      <w:r w:rsidR="00F52FE8">
        <w:t xml:space="preserve">Interim Approval </w:t>
      </w:r>
      <w:r>
        <w:t>as follows:</w:t>
      </w:r>
    </w:p>
    <w:p w:rsidR="00F82774" w:rsidRPr="006A7579" w:rsidRDefault="00F82774" w:rsidP="00BD5BEB">
      <w:pPr>
        <w:tabs>
          <w:tab w:val="left" w:pos="360"/>
          <w:tab w:val="left" w:pos="1080"/>
        </w:tabs>
        <w:spacing w:after="60"/>
        <w:ind w:left="360"/>
        <w:outlineLvl w:val="3"/>
        <w:rPr>
          <w:rFonts w:eastAsia="Times New Roman"/>
          <w:b/>
          <w:bCs/>
          <w:szCs w:val="20"/>
        </w:rPr>
      </w:pPr>
      <w:r w:rsidRPr="006A7579">
        <w:rPr>
          <w:rFonts w:eastAsia="Times New Roman"/>
          <w:b/>
          <w:bCs/>
          <w:szCs w:val="20"/>
        </w:rPr>
        <w:t>N.3.1.</w:t>
      </w:r>
      <w:r w:rsidRPr="006A7579">
        <w:rPr>
          <w:rFonts w:eastAsia="Times New Roman"/>
          <w:b/>
          <w:bCs/>
          <w:szCs w:val="20"/>
        </w:rPr>
        <w:tab/>
        <w:t xml:space="preserve">Minimum Test-Weight Load and </w:t>
      </w:r>
      <w:r w:rsidRPr="006A7579">
        <w:rPr>
          <w:rFonts w:eastAsia="Times New Roman"/>
          <w:b/>
          <w:bCs/>
          <w:szCs w:val="20"/>
          <w:u w:val="single"/>
        </w:rPr>
        <w:t>Tests</w:t>
      </w:r>
      <w:r w:rsidRPr="006A7579">
        <w:rPr>
          <w:rFonts w:eastAsia="Times New Roman"/>
          <w:bCs/>
          <w:szCs w:val="20"/>
          <w:u w:val="single"/>
        </w:rPr>
        <w:t xml:space="preserve"> </w:t>
      </w:r>
      <w:r w:rsidRPr="006A7579">
        <w:rPr>
          <w:rFonts w:eastAsia="Times New Roman"/>
          <w:b/>
          <w:bCs/>
          <w:strike/>
          <w:szCs w:val="20"/>
        </w:rPr>
        <w:t>Recommended Strain-Load Test</w:t>
      </w:r>
      <w:r w:rsidRPr="006A7579">
        <w:rPr>
          <w:rFonts w:eastAsia="Times New Roman"/>
          <w:b/>
          <w:bCs/>
          <w:szCs w:val="20"/>
        </w:rPr>
        <w:t xml:space="preserve"> for Railway Track Scales</w:t>
      </w:r>
    </w:p>
    <w:p w:rsidR="00F82774" w:rsidRPr="006A7579" w:rsidRDefault="00F82774" w:rsidP="00BB22D1">
      <w:pPr>
        <w:tabs>
          <w:tab w:val="left" w:pos="288"/>
        </w:tabs>
        <w:spacing w:before="60" w:after="200" w:line="276" w:lineRule="auto"/>
        <w:ind w:left="360"/>
        <w:rPr>
          <w:rFonts w:eastAsia="Calibri"/>
          <w:szCs w:val="20"/>
        </w:rPr>
      </w:pPr>
      <w:r w:rsidRPr="006A7579">
        <w:rPr>
          <w:szCs w:val="20"/>
        </w:rPr>
        <w:t xml:space="preserve">(Amended 1990 </w:t>
      </w:r>
      <w:r w:rsidRPr="006A7579">
        <w:rPr>
          <w:b/>
          <w:szCs w:val="20"/>
          <w:u w:val="single"/>
        </w:rPr>
        <w:t>and 2012</w:t>
      </w:r>
      <w:r w:rsidRPr="006A7579">
        <w:rPr>
          <w:szCs w:val="20"/>
        </w:rPr>
        <w:t>)</w:t>
      </w:r>
    </w:p>
    <w:p w:rsidR="00F82774" w:rsidRPr="006A7579" w:rsidRDefault="00F82774" w:rsidP="00336186">
      <w:pPr>
        <w:tabs>
          <w:tab w:val="left" w:pos="1620"/>
        </w:tabs>
        <w:spacing w:after="60" w:line="276" w:lineRule="auto"/>
        <w:ind w:left="720"/>
        <w:rPr>
          <w:szCs w:val="20"/>
        </w:rPr>
      </w:pPr>
      <w:r w:rsidRPr="006A7579">
        <w:rPr>
          <w:b/>
          <w:szCs w:val="20"/>
        </w:rPr>
        <w:t>N.3.1.1.</w:t>
      </w:r>
      <w:r w:rsidRPr="006A7579">
        <w:rPr>
          <w:b/>
          <w:szCs w:val="20"/>
        </w:rPr>
        <w:tab/>
      </w:r>
      <w:r w:rsidRPr="006A7579">
        <w:rPr>
          <w:b/>
          <w:szCs w:val="20"/>
          <w:u w:val="single"/>
        </w:rPr>
        <w:t>Initial and Subsequent Tests</w:t>
      </w:r>
      <w:r w:rsidRPr="006A7579">
        <w:rPr>
          <w:b/>
          <w:szCs w:val="20"/>
        </w:rPr>
        <w:t xml:space="preserve"> </w:t>
      </w:r>
      <w:r w:rsidRPr="006A7579">
        <w:rPr>
          <w:b/>
          <w:strike/>
          <w:szCs w:val="20"/>
        </w:rPr>
        <w:t>Approval</w:t>
      </w:r>
      <w:r w:rsidRPr="006A7579">
        <w:rPr>
          <w:b/>
          <w:szCs w:val="20"/>
        </w:rPr>
        <w:t>.</w:t>
      </w:r>
      <w:r w:rsidRPr="006A7579">
        <w:rPr>
          <w:szCs w:val="20"/>
        </w:rPr>
        <w:t xml:space="preserve"> – The test-weight load shall be not less than 35 000 kg (80 000 lb).  A strain</w:t>
      </w:r>
      <w:r w:rsidRPr="006A7579">
        <w:rPr>
          <w:szCs w:val="20"/>
        </w:rPr>
        <w:noBreakHyphen/>
        <w:t>load test conducted up to the used capacity of the weighing system is recommended.</w:t>
      </w:r>
    </w:p>
    <w:p w:rsidR="00F82774" w:rsidRPr="006A7579" w:rsidRDefault="00F82774" w:rsidP="00BD5BEB">
      <w:pPr>
        <w:tabs>
          <w:tab w:val="left" w:pos="1620"/>
        </w:tabs>
        <w:spacing w:after="0" w:line="276" w:lineRule="auto"/>
        <w:ind w:left="720"/>
        <w:rPr>
          <w:b/>
          <w:szCs w:val="20"/>
          <w:u w:val="single"/>
        </w:rPr>
      </w:pPr>
      <w:r w:rsidRPr="006A7579">
        <w:rPr>
          <w:szCs w:val="20"/>
        </w:rPr>
        <w:t xml:space="preserve">(Added 1990) </w:t>
      </w:r>
      <w:r w:rsidRPr="006A7579">
        <w:rPr>
          <w:b/>
          <w:szCs w:val="20"/>
          <w:u w:val="single"/>
        </w:rPr>
        <w:t>(Amended 2012)</w:t>
      </w:r>
    </w:p>
    <w:p w:rsidR="00F82774" w:rsidRPr="006A7579" w:rsidRDefault="00F82774" w:rsidP="00FA744F">
      <w:pPr>
        <w:tabs>
          <w:tab w:val="left" w:pos="1620"/>
        </w:tabs>
        <w:spacing w:before="240" w:after="200" w:line="276" w:lineRule="auto"/>
        <w:ind w:left="720"/>
        <w:rPr>
          <w:b/>
          <w:szCs w:val="20"/>
          <w:u w:val="single"/>
        </w:rPr>
      </w:pPr>
      <w:r w:rsidRPr="006A7579">
        <w:rPr>
          <w:b/>
          <w:szCs w:val="20"/>
        </w:rPr>
        <w:t>N.3.1.2.</w:t>
      </w:r>
      <w:r w:rsidRPr="006A7579">
        <w:rPr>
          <w:b/>
          <w:szCs w:val="20"/>
        </w:rPr>
        <w:tab/>
        <w:t xml:space="preserve">Interim Test </w:t>
      </w:r>
      <w:r w:rsidRPr="006A7579">
        <w:rPr>
          <w:b/>
          <w:strike/>
          <w:szCs w:val="20"/>
        </w:rPr>
        <w:t>Approval</w:t>
      </w:r>
      <w:r w:rsidRPr="006A7579">
        <w:rPr>
          <w:b/>
          <w:szCs w:val="20"/>
        </w:rPr>
        <w:t>.</w:t>
      </w:r>
      <w:r w:rsidRPr="006A7579">
        <w:rPr>
          <w:szCs w:val="20"/>
        </w:rPr>
        <w:t xml:space="preserve"> – </w:t>
      </w:r>
      <w:r w:rsidRPr="006A7579">
        <w:rPr>
          <w:b/>
          <w:strike/>
          <w:szCs w:val="20"/>
        </w:rPr>
        <w:t>A test-weight load of not less than 13 500 kg (30 000 lb) and a strain</w:t>
      </w:r>
      <w:r w:rsidRPr="006A7579">
        <w:rPr>
          <w:b/>
          <w:strike/>
          <w:szCs w:val="20"/>
        </w:rPr>
        <w:noBreakHyphen/>
        <w:t>load test up to at least 25 % of scale capacity may be used to return a scale into service following repairs.</w:t>
      </w:r>
      <w:r w:rsidR="00FA744F">
        <w:rPr>
          <w:b/>
          <w:strike/>
          <w:szCs w:val="20"/>
        </w:rPr>
        <w:t xml:space="preserve">  </w:t>
      </w:r>
      <w:r w:rsidRPr="006A7579">
        <w:rPr>
          <w:b/>
          <w:szCs w:val="20"/>
          <w:u w:val="single"/>
        </w:rPr>
        <w:t>An Interim Test may be used to return a railway track scale into temporary service following repairs that could affect the accuracy of the weighing system provided all of the following conditions are met:</w:t>
      </w:r>
    </w:p>
    <w:p w:rsidR="00F82774" w:rsidRPr="006A7579" w:rsidRDefault="00F82774" w:rsidP="00BB22D1">
      <w:pPr>
        <w:numPr>
          <w:ilvl w:val="0"/>
          <w:numId w:val="36"/>
        </w:numPr>
        <w:tabs>
          <w:tab w:val="left" w:pos="1440"/>
        </w:tabs>
        <w:spacing w:after="200" w:line="276" w:lineRule="auto"/>
        <w:jc w:val="left"/>
        <w:rPr>
          <w:b/>
          <w:szCs w:val="20"/>
          <w:u w:val="single"/>
        </w:rPr>
      </w:pPr>
      <w:r w:rsidRPr="006A7579">
        <w:rPr>
          <w:b/>
          <w:szCs w:val="20"/>
          <w:u w:val="single"/>
        </w:rPr>
        <w:t xml:space="preserve"> A test weight load of not less than </w:t>
      </w:r>
      <w:r w:rsidR="00A24CA7" w:rsidRPr="006A7579">
        <w:rPr>
          <w:b/>
          <w:szCs w:val="20"/>
          <w:u w:val="single"/>
        </w:rPr>
        <w:t>13</w:t>
      </w:r>
      <w:r w:rsidR="00A24CA7">
        <w:rPr>
          <w:b/>
          <w:szCs w:val="20"/>
          <w:u w:val="single"/>
        </w:rPr>
        <w:t> </w:t>
      </w:r>
      <w:r w:rsidRPr="006A7579">
        <w:rPr>
          <w:b/>
          <w:szCs w:val="20"/>
          <w:u w:val="single"/>
        </w:rPr>
        <w:t>500 kg (30</w:t>
      </w:r>
      <w:r w:rsidR="00A24CA7">
        <w:rPr>
          <w:b/>
          <w:szCs w:val="20"/>
          <w:u w:val="single"/>
        </w:rPr>
        <w:t> </w:t>
      </w:r>
      <w:r w:rsidRPr="006A7579">
        <w:rPr>
          <w:b/>
          <w:szCs w:val="20"/>
          <w:u w:val="single"/>
        </w:rPr>
        <w:t>000</w:t>
      </w:r>
      <w:r w:rsidR="00A24CA7">
        <w:rPr>
          <w:b/>
          <w:szCs w:val="20"/>
          <w:u w:val="single"/>
        </w:rPr>
        <w:t> </w:t>
      </w:r>
      <w:r w:rsidRPr="006A7579">
        <w:rPr>
          <w:b/>
          <w:szCs w:val="20"/>
          <w:u w:val="single"/>
        </w:rPr>
        <w:t>lb) shall be used;</w:t>
      </w:r>
    </w:p>
    <w:p w:rsidR="00F82774" w:rsidRPr="006A7579" w:rsidRDefault="00F82774" w:rsidP="00BB22D1">
      <w:pPr>
        <w:numPr>
          <w:ilvl w:val="0"/>
          <w:numId w:val="36"/>
        </w:numPr>
        <w:tabs>
          <w:tab w:val="left" w:pos="1440"/>
        </w:tabs>
        <w:spacing w:after="200" w:line="276" w:lineRule="auto"/>
        <w:jc w:val="left"/>
        <w:rPr>
          <w:b/>
          <w:szCs w:val="20"/>
          <w:u w:val="single"/>
        </w:rPr>
      </w:pPr>
      <w:r w:rsidRPr="006A7579">
        <w:rPr>
          <w:b/>
          <w:szCs w:val="20"/>
          <w:u w:val="single"/>
        </w:rPr>
        <w:lastRenderedPageBreak/>
        <w:t>A shift (section) test shall be conducted using a test-weight load of not less than 13 500 kg (30 000 lb);</w:t>
      </w:r>
    </w:p>
    <w:p w:rsidR="00F82774" w:rsidRPr="006A7579" w:rsidRDefault="00F82774" w:rsidP="00BB22D1">
      <w:pPr>
        <w:numPr>
          <w:ilvl w:val="0"/>
          <w:numId w:val="36"/>
        </w:numPr>
        <w:tabs>
          <w:tab w:val="left" w:pos="1440"/>
        </w:tabs>
        <w:spacing w:after="200" w:line="276" w:lineRule="auto"/>
        <w:jc w:val="left"/>
        <w:rPr>
          <w:b/>
          <w:szCs w:val="20"/>
          <w:u w:val="single"/>
        </w:rPr>
      </w:pPr>
      <w:r w:rsidRPr="006A7579">
        <w:rPr>
          <w:b/>
          <w:szCs w:val="20"/>
          <w:u w:val="single"/>
        </w:rPr>
        <w:t xml:space="preserve">A strain-load test shall be conducted up to at least </w:t>
      </w:r>
      <w:r w:rsidR="00A24CA7" w:rsidRPr="006A7579">
        <w:rPr>
          <w:b/>
          <w:szCs w:val="20"/>
          <w:u w:val="single"/>
        </w:rPr>
        <w:t>25</w:t>
      </w:r>
      <w:r w:rsidR="00A24CA7">
        <w:rPr>
          <w:b/>
          <w:szCs w:val="20"/>
          <w:u w:val="single"/>
        </w:rPr>
        <w:t> </w:t>
      </w:r>
      <w:r w:rsidRPr="006A7579">
        <w:rPr>
          <w:b/>
          <w:szCs w:val="20"/>
          <w:u w:val="single"/>
        </w:rPr>
        <w:t>% of scale capacity;</w:t>
      </w:r>
    </w:p>
    <w:p w:rsidR="00F82774" w:rsidRPr="006A7579" w:rsidRDefault="00F82774" w:rsidP="00BB22D1">
      <w:pPr>
        <w:numPr>
          <w:ilvl w:val="0"/>
          <w:numId w:val="36"/>
        </w:numPr>
        <w:tabs>
          <w:tab w:val="left" w:pos="1440"/>
        </w:tabs>
        <w:spacing w:after="200" w:line="276" w:lineRule="auto"/>
        <w:jc w:val="left"/>
        <w:rPr>
          <w:b/>
          <w:szCs w:val="20"/>
          <w:u w:val="single"/>
        </w:rPr>
      </w:pPr>
      <w:r w:rsidRPr="006A7579">
        <w:rPr>
          <w:b/>
          <w:szCs w:val="20"/>
          <w:u w:val="single"/>
        </w:rPr>
        <w:t xml:space="preserve">All test results shall be within applicable tolerances; and </w:t>
      </w:r>
    </w:p>
    <w:p w:rsidR="00F82774" w:rsidRPr="00185A0A" w:rsidRDefault="00F82774" w:rsidP="00BD5BEB">
      <w:pPr>
        <w:numPr>
          <w:ilvl w:val="0"/>
          <w:numId w:val="36"/>
        </w:numPr>
        <w:tabs>
          <w:tab w:val="left" w:pos="1440"/>
        </w:tabs>
        <w:spacing w:after="0" w:line="276" w:lineRule="auto"/>
        <w:jc w:val="left"/>
        <w:rPr>
          <w:b/>
          <w:szCs w:val="20"/>
          <w:u w:val="single"/>
        </w:rPr>
      </w:pPr>
      <w:r w:rsidRPr="006A7579">
        <w:rPr>
          <w:b/>
          <w:szCs w:val="20"/>
          <w:u w:val="single"/>
        </w:rPr>
        <w:t xml:space="preserve">The official with statutory authority shall be immediately notified when scales are repaired and placed in temporary service with an Interim Test.  The length of </w:t>
      </w:r>
      <w:r w:rsidR="00FA744F" w:rsidRPr="006A7579">
        <w:rPr>
          <w:b/>
          <w:szCs w:val="20"/>
          <w:u w:val="single"/>
        </w:rPr>
        <w:t xml:space="preserve">temporary service </w:t>
      </w:r>
      <w:r w:rsidRPr="006A7579">
        <w:rPr>
          <w:b/>
          <w:szCs w:val="20"/>
          <w:u w:val="single"/>
        </w:rPr>
        <w:t>following repairs is at the discretion of the official with statutory authority.</w:t>
      </w:r>
    </w:p>
    <w:p w:rsidR="00F82774" w:rsidRPr="006A7579" w:rsidRDefault="00F82774" w:rsidP="00BB22D1">
      <w:pPr>
        <w:tabs>
          <w:tab w:val="left" w:pos="1620"/>
        </w:tabs>
        <w:spacing w:before="60" w:after="200" w:line="276" w:lineRule="auto"/>
        <w:ind w:left="720"/>
        <w:rPr>
          <w:b/>
          <w:szCs w:val="20"/>
          <w:u w:val="single"/>
        </w:rPr>
      </w:pPr>
      <w:r w:rsidRPr="006A7579">
        <w:rPr>
          <w:szCs w:val="20"/>
        </w:rPr>
        <w:t>(Added 1990)</w:t>
      </w:r>
      <w:r w:rsidRPr="006A7579">
        <w:rPr>
          <w:b/>
          <w:szCs w:val="20"/>
          <w:u w:val="single"/>
        </w:rPr>
        <w:t xml:space="preserve"> (Amended 2012)</w:t>
      </w:r>
    </w:p>
    <w:p w:rsidR="00F82774" w:rsidRPr="006A7579" w:rsidRDefault="00F82774" w:rsidP="00BD5BEB">
      <w:pPr>
        <w:tabs>
          <w:tab w:val="left" w:pos="288"/>
        </w:tabs>
        <w:spacing w:after="60"/>
        <w:ind w:left="720"/>
        <w:rPr>
          <w:rFonts w:ascii="Arial Narrow" w:hAnsi="Arial Narrow"/>
          <w:szCs w:val="20"/>
        </w:rPr>
      </w:pPr>
      <w:r w:rsidRPr="006A7579">
        <w:rPr>
          <w:rFonts w:ascii="Arial Narrow" w:hAnsi="Arial Narrow"/>
          <w:b/>
          <w:bCs/>
          <w:strike/>
          <w:szCs w:val="20"/>
        </w:rPr>
        <w:t>Note</w:t>
      </w:r>
      <w:r w:rsidRPr="006A7579">
        <w:rPr>
          <w:rFonts w:ascii="Arial Narrow" w:hAnsi="Arial Narrow"/>
          <w:b/>
          <w:strike/>
          <w:szCs w:val="20"/>
        </w:rPr>
        <w:t>:  The length of time the scale may be used following an interim test is at the discretion of the official with statutory authority</w:t>
      </w:r>
      <w:r w:rsidRPr="006A7579">
        <w:rPr>
          <w:rFonts w:ascii="Arial Narrow" w:hAnsi="Arial Narrow"/>
          <w:szCs w:val="20"/>
        </w:rPr>
        <w:t>.</w:t>
      </w:r>
    </w:p>
    <w:p w:rsidR="00F82774" w:rsidRPr="006A7579" w:rsidRDefault="00F82774" w:rsidP="00BB22D1">
      <w:pPr>
        <w:ind w:left="360"/>
      </w:pPr>
      <w:r w:rsidRPr="006A7579">
        <w:rPr>
          <w:b/>
          <w:strike/>
          <w:szCs w:val="20"/>
        </w:rPr>
        <w:t>(Added 1990)</w:t>
      </w:r>
    </w:p>
    <w:p w:rsidR="00074C75" w:rsidRDefault="00074C75" w:rsidP="00F70FD4">
      <w:pPr>
        <w:pStyle w:val="BoldHeading"/>
        <w:spacing w:after="0"/>
      </w:pPr>
      <w:r>
        <w:t>Background/Discussion:</w:t>
      </w:r>
    </w:p>
    <w:p w:rsidR="00074C75" w:rsidRDefault="00074C75" w:rsidP="00074C75">
      <w:r>
        <w:t xml:space="preserve">The interim approval </w:t>
      </w:r>
      <w:r w:rsidR="00755CCC">
        <w:t xml:space="preserve">for railway track scales </w:t>
      </w:r>
      <w:r>
        <w:t xml:space="preserve">was added to </w:t>
      </w:r>
      <w:r w:rsidRPr="00BD5BEB">
        <w:t>NIST Handbook 44</w:t>
      </w:r>
      <w:r>
        <w:t xml:space="preserve"> in 1990 to address the response time for positioning proper test weight equipment following a breakdown and subsequent repairs of a railcar weighing system.  An interim approval is not appropriate under normal scale maintenance circumstances.  In addition, returning a scale to service without requiring a section test could </w:t>
      </w:r>
      <w:r w:rsidR="00F52FE8">
        <w:t xml:space="preserve">overlook </w:t>
      </w:r>
      <w:r>
        <w:t>a serious accuracy problem, especially when using 30</w:t>
      </w:r>
      <w:r w:rsidR="00A24CA7">
        <w:t> 000 </w:t>
      </w:r>
      <w:r>
        <w:t xml:space="preserve">lb weights.  As </w:t>
      </w:r>
      <w:r w:rsidRPr="00BD5BEB">
        <w:t>NIST Handbook 44</w:t>
      </w:r>
      <w:r>
        <w:t xml:space="preserve"> requires 80</w:t>
      </w:r>
      <w:r w:rsidR="00A24CA7">
        <w:t> 000 </w:t>
      </w:r>
      <w:r>
        <w:t>lb of test weight</w:t>
      </w:r>
      <w:r w:rsidR="00F52FE8">
        <w:t>s</w:t>
      </w:r>
      <w:r>
        <w:t xml:space="preserve"> for testing a railcar scale, any cost impact in limiting the scope of the interim test would be minimal.</w:t>
      </w:r>
    </w:p>
    <w:p w:rsidR="00755CCC" w:rsidRDefault="00074C75" w:rsidP="00074C75">
      <w:r>
        <w:t xml:space="preserve">The changes to the </w:t>
      </w:r>
      <w:r w:rsidR="009937DF">
        <w:t xml:space="preserve">interim test specification were </w:t>
      </w:r>
      <w:r>
        <w:t>developed by Committee 34 - Scales, of the AREMA and approved</w:t>
      </w:r>
      <w:r w:rsidR="008323CC">
        <w:t>, by unanimous vote,</w:t>
      </w:r>
      <w:r>
        <w:t xml:space="preserve"> for inclusion in the </w:t>
      </w:r>
      <w:r w:rsidRPr="00BD5BEB">
        <w:rPr>
          <w:i/>
        </w:rPr>
        <w:t>AAR Scale Handbook</w:t>
      </w:r>
      <w:r w:rsidR="0023324C">
        <w:t>.</w:t>
      </w:r>
      <w:r w:rsidR="00F52FE8">
        <w:t xml:space="preserve">  </w:t>
      </w:r>
    </w:p>
    <w:p w:rsidR="00074C75" w:rsidRDefault="00074C75" w:rsidP="00074C75">
      <w:r>
        <w:t>At the 2011 CWMA Interim Meeting</w:t>
      </w:r>
      <w:r w:rsidR="00882F3E">
        <w:t xml:space="preserve">, </w:t>
      </w:r>
      <w:r w:rsidR="00F52FE8">
        <w:t xml:space="preserve">members of the weighing </w:t>
      </w:r>
      <w:r w:rsidR="00882F3E">
        <w:t>i</w:t>
      </w:r>
      <w:r>
        <w:t xml:space="preserve">ndustry stated that this proposal would strengthen the type of test conducted for an interim approval by requiring </w:t>
      </w:r>
      <w:r w:rsidR="00882F3E">
        <w:t xml:space="preserve">that </w:t>
      </w:r>
      <w:r>
        <w:t>a shift test be conducted during an interim approval.  Regulatory officials voiced concerns that a calibration would be a repair that could affect the accuracy of the weighing system.  Inserting the words “excluding calibration” between the words repairs and the start of the proposed language would help clarify that an interim approval is not meant to be used in cases where only calibration is being performed.</w:t>
      </w:r>
      <w:r w:rsidR="00F52FE8">
        <w:t xml:space="preserve">  </w:t>
      </w:r>
      <w:r w:rsidR="00755CCC">
        <w:t xml:space="preserve">CWMA </w:t>
      </w:r>
      <w:r w:rsidR="00755CCC" w:rsidRPr="006273B2">
        <w:rPr>
          <w:rFonts w:cs="Times New Roman"/>
        </w:rPr>
        <w:t>forward</w:t>
      </w:r>
      <w:r w:rsidR="00755CCC">
        <w:rPr>
          <w:rFonts w:cs="Times New Roman"/>
        </w:rPr>
        <w:t>ed</w:t>
      </w:r>
      <w:r w:rsidR="00755CCC" w:rsidRPr="006273B2">
        <w:rPr>
          <w:rFonts w:cs="Times New Roman"/>
        </w:rPr>
        <w:t xml:space="preserve"> the item to NCWM</w:t>
      </w:r>
      <w:r w:rsidR="00755CCC">
        <w:rPr>
          <w:rFonts w:cs="Times New Roman"/>
        </w:rPr>
        <w:t xml:space="preserve">, recommending it </w:t>
      </w:r>
      <w:r w:rsidR="00755CCC" w:rsidRPr="006273B2">
        <w:rPr>
          <w:rFonts w:cs="Times New Roman"/>
        </w:rPr>
        <w:t>as a Voting Item</w:t>
      </w:r>
      <w:r w:rsidR="00755CCC" w:rsidDel="006A614D">
        <w:t xml:space="preserve"> </w:t>
      </w:r>
      <w:r w:rsidR="00755CCC">
        <w:t>with the following amendments</w:t>
      </w:r>
      <w:r w:rsidR="009937DF">
        <w:t>:</w:t>
      </w:r>
    </w:p>
    <w:p w:rsidR="00074C75" w:rsidRDefault="005A3015" w:rsidP="005A3015">
      <w:pPr>
        <w:pStyle w:val="I-Normalreg"/>
        <w:tabs>
          <w:tab w:val="left" w:pos="360"/>
          <w:tab w:val="left" w:pos="1260"/>
        </w:tabs>
        <w:spacing w:after="120"/>
      </w:pPr>
      <w:r>
        <w:rPr>
          <w:b/>
        </w:rPr>
        <w:t>N.3.1.2.</w:t>
      </w:r>
      <w:r>
        <w:rPr>
          <w:b/>
        </w:rPr>
        <w:tab/>
      </w:r>
      <w:r w:rsidR="00074C75" w:rsidRPr="0038573C">
        <w:rPr>
          <w:b/>
        </w:rPr>
        <w:t>Minimum Tests for Interim Approval.</w:t>
      </w:r>
      <w:r w:rsidR="00074C75">
        <w:t xml:space="preserve"> – A test-weight load of not less than </w:t>
      </w:r>
      <w:r w:rsidR="00A24CA7">
        <w:t>13 500 </w:t>
      </w:r>
      <w:r w:rsidR="00074C75">
        <w:t>kg (</w:t>
      </w:r>
      <w:r w:rsidR="00A24CA7">
        <w:t>30 000 </w:t>
      </w:r>
      <w:r w:rsidR="00074C75">
        <w:t xml:space="preserve">lb) and a strain-load test up to at least </w:t>
      </w:r>
      <w:r w:rsidR="00A24CA7">
        <w:t>25 </w:t>
      </w:r>
      <w:r w:rsidR="00074C75">
        <w:t>% of scale capacity may be used to return a scale into service following repairs</w:t>
      </w:r>
      <w:r w:rsidR="00074C75" w:rsidRPr="0038573C">
        <w:rPr>
          <w:b/>
          <w:u w:val="single"/>
        </w:rPr>
        <w:t xml:space="preserve">, excluding calibration, that could affect the accuracy of the weighing system.  A test for an Interim Approval shall include a shift (section) test using a test-weight load of not less than </w:t>
      </w:r>
      <w:r w:rsidR="00A24CA7" w:rsidRPr="0038573C">
        <w:rPr>
          <w:b/>
          <w:u w:val="single"/>
        </w:rPr>
        <w:t>13</w:t>
      </w:r>
      <w:r w:rsidR="00A24CA7">
        <w:rPr>
          <w:b/>
          <w:u w:val="single"/>
        </w:rPr>
        <w:t> </w:t>
      </w:r>
      <w:r w:rsidR="00A24CA7" w:rsidRPr="0038573C">
        <w:rPr>
          <w:b/>
          <w:u w:val="single"/>
        </w:rPr>
        <w:t>500</w:t>
      </w:r>
      <w:r w:rsidR="00A24CA7">
        <w:rPr>
          <w:b/>
          <w:u w:val="single"/>
        </w:rPr>
        <w:t> </w:t>
      </w:r>
      <w:r w:rsidR="00074C75" w:rsidRPr="0038573C">
        <w:rPr>
          <w:b/>
          <w:u w:val="single"/>
        </w:rPr>
        <w:t>kg (</w:t>
      </w:r>
      <w:r w:rsidR="00A24CA7" w:rsidRPr="0038573C">
        <w:rPr>
          <w:b/>
          <w:u w:val="single"/>
        </w:rPr>
        <w:t>30</w:t>
      </w:r>
      <w:r w:rsidR="00A24CA7">
        <w:rPr>
          <w:b/>
          <w:u w:val="single"/>
        </w:rPr>
        <w:t> </w:t>
      </w:r>
      <w:r w:rsidR="00A24CA7" w:rsidRPr="0038573C">
        <w:rPr>
          <w:b/>
          <w:u w:val="single"/>
        </w:rPr>
        <w:t>00</w:t>
      </w:r>
      <w:r w:rsidR="00A24CA7">
        <w:rPr>
          <w:b/>
          <w:u w:val="single"/>
        </w:rPr>
        <w:t>0 </w:t>
      </w:r>
      <w:r w:rsidR="0038573C">
        <w:rPr>
          <w:b/>
          <w:u w:val="single"/>
        </w:rPr>
        <w:t xml:space="preserve">lb).  All results shall meet </w:t>
      </w:r>
      <w:r w:rsidR="00074C75" w:rsidRPr="0038573C">
        <w:rPr>
          <w:b/>
          <w:u w:val="single"/>
        </w:rPr>
        <w:t xml:space="preserve">applicable tolerances.  The official with statutory authority shall be immediately notified when scales are repaired and placed in </w:t>
      </w:r>
      <w:r w:rsidR="0038573C">
        <w:rPr>
          <w:b/>
          <w:u w:val="single"/>
        </w:rPr>
        <w:t xml:space="preserve">service with an interim test.  </w:t>
      </w:r>
      <w:r w:rsidR="00074C75" w:rsidRPr="0038573C">
        <w:rPr>
          <w:b/>
          <w:u w:val="single"/>
        </w:rPr>
        <w:t>The time period of temporary use is at the discretion of the official with statutory authority.</w:t>
      </w:r>
    </w:p>
    <w:p w:rsidR="00074C75" w:rsidRPr="0038573C" w:rsidRDefault="00074C75" w:rsidP="00BD5BEB">
      <w:pPr>
        <w:pStyle w:val="I-Normalreg"/>
        <w:tabs>
          <w:tab w:val="left" w:pos="360"/>
        </w:tabs>
        <w:spacing w:after="60"/>
        <w:rPr>
          <w:b/>
          <w:strike/>
        </w:rPr>
      </w:pPr>
      <w:r w:rsidRPr="0038573C">
        <w:rPr>
          <w:b/>
          <w:strike/>
        </w:rPr>
        <w:t>Note:  The length of time the scale may be used following an interim test is at the discretion of the official with statutory authority.</w:t>
      </w:r>
    </w:p>
    <w:p w:rsidR="00074C75" w:rsidRDefault="00074C75" w:rsidP="00BD5BEB">
      <w:pPr>
        <w:pStyle w:val="I-Normalreg"/>
        <w:tabs>
          <w:tab w:val="left" w:pos="720"/>
        </w:tabs>
      </w:pPr>
      <w:r>
        <w:t xml:space="preserve">(Added 1990) </w:t>
      </w:r>
      <w:r w:rsidRPr="0038573C">
        <w:rPr>
          <w:b/>
          <w:u w:val="single"/>
        </w:rPr>
        <w:t>(Amended 20XX)</w:t>
      </w:r>
    </w:p>
    <w:p w:rsidR="0038573C" w:rsidRDefault="0038573C" w:rsidP="00074C75">
      <w:r>
        <w:t>At the 2011 WWMA Annual Meeting</w:t>
      </w:r>
      <w:r w:rsidR="009937DF">
        <w:t>,</w:t>
      </w:r>
      <w:r>
        <w:t xml:space="preserve"> t</w:t>
      </w:r>
      <w:r w:rsidR="00074C75">
        <w:t xml:space="preserve">here were no comments on this proposal at the Open Hearings.  The </w:t>
      </w:r>
      <w:r w:rsidR="00F52FE8">
        <w:t xml:space="preserve">WWMA S&amp;T Committee </w:t>
      </w:r>
      <w:r w:rsidR="00074C75">
        <w:t>agreed that the proposal provides additional clarification of the tests to be conducted during an interim approval of railroad track scales and when an interim approval test is required.</w:t>
      </w:r>
      <w:r>
        <w:t xml:space="preserve"> </w:t>
      </w:r>
      <w:r w:rsidR="00074C75">
        <w:t xml:space="preserve"> </w:t>
      </w:r>
      <w:r w:rsidR="00755CCC">
        <w:t xml:space="preserve">WWMA </w:t>
      </w:r>
      <w:r w:rsidR="00755CCC" w:rsidRPr="006273B2">
        <w:rPr>
          <w:rFonts w:cs="Times New Roman"/>
        </w:rPr>
        <w:t>forward</w:t>
      </w:r>
      <w:r w:rsidR="00755CCC">
        <w:rPr>
          <w:rFonts w:cs="Times New Roman"/>
        </w:rPr>
        <w:t>ed</w:t>
      </w:r>
      <w:r w:rsidR="00755CCC" w:rsidRPr="006273B2">
        <w:rPr>
          <w:rFonts w:cs="Times New Roman"/>
        </w:rPr>
        <w:t xml:space="preserve"> the item to NCWM</w:t>
      </w:r>
      <w:r w:rsidR="00755CCC">
        <w:rPr>
          <w:rFonts w:cs="Times New Roman"/>
        </w:rPr>
        <w:t xml:space="preserve">, recommending it </w:t>
      </w:r>
      <w:r w:rsidR="00755CCC" w:rsidRPr="006273B2">
        <w:rPr>
          <w:rFonts w:cs="Times New Roman"/>
        </w:rPr>
        <w:t>as a Voting Item</w:t>
      </w:r>
      <w:r w:rsidR="00074C75">
        <w:t xml:space="preserve">.  </w:t>
      </w:r>
    </w:p>
    <w:p w:rsidR="00074C75" w:rsidRDefault="0038573C" w:rsidP="00074C75">
      <w:r>
        <w:t xml:space="preserve">At the </w:t>
      </w:r>
      <w:r w:rsidR="00074C75">
        <w:t xml:space="preserve">2011 NEWMA </w:t>
      </w:r>
      <w:r>
        <w:t>Interim Meeting</w:t>
      </w:r>
      <w:r w:rsidR="009937DF">
        <w:t>,</w:t>
      </w:r>
      <w:r>
        <w:t xml:space="preserve"> t</w:t>
      </w:r>
      <w:r w:rsidR="00074C75">
        <w:t>here was no opposition to this item.</w:t>
      </w:r>
      <w:r>
        <w:t xml:space="preserve"> </w:t>
      </w:r>
      <w:r w:rsidR="00074C75">
        <w:t xml:space="preserve"> </w:t>
      </w:r>
      <w:r w:rsidR="00755CCC">
        <w:t xml:space="preserve">NEWMA </w:t>
      </w:r>
      <w:r w:rsidR="00755CCC">
        <w:rPr>
          <w:rFonts w:cs="Times New Roman"/>
        </w:rPr>
        <w:t>f</w:t>
      </w:r>
      <w:r w:rsidR="00755CCC" w:rsidRPr="006273B2">
        <w:rPr>
          <w:rFonts w:cs="Times New Roman"/>
        </w:rPr>
        <w:t>orward</w:t>
      </w:r>
      <w:r w:rsidR="00755CCC">
        <w:rPr>
          <w:rFonts w:cs="Times New Roman"/>
        </w:rPr>
        <w:t>ed</w:t>
      </w:r>
      <w:r w:rsidR="00755CCC" w:rsidRPr="006273B2">
        <w:rPr>
          <w:rFonts w:cs="Times New Roman"/>
        </w:rPr>
        <w:t xml:space="preserve"> the item to NCWM</w:t>
      </w:r>
      <w:r w:rsidR="00755CCC">
        <w:rPr>
          <w:rFonts w:cs="Times New Roman"/>
        </w:rPr>
        <w:t xml:space="preserve">, recommending it as </w:t>
      </w:r>
      <w:r w:rsidR="00755CCC" w:rsidRPr="006273B2">
        <w:rPr>
          <w:rFonts w:cs="Times New Roman"/>
        </w:rPr>
        <w:t>a</w:t>
      </w:r>
      <w:r w:rsidR="00755CCC">
        <w:rPr>
          <w:rFonts w:cs="Times New Roman"/>
        </w:rPr>
        <w:t>n</w:t>
      </w:r>
      <w:r w:rsidR="00755CCC" w:rsidRPr="006273B2">
        <w:rPr>
          <w:rFonts w:cs="Times New Roman"/>
        </w:rPr>
        <w:t xml:space="preserve"> Informational Item</w:t>
      </w:r>
      <w:r w:rsidR="00074C75">
        <w:t xml:space="preserve"> so that input from other regions may be considered.</w:t>
      </w:r>
    </w:p>
    <w:p w:rsidR="00074C75" w:rsidRDefault="0038573C" w:rsidP="00074C75">
      <w:r>
        <w:lastRenderedPageBreak/>
        <w:t xml:space="preserve">At the </w:t>
      </w:r>
      <w:r w:rsidR="00074C75">
        <w:t>2011</w:t>
      </w:r>
      <w:r>
        <w:t xml:space="preserve"> SWMA Annual Meeting t</w:t>
      </w:r>
      <w:r w:rsidR="00074C75">
        <w:t xml:space="preserve">he </w:t>
      </w:r>
      <w:r w:rsidR="00F52FE8">
        <w:t xml:space="preserve">S&amp;T Committee </w:t>
      </w:r>
      <w:r w:rsidR="00074C75">
        <w:t>heard comments from Mr. Straub, Fairbanks</w:t>
      </w:r>
      <w:r w:rsidR="007C4060">
        <w:t xml:space="preserve"> Scales, Inc.</w:t>
      </w:r>
      <w:r w:rsidR="00074C75">
        <w:t xml:space="preserve">, who supported the proposal.  The </w:t>
      </w:r>
      <w:r w:rsidR="0012198E">
        <w:t xml:space="preserve">Committee </w:t>
      </w:r>
      <w:r w:rsidR="00074C75">
        <w:t xml:space="preserve">also heard comments from Mr. Feezor, </w:t>
      </w:r>
      <w:r>
        <w:t xml:space="preserve">Scales Consulting and Testing, </w:t>
      </w:r>
      <w:r w:rsidR="00074C75">
        <w:t xml:space="preserve">who indicated that the definition has already been changed in the </w:t>
      </w:r>
      <w:r w:rsidR="00074C75" w:rsidRPr="00BD5BEB">
        <w:rPr>
          <w:i/>
        </w:rPr>
        <w:t>AAR Handbook</w:t>
      </w:r>
      <w:r w:rsidR="00074C75">
        <w:t xml:space="preserve"> and that this proposal would align </w:t>
      </w:r>
      <w:r w:rsidR="00074C75" w:rsidRPr="00BD5BEB">
        <w:t>NIST Handbook 44</w:t>
      </w:r>
      <w:r w:rsidR="00074C75">
        <w:t xml:space="preserve"> with the </w:t>
      </w:r>
      <w:r w:rsidR="00074C75" w:rsidRPr="00BD5BEB">
        <w:rPr>
          <w:i/>
        </w:rPr>
        <w:t>AAR Handbook</w:t>
      </w:r>
      <w:r>
        <w:t xml:space="preserve">.  </w:t>
      </w:r>
      <w:r w:rsidR="00074C75">
        <w:t>He noted that the Interim Approval was intended to allow a scale to be returned to service until adequate test standards could be brought in b</w:t>
      </w:r>
      <w:r>
        <w:t xml:space="preserve">y the railroad.  There were no </w:t>
      </w:r>
      <w:r w:rsidR="00074C75">
        <w:t xml:space="preserve">comments in opposition.  </w:t>
      </w:r>
      <w:r w:rsidR="00755CCC">
        <w:t xml:space="preserve">SWMA </w:t>
      </w:r>
      <w:r w:rsidR="00755CCC" w:rsidRPr="006273B2">
        <w:rPr>
          <w:rFonts w:cs="Times New Roman"/>
        </w:rPr>
        <w:t>forward</w:t>
      </w:r>
      <w:r w:rsidR="00755CCC">
        <w:rPr>
          <w:rFonts w:cs="Times New Roman"/>
        </w:rPr>
        <w:t>ed</w:t>
      </w:r>
      <w:r w:rsidR="00755CCC" w:rsidRPr="006273B2">
        <w:rPr>
          <w:rFonts w:cs="Times New Roman"/>
        </w:rPr>
        <w:t xml:space="preserve"> the item to NCWM</w:t>
      </w:r>
      <w:r w:rsidR="00755CCC">
        <w:rPr>
          <w:rFonts w:cs="Times New Roman"/>
        </w:rPr>
        <w:t xml:space="preserve">, recommending it </w:t>
      </w:r>
      <w:r w:rsidR="00755CCC" w:rsidRPr="006273B2">
        <w:rPr>
          <w:rFonts w:cs="Times New Roman"/>
        </w:rPr>
        <w:t>as a Voting Item</w:t>
      </w:r>
      <w:r w:rsidR="00074C75">
        <w:t>.</w:t>
      </w:r>
    </w:p>
    <w:p w:rsidR="00F52FE8" w:rsidRDefault="008323CC">
      <w:r>
        <w:t>At</w:t>
      </w:r>
      <w:r w:rsidR="00F52FE8">
        <w:t xml:space="preserve"> the 2012 </w:t>
      </w:r>
      <w:r w:rsidR="0025054F">
        <w:t xml:space="preserve">NCWM </w:t>
      </w:r>
      <w:r w:rsidR="00F52FE8">
        <w:t xml:space="preserve">Interim Meeting, the </w:t>
      </w:r>
      <w:r w:rsidR="0012198E">
        <w:t xml:space="preserve">Committee </w:t>
      </w:r>
      <w:r w:rsidR="00F52FE8">
        <w:t xml:space="preserve">received comments in support of the item from Mr. Beitzel, Systems Associates, Inc.  Mr. Beitzel stated that adding the words “excluding calibration” would agree with the original intent of AREMA Committee 34, which was to allow someone to return an inoperable scale to service following repairs using </w:t>
      </w:r>
      <w:r w:rsidR="0012198E">
        <w:t>30</w:t>
      </w:r>
      <w:r w:rsidR="00A24CA7">
        <w:t> </w:t>
      </w:r>
      <w:r w:rsidR="00F52FE8">
        <w:t>000</w:t>
      </w:r>
      <w:r w:rsidR="00A24CA7">
        <w:t> </w:t>
      </w:r>
      <w:r w:rsidR="00F52FE8">
        <w:t xml:space="preserve">lb of test weight.  It was not AREMA’s intent to allow someone to put a scale back into service with only </w:t>
      </w:r>
      <w:r w:rsidR="0012198E">
        <w:t>30</w:t>
      </w:r>
      <w:r w:rsidR="00A24CA7">
        <w:t> </w:t>
      </w:r>
      <w:r w:rsidR="00F52FE8">
        <w:t>000</w:t>
      </w:r>
      <w:r w:rsidR="00A24CA7">
        <w:t> </w:t>
      </w:r>
      <w:r w:rsidR="00F52FE8">
        <w:t>lb of test weight if all they had done was break the seal and adjust accuracy (i.e</w:t>
      </w:r>
      <w:r w:rsidR="00A24CA7">
        <w:t>., </w:t>
      </w:r>
      <w:r w:rsidR="00F52FE8">
        <w:t xml:space="preserve">calibrate the scale).  Mr. Beitzel added that </w:t>
      </w:r>
      <w:r w:rsidR="0012198E">
        <w:t>30</w:t>
      </w:r>
      <w:r w:rsidR="00A24CA7">
        <w:t> </w:t>
      </w:r>
      <w:r w:rsidR="00F52FE8">
        <w:t>000</w:t>
      </w:r>
      <w:r w:rsidR="00A24CA7">
        <w:t> </w:t>
      </w:r>
      <w:r w:rsidR="00F52FE8">
        <w:t xml:space="preserve">lb of test weight is an insufficient amount to calibrate a railway track scale.  The railroads have designated a minimum of </w:t>
      </w:r>
      <w:r w:rsidR="0012198E">
        <w:t>80</w:t>
      </w:r>
      <w:r w:rsidR="00A24CA7">
        <w:t> </w:t>
      </w:r>
      <w:r w:rsidR="00F52FE8">
        <w:t>000</w:t>
      </w:r>
      <w:r w:rsidR="00A24CA7">
        <w:t> </w:t>
      </w:r>
      <w:r w:rsidR="00F52FE8">
        <w:t xml:space="preserve">lb of test weight be used to calibrate a railway track scale.  Currently, paragraph N.3.1.2. does </w:t>
      </w:r>
      <w:r w:rsidR="00F52FE8" w:rsidRPr="00CD25AA">
        <w:t>not</w:t>
      </w:r>
      <w:r w:rsidR="00F52FE8">
        <w:t xml:space="preserve"> require a person conducting an interim test to notify officials with statutory authority.  </w:t>
      </w:r>
    </w:p>
    <w:p w:rsidR="00F52FE8" w:rsidRDefault="00F52FE8">
      <w:r>
        <w:t xml:space="preserve">Mr. Feezor, Scales Consulting and Testing, stated that the AAR developed the proposed amendments to paragraph N.3.1.2. in an effort to prevent someone from putting a scale back into service with an insufficient amount of test weights.  He indicated that the adjustment of calibration is not a repair, which reflects the heart of the problem.  Scale service personnel, contracted to perform work under a scale maintenance agreement, are breaking security seals when they discover railroad scales out of tolerance.  They’re making calibration adjustments using only </w:t>
      </w:r>
      <w:r w:rsidR="0012198E">
        <w:t>30</w:t>
      </w:r>
      <w:r w:rsidR="00A24CA7">
        <w:t> </w:t>
      </w:r>
      <w:r>
        <w:t>000</w:t>
      </w:r>
      <w:r w:rsidR="00A24CA7">
        <w:t> </w:t>
      </w:r>
      <w:r>
        <w:t xml:space="preserve">lb of test weight and then return those scales back to service without notifying anyone.  Either the words “excluding calibration” need to be included it needs to be stated that “a calibration is </w:t>
      </w:r>
      <w:r w:rsidRPr="00CD25AA">
        <w:t>not</w:t>
      </w:r>
      <w:r>
        <w:t xml:space="preserve"> a repair.”   </w:t>
      </w:r>
    </w:p>
    <w:p w:rsidR="00F52FE8" w:rsidRDefault="00F52FE8">
      <w:r>
        <w:t>Mr. Flocken, speaking on behalf of the SMA, supported the item as written in the Item Under Consideration.</w:t>
      </w:r>
    </w:p>
    <w:p w:rsidR="00F52FE8" w:rsidRDefault="00F52FE8">
      <w:r>
        <w:t xml:space="preserve">NIST, OWM indicated they had no issues with the item as originally proposed but believed that adding the words “excluding calibration,” as suggested by the CWMA, created the potential </w:t>
      </w:r>
      <w:r w:rsidR="00755CCC">
        <w:t>that some might</w:t>
      </w:r>
      <w:r w:rsidRPr="00CB15C3">
        <w:t xml:space="preserve"> think a calibration can be conducted without regard to notifying the official with statutory authority and using a minimum amount of test weight to place the scale into service.  </w:t>
      </w:r>
      <w:r>
        <w:t xml:space="preserve">NIST, </w:t>
      </w:r>
      <w:r w:rsidRPr="00CB15C3">
        <w:t xml:space="preserve">OWM </w:t>
      </w:r>
      <w:r>
        <w:t xml:space="preserve">noted </w:t>
      </w:r>
      <w:r w:rsidRPr="00CB15C3">
        <w:t xml:space="preserve">that the </w:t>
      </w:r>
      <w:r w:rsidR="00755CCC">
        <w:t>words</w:t>
      </w:r>
      <w:r w:rsidRPr="00CB15C3">
        <w:t xml:space="preserve"> “immediately notifying” could be modified to include a notification time frame to promote uniformity among railroads, se</w:t>
      </w:r>
      <w:r w:rsidR="00755CCC">
        <w:t>rvice agencies and regulators (</w:t>
      </w:r>
      <w:r w:rsidRPr="00CB15C3">
        <w:t>e.</w:t>
      </w:r>
      <w:r w:rsidR="00755CCC">
        <w:t>g.</w:t>
      </w:r>
      <w:r w:rsidRPr="00CB15C3">
        <w:t>, “shall be immediately notified within XX-hours,</w:t>
      </w:r>
      <w:r>
        <w:t xml:space="preserve"> </w:t>
      </w:r>
      <w:r w:rsidR="00C27EDE">
        <w:t>[</w:t>
      </w:r>
      <w:r w:rsidRPr="00CB15C3">
        <w:t>X business days . . .</w:t>
      </w:r>
      <w:r w:rsidR="00C27EDE">
        <w:t>]</w:t>
      </w:r>
      <w:r w:rsidRPr="00CB15C3">
        <w:t>”</w:t>
      </w:r>
      <w:r>
        <w:t>).</w:t>
      </w:r>
      <w:r w:rsidRPr="00CB15C3">
        <w:t xml:space="preserve">  </w:t>
      </w:r>
      <w:r>
        <w:t xml:space="preserve"> </w:t>
      </w:r>
    </w:p>
    <w:p w:rsidR="00F52FE8" w:rsidRDefault="00F52FE8">
      <w:r w:rsidRPr="0025054F">
        <w:t xml:space="preserve">Prior to the 2012 </w:t>
      </w:r>
      <w:r w:rsidR="00163A4B" w:rsidRPr="0025054F">
        <w:t xml:space="preserve">NCWM </w:t>
      </w:r>
      <w:r w:rsidRPr="0025054F">
        <w:t xml:space="preserve">Interim Meeting, the </w:t>
      </w:r>
      <w:r w:rsidR="00C27EDE">
        <w:t>C</w:t>
      </w:r>
      <w:r w:rsidR="00C27EDE" w:rsidRPr="0025054F">
        <w:t xml:space="preserve">ommittee </w:t>
      </w:r>
      <w:r w:rsidRPr="0025054F">
        <w:t>received a letter of support of this item as proposed from the AAR.</w:t>
      </w:r>
      <w:r w:rsidRPr="00562AD9">
        <w:t xml:space="preserve">  </w:t>
      </w:r>
    </w:p>
    <w:p w:rsidR="00F52FE8" w:rsidRDefault="00F52FE8">
      <w:r>
        <w:t xml:space="preserve">The </w:t>
      </w:r>
      <w:r w:rsidR="0012198E">
        <w:t xml:space="preserve">Committee </w:t>
      </w:r>
      <w:r>
        <w:t>considered the comments received during the Open Hearings and concluded</w:t>
      </w:r>
      <w:r w:rsidRPr="00AC0412">
        <w:t xml:space="preserve"> that adding the words “excluding calibration” changes the intent of the proposal</w:t>
      </w:r>
      <w:r w:rsidR="00755CCC">
        <w:t xml:space="preserve">. </w:t>
      </w:r>
      <w:r w:rsidRPr="00AC0412">
        <w:t xml:space="preserve"> </w:t>
      </w:r>
      <w:r w:rsidR="00755CCC" w:rsidRPr="006273B2">
        <w:rPr>
          <w:rFonts w:cs="Times New Roman"/>
        </w:rPr>
        <w:t>The 20</w:t>
      </w:r>
      <w:r w:rsidR="00755CCC">
        <w:rPr>
          <w:rFonts w:cs="Times New Roman"/>
        </w:rPr>
        <w:t>12</w:t>
      </w:r>
      <w:r w:rsidR="00755CCC" w:rsidRPr="006273B2">
        <w:rPr>
          <w:rFonts w:cs="Times New Roman"/>
        </w:rPr>
        <w:t xml:space="preserve"> </w:t>
      </w:r>
      <w:r w:rsidR="00755CCC">
        <w:rPr>
          <w:rFonts w:cs="Times New Roman"/>
        </w:rPr>
        <w:t>S&amp;T</w:t>
      </w:r>
      <w:r w:rsidR="00755CCC" w:rsidRPr="006273B2">
        <w:rPr>
          <w:rFonts w:cs="Times New Roman"/>
        </w:rPr>
        <w:t xml:space="preserve"> Committee designated this item as a Voting Item</w:t>
      </w:r>
      <w:r w:rsidR="00755CCC">
        <w:rPr>
          <w:rFonts w:cs="Times New Roman"/>
        </w:rPr>
        <w:t xml:space="preserve"> </w:t>
      </w:r>
      <w:r w:rsidRPr="00AC0412">
        <w:t xml:space="preserve">as originally proposed.  </w:t>
      </w:r>
    </w:p>
    <w:p w:rsidR="00EF7A99" w:rsidRDefault="00F8395A" w:rsidP="00EF7A99">
      <w:r>
        <w:t>The Committee originally considered the following changes to N.1.3.2. as shown in the Committee’s 2012 Interim Report:</w:t>
      </w:r>
    </w:p>
    <w:p w:rsidR="00F8395A" w:rsidRDefault="00F8395A" w:rsidP="00F8395A">
      <w:pPr>
        <w:pStyle w:val="I-Normalreg"/>
      </w:pPr>
      <w:r w:rsidRPr="00074C75">
        <w:rPr>
          <w:b/>
        </w:rPr>
        <w:t xml:space="preserve">N.3.1.2. </w:t>
      </w:r>
      <w:r w:rsidRPr="00074C75">
        <w:rPr>
          <w:b/>
          <w:u w:val="single"/>
        </w:rPr>
        <w:t>Minimum Tests for</w:t>
      </w:r>
      <w:r w:rsidRPr="00074C75">
        <w:rPr>
          <w:b/>
        </w:rPr>
        <w:t xml:space="preserve"> Interim Approval.</w:t>
      </w:r>
      <w:r>
        <w:t xml:space="preserve"> – A test-weight load of not less than </w:t>
      </w:r>
      <w:r w:rsidR="007D45B7">
        <w:t>13 </w:t>
      </w:r>
      <w:r>
        <w:t>500 kg (</w:t>
      </w:r>
      <w:r w:rsidR="007D45B7">
        <w:t>30 000 </w:t>
      </w:r>
      <w:r>
        <w:t xml:space="preserve">lb) and a strain-load test up to at least </w:t>
      </w:r>
      <w:r w:rsidR="007D45B7">
        <w:t>25 </w:t>
      </w:r>
      <w:r>
        <w:t xml:space="preserve">% of scale capacity may be used to return a scale into service following repairs </w:t>
      </w:r>
      <w:r w:rsidRPr="00074C75">
        <w:rPr>
          <w:b/>
          <w:u w:val="single"/>
        </w:rPr>
        <w:t xml:space="preserve">that could affect the accuracy of the weighing system.  A test for an Interim Approval shall include a shift (section) test using a test-weight load of not less than </w:t>
      </w:r>
      <w:r w:rsidR="0012198E" w:rsidRPr="00074C75">
        <w:rPr>
          <w:b/>
          <w:u w:val="single"/>
        </w:rPr>
        <w:t>13</w:t>
      </w:r>
      <w:r w:rsidR="00DB3E09">
        <w:rPr>
          <w:b/>
          <w:u w:val="single"/>
        </w:rPr>
        <w:t> </w:t>
      </w:r>
      <w:r w:rsidRPr="00074C75">
        <w:rPr>
          <w:b/>
          <w:u w:val="single"/>
        </w:rPr>
        <w:t>500</w:t>
      </w:r>
      <w:r w:rsidR="00DB3E09">
        <w:rPr>
          <w:b/>
          <w:u w:val="single"/>
        </w:rPr>
        <w:t> </w:t>
      </w:r>
      <w:r w:rsidRPr="00074C75">
        <w:rPr>
          <w:b/>
          <w:u w:val="single"/>
        </w:rPr>
        <w:t>kg (</w:t>
      </w:r>
      <w:r w:rsidR="0012198E" w:rsidRPr="00074C75">
        <w:rPr>
          <w:b/>
          <w:u w:val="single"/>
        </w:rPr>
        <w:t>30</w:t>
      </w:r>
      <w:r w:rsidR="00DB3E09">
        <w:rPr>
          <w:b/>
          <w:u w:val="single"/>
        </w:rPr>
        <w:t> </w:t>
      </w:r>
      <w:r w:rsidRPr="00074C75">
        <w:rPr>
          <w:b/>
          <w:u w:val="single"/>
        </w:rPr>
        <w:t>00</w:t>
      </w:r>
      <w:r>
        <w:rPr>
          <w:b/>
          <w:u w:val="single"/>
        </w:rPr>
        <w:t>0</w:t>
      </w:r>
      <w:r w:rsidR="00DB3E09">
        <w:rPr>
          <w:b/>
          <w:u w:val="single"/>
        </w:rPr>
        <w:t> </w:t>
      </w:r>
      <w:r>
        <w:rPr>
          <w:b/>
          <w:u w:val="single"/>
        </w:rPr>
        <w:t xml:space="preserve">lb).  All results shall meet </w:t>
      </w:r>
      <w:r w:rsidRPr="00074C75">
        <w:rPr>
          <w:b/>
          <w:u w:val="single"/>
        </w:rPr>
        <w:t xml:space="preserve">applicable tolerances.  The official with statutory authority shall be immediately notified when scales are repaired and placed in </w:t>
      </w:r>
      <w:r>
        <w:rPr>
          <w:b/>
          <w:u w:val="single"/>
        </w:rPr>
        <w:t xml:space="preserve">service with an interim test.  </w:t>
      </w:r>
      <w:r w:rsidRPr="00074C75">
        <w:rPr>
          <w:b/>
          <w:u w:val="single"/>
        </w:rPr>
        <w:t>The time period of temporary use is at the discretion of the official with statutory authority</w:t>
      </w:r>
      <w:r w:rsidRPr="0023324C">
        <w:t>.</w:t>
      </w:r>
    </w:p>
    <w:p w:rsidR="00F8395A" w:rsidRPr="00074C75" w:rsidRDefault="00F8395A" w:rsidP="00BD5BEB">
      <w:pPr>
        <w:pStyle w:val="I-Normalreg"/>
        <w:spacing w:after="60"/>
        <w:rPr>
          <w:b/>
          <w:strike/>
        </w:rPr>
      </w:pPr>
      <w:r w:rsidRPr="00074C75">
        <w:rPr>
          <w:b/>
          <w:strike/>
        </w:rPr>
        <w:t>Note:  The length of time the scale may be used following an interim test is at the discretion of the official with statutory authority.</w:t>
      </w:r>
    </w:p>
    <w:p w:rsidR="00F8395A" w:rsidRDefault="00F8395A" w:rsidP="00F8395A">
      <w:pPr>
        <w:pStyle w:val="I-Normalreg"/>
      </w:pPr>
      <w:r>
        <w:t xml:space="preserve">(Added 1990) </w:t>
      </w:r>
      <w:r w:rsidRPr="00074C75">
        <w:rPr>
          <w:b/>
          <w:u w:val="single"/>
        </w:rPr>
        <w:t>(Amended 20XX)</w:t>
      </w:r>
    </w:p>
    <w:p w:rsidR="00F8395A" w:rsidRPr="006A7579" w:rsidRDefault="00F8395A" w:rsidP="00EF7A99">
      <w:r w:rsidRPr="006A7579">
        <w:lastRenderedPageBreak/>
        <w:t>At the 2012 NCWM Annual Meeting, the Committee received numerous comments on the proposed changes.</w:t>
      </w:r>
    </w:p>
    <w:p w:rsidR="00EF7A99" w:rsidRPr="006A7579" w:rsidRDefault="00EF7A99" w:rsidP="00EF7A99">
      <w:r w:rsidRPr="006A7579">
        <w:t>The Committee heard comments from Ms. Kristin Macey, who suggested changing the word “may” to “shall” in the first sentence of paragraph N.1.3.2.</w:t>
      </w:r>
    </w:p>
    <w:p w:rsidR="00EF7A99" w:rsidRPr="006A7579" w:rsidRDefault="00EF7A99" w:rsidP="00EF7A99">
      <w:r w:rsidRPr="006A7579">
        <w:t>NIST</w:t>
      </w:r>
      <w:r w:rsidR="0012198E">
        <w:t>,</w:t>
      </w:r>
      <w:r w:rsidRPr="006A7579">
        <w:t xml:space="preserve"> OWM noted that there appeared to be some disagreement among those who proposed the changes to the paragraph about how the amended paragraph was to be applied.  There seemed to be some question regarding the meaning of the word “repair” in the “Item Under Consideration” and whether or not an adjustment to the calibration of a scale would be considered a “repair.”  </w:t>
      </w:r>
    </w:p>
    <w:p w:rsidR="00EF7A99" w:rsidRPr="006A7579" w:rsidRDefault="00EF7A99" w:rsidP="00EF7A99">
      <w:r w:rsidRPr="006A7579">
        <w:t>Regarding the issue of whether an adjustment to the calibration of a scale would be considered a repair, several unanswered questions should be considered:</w:t>
      </w:r>
    </w:p>
    <w:p w:rsidR="00EF7A99" w:rsidRPr="006A7579" w:rsidRDefault="00EF7A99" w:rsidP="00B77FD2">
      <w:pPr>
        <w:numPr>
          <w:ilvl w:val="0"/>
          <w:numId w:val="34"/>
        </w:numPr>
        <w:rPr>
          <w:b/>
        </w:rPr>
      </w:pPr>
      <w:r w:rsidRPr="006A7579">
        <w:t xml:space="preserve">Under what conditions would it be permissible for a service company to make an adjustment to the calibration of a railway track scale when using only </w:t>
      </w:r>
      <w:r w:rsidR="00DB3E09" w:rsidRPr="006A7579">
        <w:t>30</w:t>
      </w:r>
      <w:r w:rsidR="00DB3E09">
        <w:t> </w:t>
      </w:r>
      <w:r w:rsidR="00DB3E09" w:rsidRPr="006A7579">
        <w:t>000</w:t>
      </w:r>
      <w:r w:rsidR="00DB3E09">
        <w:t> </w:t>
      </w:r>
      <w:r w:rsidRPr="006A7579">
        <w:t>lb of test weight?</w:t>
      </w:r>
    </w:p>
    <w:p w:rsidR="00EF7A99" w:rsidRPr="006A7579" w:rsidRDefault="00EF7A99" w:rsidP="00B77FD2">
      <w:pPr>
        <w:numPr>
          <w:ilvl w:val="0"/>
          <w:numId w:val="34"/>
        </w:numPr>
        <w:rPr>
          <w:b/>
        </w:rPr>
      </w:pPr>
      <w:r w:rsidRPr="006A7579">
        <w:t>What constitutes a “repair”?</w:t>
      </w:r>
    </w:p>
    <w:p w:rsidR="00EF7A99" w:rsidRPr="006A7579" w:rsidRDefault="00DA5674" w:rsidP="00EF7A99">
      <w:r>
        <w:t xml:space="preserve">NIST, </w:t>
      </w:r>
      <w:r w:rsidR="00EF7A99" w:rsidRPr="006A7579">
        <w:t>OWM suggested that the U.S. Rail</w:t>
      </w:r>
      <w:r w:rsidR="00EF7A99">
        <w:t>roads and/or S&amp;T Committee consider developing</w:t>
      </w:r>
      <w:r w:rsidR="00EF7A99" w:rsidRPr="006A7579">
        <w:t xml:space="preserve"> some examples to explain how the amended language applied, which may assist weights and measures officials and industry in consistently applying the requirements.</w:t>
      </w:r>
      <w:r w:rsidR="00EF7A99" w:rsidRPr="006A7579">
        <w:rPr>
          <w:b/>
        </w:rPr>
        <w:t xml:space="preserve">  </w:t>
      </w:r>
      <w:r w:rsidRPr="004E6688">
        <w:t>NIST,</w:t>
      </w:r>
      <w:r>
        <w:rPr>
          <w:b/>
        </w:rPr>
        <w:t xml:space="preserve"> </w:t>
      </w:r>
      <w:r w:rsidR="00EF7A99" w:rsidRPr="006A7579">
        <w:t>OWM offered the following scenario and associated questions to possibly serve as a good starting point in explaining how the language would apply:</w:t>
      </w:r>
    </w:p>
    <w:p w:rsidR="00EF7A99" w:rsidRPr="006A7579" w:rsidRDefault="00EF7A99" w:rsidP="00EF7A99">
      <w:pPr>
        <w:ind w:left="360"/>
      </w:pPr>
      <w:r w:rsidRPr="006A7579">
        <w:t xml:space="preserve">Scenario: </w:t>
      </w:r>
      <w:r w:rsidR="007D45B7">
        <w:t xml:space="preserve"> </w:t>
      </w:r>
      <w:r w:rsidRPr="006A7579">
        <w:t xml:space="preserve">A scale service agency, under contract with a railway track scale owner, discovers the scale out-of-tolerance when testing it using </w:t>
      </w:r>
      <w:r w:rsidR="00DA5674" w:rsidRPr="006A7579">
        <w:t>30</w:t>
      </w:r>
      <w:r w:rsidR="00DB3E09">
        <w:t> </w:t>
      </w:r>
      <w:r w:rsidRPr="006A7579">
        <w:t>000 lb of test weight.</w:t>
      </w:r>
    </w:p>
    <w:p w:rsidR="00EF7A99" w:rsidRPr="006A7579" w:rsidRDefault="00EF7A99" w:rsidP="00EF7A99">
      <w:pPr>
        <w:ind w:left="720"/>
      </w:pPr>
      <w:r w:rsidRPr="006A7579">
        <w:t>Considering the changes proposed:</w:t>
      </w:r>
    </w:p>
    <w:p w:rsidR="00EF7A99" w:rsidRPr="006A7579" w:rsidRDefault="00EF7A99" w:rsidP="00B77FD2">
      <w:pPr>
        <w:numPr>
          <w:ilvl w:val="0"/>
          <w:numId w:val="35"/>
        </w:numPr>
        <w:rPr>
          <w:b/>
        </w:rPr>
      </w:pPr>
      <w:r w:rsidRPr="006A7579">
        <w:t xml:space="preserve">Given that the scale is “out-of-tolerance,” would it be permissible for the technician to break the seal and make adjustments to bring the scale’s accuracy closer to zero error?  </w:t>
      </w:r>
    </w:p>
    <w:p w:rsidR="00EF7A99" w:rsidRPr="006A7579" w:rsidRDefault="00EF7A99" w:rsidP="00B77FD2">
      <w:pPr>
        <w:numPr>
          <w:ilvl w:val="0"/>
          <w:numId w:val="35"/>
        </w:numPr>
        <w:rPr>
          <w:b/>
        </w:rPr>
      </w:pPr>
      <w:r w:rsidRPr="006A7579">
        <w:t>Would it make any difference if the scale was “in tolerance” and the technician only wanted to break the seal to adjust accuracy closer to zero error?</w:t>
      </w:r>
    </w:p>
    <w:p w:rsidR="00EF7A99" w:rsidRPr="006A7579" w:rsidRDefault="00EF7A99" w:rsidP="00B77FD2">
      <w:pPr>
        <w:numPr>
          <w:ilvl w:val="0"/>
          <w:numId w:val="35"/>
        </w:numPr>
        <w:rPr>
          <w:b/>
        </w:rPr>
      </w:pPr>
      <w:r w:rsidRPr="006A7579">
        <w:t>Would it make any difference if the service technician had performed a thorough inspection of the scale and could not find any obvious problem(s) to cause it to be out of tolerance?</w:t>
      </w:r>
    </w:p>
    <w:p w:rsidR="00EF7A99" w:rsidRPr="006A7579" w:rsidRDefault="00DA5674" w:rsidP="00EF7A99">
      <w:r>
        <w:t xml:space="preserve">NIST, </w:t>
      </w:r>
      <w:r w:rsidR="00EF7A99" w:rsidRPr="006A7579">
        <w:t xml:space="preserve">OWM suggested, should the Committee decide to move forward with the item, amending not only N.3.1.2., but also N.3.1. and N.3.1.1. to make clear the testing that is to be performed and the minimum amount of test weight required for Initial and Subsequent Tests in comparison to an Interim Test, which is only intended to temporarily return a railway track scale to service following repairs.  </w:t>
      </w:r>
      <w:r>
        <w:t xml:space="preserve">NIST, </w:t>
      </w:r>
      <w:r w:rsidR="00EF7A99" w:rsidRPr="006A7579">
        <w:t>OWM offered specific suggestions for modifying the language for the Committee to consider, noting that the suggested changes were intended to be editorial in nature.</w:t>
      </w:r>
    </w:p>
    <w:p w:rsidR="00EF7A99" w:rsidRPr="006A7579" w:rsidRDefault="00EF7A99" w:rsidP="00EF7A99">
      <w:r w:rsidRPr="006A7579">
        <w:t xml:space="preserve">Mr. Rafael Jimenez, AAR Transportation Technology Center, supported the changes proposed by </w:t>
      </w:r>
      <w:r w:rsidR="00DA5674">
        <w:t xml:space="preserve">NIST, </w:t>
      </w:r>
      <w:r w:rsidRPr="006A7579">
        <w:t xml:space="preserve">OWM.  Mr. Henry Oppermann, Weights and Measures Consulting, concurred with many of </w:t>
      </w:r>
      <w:r w:rsidR="00DA5674">
        <w:t xml:space="preserve">NIST, </w:t>
      </w:r>
      <w:r w:rsidRPr="006A7579">
        <w:t>OWM’s points.  Mr. Lou Straub, Fairbanks Scales, Inc., suggested that the proposed N.1.3.2</w:t>
      </w:r>
      <w:r w:rsidR="00387230" w:rsidRPr="006A7579">
        <w:t>. (</w:t>
      </w:r>
      <w:r w:rsidRPr="006A7579">
        <w:t>d) in OWM’s proposal would better be presented as a separate note rather than a bullet point.</w:t>
      </w:r>
    </w:p>
    <w:p w:rsidR="00EF7A99" w:rsidRPr="006A7579" w:rsidRDefault="00EF7A99" w:rsidP="00EF7A99">
      <w:r w:rsidRPr="006A7579">
        <w:t>The Committee heard numerous comments regarding the use of the word “repairs.”  Mr. Oppermann noted that the reference to the term is ambiguous.  Mr. Bob Feezor, Scales Consulting and Testing, commented that there is not universal agreement on the definition of the term and it is left to the official with statutory authority.  Ms. Julie Quinn, M</w:t>
      </w:r>
      <w:r w:rsidR="00D31669">
        <w:t>innesota</w:t>
      </w:r>
      <w:r w:rsidRPr="006A7579">
        <w:t>, commented that the CWMA has expressed concerns about the distinctions between calibrations and repairs since its 2011 Annual Meeting.  Mr. Steve Beitzel, Systems Associates, Inc. further noted that in the Committee’s 1990 Final Report, the original reference to “repairs” was actually to “emergency repairs.”</w:t>
      </w:r>
    </w:p>
    <w:p w:rsidR="00EF7A99" w:rsidRPr="006A7579" w:rsidRDefault="00EF7A99" w:rsidP="00EF7A99">
      <w:r w:rsidRPr="006A7579">
        <w:lastRenderedPageBreak/>
        <w:t>The Committee also heard multiple comments agreeing that 30</w:t>
      </w:r>
      <w:r w:rsidR="00DB3E09">
        <w:t> </w:t>
      </w:r>
      <w:r w:rsidR="00DB3E09" w:rsidRPr="006A7579">
        <w:t>000</w:t>
      </w:r>
      <w:r w:rsidR="00DB3E09">
        <w:t> </w:t>
      </w:r>
      <w:r w:rsidRPr="006A7579">
        <w:t>lb isn’t adequate to permanently place a scale back into service and that at least 80</w:t>
      </w:r>
      <w:r w:rsidR="00DB3E09">
        <w:t> </w:t>
      </w:r>
      <w:r w:rsidR="00DB3E09" w:rsidRPr="006A7579">
        <w:t>000</w:t>
      </w:r>
      <w:r w:rsidR="00DB3E09">
        <w:t> </w:t>
      </w:r>
      <w:r w:rsidRPr="006A7579">
        <w:t>lb is required.  Many acknowledged that there is limited access to adequate test weight loads, particularly given schedule conflicts that limit the availability of the test units.</w:t>
      </w:r>
    </w:p>
    <w:p w:rsidR="00EF7A99" w:rsidRPr="006A7579" w:rsidRDefault="00EF7A99" w:rsidP="00EF7A99">
      <w:r>
        <w:t>Mr. Flocken,</w:t>
      </w:r>
      <w:r w:rsidRPr="006A7579">
        <w:t xml:space="preserve"> speaking on behalf of SMA, indicated that SMA supports the item.  Speaking on behalf of Mettler-Toledo, Mr. Flocken expressed concerns about adding the words “temporary service” because this may set a precedence that might overlap to other scales.  He also cited similar concerns about the word “repair” and suggested caution in using the term, noting the lengthy discussions that took place within the NCWM during discussions of “repaired” and “remanufactured” equipment and the overlap into other device types.</w:t>
      </w:r>
    </w:p>
    <w:p w:rsidR="00EF7A99" w:rsidRPr="006A7579" w:rsidRDefault="00EF7A99" w:rsidP="00EF7A99">
      <w:r w:rsidRPr="006A7579">
        <w:rPr>
          <w:szCs w:val="20"/>
        </w:rPr>
        <w:t>There were two positions posted on the NCWM 2012 Online Position Forum; one of which supported the proposal and the other was neutral to the proposal.</w:t>
      </w:r>
    </w:p>
    <w:p w:rsidR="00EF7A99" w:rsidRPr="006A7579" w:rsidRDefault="00EF7A99" w:rsidP="00EF7A99">
      <w:r w:rsidRPr="006A7579">
        <w:t>After considering the many comments received, the Committee acknowledged that the term “repairs” appears in the</w:t>
      </w:r>
      <w:r>
        <w:t xml:space="preserve"> current version of paragraph </w:t>
      </w:r>
      <w:r w:rsidRPr="006F7372">
        <w:t>N.3.1.2. Minimum Tests for Interim Approval</w:t>
      </w:r>
      <w:r w:rsidRPr="00994255">
        <w:t xml:space="preserve"> </w:t>
      </w:r>
      <w:r>
        <w:t>and in other paragraphs throughout</w:t>
      </w:r>
      <w:r w:rsidRPr="006A7579">
        <w:t xml:space="preserve"> Handbook 44.  The Committee agreed that the intent of the term “repairs” was referencing emergency situations such as when a railway track scale i</w:t>
      </w:r>
      <w:r>
        <w:t xml:space="preserve">s inoperable.  The Committee </w:t>
      </w:r>
      <w:r w:rsidRPr="006A7579">
        <w:t>received some indication that AREMA Committee</w:t>
      </w:r>
      <w:r w:rsidR="00DB3E09">
        <w:t> </w:t>
      </w:r>
      <w:r>
        <w:t xml:space="preserve">34 may </w:t>
      </w:r>
      <w:r w:rsidRPr="006A7579">
        <w:t>be willing to assist the Committee in clarifying the circumstances under which an Interim Test would be appropriate.</w:t>
      </w:r>
    </w:p>
    <w:p w:rsidR="00EF7A99" w:rsidRPr="006A7579" w:rsidRDefault="00EF7A99" w:rsidP="004E6688">
      <w:pPr>
        <w:tabs>
          <w:tab w:val="left" w:pos="1080"/>
        </w:tabs>
      </w:pPr>
      <w:r w:rsidRPr="006A7579">
        <w:t>The Committee considered the suggestion from Ms. Macey to modify the term “may” in the first sentence of N.3.1.2. to “shall.”  While the Committee understood the rationale for Ms. Macey’s suggestion, Committee members b</w:t>
      </w:r>
      <w:r>
        <w:t>elieved that the word “shall” was</w:t>
      </w:r>
      <w:r w:rsidRPr="006A7579">
        <w:t xml:space="preserve"> not appropriate because an “Interim Test” is only permitted if there is no access to 80</w:t>
      </w:r>
      <w:r w:rsidR="00DB3E09">
        <w:t> </w:t>
      </w:r>
      <w:r w:rsidRPr="006A7579">
        <w:t>000 pounds of weight.  Using less weight than is normally required to return a scale to service is only permitted when there is no access to 80</w:t>
      </w:r>
      <w:r w:rsidR="004E6688">
        <w:t> </w:t>
      </w:r>
      <w:r w:rsidRPr="006A7579">
        <w:t>000 lb.</w:t>
      </w:r>
    </w:p>
    <w:p w:rsidR="00EF7A99" w:rsidRPr="006A7579" w:rsidRDefault="00EF7A99" w:rsidP="00EF7A99">
      <w:r w:rsidRPr="006A7579">
        <w:t>The Committee agreed that the lang</w:t>
      </w:r>
      <w:r>
        <w:t>uage suggested by NIST</w:t>
      </w:r>
      <w:r w:rsidR="006272C6">
        <w:t>,</w:t>
      </w:r>
      <w:r>
        <w:t xml:space="preserve"> OWM provided an alternative that was</w:t>
      </w:r>
      <w:r w:rsidRPr="006A7579">
        <w:t xml:space="preserve"> easier to read and apply and help</w:t>
      </w:r>
      <w:r>
        <w:t xml:space="preserve">ed </w:t>
      </w:r>
      <w:r w:rsidRPr="006A7579">
        <w:t>clarify the requirements for an Interim Test.  The Committee considered Mr. Straub’s suggestion to move N.1.3.2</w:t>
      </w:r>
      <w:r w:rsidR="00387230" w:rsidRPr="006A7579">
        <w:t>. (</w:t>
      </w:r>
      <w:r w:rsidRPr="006A7579">
        <w:t xml:space="preserve">d); however, the Committee concluded that the </w:t>
      </w:r>
      <w:r>
        <w:t>subparagraphs under N.1.3.2. were</w:t>
      </w:r>
      <w:r w:rsidRPr="006A7579">
        <w:t xml:space="preserve"> all conditions necessary in order to conduct an Interim test.  The Committee </w:t>
      </w:r>
      <w:r>
        <w:t xml:space="preserve">agreed to modify the proposal offered by </w:t>
      </w:r>
      <w:r w:rsidR="006272C6">
        <w:t xml:space="preserve">NIST, </w:t>
      </w:r>
      <w:r>
        <w:t>OWM by</w:t>
      </w:r>
      <w:r w:rsidRPr="006A7579">
        <w:t>: (1) add</w:t>
      </w:r>
      <w:r>
        <w:t>ing</w:t>
      </w:r>
      <w:r w:rsidRPr="006A7579">
        <w:t xml:space="preserve"> a new subparagraph (a) and renumber</w:t>
      </w:r>
      <w:r>
        <w:t>ing</w:t>
      </w:r>
      <w:r w:rsidRPr="006A7579">
        <w:t xml:space="preserve"> the subsequent subparagraphs; and (2) modify</w:t>
      </w:r>
      <w:r>
        <w:t>ing</w:t>
      </w:r>
      <w:r w:rsidRPr="006A7579">
        <w:t xml:space="preserve"> the reference to “time period of temporary use” to “length of Interim Use.”</w:t>
      </w:r>
      <w:r>
        <w:t xml:space="preserve">   In summary, the </w:t>
      </w:r>
      <w:r w:rsidRPr="006A7579">
        <w:t>Committee agreed to modify the “Item U</w:t>
      </w:r>
      <w:r>
        <w:t>nder Consideration” as follows:</w:t>
      </w:r>
      <w:r w:rsidRPr="006A7579">
        <w:t xml:space="preserve"> </w:t>
      </w:r>
    </w:p>
    <w:p w:rsidR="00EF7A99" w:rsidRPr="006A7579" w:rsidRDefault="00EF7A99" w:rsidP="004E6688">
      <w:pPr>
        <w:tabs>
          <w:tab w:val="left" w:pos="360"/>
          <w:tab w:val="left" w:pos="1080"/>
        </w:tabs>
        <w:spacing w:after="60"/>
        <w:ind w:left="360"/>
        <w:outlineLvl w:val="3"/>
        <w:rPr>
          <w:rFonts w:eastAsia="Times New Roman"/>
          <w:b/>
          <w:bCs/>
          <w:szCs w:val="20"/>
        </w:rPr>
      </w:pPr>
      <w:r w:rsidRPr="006A7579">
        <w:rPr>
          <w:rFonts w:eastAsia="Times New Roman"/>
          <w:b/>
          <w:bCs/>
          <w:szCs w:val="20"/>
        </w:rPr>
        <w:t>N.3.1.</w:t>
      </w:r>
      <w:r w:rsidRPr="006A7579">
        <w:rPr>
          <w:rFonts w:eastAsia="Times New Roman"/>
          <w:b/>
          <w:bCs/>
          <w:szCs w:val="20"/>
        </w:rPr>
        <w:tab/>
        <w:t xml:space="preserve">Minimum Test-Weight Load and </w:t>
      </w:r>
      <w:r w:rsidRPr="006A7579">
        <w:rPr>
          <w:rFonts w:eastAsia="Times New Roman"/>
          <w:b/>
          <w:bCs/>
          <w:szCs w:val="20"/>
          <w:u w:val="single"/>
        </w:rPr>
        <w:t>Tests</w:t>
      </w:r>
      <w:r w:rsidRPr="006A7579">
        <w:rPr>
          <w:rFonts w:eastAsia="Times New Roman"/>
          <w:bCs/>
          <w:szCs w:val="20"/>
          <w:u w:val="single"/>
        </w:rPr>
        <w:t xml:space="preserve"> </w:t>
      </w:r>
      <w:r w:rsidRPr="006A7579">
        <w:rPr>
          <w:rFonts w:eastAsia="Times New Roman"/>
          <w:b/>
          <w:bCs/>
          <w:strike/>
          <w:szCs w:val="20"/>
        </w:rPr>
        <w:t>Recommended Strain-Load Test</w:t>
      </w:r>
      <w:r w:rsidRPr="006A7579">
        <w:rPr>
          <w:rFonts w:eastAsia="Times New Roman"/>
          <w:b/>
          <w:bCs/>
          <w:szCs w:val="20"/>
        </w:rPr>
        <w:t xml:space="preserve"> for Railway Track Scales.</w:t>
      </w:r>
    </w:p>
    <w:p w:rsidR="00EF7A99" w:rsidRPr="006A7579" w:rsidRDefault="00EF7A99" w:rsidP="00F609E8">
      <w:pPr>
        <w:tabs>
          <w:tab w:val="left" w:pos="288"/>
        </w:tabs>
        <w:spacing w:before="60" w:after="200" w:line="276" w:lineRule="auto"/>
        <w:ind w:left="360"/>
        <w:rPr>
          <w:rFonts w:eastAsia="Calibri"/>
          <w:szCs w:val="20"/>
        </w:rPr>
      </w:pPr>
      <w:r w:rsidRPr="006A7579">
        <w:rPr>
          <w:szCs w:val="20"/>
        </w:rPr>
        <w:t xml:space="preserve">(Amended 1990 </w:t>
      </w:r>
      <w:r w:rsidRPr="006A7579">
        <w:rPr>
          <w:b/>
          <w:szCs w:val="20"/>
          <w:u w:val="single"/>
        </w:rPr>
        <w:t>and 2012</w:t>
      </w:r>
      <w:r w:rsidRPr="006A7579">
        <w:rPr>
          <w:szCs w:val="20"/>
        </w:rPr>
        <w:t>)</w:t>
      </w:r>
    </w:p>
    <w:p w:rsidR="00EF7A99" w:rsidRPr="006A7579" w:rsidRDefault="00EF7A99" w:rsidP="004E6688">
      <w:pPr>
        <w:tabs>
          <w:tab w:val="left" w:pos="1620"/>
        </w:tabs>
        <w:spacing w:after="0" w:line="276" w:lineRule="auto"/>
        <w:ind w:left="720"/>
        <w:rPr>
          <w:szCs w:val="20"/>
        </w:rPr>
      </w:pPr>
      <w:r w:rsidRPr="006A7579">
        <w:rPr>
          <w:b/>
          <w:szCs w:val="20"/>
        </w:rPr>
        <w:t>N.3.1.1.</w:t>
      </w:r>
      <w:r w:rsidRPr="006A7579">
        <w:rPr>
          <w:b/>
          <w:szCs w:val="20"/>
        </w:rPr>
        <w:tab/>
      </w:r>
      <w:r w:rsidRPr="006A7579">
        <w:rPr>
          <w:b/>
          <w:szCs w:val="20"/>
          <w:u w:val="single"/>
        </w:rPr>
        <w:t>Initial and Subsequent Tests</w:t>
      </w:r>
      <w:r w:rsidRPr="006A7579">
        <w:rPr>
          <w:b/>
          <w:szCs w:val="20"/>
        </w:rPr>
        <w:t xml:space="preserve"> </w:t>
      </w:r>
      <w:r w:rsidRPr="006A7579">
        <w:rPr>
          <w:b/>
          <w:strike/>
          <w:szCs w:val="20"/>
        </w:rPr>
        <w:t>Approval</w:t>
      </w:r>
      <w:r w:rsidRPr="006A7579">
        <w:rPr>
          <w:b/>
          <w:szCs w:val="20"/>
        </w:rPr>
        <w:t>.</w:t>
      </w:r>
      <w:r w:rsidRPr="006A7579">
        <w:rPr>
          <w:szCs w:val="20"/>
        </w:rPr>
        <w:t xml:space="preserve"> – The test-weight load shall be not less than </w:t>
      </w:r>
      <w:r w:rsidR="006272C6" w:rsidRPr="006A7579">
        <w:rPr>
          <w:szCs w:val="20"/>
        </w:rPr>
        <w:t>35</w:t>
      </w:r>
      <w:r w:rsidR="004E6688">
        <w:rPr>
          <w:szCs w:val="20"/>
        </w:rPr>
        <w:t> </w:t>
      </w:r>
      <w:r w:rsidRPr="006A7579">
        <w:rPr>
          <w:szCs w:val="20"/>
        </w:rPr>
        <w:t>000 kg (</w:t>
      </w:r>
      <w:r w:rsidR="006272C6" w:rsidRPr="006A7579">
        <w:rPr>
          <w:szCs w:val="20"/>
        </w:rPr>
        <w:t>80</w:t>
      </w:r>
      <w:r w:rsidR="004E6688">
        <w:rPr>
          <w:szCs w:val="20"/>
        </w:rPr>
        <w:t> </w:t>
      </w:r>
      <w:r w:rsidRPr="006A7579">
        <w:rPr>
          <w:szCs w:val="20"/>
        </w:rPr>
        <w:t>000 lb).  A strain</w:t>
      </w:r>
      <w:r w:rsidRPr="006A7579">
        <w:rPr>
          <w:szCs w:val="20"/>
        </w:rPr>
        <w:noBreakHyphen/>
        <w:t>load test</w:t>
      </w:r>
      <w:r w:rsidRPr="006A7579">
        <w:rPr>
          <w:szCs w:val="20"/>
        </w:rPr>
        <w:fldChar w:fldCharType="begin"/>
      </w:r>
      <w:r w:rsidRPr="006A7579">
        <w:rPr>
          <w:szCs w:val="20"/>
        </w:rPr>
        <w:instrText>XE"Strain-load test"</w:instrText>
      </w:r>
      <w:r w:rsidRPr="006A7579">
        <w:rPr>
          <w:szCs w:val="20"/>
        </w:rPr>
        <w:fldChar w:fldCharType="end"/>
      </w:r>
      <w:r w:rsidRPr="006A7579">
        <w:rPr>
          <w:szCs w:val="20"/>
        </w:rPr>
        <w:t xml:space="preserve"> conducted up to the used capacity</w:t>
      </w:r>
      <w:r w:rsidRPr="006A7579">
        <w:rPr>
          <w:szCs w:val="20"/>
        </w:rPr>
        <w:fldChar w:fldCharType="begin"/>
      </w:r>
      <w:r w:rsidRPr="006A7579">
        <w:rPr>
          <w:szCs w:val="20"/>
        </w:rPr>
        <w:instrText>XE"Capacity"</w:instrText>
      </w:r>
      <w:r w:rsidRPr="006A7579">
        <w:rPr>
          <w:szCs w:val="20"/>
        </w:rPr>
        <w:fldChar w:fldCharType="end"/>
      </w:r>
      <w:r w:rsidRPr="006A7579">
        <w:rPr>
          <w:szCs w:val="20"/>
        </w:rPr>
        <w:t xml:space="preserve"> of the weighing system is recommended.</w:t>
      </w:r>
    </w:p>
    <w:p w:rsidR="00EF7A99" w:rsidRPr="006A7579" w:rsidRDefault="00EF7A99" w:rsidP="00F609E8">
      <w:pPr>
        <w:tabs>
          <w:tab w:val="left" w:pos="1620"/>
        </w:tabs>
        <w:spacing w:before="60" w:after="200" w:line="276" w:lineRule="auto"/>
        <w:ind w:left="720"/>
        <w:rPr>
          <w:b/>
          <w:szCs w:val="20"/>
          <w:u w:val="single"/>
        </w:rPr>
      </w:pPr>
      <w:r w:rsidRPr="006A7579">
        <w:rPr>
          <w:szCs w:val="20"/>
        </w:rPr>
        <w:t xml:space="preserve">(Added 1990) </w:t>
      </w:r>
      <w:r w:rsidRPr="006A7579">
        <w:rPr>
          <w:b/>
          <w:szCs w:val="20"/>
          <w:u w:val="single"/>
        </w:rPr>
        <w:t>(Amended 20</w:t>
      </w:r>
      <w:r w:rsidR="00D31669">
        <w:rPr>
          <w:b/>
          <w:szCs w:val="20"/>
          <w:u w:val="single"/>
        </w:rPr>
        <w:t>XX</w:t>
      </w:r>
      <w:r w:rsidRPr="006A7579">
        <w:rPr>
          <w:b/>
          <w:szCs w:val="20"/>
          <w:u w:val="single"/>
        </w:rPr>
        <w:t>)</w:t>
      </w:r>
    </w:p>
    <w:p w:rsidR="00EF7A99" w:rsidRPr="006A7579" w:rsidRDefault="00EF7A99" w:rsidP="00D31669">
      <w:pPr>
        <w:tabs>
          <w:tab w:val="left" w:pos="1620"/>
        </w:tabs>
        <w:spacing w:after="200" w:line="276" w:lineRule="auto"/>
        <w:ind w:left="720"/>
        <w:rPr>
          <w:b/>
          <w:szCs w:val="20"/>
          <w:u w:val="single"/>
        </w:rPr>
      </w:pPr>
      <w:r w:rsidRPr="006A7579">
        <w:rPr>
          <w:b/>
          <w:szCs w:val="20"/>
        </w:rPr>
        <w:t>N.3.1.2.</w:t>
      </w:r>
      <w:r w:rsidRPr="006A7579">
        <w:rPr>
          <w:b/>
          <w:szCs w:val="20"/>
        </w:rPr>
        <w:tab/>
        <w:t xml:space="preserve">Interim Test </w:t>
      </w:r>
      <w:r w:rsidRPr="006A7579">
        <w:rPr>
          <w:b/>
          <w:strike/>
          <w:szCs w:val="20"/>
        </w:rPr>
        <w:t>Approval</w:t>
      </w:r>
      <w:r w:rsidRPr="006A7579">
        <w:rPr>
          <w:b/>
          <w:szCs w:val="20"/>
        </w:rPr>
        <w:t>.</w:t>
      </w:r>
      <w:r w:rsidRPr="006A7579">
        <w:rPr>
          <w:szCs w:val="20"/>
        </w:rPr>
        <w:t xml:space="preserve"> – </w:t>
      </w:r>
      <w:r w:rsidRPr="006A7579">
        <w:rPr>
          <w:b/>
          <w:strike/>
          <w:szCs w:val="20"/>
        </w:rPr>
        <w:t>A test-weight load of not less than 13 500 kg (30 000 lb) and a strain</w:t>
      </w:r>
      <w:r w:rsidRPr="006A7579">
        <w:rPr>
          <w:b/>
          <w:strike/>
          <w:szCs w:val="20"/>
        </w:rPr>
        <w:noBreakHyphen/>
        <w:t xml:space="preserve">load test up to at least 25 % of scale capacity may be used to return a scale into service following </w:t>
      </w:r>
      <w:r w:rsidR="00387230" w:rsidRPr="006A7579">
        <w:rPr>
          <w:b/>
          <w:strike/>
          <w:szCs w:val="20"/>
        </w:rPr>
        <w:t>repairs.</w:t>
      </w:r>
      <w:r w:rsidR="00387230" w:rsidRPr="006A7579">
        <w:rPr>
          <w:b/>
          <w:szCs w:val="20"/>
          <w:u w:val="single"/>
        </w:rPr>
        <w:t xml:space="preserve"> An</w:t>
      </w:r>
      <w:r w:rsidRPr="006A7579">
        <w:rPr>
          <w:b/>
          <w:szCs w:val="20"/>
          <w:u w:val="single"/>
        </w:rPr>
        <w:t xml:space="preserve"> Interim Test may be used to return a railway track scale into temporary service following repairs that could affect the accuracy of the weighing system provided all of the following conditions are met:</w:t>
      </w:r>
    </w:p>
    <w:p w:rsidR="00EF7A99" w:rsidRPr="006A7579" w:rsidRDefault="00EF7A99" w:rsidP="00CA6DC5">
      <w:pPr>
        <w:numPr>
          <w:ilvl w:val="0"/>
          <w:numId w:val="55"/>
        </w:numPr>
        <w:tabs>
          <w:tab w:val="left" w:pos="1440"/>
        </w:tabs>
        <w:spacing w:before="240" w:after="200" w:line="276" w:lineRule="auto"/>
        <w:jc w:val="left"/>
        <w:rPr>
          <w:b/>
          <w:szCs w:val="20"/>
          <w:u w:val="single"/>
        </w:rPr>
      </w:pPr>
      <w:r w:rsidRPr="006A7579">
        <w:rPr>
          <w:b/>
          <w:szCs w:val="20"/>
          <w:u w:val="single"/>
        </w:rPr>
        <w:t xml:space="preserve"> A test weight load of not less than </w:t>
      </w:r>
      <w:r w:rsidR="00DA5674" w:rsidRPr="006A7579">
        <w:rPr>
          <w:b/>
          <w:szCs w:val="20"/>
          <w:u w:val="single"/>
        </w:rPr>
        <w:t>13</w:t>
      </w:r>
      <w:r w:rsidR="004E6688">
        <w:rPr>
          <w:b/>
          <w:szCs w:val="20"/>
          <w:u w:val="single"/>
        </w:rPr>
        <w:t> </w:t>
      </w:r>
      <w:r w:rsidRPr="006A7579">
        <w:rPr>
          <w:b/>
          <w:szCs w:val="20"/>
          <w:u w:val="single"/>
        </w:rPr>
        <w:t>500 kg (</w:t>
      </w:r>
      <w:r w:rsidR="00DA5674" w:rsidRPr="006A7579">
        <w:rPr>
          <w:b/>
          <w:szCs w:val="20"/>
          <w:u w:val="single"/>
        </w:rPr>
        <w:t>30</w:t>
      </w:r>
      <w:r w:rsidR="004E6688">
        <w:rPr>
          <w:b/>
          <w:szCs w:val="20"/>
          <w:u w:val="single"/>
        </w:rPr>
        <w:t> </w:t>
      </w:r>
      <w:r w:rsidRPr="006A7579">
        <w:rPr>
          <w:b/>
          <w:szCs w:val="20"/>
          <w:u w:val="single"/>
        </w:rPr>
        <w:t>000 lb) shall be used;</w:t>
      </w:r>
    </w:p>
    <w:p w:rsidR="00EF7A99" w:rsidRPr="006A7579" w:rsidRDefault="00EF7A99" w:rsidP="00CA6DC5">
      <w:pPr>
        <w:numPr>
          <w:ilvl w:val="0"/>
          <w:numId w:val="55"/>
        </w:numPr>
        <w:tabs>
          <w:tab w:val="left" w:pos="1440"/>
        </w:tabs>
        <w:spacing w:after="200" w:line="276" w:lineRule="auto"/>
        <w:jc w:val="left"/>
        <w:rPr>
          <w:b/>
          <w:szCs w:val="20"/>
          <w:u w:val="single"/>
        </w:rPr>
      </w:pPr>
      <w:r w:rsidRPr="006A7579">
        <w:rPr>
          <w:b/>
          <w:szCs w:val="20"/>
          <w:u w:val="single"/>
        </w:rPr>
        <w:t xml:space="preserve">A shift (section) test shall be conducted using a test-weight load of not less than </w:t>
      </w:r>
      <w:r w:rsidR="00DA5674" w:rsidRPr="006A7579">
        <w:rPr>
          <w:b/>
          <w:szCs w:val="20"/>
          <w:u w:val="single"/>
        </w:rPr>
        <w:t>13</w:t>
      </w:r>
      <w:r w:rsidR="00CA6DC5">
        <w:rPr>
          <w:b/>
          <w:szCs w:val="20"/>
          <w:u w:val="single"/>
        </w:rPr>
        <w:t> </w:t>
      </w:r>
      <w:r w:rsidRPr="006A7579">
        <w:rPr>
          <w:b/>
          <w:szCs w:val="20"/>
          <w:u w:val="single"/>
        </w:rPr>
        <w:t>500 kg (</w:t>
      </w:r>
      <w:r w:rsidR="00DA5674" w:rsidRPr="006A7579">
        <w:rPr>
          <w:b/>
          <w:szCs w:val="20"/>
          <w:u w:val="single"/>
        </w:rPr>
        <w:t>30</w:t>
      </w:r>
      <w:r w:rsidR="00CA6DC5">
        <w:rPr>
          <w:b/>
          <w:szCs w:val="20"/>
          <w:u w:val="single"/>
        </w:rPr>
        <w:t> </w:t>
      </w:r>
      <w:r w:rsidRPr="006A7579">
        <w:rPr>
          <w:b/>
          <w:szCs w:val="20"/>
          <w:u w:val="single"/>
        </w:rPr>
        <w:t>000 lb);</w:t>
      </w:r>
    </w:p>
    <w:p w:rsidR="00EF7A99" w:rsidRPr="006A7579" w:rsidRDefault="00EF7A99" w:rsidP="00CA6DC5">
      <w:pPr>
        <w:numPr>
          <w:ilvl w:val="0"/>
          <w:numId w:val="55"/>
        </w:numPr>
        <w:tabs>
          <w:tab w:val="left" w:pos="1440"/>
        </w:tabs>
        <w:spacing w:after="200" w:line="276" w:lineRule="auto"/>
        <w:jc w:val="left"/>
        <w:rPr>
          <w:b/>
          <w:szCs w:val="20"/>
          <w:u w:val="single"/>
        </w:rPr>
      </w:pPr>
      <w:r w:rsidRPr="006A7579">
        <w:rPr>
          <w:b/>
          <w:szCs w:val="20"/>
          <w:u w:val="single"/>
        </w:rPr>
        <w:lastRenderedPageBreak/>
        <w:t>A strain-load test shall be conducted up to at least 25</w:t>
      </w:r>
      <w:r w:rsidR="00CA6DC5">
        <w:rPr>
          <w:b/>
          <w:szCs w:val="20"/>
          <w:u w:val="single"/>
        </w:rPr>
        <w:t> </w:t>
      </w:r>
      <w:r w:rsidRPr="006A7579">
        <w:rPr>
          <w:b/>
          <w:szCs w:val="20"/>
          <w:u w:val="single"/>
        </w:rPr>
        <w:t>% of scale capacity;</w:t>
      </w:r>
    </w:p>
    <w:p w:rsidR="00EF7A99" w:rsidRPr="006A7579" w:rsidRDefault="00EF7A99" w:rsidP="00CA6DC5">
      <w:pPr>
        <w:numPr>
          <w:ilvl w:val="0"/>
          <w:numId w:val="55"/>
        </w:numPr>
        <w:tabs>
          <w:tab w:val="left" w:pos="1440"/>
        </w:tabs>
        <w:spacing w:after="200" w:line="276" w:lineRule="auto"/>
        <w:jc w:val="left"/>
        <w:rPr>
          <w:b/>
          <w:szCs w:val="20"/>
          <w:u w:val="single"/>
        </w:rPr>
      </w:pPr>
      <w:r w:rsidRPr="006A7579">
        <w:rPr>
          <w:b/>
          <w:szCs w:val="20"/>
          <w:u w:val="single"/>
        </w:rPr>
        <w:t xml:space="preserve">All test results shall be within applicable tolerances; and </w:t>
      </w:r>
    </w:p>
    <w:p w:rsidR="00EF7A99" w:rsidRPr="006A7579" w:rsidRDefault="00EF7A99" w:rsidP="004E6688">
      <w:pPr>
        <w:numPr>
          <w:ilvl w:val="0"/>
          <w:numId w:val="55"/>
        </w:numPr>
        <w:tabs>
          <w:tab w:val="left" w:pos="1440"/>
        </w:tabs>
        <w:spacing w:after="0" w:line="276" w:lineRule="auto"/>
        <w:jc w:val="left"/>
        <w:rPr>
          <w:b/>
          <w:szCs w:val="20"/>
          <w:u w:val="single"/>
        </w:rPr>
      </w:pPr>
      <w:r w:rsidRPr="006A7579">
        <w:rPr>
          <w:b/>
          <w:szCs w:val="20"/>
          <w:u w:val="single"/>
        </w:rPr>
        <w:t>The official with statutory authority shall be immediately notified when scales are repaired and placed in temporary service with an Interim Test.  The length of “Interim Use” is at the discretion of the official with statutory authority.</w:t>
      </w:r>
    </w:p>
    <w:p w:rsidR="00EF7A99" w:rsidRPr="006A7579" w:rsidRDefault="00EF7A99" w:rsidP="00F609E8">
      <w:pPr>
        <w:tabs>
          <w:tab w:val="left" w:pos="1620"/>
        </w:tabs>
        <w:spacing w:before="60" w:after="200" w:line="276" w:lineRule="auto"/>
        <w:ind w:left="720"/>
        <w:rPr>
          <w:b/>
          <w:szCs w:val="20"/>
          <w:u w:val="single"/>
        </w:rPr>
      </w:pPr>
      <w:r w:rsidRPr="006A7579">
        <w:rPr>
          <w:szCs w:val="20"/>
        </w:rPr>
        <w:t>(Added 1990)</w:t>
      </w:r>
      <w:r w:rsidRPr="006A7579">
        <w:rPr>
          <w:b/>
          <w:szCs w:val="20"/>
          <w:u w:val="single"/>
        </w:rPr>
        <w:t xml:space="preserve"> (Amended 2012)</w:t>
      </w:r>
    </w:p>
    <w:p w:rsidR="00EF7A99" w:rsidRPr="006A7579" w:rsidRDefault="00EF7A99" w:rsidP="0003005F">
      <w:pPr>
        <w:tabs>
          <w:tab w:val="left" w:pos="288"/>
        </w:tabs>
        <w:spacing w:after="60" w:line="276" w:lineRule="auto"/>
        <w:ind w:left="720"/>
        <w:rPr>
          <w:rFonts w:ascii="Arial Narrow" w:hAnsi="Arial Narrow"/>
          <w:szCs w:val="20"/>
        </w:rPr>
      </w:pPr>
      <w:r w:rsidRPr="006A7579">
        <w:rPr>
          <w:rFonts w:ascii="Arial Narrow" w:hAnsi="Arial Narrow"/>
          <w:b/>
          <w:bCs/>
          <w:strike/>
          <w:szCs w:val="20"/>
        </w:rPr>
        <w:t>Note</w:t>
      </w:r>
      <w:r w:rsidRPr="006A7579">
        <w:rPr>
          <w:rFonts w:ascii="Arial Narrow" w:hAnsi="Arial Narrow"/>
          <w:b/>
          <w:strike/>
          <w:szCs w:val="20"/>
        </w:rPr>
        <w:t>:  The length of time the scale may be used following an interim test is at the discretion of the official with statutory authority</w:t>
      </w:r>
      <w:r w:rsidRPr="006A7579">
        <w:rPr>
          <w:rFonts w:ascii="Arial Narrow" w:hAnsi="Arial Narrow"/>
          <w:szCs w:val="20"/>
        </w:rPr>
        <w:t>.</w:t>
      </w:r>
    </w:p>
    <w:p w:rsidR="00EF7A99" w:rsidRPr="006A7579" w:rsidRDefault="00EF7A99" w:rsidP="0003005F">
      <w:pPr>
        <w:tabs>
          <w:tab w:val="left" w:pos="360"/>
        </w:tabs>
        <w:ind w:left="720"/>
      </w:pPr>
      <w:r w:rsidRPr="006A7579">
        <w:rPr>
          <w:b/>
          <w:strike/>
          <w:szCs w:val="20"/>
        </w:rPr>
        <w:t>(Added 1990)</w:t>
      </w:r>
    </w:p>
    <w:p w:rsidR="00EF7A99" w:rsidRPr="006A7579" w:rsidRDefault="00EF7A99" w:rsidP="00EF7A99">
      <w:r w:rsidRPr="006A7579">
        <w:t xml:space="preserve">During the voting session of the 2012 NCWM Annual Meeting, </w:t>
      </w:r>
      <w:r>
        <w:t xml:space="preserve">additional </w:t>
      </w:r>
      <w:r w:rsidRPr="006A7579">
        <w:t xml:space="preserve">changes to </w:t>
      </w:r>
      <w:r>
        <w:t xml:space="preserve">the language in paragraph N.1.3.2. </w:t>
      </w:r>
      <w:r w:rsidRPr="006A7579">
        <w:t>were proposed from the floor</w:t>
      </w:r>
      <w:r w:rsidR="00F8395A">
        <w:t xml:space="preserve">.  </w:t>
      </w:r>
      <w:r w:rsidRPr="006A7579">
        <w:t>Mr. Kurt Floren,</w:t>
      </w:r>
      <w:r>
        <w:t xml:space="preserve"> Los Angeles County, C</w:t>
      </w:r>
      <w:r w:rsidR="00D31669">
        <w:t>alifornia</w:t>
      </w:r>
      <w:r>
        <w:t>, suggest</w:t>
      </w:r>
      <w:r w:rsidRPr="006A7579">
        <w:t xml:space="preserve">ed replacing the words “Interim Use” with the words “Temporary Service” in subparagraph </w:t>
      </w:r>
      <w:r>
        <w:t>N.1.3.2.</w:t>
      </w:r>
      <w:r w:rsidRPr="006A7579">
        <w:t>(e).  Mr. Doug Dieman, State of A</w:t>
      </w:r>
      <w:r w:rsidR="00D31669">
        <w:t>laska</w:t>
      </w:r>
      <w:r w:rsidRPr="006A7579">
        <w:t xml:space="preserve">, agreed with the change proposed by Mr. Floren, and further suggested adding the words “following repairs” to the amendment proposed by Mr. Floren.  Mr. Dieman recommended the phrase “Temporary Service following repairs” rather than the abbreviated “Temporary Service,” suggested by Mr. Floren.      </w:t>
      </w:r>
    </w:p>
    <w:p w:rsidR="00EF7A99" w:rsidRPr="006A7579" w:rsidRDefault="00EF7A99" w:rsidP="00EF7A99">
      <w:r w:rsidRPr="006A7579">
        <w:t>The Co</w:t>
      </w:r>
      <w:r>
        <w:t>mmittee considered these propos</w:t>
      </w:r>
      <w:r w:rsidRPr="006A7579">
        <w:t xml:space="preserve">ed changes and agreed to amend subparagraph (e) by replacing the words “Interim Use” in subparagraph (e) with the words “Temporary Service following repairs” noting that the change is more consistent with existing language appearing in proposed paragraph N.3.1.2.  Thus, subparagraph (e) was amended on the floor </w:t>
      </w:r>
      <w:r>
        <w:t xml:space="preserve">prior to vote </w:t>
      </w:r>
      <w:r w:rsidRPr="006A7579">
        <w:t>to read</w:t>
      </w:r>
      <w:r>
        <w:t>:</w:t>
      </w:r>
      <w:r w:rsidRPr="006A7579">
        <w:t xml:space="preserve"> </w:t>
      </w:r>
    </w:p>
    <w:p w:rsidR="00EF7A99" w:rsidRPr="006A7579" w:rsidRDefault="00EF7A99" w:rsidP="004E6688">
      <w:pPr>
        <w:numPr>
          <w:ilvl w:val="0"/>
          <w:numId w:val="37"/>
        </w:numPr>
        <w:tabs>
          <w:tab w:val="left" w:pos="720"/>
        </w:tabs>
        <w:spacing w:line="276" w:lineRule="auto"/>
        <w:ind w:left="720"/>
        <w:jc w:val="left"/>
        <w:rPr>
          <w:b/>
          <w:szCs w:val="20"/>
          <w:u w:val="single"/>
        </w:rPr>
      </w:pPr>
      <w:r w:rsidRPr="006A7579">
        <w:rPr>
          <w:b/>
          <w:szCs w:val="20"/>
          <w:u w:val="single"/>
        </w:rPr>
        <w:t>The official with statutory authority shall be immediately notified when scales are repaired and placed in temporary service with an Interim Test.  The length of “Temporary Service” following repairs is at the discretion of the official with statutory authority.</w:t>
      </w:r>
    </w:p>
    <w:p w:rsidR="001F4AF8" w:rsidRDefault="00EF7A99">
      <w:r w:rsidRPr="006A7579">
        <w:t xml:space="preserve">No additional amendments were </w:t>
      </w:r>
      <w:r>
        <w:t>suggested</w:t>
      </w:r>
      <w:r w:rsidRPr="006A7579">
        <w:t xml:space="preserve"> o</w:t>
      </w:r>
      <w:r>
        <w:t>r made to the language agreed upon</w:t>
      </w:r>
      <w:r w:rsidRPr="006A7579">
        <w:t xml:space="preserve"> by the Committee</w:t>
      </w:r>
      <w:r w:rsidR="001F4AF8">
        <w:t>, and t</w:t>
      </w:r>
      <w:r w:rsidRPr="006A7579">
        <w:t>he Committee agreed to present the item</w:t>
      </w:r>
      <w:r>
        <w:t xml:space="preserve"> for v</w:t>
      </w:r>
      <w:r w:rsidRPr="006A7579">
        <w:t>ote</w:t>
      </w:r>
      <w:r w:rsidR="00F8395A">
        <w:t xml:space="preserve"> as shown in the “Item Under Consideration</w:t>
      </w:r>
      <w:r w:rsidR="00D31669">
        <w:t>.</w:t>
      </w:r>
      <w:r w:rsidR="00F8395A">
        <w:t>”</w:t>
      </w:r>
    </w:p>
    <w:p w:rsidR="00D31669" w:rsidRDefault="00D31669" w:rsidP="00D31669">
      <w:r>
        <w:t>Any a</w:t>
      </w:r>
      <w:r w:rsidRPr="00762DFC">
        <w:t xml:space="preserve">dditional letters, presentations, and data </w:t>
      </w:r>
      <w:r>
        <w:t xml:space="preserve">that was </w:t>
      </w:r>
      <w:r w:rsidRPr="00762DFC">
        <w:t xml:space="preserve">submitted </w:t>
      </w:r>
      <w:r>
        <w:t>for consideration for this item is located in the S&amp;T Appendix A</w:t>
      </w:r>
      <w:r w:rsidRPr="00762DFC">
        <w:rPr>
          <w:rStyle w:val="Hyperlink"/>
          <w:u w:val="none"/>
        </w:rPr>
        <w:t>.</w:t>
      </w:r>
      <w:r w:rsidRPr="00960D99">
        <w:t xml:space="preserve">  </w:t>
      </w:r>
    </w:p>
    <w:p w:rsidR="00E75038" w:rsidRDefault="00E75038" w:rsidP="00D66E1F">
      <w:pPr>
        <w:pStyle w:val="ItemHeading"/>
      </w:pPr>
      <w:bookmarkStart w:id="14" w:name="_Toc334183617"/>
      <w:r w:rsidRPr="00E263F5">
        <w:t>320-4</w:t>
      </w:r>
      <w:r w:rsidRPr="00E263F5">
        <w:tab/>
      </w:r>
      <w:r w:rsidR="00F52FE8" w:rsidRPr="00E263F5">
        <w:t>V</w:t>
      </w:r>
      <w:r w:rsidR="00EF7A99">
        <w:t>C</w:t>
      </w:r>
      <w:r w:rsidR="00F52FE8" w:rsidRPr="00E263F5">
        <w:tab/>
      </w:r>
      <w:r w:rsidRPr="00E263F5">
        <w:t>UR.1.2</w:t>
      </w:r>
      <w:r w:rsidR="009937DF" w:rsidRPr="00E263F5">
        <w:t>.</w:t>
      </w:r>
      <w:r w:rsidRPr="00E263F5">
        <w:t xml:space="preserve"> Grain Hopper Scales</w:t>
      </w:r>
      <w:bookmarkEnd w:id="14"/>
    </w:p>
    <w:p w:rsidR="00EF7A99" w:rsidRPr="006A7579" w:rsidRDefault="00EF7A99" w:rsidP="00D66E1F">
      <w:pPr>
        <w:keepNext/>
        <w:ind w:left="14" w:hanging="14"/>
        <w:jc w:val="center"/>
        <w:rPr>
          <w:b/>
          <w:szCs w:val="20"/>
          <w:lang w:val="en-CA"/>
        </w:rPr>
      </w:pPr>
      <w:r w:rsidRPr="006A7579">
        <w:rPr>
          <w:szCs w:val="20"/>
          <w:lang w:val="en-CA"/>
        </w:rPr>
        <w:t>(This item was adopted.)</w:t>
      </w:r>
    </w:p>
    <w:p w:rsidR="00E75038" w:rsidRDefault="00E75038" w:rsidP="00833D40">
      <w:pPr>
        <w:pStyle w:val="BoldHeading"/>
        <w:keepNext/>
        <w:spacing w:after="0"/>
      </w:pPr>
      <w:r>
        <w:t xml:space="preserve">Source:  </w:t>
      </w:r>
    </w:p>
    <w:p w:rsidR="00E75038" w:rsidRDefault="00E75038" w:rsidP="00D66E1F">
      <w:pPr>
        <w:keepNext/>
      </w:pPr>
      <w:r>
        <w:t>Nebr</w:t>
      </w:r>
      <w:r w:rsidR="00882F3E">
        <w:t>aska Department of Agriculture (2012)</w:t>
      </w:r>
    </w:p>
    <w:p w:rsidR="00E75038" w:rsidRDefault="00E75038" w:rsidP="00833D40">
      <w:pPr>
        <w:pStyle w:val="BoldHeading"/>
        <w:keepNext/>
        <w:spacing w:after="0"/>
      </w:pPr>
      <w:r>
        <w:t xml:space="preserve">Purpose: </w:t>
      </w:r>
    </w:p>
    <w:p w:rsidR="00E75038" w:rsidRDefault="000E0640" w:rsidP="0043528A">
      <w:pPr>
        <w:spacing w:after="0"/>
      </w:pPr>
      <w:r>
        <w:t>C</w:t>
      </w:r>
      <w:r w:rsidR="00E75038">
        <w:t xml:space="preserve">larify </w:t>
      </w:r>
      <w:r>
        <w:t xml:space="preserve">that </w:t>
      </w:r>
      <w:r w:rsidR="00E75038">
        <w:t xml:space="preserve">grain hopper scales </w:t>
      </w:r>
      <w:r>
        <w:t>shall</w:t>
      </w:r>
      <w:r w:rsidR="00E75038">
        <w:t xml:space="preserve"> be Class III  </w:t>
      </w:r>
    </w:p>
    <w:p w:rsidR="00E263F5" w:rsidRDefault="00E75038" w:rsidP="00833D40">
      <w:pPr>
        <w:pStyle w:val="BoldHeading"/>
        <w:spacing w:before="240" w:after="0"/>
      </w:pPr>
      <w:r>
        <w:t>Item Under Consideration:</w:t>
      </w:r>
    </w:p>
    <w:p w:rsidR="00C51CF5" w:rsidRDefault="00CD25AA" w:rsidP="00EF4909">
      <w:pPr>
        <w:ind w:left="270" w:hanging="270"/>
      </w:pPr>
      <w:r>
        <w:t>1)</w:t>
      </w:r>
      <w:r>
        <w:tab/>
      </w:r>
      <w:r w:rsidR="00E263F5">
        <w:t xml:space="preserve">Amend </w:t>
      </w:r>
      <w:r w:rsidR="00E263F5" w:rsidRPr="00833D40">
        <w:t>NIST Handbook 44</w:t>
      </w:r>
      <w:r w:rsidR="00E263F5">
        <w:t>, Scales Code Table T.1.1. Tolerances for Unmarked Scales, as follows:</w:t>
      </w:r>
    </w:p>
    <w:p w:rsidR="00BB2AFB" w:rsidRDefault="00BB2AFB" w:rsidP="00FD5064">
      <w:pPr>
        <w:spacing w:before="3100"/>
        <w:jc w:val="center"/>
        <w:rPr>
          <w:caps/>
        </w:rPr>
      </w:pPr>
    </w:p>
    <w:p w:rsidR="00BB2AFB" w:rsidRDefault="00BB2AFB">
      <w:pPr>
        <w:spacing w:after="200" w:line="276" w:lineRule="auto"/>
        <w:jc w:val="left"/>
        <w:rPr>
          <w:caps/>
        </w:rPr>
      </w:pPr>
      <w:r>
        <w:rPr>
          <w:caps/>
          <w:noProof/>
        </w:rPr>
        <mc:AlternateContent>
          <mc:Choice Requires="wps">
            <w:drawing>
              <wp:anchor distT="0" distB="0" distL="114300" distR="114300" simplePos="0" relativeHeight="251661312" behindDoc="0" locked="0" layoutInCell="1" allowOverlap="1">
                <wp:simplePos x="0" y="0"/>
                <wp:positionH relativeFrom="column">
                  <wp:posOffset>1380226</wp:posOffset>
                </wp:positionH>
                <wp:positionV relativeFrom="paragraph">
                  <wp:posOffset>2815686</wp:posOffset>
                </wp:positionV>
                <wp:extent cx="3303917" cy="517585"/>
                <wp:effectExtent l="0" t="0" r="0" b="0"/>
                <wp:wrapNone/>
                <wp:docPr id="1" name="Text Box 1"/>
                <wp:cNvGraphicFramePr/>
                <a:graphic xmlns:a="http://schemas.openxmlformats.org/drawingml/2006/main">
                  <a:graphicData uri="http://schemas.microsoft.com/office/word/2010/wordprocessingShape">
                    <wps:wsp>
                      <wps:cNvSpPr txBox="1"/>
                      <wps:spPr>
                        <a:xfrm>
                          <a:off x="0" y="0"/>
                          <a:ext cx="3303917" cy="517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2AFB" w:rsidRDefault="00BB2AFB" w:rsidP="00BB2AFB">
                            <w:pPr>
                              <w:jc w:val="center"/>
                            </w:pPr>
                            <w:r>
                              <w:t>THIS PAGE INTENTIONALLY LEFT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08.7pt;margin-top:221.7pt;width:260.15pt;height:4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" filled="f" stroked="f" strokeweight=".5pt">
                <v:textbox>
                  <w:txbxContent>
                    <w:p w:rsidR="00BB2AFB" w:rsidRDefault="00BB2AFB" w:rsidP="00BB2AFB">
                      <w:pPr>
                        <w:jc w:val="center"/>
                      </w:pPr>
                      <w:r>
                        <w:t>THIS PAGE INTENTIONALLY LEFT BLANK</w:t>
                      </w:r>
                    </w:p>
                  </w:txbxContent>
                </v:textbox>
              </v:shape>
            </w:pict>
          </mc:Fallback>
        </mc:AlternateContent>
      </w:r>
      <w:r>
        <w:rPr>
          <w:caps/>
        </w:rPr>
        <w:br w:type="page"/>
      </w:r>
    </w:p>
    <w:p w:rsidR="00C7060B" w:rsidRPr="00FD5064" w:rsidRDefault="00C7060B" w:rsidP="00FD5064">
      <w:pPr>
        <w:spacing w:before="3100"/>
        <w:jc w:val="center"/>
        <w:rPr>
          <w:caps/>
        </w:rPr>
        <w:sectPr w:rsidR="00C7060B" w:rsidRPr="00FD5064" w:rsidSect="003361B8">
          <w:headerReference w:type="even" r:id="rId9"/>
          <w:headerReference w:type="default" r:id="rId10"/>
          <w:footerReference w:type="even" r:id="rId11"/>
          <w:footerReference w:type="default" r:id="rId12"/>
          <w:type w:val="continuous"/>
          <w:pgSz w:w="12240" w:h="15840"/>
          <w:pgMar w:top="1440" w:right="1440" w:bottom="1440" w:left="1440" w:header="720" w:footer="720" w:gutter="0"/>
          <w:pgNumType w:start="1"/>
          <w:cols w:space="720"/>
          <w:docGrid w:linePitch="360"/>
        </w:sectPr>
      </w:pPr>
    </w:p>
    <w:tbl>
      <w:tblPr>
        <w:tblStyle w:val="TableGrid"/>
        <w:tblW w:w="1319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58"/>
        <w:gridCol w:w="1350"/>
        <w:gridCol w:w="1620"/>
        <w:gridCol w:w="367"/>
        <w:gridCol w:w="893"/>
        <w:gridCol w:w="1440"/>
        <w:gridCol w:w="1260"/>
        <w:gridCol w:w="2988"/>
        <w:gridCol w:w="14"/>
      </w:tblGrid>
      <w:tr w:rsidR="00801A8C" w:rsidTr="00FF14F7">
        <w:trPr>
          <w:gridAfter w:val="1"/>
          <w:wAfter w:w="14" w:type="dxa"/>
        </w:trPr>
        <w:tc>
          <w:tcPr>
            <w:tcW w:w="13176" w:type="dxa"/>
            <w:gridSpan w:val="8"/>
            <w:tcBorders>
              <w:top w:val="double" w:sz="4" w:space="0" w:color="auto"/>
              <w:bottom w:val="double" w:sz="4" w:space="0" w:color="auto"/>
            </w:tcBorders>
          </w:tcPr>
          <w:p w:rsidR="00801A8C" w:rsidRDefault="00801A8C" w:rsidP="00833D40">
            <w:pPr>
              <w:pStyle w:val="TableHeading"/>
              <w:spacing w:after="0"/>
            </w:pPr>
            <w:r>
              <w:lastRenderedPageBreak/>
              <w:t>Table T.1.1. Tolerances for Unmarked Sc</w:t>
            </w:r>
            <w:r w:rsidR="00FF14F7">
              <w:t>a</w:t>
            </w:r>
            <w:r>
              <w:t>les</w:t>
            </w:r>
          </w:p>
        </w:tc>
      </w:tr>
      <w:tr w:rsidR="00FF14F7" w:rsidTr="00FF14F7">
        <w:trPr>
          <w:gridAfter w:val="1"/>
          <w:wAfter w:w="14" w:type="dxa"/>
        </w:trPr>
        <w:tc>
          <w:tcPr>
            <w:tcW w:w="3258" w:type="dxa"/>
            <w:tcBorders>
              <w:top w:val="double" w:sz="4" w:space="0" w:color="auto"/>
            </w:tcBorders>
            <w:vAlign w:val="center"/>
          </w:tcPr>
          <w:p w:rsidR="00EF4574" w:rsidRDefault="00801A8C" w:rsidP="00833D40">
            <w:pPr>
              <w:pStyle w:val="TableColumnHeadings"/>
              <w:spacing w:after="0"/>
            </w:pPr>
            <w:r>
              <w:t>Type of Device</w:t>
            </w:r>
          </w:p>
        </w:tc>
        <w:tc>
          <w:tcPr>
            <w:tcW w:w="1350" w:type="dxa"/>
            <w:tcBorders>
              <w:top w:val="double" w:sz="4" w:space="0" w:color="auto"/>
            </w:tcBorders>
            <w:vAlign w:val="center"/>
          </w:tcPr>
          <w:p w:rsidR="00EF4574" w:rsidRDefault="00801A8C" w:rsidP="00833D40">
            <w:pPr>
              <w:pStyle w:val="TableColumnHeadings"/>
              <w:spacing w:after="0"/>
              <w:rPr>
                <w:b w:val="0"/>
              </w:rPr>
            </w:pPr>
            <w:r>
              <w:t>Subcategory</w:t>
            </w:r>
          </w:p>
        </w:tc>
        <w:tc>
          <w:tcPr>
            <w:tcW w:w="1620" w:type="dxa"/>
            <w:tcBorders>
              <w:top w:val="double" w:sz="4" w:space="0" w:color="auto"/>
            </w:tcBorders>
            <w:vAlign w:val="center"/>
          </w:tcPr>
          <w:p w:rsidR="00EF4574" w:rsidRDefault="00801A8C" w:rsidP="00833D40">
            <w:pPr>
              <w:pStyle w:val="TableColumnHeadings"/>
              <w:spacing w:after="0"/>
            </w:pPr>
            <w:r>
              <w:t>Minimum Tolerance</w:t>
            </w:r>
          </w:p>
        </w:tc>
        <w:tc>
          <w:tcPr>
            <w:tcW w:w="1260" w:type="dxa"/>
            <w:gridSpan w:val="2"/>
            <w:tcBorders>
              <w:top w:val="double" w:sz="4" w:space="0" w:color="auto"/>
            </w:tcBorders>
            <w:vAlign w:val="center"/>
          </w:tcPr>
          <w:p w:rsidR="00EF4574" w:rsidRDefault="00801A8C" w:rsidP="00833D40">
            <w:pPr>
              <w:pStyle w:val="TableColumnHeadings"/>
              <w:spacing w:after="0"/>
            </w:pPr>
            <w:r>
              <w:t>Acceptance Tolerance</w:t>
            </w:r>
          </w:p>
        </w:tc>
        <w:tc>
          <w:tcPr>
            <w:tcW w:w="1440" w:type="dxa"/>
            <w:tcBorders>
              <w:top w:val="double" w:sz="4" w:space="0" w:color="auto"/>
            </w:tcBorders>
            <w:vAlign w:val="center"/>
          </w:tcPr>
          <w:p w:rsidR="00EF4574" w:rsidRDefault="00801A8C" w:rsidP="00833D40">
            <w:pPr>
              <w:pStyle w:val="TableColumnHeadings"/>
              <w:spacing w:after="0"/>
            </w:pPr>
            <w:r>
              <w:t>Maintenance Tolerance</w:t>
            </w:r>
          </w:p>
        </w:tc>
        <w:tc>
          <w:tcPr>
            <w:tcW w:w="1260" w:type="dxa"/>
            <w:tcBorders>
              <w:top w:val="double" w:sz="4" w:space="0" w:color="auto"/>
            </w:tcBorders>
            <w:vAlign w:val="center"/>
          </w:tcPr>
          <w:p w:rsidR="00EF4574" w:rsidRDefault="00801A8C" w:rsidP="00833D40">
            <w:pPr>
              <w:pStyle w:val="TableColumnHeadings"/>
              <w:spacing w:after="0"/>
            </w:pPr>
            <w:r>
              <w:t>Decreasing-Load Multiplier</w:t>
            </w:r>
            <w:r w:rsidRPr="00801A8C">
              <w:rPr>
                <w:vertAlign w:val="superscript"/>
              </w:rPr>
              <w:t>1</w:t>
            </w:r>
          </w:p>
        </w:tc>
        <w:tc>
          <w:tcPr>
            <w:tcW w:w="2988" w:type="dxa"/>
            <w:tcBorders>
              <w:top w:val="double" w:sz="4" w:space="0" w:color="auto"/>
            </w:tcBorders>
            <w:vAlign w:val="center"/>
          </w:tcPr>
          <w:p w:rsidR="00EF4574" w:rsidRDefault="00801A8C" w:rsidP="00833D40">
            <w:pPr>
              <w:pStyle w:val="TableColumnHeadings"/>
              <w:spacing w:after="0"/>
            </w:pPr>
            <w:r>
              <w:t>Other Applicable Requirements</w:t>
            </w:r>
          </w:p>
        </w:tc>
      </w:tr>
      <w:tr w:rsidR="00FF14F7" w:rsidRPr="00FF14F7" w:rsidTr="00FF14F7">
        <w:trPr>
          <w:gridAfter w:val="1"/>
          <w:wAfter w:w="14" w:type="dxa"/>
        </w:trPr>
        <w:tc>
          <w:tcPr>
            <w:tcW w:w="3258" w:type="dxa"/>
          </w:tcPr>
          <w:p w:rsidR="00801A8C" w:rsidRPr="00FF14F7" w:rsidRDefault="00801A8C" w:rsidP="00833D40">
            <w:pPr>
              <w:pStyle w:val="TableText"/>
              <w:spacing w:after="0"/>
              <w:rPr>
                <w:sz w:val="18"/>
              </w:rPr>
            </w:pPr>
            <w:r w:rsidRPr="00FF14F7">
              <w:rPr>
                <w:sz w:val="18"/>
              </w:rPr>
              <w:t>Vehicle, axle-load, livestock, railway track (weighing statically), crane, and hopper (other than grain hopper)</w:t>
            </w:r>
          </w:p>
        </w:tc>
        <w:tc>
          <w:tcPr>
            <w:tcW w:w="1350" w:type="dxa"/>
          </w:tcPr>
          <w:p w:rsidR="00801A8C" w:rsidRPr="00FF14F7" w:rsidRDefault="00801A8C" w:rsidP="00833D40">
            <w:pPr>
              <w:pStyle w:val="TableText"/>
              <w:spacing w:after="0"/>
              <w:jc w:val="center"/>
              <w:rPr>
                <w:sz w:val="18"/>
              </w:rPr>
            </w:pPr>
          </w:p>
        </w:tc>
        <w:tc>
          <w:tcPr>
            <w:tcW w:w="4320" w:type="dxa"/>
            <w:gridSpan w:val="4"/>
            <w:vAlign w:val="center"/>
          </w:tcPr>
          <w:p w:rsidR="00801A8C" w:rsidRPr="00FF14F7" w:rsidRDefault="00801A8C" w:rsidP="00833D40">
            <w:pPr>
              <w:pStyle w:val="TableText"/>
              <w:spacing w:after="0"/>
              <w:jc w:val="center"/>
              <w:rPr>
                <w:b/>
                <w:sz w:val="18"/>
              </w:rPr>
            </w:pPr>
            <w:r w:rsidRPr="00FF14F7">
              <w:rPr>
                <w:sz w:val="18"/>
              </w:rPr>
              <w:t>Class III L, T.N.3.1. (Table 6) and T.N.3.2.</w:t>
            </w:r>
          </w:p>
        </w:tc>
        <w:tc>
          <w:tcPr>
            <w:tcW w:w="1260" w:type="dxa"/>
            <w:vAlign w:val="center"/>
          </w:tcPr>
          <w:p w:rsidR="00801A8C" w:rsidRPr="00FF14F7" w:rsidRDefault="00801A8C" w:rsidP="00833D40">
            <w:pPr>
              <w:pStyle w:val="TableText"/>
              <w:spacing w:after="0"/>
              <w:jc w:val="center"/>
              <w:rPr>
                <w:b/>
                <w:sz w:val="18"/>
              </w:rPr>
            </w:pPr>
            <w:r w:rsidRPr="00FF14F7">
              <w:rPr>
                <w:sz w:val="18"/>
              </w:rPr>
              <w:t>1.0</w:t>
            </w:r>
          </w:p>
        </w:tc>
        <w:tc>
          <w:tcPr>
            <w:tcW w:w="2988" w:type="dxa"/>
            <w:vAlign w:val="center"/>
          </w:tcPr>
          <w:p w:rsidR="00801A8C" w:rsidRPr="00FF14F7" w:rsidRDefault="00801A8C" w:rsidP="00833D40">
            <w:pPr>
              <w:pStyle w:val="TableText"/>
              <w:spacing w:after="0"/>
              <w:jc w:val="center"/>
              <w:rPr>
                <w:b/>
                <w:sz w:val="18"/>
              </w:rPr>
            </w:pPr>
            <w:r w:rsidRPr="00FF14F7">
              <w:rPr>
                <w:sz w:val="18"/>
              </w:rPr>
              <w:t xml:space="preserve">T.N.2., T.N.3., T.N.4.1., T.N.4.2., T.N.4.3., T.N.4.4., T.N.5., T.N.7.2., </w:t>
            </w: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tcPr>
          <w:p w:rsidR="006B5400" w:rsidRPr="00FF14F7" w:rsidRDefault="006B5400" w:rsidP="00833D40">
            <w:pPr>
              <w:pStyle w:val="TableText"/>
              <w:spacing w:after="0"/>
              <w:rPr>
                <w:b/>
                <w:sz w:val="18"/>
              </w:rPr>
            </w:pPr>
            <w:r w:rsidRPr="00FF14F7">
              <w:rPr>
                <w:sz w:val="18"/>
              </w:rPr>
              <w:t>Grain test scales</w:t>
            </w:r>
          </w:p>
        </w:tc>
        <w:tc>
          <w:tcPr>
            <w:tcW w:w="1350" w:type="dxa"/>
          </w:tcPr>
          <w:p w:rsidR="006B5400" w:rsidRPr="00FF14F7" w:rsidRDefault="006B5400" w:rsidP="00833D40">
            <w:pPr>
              <w:pStyle w:val="TableText"/>
              <w:spacing w:after="0"/>
              <w:jc w:val="center"/>
              <w:rPr>
                <w:b/>
                <w:sz w:val="18"/>
              </w:rPr>
            </w:pPr>
            <w:r w:rsidRPr="00FF14F7">
              <w:rPr>
                <w:sz w:val="18"/>
              </w:rPr>
              <w:t xml:space="preserve">n </w:t>
            </w:r>
            <w:r w:rsidRPr="00FF14F7">
              <w:rPr>
                <w:rFonts w:cs="Times New Roman"/>
                <w:sz w:val="18"/>
              </w:rPr>
              <w:t>≤</w:t>
            </w:r>
            <w:r w:rsidRPr="00FF14F7">
              <w:rPr>
                <w:sz w:val="18"/>
              </w:rPr>
              <w:t xml:space="preserve"> 10 000</w:t>
            </w:r>
          </w:p>
          <w:p w:rsidR="006B5400" w:rsidRPr="00FF14F7" w:rsidRDefault="006B5400" w:rsidP="00833D40">
            <w:pPr>
              <w:pStyle w:val="TableText"/>
              <w:spacing w:after="0"/>
              <w:jc w:val="center"/>
              <w:rPr>
                <w:b/>
                <w:sz w:val="18"/>
              </w:rPr>
            </w:pPr>
            <w:r w:rsidRPr="00FF14F7">
              <w:rPr>
                <w:sz w:val="18"/>
              </w:rPr>
              <w:t xml:space="preserve">n </w:t>
            </w:r>
            <w:r w:rsidRPr="00FF14F7">
              <w:rPr>
                <w:rFonts w:cs="Times New Roman"/>
                <w:sz w:val="18"/>
              </w:rPr>
              <w:sym w:font="Symbol" w:char="F03E"/>
            </w:r>
            <w:r w:rsidRPr="00FF14F7">
              <w:rPr>
                <w:sz w:val="18"/>
              </w:rPr>
              <w:t xml:space="preserve"> 10 000</w:t>
            </w:r>
          </w:p>
        </w:tc>
        <w:tc>
          <w:tcPr>
            <w:tcW w:w="4320" w:type="dxa"/>
            <w:gridSpan w:val="4"/>
            <w:vAlign w:val="center"/>
          </w:tcPr>
          <w:p w:rsidR="006B5400" w:rsidRPr="00FF14F7" w:rsidRDefault="006B5400" w:rsidP="00833D40">
            <w:pPr>
              <w:pStyle w:val="TableText"/>
              <w:spacing w:after="0"/>
              <w:jc w:val="center"/>
              <w:rPr>
                <w:b/>
                <w:sz w:val="18"/>
              </w:rPr>
            </w:pPr>
            <w:r w:rsidRPr="00FF14F7">
              <w:rPr>
                <w:sz w:val="18"/>
              </w:rPr>
              <w:t>Class III, T.N.3.1. (Table 6) and T.N.3.2.</w:t>
            </w:r>
          </w:p>
          <w:p w:rsidR="006B5400" w:rsidRPr="00FF14F7" w:rsidRDefault="006B5400" w:rsidP="00833D40">
            <w:pPr>
              <w:pStyle w:val="TableText"/>
              <w:spacing w:after="0"/>
              <w:jc w:val="center"/>
              <w:rPr>
                <w:b/>
                <w:sz w:val="18"/>
              </w:rPr>
            </w:pPr>
            <w:r w:rsidRPr="00FF14F7">
              <w:rPr>
                <w:sz w:val="18"/>
              </w:rPr>
              <w:t>Class II, T.N.3.1. (Table 6) and T.N.3.2.</w:t>
            </w:r>
          </w:p>
        </w:tc>
        <w:tc>
          <w:tcPr>
            <w:tcW w:w="1260" w:type="dxa"/>
            <w:vAlign w:val="center"/>
          </w:tcPr>
          <w:p w:rsidR="006B5400" w:rsidRPr="00FF14F7" w:rsidRDefault="006B5400" w:rsidP="00833D40">
            <w:pPr>
              <w:pStyle w:val="TableText"/>
              <w:spacing w:after="0"/>
              <w:jc w:val="center"/>
              <w:rPr>
                <w:b/>
                <w:sz w:val="18"/>
              </w:rPr>
            </w:pPr>
            <w:r w:rsidRPr="00FF14F7">
              <w:rPr>
                <w:sz w:val="18"/>
              </w:rPr>
              <w:t>1.0</w:t>
            </w:r>
          </w:p>
        </w:tc>
        <w:tc>
          <w:tcPr>
            <w:tcW w:w="2988" w:type="dxa"/>
            <w:vAlign w:val="center"/>
          </w:tcPr>
          <w:p w:rsidR="006B5400" w:rsidRPr="00FF14F7" w:rsidRDefault="006B5400"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tcPr>
          <w:p w:rsidR="00FF14F7" w:rsidRPr="00FF14F7" w:rsidRDefault="00FF14F7" w:rsidP="00833D40">
            <w:pPr>
              <w:pStyle w:val="TableText"/>
              <w:spacing w:after="0"/>
              <w:rPr>
                <w:b/>
                <w:sz w:val="18"/>
              </w:rPr>
            </w:pPr>
            <w:r w:rsidRPr="00FF14F7">
              <w:rPr>
                <w:sz w:val="18"/>
              </w:rPr>
              <w:t>Railway track scales weighing in- motion</w:t>
            </w:r>
          </w:p>
        </w:tc>
        <w:tc>
          <w:tcPr>
            <w:tcW w:w="1350" w:type="dxa"/>
          </w:tcPr>
          <w:p w:rsidR="00FF14F7" w:rsidRPr="00FF14F7" w:rsidRDefault="00FF14F7" w:rsidP="00833D40">
            <w:pPr>
              <w:pStyle w:val="TableText"/>
              <w:spacing w:after="0"/>
              <w:jc w:val="center"/>
              <w:rPr>
                <w:sz w:val="18"/>
              </w:rPr>
            </w:pPr>
          </w:p>
        </w:tc>
        <w:tc>
          <w:tcPr>
            <w:tcW w:w="4320" w:type="dxa"/>
            <w:gridSpan w:val="4"/>
            <w:vAlign w:val="center"/>
          </w:tcPr>
          <w:p w:rsidR="00FF14F7" w:rsidRPr="00FF14F7" w:rsidRDefault="00FF14F7" w:rsidP="00833D40">
            <w:pPr>
              <w:pStyle w:val="TableText"/>
              <w:spacing w:after="0"/>
              <w:jc w:val="center"/>
              <w:rPr>
                <w:b/>
                <w:sz w:val="18"/>
              </w:rPr>
            </w:pPr>
            <w:r w:rsidRPr="00FF14F7">
              <w:rPr>
                <w:sz w:val="18"/>
              </w:rPr>
              <w:t>T.N.3.6. except that for T.N.3.6.2. (a), no single error shall exceed four times the maintenance tolerance.</w:t>
            </w:r>
          </w:p>
        </w:tc>
        <w:tc>
          <w:tcPr>
            <w:tcW w:w="1260" w:type="dxa"/>
            <w:vAlign w:val="center"/>
          </w:tcPr>
          <w:p w:rsidR="00FF14F7" w:rsidRPr="00FF14F7" w:rsidRDefault="00FF14F7" w:rsidP="00833D40">
            <w:pPr>
              <w:pStyle w:val="TableText"/>
              <w:spacing w:after="0"/>
              <w:jc w:val="center"/>
              <w:rPr>
                <w:b/>
                <w:sz w:val="18"/>
              </w:rPr>
            </w:pPr>
            <w:r w:rsidRPr="00FF14F7">
              <w:rPr>
                <w:sz w:val="18"/>
              </w:rPr>
              <w:t>1.0</w:t>
            </w:r>
          </w:p>
        </w:tc>
        <w:tc>
          <w:tcPr>
            <w:tcW w:w="2988" w:type="dxa"/>
            <w:vAlign w:val="center"/>
          </w:tcPr>
          <w:p w:rsidR="00FF14F7" w:rsidRPr="00FF14F7" w:rsidRDefault="00FF14F7"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tcPr>
          <w:p w:rsidR="00FF14F7" w:rsidRPr="00FF14F7" w:rsidRDefault="00FF14F7" w:rsidP="00833D40">
            <w:pPr>
              <w:pStyle w:val="TableText"/>
              <w:spacing w:after="0"/>
              <w:rPr>
                <w:b/>
                <w:sz w:val="18"/>
              </w:rPr>
            </w:pPr>
            <w:r w:rsidRPr="00FF14F7">
              <w:rPr>
                <w:sz w:val="18"/>
              </w:rPr>
              <w:t>Monorail scales, in-motion</w:t>
            </w:r>
          </w:p>
        </w:tc>
        <w:tc>
          <w:tcPr>
            <w:tcW w:w="1350" w:type="dxa"/>
          </w:tcPr>
          <w:p w:rsidR="00FF14F7" w:rsidRPr="00FF14F7" w:rsidRDefault="00FF14F7" w:rsidP="00833D40">
            <w:pPr>
              <w:pStyle w:val="TableText"/>
              <w:spacing w:after="0"/>
              <w:jc w:val="center"/>
              <w:rPr>
                <w:sz w:val="18"/>
              </w:rPr>
            </w:pPr>
          </w:p>
        </w:tc>
        <w:tc>
          <w:tcPr>
            <w:tcW w:w="4320" w:type="dxa"/>
            <w:gridSpan w:val="4"/>
            <w:vAlign w:val="center"/>
          </w:tcPr>
          <w:p w:rsidR="00FF14F7" w:rsidRPr="00FF14F7" w:rsidRDefault="00FF14F7" w:rsidP="00833D40">
            <w:pPr>
              <w:pStyle w:val="TableText"/>
              <w:spacing w:after="0"/>
              <w:jc w:val="center"/>
              <w:rPr>
                <w:b/>
                <w:sz w:val="18"/>
              </w:rPr>
            </w:pPr>
            <w:r w:rsidRPr="00FF14F7">
              <w:rPr>
                <w:sz w:val="18"/>
              </w:rPr>
              <w:t>T.N.3.8.</w:t>
            </w:r>
          </w:p>
        </w:tc>
        <w:tc>
          <w:tcPr>
            <w:tcW w:w="1260" w:type="dxa"/>
            <w:vAlign w:val="center"/>
          </w:tcPr>
          <w:p w:rsidR="00FF14F7" w:rsidRPr="00FF14F7" w:rsidRDefault="00FF14F7" w:rsidP="00833D40">
            <w:pPr>
              <w:pStyle w:val="TableText"/>
              <w:spacing w:after="0"/>
              <w:jc w:val="center"/>
              <w:rPr>
                <w:b/>
                <w:sz w:val="18"/>
              </w:rPr>
            </w:pPr>
            <w:r w:rsidRPr="00FF14F7">
              <w:rPr>
                <w:sz w:val="18"/>
              </w:rPr>
              <w:t>1.0</w:t>
            </w:r>
          </w:p>
        </w:tc>
        <w:tc>
          <w:tcPr>
            <w:tcW w:w="2988" w:type="dxa"/>
            <w:vAlign w:val="center"/>
          </w:tcPr>
          <w:p w:rsidR="00FF14F7" w:rsidRPr="00FF14F7" w:rsidRDefault="00FF14F7"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tcPr>
          <w:p w:rsidR="00FF14F7" w:rsidRPr="00FF14F7" w:rsidRDefault="00FF14F7" w:rsidP="00833D40">
            <w:pPr>
              <w:pStyle w:val="TableText"/>
              <w:spacing w:after="0"/>
              <w:rPr>
                <w:b/>
                <w:sz w:val="18"/>
              </w:rPr>
            </w:pPr>
            <w:r w:rsidRPr="00FF14F7">
              <w:rPr>
                <w:sz w:val="18"/>
              </w:rPr>
              <w:t>Customer-operated bulk-weighing systems for recycled materials</w:t>
            </w:r>
          </w:p>
        </w:tc>
        <w:tc>
          <w:tcPr>
            <w:tcW w:w="1350" w:type="dxa"/>
          </w:tcPr>
          <w:p w:rsidR="00FF14F7" w:rsidRPr="00FF14F7" w:rsidRDefault="00FF14F7" w:rsidP="00833D40">
            <w:pPr>
              <w:pStyle w:val="TableText"/>
              <w:spacing w:after="0"/>
              <w:jc w:val="center"/>
              <w:rPr>
                <w:sz w:val="18"/>
              </w:rPr>
            </w:pPr>
          </w:p>
        </w:tc>
        <w:tc>
          <w:tcPr>
            <w:tcW w:w="4320" w:type="dxa"/>
            <w:gridSpan w:val="4"/>
            <w:vAlign w:val="center"/>
          </w:tcPr>
          <w:p w:rsidR="00FF14F7" w:rsidRPr="00FF14F7" w:rsidRDefault="00FF14F7" w:rsidP="00833D40">
            <w:pPr>
              <w:pStyle w:val="TableText"/>
              <w:spacing w:after="0"/>
              <w:jc w:val="center"/>
              <w:rPr>
                <w:b/>
                <w:sz w:val="18"/>
              </w:rPr>
            </w:pPr>
            <w:r w:rsidRPr="00FF14F7">
              <w:rPr>
                <w:rFonts w:cs="Times New Roman"/>
                <w:sz w:val="18"/>
              </w:rPr>
              <w:t>±</w:t>
            </w:r>
            <w:r w:rsidRPr="00FF14F7">
              <w:rPr>
                <w:sz w:val="18"/>
              </w:rPr>
              <w:t xml:space="preserve"> 5 % of applied material test load.</w:t>
            </w:r>
          </w:p>
          <w:p w:rsidR="00FF14F7" w:rsidRPr="00FF14F7" w:rsidRDefault="00FF14F7" w:rsidP="00833D40">
            <w:pPr>
              <w:pStyle w:val="TableText"/>
              <w:spacing w:after="0"/>
              <w:jc w:val="center"/>
              <w:rPr>
                <w:b/>
                <w:sz w:val="18"/>
              </w:rPr>
            </w:pPr>
            <w:r w:rsidRPr="00FF14F7">
              <w:rPr>
                <w:sz w:val="18"/>
              </w:rPr>
              <w:t xml:space="preserve">Average error on 10 or more test loads </w:t>
            </w:r>
            <w:r w:rsidRPr="00FF14F7">
              <w:rPr>
                <w:rFonts w:cs="Times New Roman"/>
                <w:sz w:val="18"/>
              </w:rPr>
              <w:t>≤</w:t>
            </w:r>
            <w:r w:rsidRPr="00FF14F7">
              <w:rPr>
                <w:sz w:val="18"/>
              </w:rPr>
              <w:t xml:space="preserve"> 2.5 %.</w:t>
            </w:r>
          </w:p>
        </w:tc>
        <w:tc>
          <w:tcPr>
            <w:tcW w:w="1260" w:type="dxa"/>
            <w:vAlign w:val="center"/>
          </w:tcPr>
          <w:p w:rsidR="00FF14F7" w:rsidRPr="00FF14F7" w:rsidRDefault="00FF14F7" w:rsidP="00833D40">
            <w:pPr>
              <w:pStyle w:val="TableText"/>
              <w:spacing w:after="0"/>
              <w:jc w:val="center"/>
              <w:rPr>
                <w:b/>
                <w:sz w:val="18"/>
              </w:rPr>
            </w:pPr>
            <w:r w:rsidRPr="00FF14F7">
              <w:rPr>
                <w:sz w:val="18"/>
              </w:rPr>
              <w:t>1.0</w:t>
            </w:r>
          </w:p>
        </w:tc>
        <w:tc>
          <w:tcPr>
            <w:tcW w:w="2988" w:type="dxa"/>
            <w:vAlign w:val="center"/>
          </w:tcPr>
          <w:p w:rsidR="00FF14F7" w:rsidRPr="00FF14F7" w:rsidRDefault="00FF14F7"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tcPr>
          <w:p w:rsidR="00FF14F7" w:rsidRPr="00FF14F7" w:rsidRDefault="00FF14F7" w:rsidP="00833D40">
            <w:pPr>
              <w:pStyle w:val="TableText"/>
              <w:spacing w:after="0"/>
              <w:rPr>
                <w:b/>
                <w:sz w:val="18"/>
              </w:rPr>
            </w:pPr>
            <w:r w:rsidRPr="00FF14F7">
              <w:rPr>
                <w:sz w:val="18"/>
              </w:rPr>
              <w:t>Wheel-load weighers and portable axle-load scales</w:t>
            </w:r>
          </w:p>
        </w:tc>
        <w:tc>
          <w:tcPr>
            <w:tcW w:w="1350" w:type="dxa"/>
            <w:vAlign w:val="center"/>
          </w:tcPr>
          <w:p w:rsidR="00FF14F7" w:rsidRPr="00FF14F7" w:rsidRDefault="00FF14F7" w:rsidP="00833D40">
            <w:pPr>
              <w:pStyle w:val="TableText"/>
              <w:spacing w:after="0"/>
              <w:jc w:val="center"/>
              <w:rPr>
                <w:b/>
                <w:sz w:val="18"/>
              </w:rPr>
            </w:pPr>
            <w:r w:rsidRPr="00FF14F7">
              <w:rPr>
                <w:sz w:val="18"/>
              </w:rPr>
              <w:t>Tested individually or in pairs</w:t>
            </w:r>
            <w:r w:rsidRPr="00FF14F7">
              <w:rPr>
                <w:sz w:val="18"/>
                <w:vertAlign w:val="superscript"/>
              </w:rPr>
              <w:t>2</w:t>
            </w:r>
          </w:p>
        </w:tc>
        <w:tc>
          <w:tcPr>
            <w:tcW w:w="1620" w:type="dxa"/>
            <w:vAlign w:val="center"/>
          </w:tcPr>
          <w:p w:rsidR="00FF14F7" w:rsidRPr="00FF14F7" w:rsidRDefault="00FF14F7" w:rsidP="00833D40">
            <w:pPr>
              <w:pStyle w:val="TableText"/>
              <w:spacing w:after="0"/>
              <w:jc w:val="center"/>
              <w:rPr>
                <w:b/>
                <w:sz w:val="18"/>
              </w:rPr>
            </w:pPr>
            <w:r w:rsidRPr="00FF14F7">
              <w:rPr>
                <w:sz w:val="18"/>
              </w:rPr>
              <w:t>0.5 d or 50 lb, whichever is greater</w:t>
            </w:r>
          </w:p>
        </w:tc>
        <w:tc>
          <w:tcPr>
            <w:tcW w:w="1260" w:type="dxa"/>
            <w:gridSpan w:val="2"/>
            <w:vAlign w:val="center"/>
          </w:tcPr>
          <w:p w:rsidR="00FF14F7" w:rsidRPr="00FF14F7" w:rsidRDefault="00FF14F7" w:rsidP="00833D40">
            <w:pPr>
              <w:pStyle w:val="TableText"/>
              <w:spacing w:after="0"/>
              <w:jc w:val="center"/>
              <w:rPr>
                <w:b/>
                <w:sz w:val="18"/>
              </w:rPr>
            </w:pPr>
            <w:r w:rsidRPr="00FF14F7">
              <w:rPr>
                <w:sz w:val="18"/>
              </w:rPr>
              <w:t>1 % of test load</w:t>
            </w:r>
          </w:p>
        </w:tc>
        <w:tc>
          <w:tcPr>
            <w:tcW w:w="1440" w:type="dxa"/>
            <w:vAlign w:val="center"/>
          </w:tcPr>
          <w:p w:rsidR="00FF14F7" w:rsidRPr="00FF14F7" w:rsidRDefault="00FF14F7" w:rsidP="00833D40">
            <w:pPr>
              <w:pStyle w:val="TableText"/>
              <w:spacing w:after="0"/>
              <w:jc w:val="center"/>
              <w:rPr>
                <w:b/>
                <w:sz w:val="18"/>
              </w:rPr>
            </w:pPr>
            <w:r w:rsidRPr="00FF14F7">
              <w:rPr>
                <w:sz w:val="18"/>
              </w:rPr>
              <w:t>2 % of test load</w:t>
            </w:r>
          </w:p>
        </w:tc>
        <w:tc>
          <w:tcPr>
            <w:tcW w:w="1260" w:type="dxa"/>
            <w:vAlign w:val="center"/>
          </w:tcPr>
          <w:p w:rsidR="00FF14F7" w:rsidRPr="00FF14F7" w:rsidRDefault="00FF14F7" w:rsidP="00833D40">
            <w:pPr>
              <w:pStyle w:val="TableText"/>
              <w:spacing w:after="0"/>
              <w:jc w:val="center"/>
              <w:rPr>
                <w:b/>
                <w:sz w:val="18"/>
              </w:rPr>
            </w:pPr>
            <w:r w:rsidRPr="00FF14F7">
              <w:rPr>
                <w:sz w:val="18"/>
              </w:rPr>
              <w:t>1.5</w:t>
            </w:r>
            <w:r w:rsidRPr="00FF14F7">
              <w:rPr>
                <w:sz w:val="18"/>
                <w:vertAlign w:val="superscript"/>
              </w:rPr>
              <w:t>3</w:t>
            </w:r>
          </w:p>
        </w:tc>
        <w:tc>
          <w:tcPr>
            <w:tcW w:w="2988" w:type="dxa"/>
            <w:vAlign w:val="center"/>
          </w:tcPr>
          <w:p w:rsidR="00FF14F7" w:rsidRPr="00FF14F7" w:rsidRDefault="00FF14F7"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tcPr>
          <w:p w:rsidR="00FF14F7" w:rsidRPr="00FF14F7" w:rsidRDefault="00FF14F7" w:rsidP="00833D40">
            <w:pPr>
              <w:pStyle w:val="TableText"/>
              <w:spacing w:after="0"/>
              <w:rPr>
                <w:b/>
                <w:sz w:val="18"/>
              </w:rPr>
            </w:pPr>
            <w:r w:rsidRPr="00FF14F7">
              <w:rPr>
                <w:sz w:val="18"/>
              </w:rPr>
              <w:t>Prescription scales</w:t>
            </w:r>
          </w:p>
        </w:tc>
        <w:tc>
          <w:tcPr>
            <w:tcW w:w="1350" w:type="dxa"/>
            <w:vAlign w:val="center"/>
          </w:tcPr>
          <w:p w:rsidR="00FF14F7" w:rsidRPr="00FF14F7" w:rsidRDefault="00FF14F7" w:rsidP="00833D40">
            <w:pPr>
              <w:pStyle w:val="TableText"/>
              <w:spacing w:after="0"/>
              <w:jc w:val="center"/>
              <w:rPr>
                <w:sz w:val="18"/>
              </w:rPr>
            </w:pPr>
          </w:p>
        </w:tc>
        <w:tc>
          <w:tcPr>
            <w:tcW w:w="1620" w:type="dxa"/>
            <w:vAlign w:val="center"/>
          </w:tcPr>
          <w:p w:rsidR="00FF14F7" w:rsidRPr="00FF14F7" w:rsidRDefault="00FF14F7" w:rsidP="00833D40">
            <w:pPr>
              <w:pStyle w:val="TableText"/>
              <w:spacing w:after="0"/>
              <w:jc w:val="center"/>
              <w:rPr>
                <w:b/>
                <w:sz w:val="18"/>
              </w:rPr>
            </w:pPr>
            <w:r w:rsidRPr="00FF14F7">
              <w:rPr>
                <w:sz w:val="18"/>
              </w:rPr>
              <w:t>0.1 grain (6 mg)</w:t>
            </w:r>
          </w:p>
        </w:tc>
        <w:tc>
          <w:tcPr>
            <w:tcW w:w="1260" w:type="dxa"/>
            <w:gridSpan w:val="2"/>
            <w:vAlign w:val="center"/>
          </w:tcPr>
          <w:p w:rsidR="00FF14F7" w:rsidRPr="00FF14F7" w:rsidRDefault="00FF14F7" w:rsidP="00833D40">
            <w:pPr>
              <w:pStyle w:val="TableText"/>
              <w:spacing w:after="0"/>
              <w:jc w:val="center"/>
              <w:rPr>
                <w:b/>
                <w:sz w:val="18"/>
              </w:rPr>
            </w:pPr>
            <w:r w:rsidRPr="00FF14F7">
              <w:rPr>
                <w:sz w:val="18"/>
              </w:rPr>
              <w:t>0.1 % of test load</w:t>
            </w:r>
          </w:p>
        </w:tc>
        <w:tc>
          <w:tcPr>
            <w:tcW w:w="1440" w:type="dxa"/>
            <w:vAlign w:val="center"/>
          </w:tcPr>
          <w:p w:rsidR="00FF14F7" w:rsidRPr="00FF14F7" w:rsidRDefault="00FF14F7" w:rsidP="00833D40">
            <w:pPr>
              <w:pStyle w:val="TableText"/>
              <w:spacing w:after="0"/>
              <w:jc w:val="center"/>
              <w:rPr>
                <w:b/>
                <w:sz w:val="18"/>
              </w:rPr>
            </w:pPr>
            <w:r w:rsidRPr="00FF14F7">
              <w:rPr>
                <w:sz w:val="18"/>
              </w:rPr>
              <w:t>0.1 % of test load</w:t>
            </w:r>
          </w:p>
        </w:tc>
        <w:tc>
          <w:tcPr>
            <w:tcW w:w="1260" w:type="dxa"/>
            <w:vAlign w:val="center"/>
          </w:tcPr>
          <w:p w:rsidR="00FF14F7" w:rsidRPr="00FF14F7" w:rsidRDefault="00FF14F7" w:rsidP="00833D40">
            <w:pPr>
              <w:pStyle w:val="TableText"/>
              <w:spacing w:after="0"/>
              <w:jc w:val="center"/>
              <w:rPr>
                <w:b/>
                <w:sz w:val="18"/>
              </w:rPr>
            </w:pPr>
            <w:r w:rsidRPr="00FF14F7">
              <w:rPr>
                <w:sz w:val="18"/>
              </w:rPr>
              <w:t>1.5</w:t>
            </w:r>
          </w:p>
        </w:tc>
        <w:tc>
          <w:tcPr>
            <w:tcW w:w="2988" w:type="dxa"/>
            <w:vAlign w:val="center"/>
          </w:tcPr>
          <w:p w:rsidR="00FF14F7" w:rsidRPr="00FF14F7" w:rsidRDefault="00FF14F7"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vMerge w:val="restart"/>
          </w:tcPr>
          <w:p w:rsidR="00FF14F7" w:rsidRPr="00FF14F7" w:rsidRDefault="00FF14F7" w:rsidP="00833D40">
            <w:pPr>
              <w:pStyle w:val="TableText"/>
              <w:spacing w:after="0"/>
              <w:rPr>
                <w:b/>
                <w:sz w:val="18"/>
              </w:rPr>
            </w:pPr>
            <w:r w:rsidRPr="00FF14F7">
              <w:rPr>
                <w:sz w:val="18"/>
              </w:rPr>
              <w:t>Jewelers’ scales</w:t>
            </w:r>
          </w:p>
        </w:tc>
        <w:tc>
          <w:tcPr>
            <w:tcW w:w="1350" w:type="dxa"/>
            <w:vAlign w:val="center"/>
          </w:tcPr>
          <w:p w:rsidR="00FF14F7" w:rsidRPr="00FF14F7" w:rsidRDefault="00FF14F7" w:rsidP="00833D40">
            <w:pPr>
              <w:pStyle w:val="TableText"/>
              <w:spacing w:after="0"/>
              <w:jc w:val="center"/>
              <w:rPr>
                <w:b/>
                <w:sz w:val="18"/>
              </w:rPr>
            </w:pPr>
            <w:r w:rsidRPr="00FF14F7">
              <w:rPr>
                <w:sz w:val="18"/>
              </w:rPr>
              <w:t>Graduated</w:t>
            </w:r>
          </w:p>
        </w:tc>
        <w:tc>
          <w:tcPr>
            <w:tcW w:w="1620" w:type="dxa"/>
            <w:vAlign w:val="center"/>
          </w:tcPr>
          <w:p w:rsidR="00FF14F7" w:rsidRPr="00FF14F7" w:rsidRDefault="00FF14F7" w:rsidP="00833D40">
            <w:pPr>
              <w:pStyle w:val="TableText"/>
              <w:spacing w:after="0"/>
              <w:jc w:val="center"/>
              <w:rPr>
                <w:b/>
                <w:sz w:val="18"/>
              </w:rPr>
            </w:pPr>
            <w:r w:rsidRPr="00FF14F7">
              <w:rPr>
                <w:sz w:val="18"/>
              </w:rPr>
              <w:t>0.5 d</w:t>
            </w:r>
          </w:p>
        </w:tc>
        <w:tc>
          <w:tcPr>
            <w:tcW w:w="1260" w:type="dxa"/>
            <w:gridSpan w:val="2"/>
            <w:vMerge w:val="restart"/>
            <w:vAlign w:val="center"/>
          </w:tcPr>
          <w:p w:rsidR="00FF14F7" w:rsidRPr="00FF14F7" w:rsidRDefault="00FF14F7" w:rsidP="00833D40">
            <w:pPr>
              <w:pStyle w:val="TableText"/>
              <w:spacing w:after="0"/>
              <w:jc w:val="center"/>
              <w:rPr>
                <w:b/>
                <w:sz w:val="18"/>
              </w:rPr>
            </w:pPr>
            <w:r w:rsidRPr="00FF14F7">
              <w:rPr>
                <w:sz w:val="18"/>
              </w:rPr>
              <w:t>0.05 % of test load</w:t>
            </w:r>
          </w:p>
        </w:tc>
        <w:tc>
          <w:tcPr>
            <w:tcW w:w="1440" w:type="dxa"/>
            <w:vMerge w:val="restart"/>
            <w:vAlign w:val="center"/>
          </w:tcPr>
          <w:p w:rsidR="00FF14F7" w:rsidRPr="00FF14F7" w:rsidRDefault="00FF14F7" w:rsidP="00833D40">
            <w:pPr>
              <w:pStyle w:val="TableText"/>
              <w:spacing w:after="0"/>
              <w:jc w:val="center"/>
              <w:rPr>
                <w:b/>
                <w:sz w:val="18"/>
              </w:rPr>
            </w:pPr>
            <w:r w:rsidRPr="00FF14F7">
              <w:rPr>
                <w:sz w:val="18"/>
              </w:rPr>
              <w:t>0.05 % of test load</w:t>
            </w:r>
          </w:p>
        </w:tc>
        <w:tc>
          <w:tcPr>
            <w:tcW w:w="1260" w:type="dxa"/>
            <w:vMerge w:val="restart"/>
            <w:vAlign w:val="center"/>
          </w:tcPr>
          <w:p w:rsidR="00FF14F7" w:rsidRPr="00FF14F7" w:rsidRDefault="00FF14F7" w:rsidP="00833D40">
            <w:pPr>
              <w:pStyle w:val="TableText"/>
              <w:spacing w:after="0"/>
              <w:jc w:val="center"/>
              <w:rPr>
                <w:b/>
                <w:sz w:val="18"/>
              </w:rPr>
            </w:pPr>
            <w:r w:rsidRPr="00FF14F7">
              <w:rPr>
                <w:sz w:val="18"/>
              </w:rPr>
              <w:t>1.5</w:t>
            </w:r>
          </w:p>
        </w:tc>
        <w:tc>
          <w:tcPr>
            <w:tcW w:w="2988" w:type="dxa"/>
            <w:vMerge w:val="restart"/>
            <w:vAlign w:val="center"/>
          </w:tcPr>
          <w:p w:rsidR="00FF14F7" w:rsidRPr="00FF14F7" w:rsidRDefault="00FF14F7"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vMerge/>
          </w:tcPr>
          <w:p w:rsidR="00FD5064" w:rsidRPr="00FF14F7" w:rsidRDefault="00FD5064" w:rsidP="00833D40">
            <w:pPr>
              <w:pStyle w:val="TableText"/>
              <w:spacing w:after="0"/>
              <w:rPr>
                <w:sz w:val="18"/>
              </w:rPr>
            </w:pPr>
          </w:p>
        </w:tc>
        <w:tc>
          <w:tcPr>
            <w:tcW w:w="1350" w:type="dxa"/>
            <w:vAlign w:val="center"/>
          </w:tcPr>
          <w:p w:rsidR="00FD5064" w:rsidRPr="00FF14F7" w:rsidRDefault="00FD5064" w:rsidP="00833D40">
            <w:pPr>
              <w:pStyle w:val="TableText"/>
              <w:spacing w:after="0"/>
              <w:jc w:val="center"/>
              <w:rPr>
                <w:b/>
                <w:sz w:val="18"/>
              </w:rPr>
            </w:pPr>
            <w:r w:rsidRPr="00FF14F7">
              <w:rPr>
                <w:sz w:val="18"/>
              </w:rPr>
              <w:t>Ungraduated</w:t>
            </w:r>
          </w:p>
        </w:tc>
        <w:tc>
          <w:tcPr>
            <w:tcW w:w="1620" w:type="dxa"/>
            <w:vAlign w:val="center"/>
          </w:tcPr>
          <w:p w:rsidR="00FD5064" w:rsidRPr="00FF14F7" w:rsidRDefault="00FD5064" w:rsidP="00833D40">
            <w:pPr>
              <w:pStyle w:val="TableText"/>
              <w:spacing w:after="0"/>
              <w:jc w:val="center"/>
              <w:rPr>
                <w:b/>
                <w:sz w:val="18"/>
              </w:rPr>
            </w:pPr>
            <w:r w:rsidRPr="00FF14F7">
              <w:rPr>
                <w:sz w:val="18"/>
              </w:rPr>
              <w:t>Sensitivity or smallest weight, whichever is less</w:t>
            </w:r>
          </w:p>
        </w:tc>
        <w:tc>
          <w:tcPr>
            <w:tcW w:w="1260" w:type="dxa"/>
            <w:gridSpan w:val="2"/>
            <w:vMerge/>
            <w:vAlign w:val="center"/>
          </w:tcPr>
          <w:p w:rsidR="00FD5064" w:rsidRPr="00FF14F7" w:rsidRDefault="00FD5064" w:rsidP="00833D40">
            <w:pPr>
              <w:pStyle w:val="TableText"/>
              <w:spacing w:after="0"/>
              <w:jc w:val="center"/>
              <w:rPr>
                <w:sz w:val="18"/>
              </w:rPr>
            </w:pPr>
          </w:p>
        </w:tc>
        <w:tc>
          <w:tcPr>
            <w:tcW w:w="1440" w:type="dxa"/>
            <w:vMerge/>
            <w:vAlign w:val="center"/>
          </w:tcPr>
          <w:p w:rsidR="00FD5064" w:rsidRPr="00FF14F7" w:rsidRDefault="00FD5064" w:rsidP="00833D40">
            <w:pPr>
              <w:pStyle w:val="TableText"/>
              <w:spacing w:after="0"/>
              <w:jc w:val="center"/>
              <w:rPr>
                <w:sz w:val="18"/>
              </w:rPr>
            </w:pPr>
          </w:p>
        </w:tc>
        <w:tc>
          <w:tcPr>
            <w:tcW w:w="1260" w:type="dxa"/>
            <w:vMerge/>
            <w:vAlign w:val="center"/>
          </w:tcPr>
          <w:p w:rsidR="00FD5064" w:rsidRPr="00FF14F7" w:rsidRDefault="00FD5064" w:rsidP="00833D40">
            <w:pPr>
              <w:pStyle w:val="TableText"/>
              <w:spacing w:after="0"/>
              <w:jc w:val="center"/>
              <w:rPr>
                <w:sz w:val="18"/>
              </w:rPr>
            </w:pPr>
          </w:p>
        </w:tc>
        <w:tc>
          <w:tcPr>
            <w:tcW w:w="2988" w:type="dxa"/>
            <w:vMerge/>
            <w:vAlign w:val="center"/>
          </w:tcPr>
          <w:p w:rsidR="00FD5064" w:rsidRPr="00FF14F7" w:rsidRDefault="00FD5064" w:rsidP="00833D40">
            <w:pPr>
              <w:pStyle w:val="TableText"/>
              <w:spacing w:after="0"/>
              <w:jc w:val="center"/>
              <w:rPr>
                <w:sz w:val="18"/>
              </w:rPr>
            </w:pPr>
          </w:p>
        </w:tc>
      </w:tr>
      <w:tr w:rsidR="00FF14F7" w:rsidRPr="00FF14F7" w:rsidTr="00FF14F7">
        <w:trPr>
          <w:gridAfter w:val="1"/>
          <w:wAfter w:w="14" w:type="dxa"/>
        </w:trPr>
        <w:tc>
          <w:tcPr>
            <w:tcW w:w="3258" w:type="dxa"/>
          </w:tcPr>
          <w:p w:rsidR="00FF14F7" w:rsidRPr="00FF14F7" w:rsidRDefault="00FF14F7" w:rsidP="00833D40">
            <w:pPr>
              <w:pStyle w:val="TableText"/>
              <w:spacing w:after="0"/>
              <w:rPr>
                <w:b/>
                <w:sz w:val="18"/>
              </w:rPr>
            </w:pPr>
            <w:r w:rsidRPr="00FF14F7">
              <w:rPr>
                <w:sz w:val="18"/>
              </w:rPr>
              <w:t>Dairy-product test scale</w:t>
            </w:r>
          </w:p>
        </w:tc>
        <w:tc>
          <w:tcPr>
            <w:tcW w:w="1350" w:type="dxa"/>
            <w:vAlign w:val="center"/>
          </w:tcPr>
          <w:p w:rsidR="00FF14F7" w:rsidRPr="00FF14F7" w:rsidRDefault="00FF14F7" w:rsidP="00833D40">
            <w:pPr>
              <w:pStyle w:val="TableText"/>
              <w:spacing w:after="0"/>
              <w:jc w:val="center"/>
              <w:rPr>
                <w:b/>
                <w:sz w:val="18"/>
              </w:rPr>
            </w:pPr>
            <w:r w:rsidRPr="00FF14F7">
              <w:rPr>
                <w:sz w:val="18"/>
              </w:rPr>
              <w:t xml:space="preserve">Loads </w:t>
            </w:r>
            <w:r w:rsidRPr="00FF14F7">
              <w:rPr>
                <w:rFonts w:cs="Times New Roman"/>
                <w:sz w:val="18"/>
              </w:rPr>
              <w:t>&lt;</w:t>
            </w:r>
            <w:r w:rsidRPr="00FF14F7">
              <w:rPr>
                <w:sz w:val="18"/>
              </w:rPr>
              <w:t xml:space="preserve"> 18 g 18 g load</w:t>
            </w:r>
          </w:p>
        </w:tc>
        <w:tc>
          <w:tcPr>
            <w:tcW w:w="1620" w:type="dxa"/>
            <w:vAlign w:val="center"/>
          </w:tcPr>
          <w:p w:rsidR="00FF14F7" w:rsidRPr="00FF14F7" w:rsidRDefault="00FF14F7" w:rsidP="00833D40">
            <w:pPr>
              <w:pStyle w:val="TableText"/>
              <w:spacing w:after="0"/>
              <w:jc w:val="center"/>
              <w:rPr>
                <w:b/>
                <w:sz w:val="18"/>
              </w:rPr>
            </w:pPr>
            <w:r w:rsidRPr="00FF14F7">
              <w:rPr>
                <w:sz w:val="18"/>
              </w:rPr>
              <w:t>0.2 grain</w:t>
            </w:r>
          </w:p>
          <w:p w:rsidR="00FF14F7" w:rsidRPr="00FF14F7" w:rsidRDefault="00FF14F7" w:rsidP="00833D40">
            <w:pPr>
              <w:pStyle w:val="TableText"/>
              <w:spacing w:after="0"/>
              <w:jc w:val="center"/>
              <w:rPr>
                <w:b/>
                <w:sz w:val="18"/>
              </w:rPr>
            </w:pPr>
            <w:r w:rsidRPr="00FF14F7">
              <w:rPr>
                <w:sz w:val="18"/>
              </w:rPr>
              <w:t>0.2 grain</w:t>
            </w:r>
          </w:p>
        </w:tc>
        <w:tc>
          <w:tcPr>
            <w:tcW w:w="1260" w:type="dxa"/>
            <w:gridSpan w:val="2"/>
            <w:vAlign w:val="center"/>
          </w:tcPr>
          <w:p w:rsidR="00FF14F7" w:rsidRPr="00FF14F7" w:rsidRDefault="00FF14F7" w:rsidP="00833D40">
            <w:pPr>
              <w:pStyle w:val="TableText"/>
              <w:spacing w:after="0"/>
              <w:jc w:val="center"/>
              <w:rPr>
                <w:b/>
                <w:sz w:val="18"/>
              </w:rPr>
            </w:pPr>
            <w:r w:rsidRPr="00FF14F7">
              <w:rPr>
                <w:sz w:val="18"/>
              </w:rPr>
              <w:t>0.2 grain</w:t>
            </w:r>
          </w:p>
          <w:p w:rsidR="00FF14F7" w:rsidRPr="00FF14F7" w:rsidRDefault="00FF14F7" w:rsidP="00833D40">
            <w:pPr>
              <w:pStyle w:val="TableText"/>
              <w:spacing w:after="0"/>
              <w:jc w:val="center"/>
              <w:rPr>
                <w:b/>
                <w:sz w:val="18"/>
              </w:rPr>
            </w:pPr>
            <w:r w:rsidRPr="00FF14F7">
              <w:rPr>
                <w:sz w:val="18"/>
              </w:rPr>
              <w:t>0.3 grain</w:t>
            </w:r>
          </w:p>
        </w:tc>
        <w:tc>
          <w:tcPr>
            <w:tcW w:w="1440" w:type="dxa"/>
            <w:vAlign w:val="center"/>
          </w:tcPr>
          <w:p w:rsidR="00FF14F7" w:rsidRPr="00FF14F7" w:rsidRDefault="00FF14F7" w:rsidP="00833D40">
            <w:pPr>
              <w:pStyle w:val="TableText"/>
              <w:spacing w:after="0"/>
              <w:jc w:val="center"/>
              <w:rPr>
                <w:b/>
                <w:sz w:val="18"/>
              </w:rPr>
            </w:pPr>
            <w:r w:rsidRPr="00FF14F7">
              <w:rPr>
                <w:sz w:val="18"/>
              </w:rPr>
              <w:t>0.2 grain</w:t>
            </w:r>
          </w:p>
          <w:p w:rsidR="00FF14F7" w:rsidRPr="00FF14F7" w:rsidRDefault="00FF14F7" w:rsidP="00833D40">
            <w:pPr>
              <w:pStyle w:val="TableText"/>
              <w:spacing w:after="0"/>
              <w:jc w:val="center"/>
              <w:rPr>
                <w:b/>
                <w:sz w:val="18"/>
              </w:rPr>
            </w:pPr>
            <w:r w:rsidRPr="00FF14F7">
              <w:rPr>
                <w:sz w:val="18"/>
              </w:rPr>
              <w:t>0.5 grain</w:t>
            </w:r>
          </w:p>
        </w:tc>
        <w:tc>
          <w:tcPr>
            <w:tcW w:w="1260" w:type="dxa"/>
            <w:vAlign w:val="center"/>
          </w:tcPr>
          <w:p w:rsidR="00FF14F7" w:rsidRPr="00FF14F7" w:rsidRDefault="00FF14F7" w:rsidP="00833D40">
            <w:pPr>
              <w:pStyle w:val="TableText"/>
              <w:spacing w:after="0"/>
              <w:jc w:val="center"/>
              <w:rPr>
                <w:b/>
                <w:sz w:val="18"/>
              </w:rPr>
            </w:pPr>
            <w:r w:rsidRPr="00FF14F7">
              <w:rPr>
                <w:sz w:val="18"/>
              </w:rPr>
              <w:t>1.5</w:t>
            </w:r>
          </w:p>
        </w:tc>
        <w:tc>
          <w:tcPr>
            <w:tcW w:w="2988" w:type="dxa"/>
            <w:vAlign w:val="center"/>
          </w:tcPr>
          <w:p w:rsidR="00FF14F7" w:rsidRPr="00FF14F7" w:rsidRDefault="00FF14F7"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Height w:val="827"/>
        </w:trPr>
        <w:tc>
          <w:tcPr>
            <w:tcW w:w="3258" w:type="dxa"/>
            <w:vMerge w:val="restart"/>
          </w:tcPr>
          <w:p w:rsidR="00FF14F7" w:rsidRPr="00FF14F7" w:rsidRDefault="00FF14F7" w:rsidP="00833D40">
            <w:pPr>
              <w:pStyle w:val="TableText"/>
              <w:spacing w:after="0"/>
              <w:rPr>
                <w:b/>
                <w:sz w:val="18"/>
              </w:rPr>
            </w:pPr>
            <w:r w:rsidRPr="00FF14F7">
              <w:rPr>
                <w:sz w:val="18"/>
              </w:rPr>
              <w:t>Postal and parcel post scales designed/used to weigh loads &lt; 2 lb</w:t>
            </w:r>
          </w:p>
        </w:tc>
        <w:tc>
          <w:tcPr>
            <w:tcW w:w="1350" w:type="dxa"/>
            <w:vAlign w:val="center"/>
          </w:tcPr>
          <w:p w:rsidR="00FF14F7" w:rsidRPr="00FF14F7" w:rsidRDefault="00FF14F7" w:rsidP="00833D40">
            <w:pPr>
              <w:pStyle w:val="TableText"/>
              <w:spacing w:after="0"/>
              <w:jc w:val="center"/>
              <w:rPr>
                <w:b/>
                <w:sz w:val="18"/>
              </w:rPr>
            </w:pPr>
            <w:r w:rsidRPr="00FF14F7">
              <w:rPr>
                <w:sz w:val="18"/>
              </w:rPr>
              <w:t xml:space="preserve">Loads </w:t>
            </w:r>
            <w:r w:rsidRPr="00FF14F7">
              <w:rPr>
                <w:rFonts w:cs="Times New Roman"/>
                <w:sz w:val="18"/>
              </w:rPr>
              <w:t>&lt;</w:t>
            </w:r>
            <w:r w:rsidRPr="00FF14F7">
              <w:rPr>
                <w:sz w:val="18"/>
              </w:rPr>
              <w:t xml:space="preserve"> 2 lb</w:t>
            </w:r>
          </w:p>
        </w:tc>
        <w:tc>
          <w:tcPr>
            <w:tcW w:w="1620" w:type="dxa"/>
            <w:vAlign w:val="center"/>
          </w:tcPr>
          <w:p w:rsidR="00FF14F7" w:rsidRPr="00FF14F7" w:rsidRDefault="00FF14F7" w:rsidP="00833D40">
            <w:pPr>
              <w:pStyle w:val="TableText"/>
              <w:spacing w:after="0"/>
              <w:jc w:val="center"/>
              <w:rPr>
                <w:b/>
                <w:sz w:val="18"/>
              </w:rPr>
            </w:pPr>
            <w:r w:rsidRPr="00FF14F7">
              <w:rPr>
                <w:sz w:val="18"/>
              </w:rPr>
              <w:t xml:space="preserve">15 grain, 1 g, </w:t>
            </w:r>
            <w:r w:rsidRPr="00FF14F7">
              <w:rPr>
                <w:sz w:val="18"/>
              </w:rPr>
              <w:br/>
            </w:r>
            <w:r w:rsidRPr="00FF14F7">
              <w:rPr>
                <w:sz w:val="18"/>
                <w:vertAlign w:val="superscript"/>
              </w:rPr>
              <w:t>1</w:t>
            </w:r>
            <w:r w:rsidRPr="00FF14F7">
              <w:rPr>
                <w:sz w:val="18"/>
              </w:rPr>
              <w:t>/</w:t>
            </w:r>
            <w:r w:rsidRPr="00FF14F7">
              <w:rPr>
                <w:sz w:val="18"/>
                <w:vertAlign w:val="subscript"/>
              </w:rPr>
              <w:t>32</w:t>
            </w:r>
            <w:r w:rsidRPr="00FF14F7">
              <w:rPr>
                <w:sz w:val="18"/>
              </w:rPr>
              <w:t xml:space="preserve"> oz, 0.03 oz, or 0.002 lb</w:t>
            </w:r>
          </w:p>
        </w:tc>
        <w:tc>
          <w:tcPr>
            <w:tcW w:w="1260" w:type="dxa"/>
            <w:gridSpan w:val="2"/>
            <w:vAlign w:val="center"/>
          </w:tcPr>
          <w:p w:rsidR="00FF14F7" w:rsidRPr="00FF14F7" w:rsidRDefault="00FF14F7" w:rsidP="00833D40">
            <w:pPr>
              <w:pStyle w:val="TableText"/>
              <w:spacing w:after="0"/>
              <w:jc w:val="center"/>
              <w:rPr>
                <w:b/>
                <w:sz w:val="18"/>
              </w:rPr>
            </w:pPr>
            <w:r w:rsidRPr="00FF14F7">
              <w:rPr>
                <w:sz w:val="18"/>
              </w:rPr>
              <w:t xml:space="preserve">15 grain, </w:t>
            </w:r>
            <w:r w:rsidRPr="00FF14F7">
              <w:rPr>
                <w:sz w:val="18"/>
              </w:rPr>
              <w:br/>
              <w:t xml:space="preserve">1 g, </w:t>
            </w:r>
            <w:r w:rsidRPr="00FF14F7">
              <w:rPr>
                <w:sz w:val="18"/>
                <w:vertAlign w:val="superscript"/>
              </w:rPr>
              <w:t>1</w:t>
            </w:r>
            <w:r w:rsidRPr="00FF14F7">
              <w:rPr>
                <w:sz w:val="18"/>
              </w:rPr>
              <w:t>/</w:t>
            </w:r>
            <w:r w:rsidRPr="00FF14F7">
              <w:rPr>
                <w:sz w:val="18"/>
                <w:vertAlign w:val="subscript"/>
              </w:rPr>
              <w:t>32</w:t>
            </w:r>
            <w:r w:rsidRPr="00FF14F7">
              <w:rPr>
                <w:sz w:val="18"/>
              </w:rPr>
              <w:t xml:space="preserve"> oz, 0.03 oz, or 0.002 lb</w:t>
            </w:r>
          </w:p>
        </w:tc>
        <w:tc>
          <w:tcPr>
            <w:tcW w:w="1440" w:type="dxa"/>
            <w:vAlign w:val="center"/>
          </w:tcPr>
          <w:p w:rsidR="00FF14F7" w:rsidRPr="00FF14F7" w:rsidRDefault="00FF14F7" w:rsidP="00833D40">
            <w:pPr>
              <w:pStyle w:val="TableText"/>
              <w:spacing w:after="0"/>
              <w:jc w:val="center"/>
              <w:rPr>
                <w:b/>
                <w:sz w:val="18"/>
              </w:rPr>
            </w:pPr>
            <w:r w:rsidRPr="00FF14F7">
              <w:rPr>
                <w:sz w:val="18"/>
              </w:rPr>
              <w:t xml:space="preserve">15 grain, 1 g, </w:t>
            </w:r>
            <w:r w:rsidRPr="00FF14F7">
              <w:rPr>
                <w:sz w:val="18"/>
                <w:vertAlign w:val="superscript"/>
              </w:rPr>
              <w:t>1</w:t>
            </w:r>
            <w:r w:rsidRPr="00FF14F7">
              <w:rPr>
                <w:sz w:val="18"/>
              </w:rPr>
              <w:t>/</w:t>
            </w:r>
            <w:r w:rsidRPr="00FF14F7">
              <w:rPr>
                <w:sz w:val="18"/>
                <w:vertAlign w:val="subscript"/>
              </w:rPr>
              <w:t>32</w:t>
            </w:r>
            <w:r w:rsidRPr="00FF14F7">
              <w:rPr>
                <w:sz w:val="18"/>
              </w:rPr>
              <w:t xml:space="preserve"> oz, </w:t>
            </w:r>
            <w:r w:rsidRPr="00FF14F7">
              <w:rPr>
                <w:sz w:val="18"/>
              </w:rPr>
              <w:br/>
              <w:t>0.03 oz, or 0.002 lb</w:t>
            </w:r>
          </w:p>
        </w:tc>
        <w:tc>
          <w:tcPr>
            <w:tcW w:w="1260" w:type="dxa"/>
            <w:vMerge w:val="restart"/>
            <w:vAlign w:val="center"/>
          </w:tcPr>
          <w:p w:rsidR="00FF14F7" w:rsidRPr="00FF14F7" w:rsidRDefault="00FF14F7" w:rsidP="00833D40">
            <w:pPr>
              <w:pStyle w:val="TableText"/>
              <w:spacing w:after="0"/>
              <w:jc w:val="center"/>
              <w:rPr>
                <w:b/>
                <w:sz w:val="18"/>
              </w:rPr>
            </w:pPr>
            <w:r w:rsidRPr="00FF14F7">
              <w:rPr>
                <w:sz w:val="18"/>
              </w:rPr>
              <w:t>1.5</w:t>
            </w:r>
          </w:p>
        </w:tc>
        <w:tc>
          <w:tcPr>
            <w:tcW w:w="2988" w:type="dxa"/>
            <w:vMerge w:val="restart"/>
            <w:vAlign w:val="center"/>
          </w:tcPr>
          <w:p w:rsidR="00FF14F7" w:rsidRPr="00FF14F7" w:rsidRDefault="00FF14F7"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vMerge/>
          </w:tcPr>
          <w:p w:rsidR="00FD5064" w:rsidRPr="00FF14F7" w:rsidRDefault="00FD5064" w:rsidP="00833D40">
            <w:pPr>
              <w:pStyle w:val="TableText"/>
              <w:spacing w:after="0"/>
              <w:rPr>
                <w:sz w:val="18"/>
              </w:rPr>
            </w:pPr>
          </w:p>
        </w:tc>
        <w:tc>
          <w:tcPr>
            <w:tcW w:w="1350" w:type="dxa"/>
          </w:tcPr>
          <w:p w:rsidR="00FD5064" w:rsidRPr="00FF14F7" w:rsidRDefault="00FD5064" w:rsidP="00833D40">
            <w:pPr>
              <w:pStyle w:val="TableText"/>
              <w:spacing w:after="0"/>
              <w:jc w:val="center"/>
              <w:rPr>
                <w:b/>
                <w:sz w:val="18"/>
              </w:rPr>
            </w:pPr>
            <w:r w:rsidRPr="00FF14F7">
              <w:rPr>
                <w:sz w:val="18"/>
              </w:rPr>
              <w:t xml:space="preserve">Loads </w:t>
            </w:r>
            <w:r w:rsidRPr="00FF14F7">
              <w:rPr>
                <w:rFonts w:cs="Times New Roman"/>
                <w:sz w:val="18"/>
              </w:rPr>
              <w:t>≤</w:t>
            </w:r>
            <w:r w:rsidRPr="00FF14F7">
              <w:rPr>
                <w:sz w:val="18"/>
              </w:rPr>
              <w:t xml:space="preserve"> 2 lb</w:t>
            </w:r>
          </w:p>
        </w:tc>
        <w:tc>
          <w:tcPr>
            <w:tcW w:w="1620" w:type="dxa"/>
          </w:tcPr>
          <w:p w:rsidR="00FD5064" w:rsidRPr="00FF14F7" w:rsidRDefault="00FD5064" w:rsidP="00833D40">
            <w:pPr>
              <w:pStyle w:val="TableText"/>
              <w:spacing w:after="0"/>
              <w:jc w:val="center"/>
              <w:rPr>
                <w:b/>
                <w:sz w:val="18"/>
              </w:rPr>
            </w:pPr>
            <w:r w:rsidRPr="00FF14F7">
              <w:rPr>
                <w:sz w:val="18"/>
              </w:rPr>
              <w:t>Table 5</w:t>
            </w:r>
          </w:p>
        </w:tc>
        <w:tc>
          <w:tcPr>
            <w:tcW w:w="1260" w:type="dxa"/>
            <w:gridSpan w:val="2"/>
          </w:tcPr>
          <w:p w:rsidR="00FD5064" w:rsidRPr="00FF14F7" w:rsidRDefault="00FD5064" w:rsidP="00833D40">
            <w:pPr>
              <w:pStyle w:val="TableText"/>
              <w:spacing w:after="0"/>
              <w:jc w:val="center"/>
              <w:rPr>
                <w:b/>
                <w:sz w:val="18"/>
              </w:rPr>
            </w:pPr>
            <w:r w:rsidRPr="00FF14F7">
              <w:rPr>
                <w:sz w:val="18"/>
              </w:rPr>
              <w:t>Table 5</w:t>
            </w:r>
          </w:p>
        </w:tc>
        <w:tc>
          <w:tcPr>
            <w:tcW w:w="1440" w:type="dxa"/>
          </w:tcPr>
          <w:p w:rsidR="00FD5064" w:rsidRPr="00FF14F7" w:rsidRDefault="00FD5064" w:rsidP="00833D40">
            <w:pPr>
              <w:pStyle w:val="TableText"/>
              <w:spacing w:after="0"/>
              <w:jc w:val="center"/>
              <w:rPr>
                <w:b/>
                <w:sz w:val="18"/>
              </w:rPr>
            </w:pPr>
            <w:r w:rsidRPr="00FF14F7">
              <w:rPr>
                <w:sz w:val="18"/>
              </w:rPr>
              <w:t>Table 5</w:t>
            </w:r>
          </w:p>
        </w:tc>
        <w:tc>
          <w:tcPr>
            <w:tcW w:w="1260" w:type="dxa"/>
            <w:vMerge/>
            <w:vAlign w:val="center"/>
          </w:tcPr>
          <w:p w:rsidR="00FD5064" w:rsidRPr="00FF14F7" w:rsidRDefault="00FD5064" w:rsidP="00833D40">
            <w:pPr>
              <w:pStyle w:val="TableText"/>
              <w:spacing w:after="0"/>
              <w:jc w:val="center"/>
              <w:rPr>
                <w:sz w:val="18"/>
              </w:rPr>
            </w:pPr>
          </w:p>
        </w:tc>
        <w:tc>
          <w:tcPr>
            <w:tcW w:w="2988" w:type="dxa"/>
            <w:vMerge/>
            <w:vAlign w:val="center"/>
          </w:tcPr>
          <w:p w:rsidR="00FD5064" w:rsidRPr="00FF14F7" w:rsidRDefault="00FD5064" w:rsidP="00833D40">
            <w:pPr>
              <w:pStyle w:val="TableText"/>
              <w:spacing w:after="0"/>
              <w:jc w:val="center"/>
              <w:rPr>
                <w:sz w:val="18"/>
              </w:rPr>
            </w:pPr>
          </w:p>
        </w:tc>
      </w:tr>
      <w:tr w:rsidR="00FF14F7" w:rsidRPr="00FF14F7" w:rsidTr="00FF14F7">
        <w:trPr>
          <w:gridAfter w:val="1"/>
          <w:wAfter w:w="14" w:type="dxa"/>
        </w:trPr>
        <w:tc>
          <w:tcPr>
            <w:tcW w:w="3258" w:type="dxa"/>
          </w:tcPr>
          <w:p w:rsidR="00FF14F7" w:rsidRPr="00FF14F7" w:rsidRDefault="00FF14F7" w:rsidP="00833D40">
            <w:pPr>
              <w:pStyle w:val="TableText"/>
              <w:spacing w:after="0"/>
              <w:rPr>
                <w:b/>
                <w:sz w:val="18"/>
              </w:rPr>
            </w:pPr>
            <w:r w:rsidRPr="00FF14F7">
              <w:rPr>
                <w:sz w:val="18"/>
              </w:rPr>
              <w:t>Other postal and parcel post scales</w:t>
            </w:r>
          </w:p>
        </w:tc>
        <w:tc>
          <w:tcPr>
            <w:tcW w:w="1350" w:type="dxa"/>
          </w:tcPr>
          <w:p w:rsidR="00FF14F7" w:rsidRPr="00FF14F7" w:rsidRDefault="00FF14F7" w:rsidP="00833D40">
            <w:pPr>
              <w:pStyle w:val="TableText"/>
              <w:spacing w:after="0"/>
              <w:jc w:val="center"/>
              <w:rPr>
                <w:sz w:val="18"/>
              </w:rPr>
            </w:pPr>
          </w:p>
        </w:tc>
        <w:tc>
          <w:tcPr>
            <w:tcW w:w="1620" w:type="dxa"/>
          </w:tcPr>
          <w:p w:rsidR="00FF14F7" w:rsidRPr="00FF14F7" w:rsidRDefault="00FF14F7" w:rsidP="00833D40">
            <w:pPr>
              <w:pStyle w:val="TableText"/>
              <w:spacing w:after="0"/>
              <w:jc w:val="center"/>
              <w:rPr>
                <w:b/>
                <w:sz w:val="18"/>
              </w:rPr>
            </w:pPr>
            <w:r w:rsidRPr="00FF14F7">
              <w:rPr>
                <w:sz w:val="18"/>
              </w:rPr>
              <w:t>Table 5</w:t>
            </w:r>
          </w:p>
        </w:tc>
        <w:tc>
          <w:tcPr>
            <w:tcW w:w="1260" w:type="dxa"/>
            <w:gridSpan w:val="2"/>
          </w:tcPr>
          <w:p w:rsidR="00FF14F7" w:rsidRPr="00FF14F7" w:rsidRDefault="00FF14F7" w:rsidP="00833D40">
            <w:pPr>
              <w:pStyle w:val="TableText"/>
              <w:spacing w:after="0"/>
              <w:jc w:val="center"/>
              <w:rPr>
                <w:b/>
                <w:sz w:val="18"/>
              </w:rPr>
            </w:pPr>
            <w:r w:rsidRPr="00FF14F7">
              <w:rPr>
                <w:sz w:val="18"/>
              </w:rPr>
              <w:t>Table 5</w:t>
            </w:r>
          </w:p>
        </w:tc>
        <w:tc>
          <w:tcPr>
            <w:tcW w:w="1440" w:type="dxa"/>
          </w:tcPr>
          <w:p w:rsidR="00FF14F7" w:rsidRPr="00FF14F7" w:rsidRDefault="00FF14F7" w:rsidP="00833D40">
            <w:pPr>
              <w:pStyle w:val="TableText"/>
              <w:spacing w:after="0"/>
              <w:jc w:val="center"/>
              <w:rPr>
                <w:b/>
                <w:sz w:val="18"/>
              </w:rPr>
            </w:pPr>
            <w:r w:rsidRPr="00FF14F7">
              <w:rPr>
                <w:sz w:val="18"/>
              </w:rPr>
              <w:t>Table 5</w:t>
            </w:r>
          </w:p>
        </w:tc>
        <w:tc>
          <w:tcPr>
            <w:tcW w:w="1260" w:type="dxa"/>
            <w:vAlign w:val="center"/>
          </w:tcPr>
          <w:p w:rsidR="00FF14F7" w:rsidRPr="00FF14F7" w:rsidRDefault="00FF14F7" w:rsidP="00833D40">
            <w:pPr>
              <w:pStyle w:val="TableText"/>
              <w:spacing w:after="0"/>
              <w:jc w:val="center"/>
              <w:rPr>
                <w:b/>
                <w:sz w:val="18"/>
              </w:rPr>
            </w:pPr>
            <w:r w:rsidRPr="00FF14F7">
              <w:rPr>
                <w:sz w:val="18"/>
              </w:rPr>
              <w:t>1.5</w:t>
            </w:r>
          </w:p>
        </w:tc>
        <w:tc>
          <w:tcPr>
            <w:tcW w:w="2988" w:type="dxa"/>
            <w:vAlign w:val="center"/>
          </w:tcPr>
          <w:p w:rsidR="00FF14F7" w:rsidRPr="00FF14F7" w:rsidRDefault="00FF14F7" w:rsidP="00833D40">
            <w:pPr>
              <w:pStyle w:val="TableText"/>
              <w:spacing w:after="0"/>
              <w:jc w:val="center"/>
              <w:rPr>
                <w:b/>
                <w:sz w:val="18"/>
              </w:rPr>
            </w:pP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vMerge w:val="restart"/>
          </w:tcPr>
          <w:p w:rsidR="00FD5064" w:rsidRPr="00FF14F7" w:rsidRDefault="00FD5064" w:rsidP="00833D40">
            <w:pPr>
              <w:pStyle w:val="TableText"/>
              <w:spacing w:after="0"/>
              <w:rPr>
                <w:b/>
                <w:sz w:val="18"/>
              </w:rPr>
            </w:pPr>
            <w:r w:rsidRPr="00FF14F7">
              <w:rPr>
                <w:sz w:val="18"/>
              </w:rPr>
              <w:t xml:space="preserve">All other scales </w:t>
            </w:r>
            <w:r w:rsidRPr="00FF14F7">
              <w:rPr>
                <w:b/>
                <w:sz w:val="18"/>
                <w:u w:val="single"/>
              </w:rPr>
              <w:t>(including grain hopper)</w:t>
            </w:r>
          </w:p>
        </w:tc>
        <w:tc>
          <w:tcPr>
            <w:tcW w:w="1350" w:type="dxa"/>
            <w:vAlign w:val="center"/>
          </w:tcPr>
          <w:p w:rsidR="00FD5064" w:rsidRPr="00FF14F7" w:rsidRDefault="00FD5064" w:rsidP="00833D40">
            <w:pPr>
              <w:pStyle w:val="TableText"/>
              <w:spacing w:after="0"/>
              <w:jc w:val="center"/>
              <w:rPr>
                <w:b/>
                <w:sz w:val="18"/>
              </w:rPr>
            </w:pPr>
            <w:r w:rsidRPr="00FF14F7">
              <w:rPr>
                <w:sz w:val="18"/>
              </w:rPr>
              <w:t xml:space="preserve">n </w:t>
            </w:r>
            <w:r w:rsidRPr="00FF14F7">
              <w:rPr>
                <w:sz w:val="18"/>
              </w:rPr>
              <w:sym w:font="Symbol" w:char="F03E"/>
            </w:r>
            <w:r w:rsidRPr="00FF14F7">
              <w:rPr>
                <w:sz w:val="18"/>
              </w:rPr>
              <w:t xml:space="preserve"> 5000</w:t>
            </w:r>
          </w:p>
        </w:tc>
        <w:tc>
          <w:tcPr>
            <w:tcW w:w="1620" w:type="dxa"/>
            <w:vAlign w:val="center"/>
          </w:tcPr>
          <w:p w:rsidR="00FD5064" w:rsidRPr="00FF14F7" w:rsidRDefault="00FD5064" w:rsidP="00833D40">
            <w:pPr>
              <w:pStyle w:val="TableText"/>
              <w:spacing w:after="0"/>
              <w:jc w:val="center"/>
              <w:rPr>
                <w:b/>
                <w:sz w:val="18"/>
              </w:rPr>
            </w:pPr>
            <w:r w:rsidRPr="00FF14F7">
              <w:rPr>
                <w:sz w:val="18"/>
              </w:rPr>
              <w:t>0.5 d or 0.05 % of scale capacity, whichever is less</w:t>
            </w:r>
          </w:p>
        </w:tc>
        <w:tc>
          <w:tcPr>
            <w:tcW w:w="1260" w:type="dxa"/>
            <w:gridSpan w:val="2"/>
            <w:vAlign w:val="center"/>
          </w:tcPr>
          <w:p w:rsidR="00FD5064" w:rsidRPr="00FF14F7" w:rsidRDefault="00FD5064" w:rsidP="00833D40">
            <w:pPr>
              <w:pStyle w:val="TableText"/>
              <w:spacing w:after="0"/>
              <w:jc w:val="center"/>
              <w:rPr>
                <w:b/>
                <w:sz w:val="18"/>
              </w:rPr>
            </w:pPr>
            <w:r w:rsidRPr="00FF14F7">
              <w:rPr>
                <w:sz w:val="18"/>
              </w:rPr>
              <w:t>0.05 % of test load</w:t>
            </w:r>
          </w:p>
        </w:tc>
        <w:tc>
          <w:tcPr>
            <w:tcW w:w="1440" w:type="dxa"/>
            <w:vAlign w:val="center"/>
          </w:tcPr>
          <w:p w:rsidR="00FD5064" w:rsidRPr="00FF14F7" w:rsidRDefault="00FD5064" w:rsidP="00833D40">
            <w:pPr>
              <w:pStyle w:val="TableText"/>
              <w:spacing w:after="0"/>
              <w:jc w:val="center"/>
              <w:rPr>
                <w:b/>
                <w:sz w:val="18"/>
              </w:rPr>
            </w:pPr>
            <w:r w:rsidRPr="00FF14F7">
              <w:rPr>
                <w:sz w:val="18"/>
              </w:rPr>
              <w:t>0.1 % of test load</w:t>
            </w:r>
          </w:p>
        </w:tc>
        <w:tc>
          <w:tcPr>
            <w:tcW w:w="1260" w:type="dxa"/>
            <w:vAlign w:val="center"/>
          </w:tcPr>
          <w:p w:rsidR="00FD5064" w:rsidRPr="00FF14F7" w:rsidRDefault="00FD5064" w:rsidP="00833D40">
            <w:pPr>
              <w:pStyle w:val="TableText"/>
              <w:spacing w:after="0"/>
              <w:jc w:val="center"/>
              <w:rPr>
                <w:b/>
                <w:sz w:val="18"/>
              </w:rPr>
            </w:pPr>
            <w:r w:rsidRPr="00FF14F7">
              <w:rPr>
                <w:sz w:val="18"/>
              </w:rPr>
              <w:t>1.5</w:t>
            </w:r>
          </w:p>
        </w:tc>
        <w:tc>
          <w:tcPr>
            <w:tcW w:w="2988" w:type="dxa"/>
            <w:vAlign w:val="center"/>
          </w:tcPr>
          <w:p w:rsidR="00FD5064" w:rsidRPr="00FF14F7" w:rsidRDefault="00FD5064" w:rsidP="00833D40">
            <w:pPr>
              <w:pStyle w:val="TableText"/>
              <w:spacing w:after="0"/>
              <w:jc w:val="center"/>
              <w:rPr>
                <w:b/>
                <w:sz w:val="18"/>
              </w:rPr>
            </w:pPr>
            <w:r w:rsidRPr="00FF14F7">
              <w:rPr>
                <w:sz w:val="18"/>
              </w:rPr>
              <w:t xml:space="preserve">T.N.2.5., T.N.4.1., T.N.4.2., T.N.4.3., T.N.5., T.N.7.2., </w:t>
            </w:r>
            <w:r w:rsidRPr="00FF14F7">
              <w:rPr>
                <w:i/>
                <w:sz w:val="18"/>
              </w:rPr>
              <w:t>T.N.8.1.4.</w:t>
            </w:r>
            <w:r w:rsidRPr="00FF14F7">
              <w:rPr>
                <w:i/>
                <w:sz w:val="18"/>
                <w:vertAlign w:val="superscript"/>
              </w:rPr>
              <w:t>4</w:t>
            </w:r>
            <w:r w:rsidRPr="00FF14F7">
              <w:rPr>
                <w:sz w:val="18"/>
              </w:rPr>
              <w:t>, T.N.9.</w:t>
            </w:r>
          </w:p>
        </w:tc>
      </w:tr>
      <w:tr w:rsidR="00FF14F7" w:rsidRPr="00FF14F7" w:rsidTr="00FF14F7">
        <w:trPr>
          <w:gridAfter w:val="1"/>
          <w:wAfter w:w="14" w:type="dxa"/>
        </w:trPr>
        <w:tc>
          <w:tcPr>
            <w:tcW w:w="3258" w:type="dxa"/>
            <w:vMerge/>
          </w:tcPr>
          <w:p w:rsidR="00FD5064" w:rsidRPr="00FF14F7" w:rsidRDefault="00FD5064" w:rsidP="00833D40">
            <w:pPr>
              <w:pStyle w:val="TableText"/>
              <w:spacing w:after="0"/>
              <w:rPr>
                <w:sz w:val="18"/>
              </w:rPr>
            </w:pPr>
          </w:p>
        </w:tc>
        <w:tc>
          <w:tcPr>
            <w:tcW w:w="1350" w:type="dxa"/>
          </w:tcPr>
          <w:p w:rsidR="00FD5064" w:rsidRPr="00FF14F7" w:rsidRDefault="00FD5064" w:rsidP="00833D40">
            <w:pPr>
              <w:pStyle w:val="TableText"/>
              <w:spacing w:after="0"/>
              <w:jc w:val="center"/>
              <w:rPr>
                <w:b/>
                <w:sz w:val="18"/>
              </w:rPr>
            </w:pPr>
            <w:r w:rsidRPr="00FF14F7">
              <w:rPr>
                <w:sz w:val="18"/>
              </w:rPr>
              <w:t xml:space="preserve">n </w:t>
            </w:r>
            <w:r w:rsidRPr="00FF14F7">
              <w:rPr>
                <w:rFonts w:cs="Times New Roman"/>
                <w:sz w:val="18"/>
              </w:rPr>
              <w:t>≤</w:t>
            </w:r>
            <w:r w:rsidRPr="00FF14F7">
              <w:rPr>
                <w:sz w:val="18"/>
              </w:rPr>
              <w:t xml:space="preserve"> 5000</w:t>
            </w:r>
          </w:p>
        </w:tc>
        <w:tc>
          <w:tcPr>
            <w:tcW w:w="4320" w:type="dxa"/>
            <w:gridSpan w:val="4"/>
            <w:vAlign w:val="center"/>
          </w:tcPr>
          <w:p w:rsidR="00FD5064" w:rsidRPr="00FF14F7" w:rsidRDefault="00FD5064" w:rsidP="00833D40">
            <w:pPr>
              <w:pStyle w:val="TableText"/>
              <w:spacing w:after="0"/>
              <w:jc w:val="center"/>
              <w:rPr>
                <w:b/>
                <w:sz w:val="18"/>
              </w:rPr>
            </w:pPr>
            <w:r w:rsidRPr="00FF14F7">
              <w:rPr>
                <w:sz w:val="18"/>
              </w:rPr>
              <w:t>Class III, T.N.3.1., Table 6 and T.N.3.2.</w:t>
            </w:r>
          </w:p>
        </w:tc>
        <w:tc>
          <w:tcPr>
            <w:tcW w:w="1260" w:type="dxa"/>
            <w:vAlign w:val="center"/>
          </w:tcPr>
          <w:p w:rsidR="00FD5064" w:rsidRPr="00FF14F7" w:rsidRDefault="00FD5064" w:rsidP="00833D40">
            <w:pPr>
              <w:pStyle w:val="TableText"/>
              <w:spacing w:after="0"/>
              <w:jc w:val="center"/>
              <w:rPr>
                <w:b/>
                <w:sz w:val="18"/>
              </w:rPr>
            </w:pPr>
            <w:r w:rsidRPr="00FF14F7">
              <w:rPr>
                <w:sz w:val="18"/>
              </w:rPr>
              <w:t>1.0</w:t>
            </w:r>
          </w:p>
        </w:tc>
        <w:tc>
          <w:tcPr>
            <w:tcW w:w="2988" w:type="dxa"/>
            <w:vAlign w:val="center"/>
          </w:tcPr>
          <w:p w:rsidR="00FD5064" w:rsidRPr="00FF14F7" w:rsidRDefault="00FD5064" w:rsidP="00833D40">
            <w:pPr>
              <w:pStyle w:val="TableText"/>
              <w:spacing w:after="0"/>
              <w:jc w:val="center"/>
              <w:rPr>
                <w:b/>
                <w:sz w:val="18"/>
              </w:rPr>
            </w:pPr>
            <w:r w:rsidRPr="00FF14F7">
              <w:rPr>
                <w:sz w:val="18"/>
              </w:rPr>
              <w:t xml:space="preserve">T.N.2, T.N.3., T.N.4.1., T.N.4.2., T.N.4.3., T.N.5., T.N.7.2., </w:t>
            </w:r>
            <w:r w:rsidRPr="00FF14F7">
              <w:rPr>
                <w:i/>
                <w:sz w:val="18"/>
              </w:rPr>
              <w:t>T.N.8.1.4.</w:t>
            </w:r>
            <w:r w:rsidRPr="00FF14F7">
              <w:rPr>
                <w:i/>
                <w:sz w:val="18"/>
                <w:vertAlign w:val="superscript"/>
              </w:rPr>
              <w:t>4</w:t>
            </w:r>
            <w:r w:rsidRPr="00FF14F7">
              <w:rPr>
                <w:sz w:val="18"/>
              </w:rPr>
              <w:t>, T.N.9.</w:t>
            </w:r>
          </w:p>
        </w:tc>
      </w:tr>
      <w:tr w:rsidR="00FD5064" w:rsidTr="00FF14F7">
        <w:trPr>
          <w:trHeight w:val="107"/>
        </w:trPr>
        <w:tc>
          <w:tcPr>
            <w:tcW w:w="6595" w:type="dxa"/>
            <w:gridSpan w:val="4"/>
          </w:tcPr>
          <w:p w:rsidR="00FD5064" w:rsidRPr="00FF14F7" w:rsidRDefault="00FD5064" w:rsidP="00833D40">
            <w:pPr>
              <w:pStyle w:val="TableText"/>
              <w:spacing w:after="0"/>
              <w:rPr>
                <w:b/>
                <w:sz w:val="18"/>
              </w:rPr>
            </w:pPr>
            <w:r w:rsidRPr="00FF14F7">
              <w:rPr>
                <w:sz w:val="18"/>
                <w:vertAlign w:val="superscript"/>
              </w:rPr>
              <w:t>1</w:t>
            </w:r>
            <w:r w:rsidRPr="00FF14F7">
              <w:rPr>
                <w:sz w:val="18"/>
              </w:rPr>
              <w:t xml:space="preserve"> The decreasing load test applies only to automatic indicating scales.</w:t>
            </w:r>
          </w:p>
          <w:p w:rsidR="00FD5064" w:rsidRPr="00FF14F7" w:rsidRDefault="00FD5064" w:rsidP="00833D40">
            <w:pPr>
              <w:pStyle w:val="TableText"/>
              <w:spacing w:after="0"/>
              <w:rPr>
                <w:b/>
                <w:sz w:val="18"/>
              </w:rPr>
            </w:pPr>
            <w:r w:rsidRPr="00FF14F7">
              <w:rPr>
                <w:sz w:val="18"/>
                <w:vertAlign w:val="superscript"/>
              </w:rPr>
              <w:t>2</w:t>
            </w:r>
            <w:r w:rsidRPr="00FF14F7">
              <w:rPr>
                <w:sz w:val="18"/>
              </w:rPr>
              <w:t xml:space="preserve"> If marked and tested as a pair, the tolerance shall be applied to the sum of the indication.</w:t>
            </w:r>
          </w:p>
        </w:tc>
        <w:tc>
          <w:tcPr>
            <w:tcW w:w="6595" w:type="dxa"/>
            <w:gridSpan w:val="5"/>
          </w:tcPr>
          <w:p w:rsidR="00FD5064" w:rsidRPr="00FF14F7" w:rsidRDefault="00FD5064" w:rsidP="00833D40">
            <w:pPr>
              <w:pStyle w:val="TableText"/>
              <w:spacing w:after="0"/>
              <w:rPr>
                <w:b/>
                <w:sz w:val="18"/>
              </w:rPr>
            </w:pPr>
            <w:r w:rsidRPr="00FF14F7">
              <w:rPr>
                <w:sz w:val="18"/>
                <w:vertAlign w:val="superscript"/>
              </w:rPr>
              <w:t>3</w:t>
            </w:r>
            <w:r w:rsidRPr="00FF14F7">
              <w:rPr>
                <w:sz w:val="18"/>
              </w:rPr>
              <w:t xml:space="preserve"> The decreasing load test does not apply to portable wheel load weighers.</w:t>
            </w:r>
          </w:p>
          <w:p w:rsidR="00FD5064" w:rsidRPr="00FF14F7" w:rsidRDefault="00FD5064" w:rsidP="00833D40">
            <w:pPr>
              <w:pStyle w:val="TableText"/>
              <w:spacing w:after="0"/>
              <w:rPr>
                <w:b/>
                <w:i/>
                <w:sz w:val="18"/>
              </w:rPr>
            </w:pPr>
            <w:r w:rsidRPr="00FF14F7">
              <w:rPr>
                <w:i/>
                <w:sz w:val="18"/>
                <w:vertAlign w:val="superscript"/>
              </w:rPr>
              <w:t>4</w:t>
            </w:r>
            <w:r w:rsidRPr="00FF14F7">
              <w:rPr>
                <w:i/>
                <w:sz w:val="18"/>
              </w:rPr>
              <w:t xml:space="preserve"> T.N.8.1.4. Operating Temperature, is nonretroactive and effective for unmarked devices manufactured as of January 1, 1981.</w:t>
            </w:r>
          </w:p>
        </w:tc>
      </w:tr>
    </w:tbl>
    <w:p w:rsidR="00C7060B" w:rsidRDefault="00FF14F7" w:rsidP="009D59C4">
      <w:pPr>
        <w:spacing w:after="200" w:line="276" w:lineRule="auto"/>
        <w:jc w:val="left"/>
        <w:sectPr w:rsidR="00C7060B" w:rsidSect="003B20D6">
          <w:headerReference w:type="even" r:id="rId13"/>
          <w:headerReference w:type="default" r:id="rId14"/>
          <w:footerReference w:type="even" r:id="rId15"/>
          <w:footerReference w:type="default" r:id="rId16"/>
          <w:pgSz w:w="15840" w:h="12240" w:orient="landscape"/>
          <w:pgMar w:top="1440" w:right="1440" w:bottom="1440" w:left="1440" w:header="720" w:footer="360" w:gutter="0"/>
          <w:pgNumType w:start="21"/>
          <w:cols w:space="720"/>
          <w:docGrid w:linePitch="360"/>
        </w:sectPr>
      </w:pPr>
      <w:r>
        <w:t>(Table Added 1990; Amended 1992</w:t>
      </w:r>
      <w:r w:rsidRPr="00FF14F7">
        <w:rPr>
          <w:b/>
          <w:u w:val="single"/>
        </w:rPr>
        <w:t>,</w:t>
      </w:r>
      <w:r>
        <w:t xml:space="preserve"> </w:t>
      </w:r>
      <w:r w:rsidRPr="00FF14F7">
        <w:rPr>
          <w:b/>
          <w:strike/>
        </w:rPr>
        <w:t>and</w:t>
      </w:r>
      <w:r>
        <w:t xml:space="preserve"> 1993</w:t>
      </w:r>
      <w:r w:rsidRPr="00FF14F7">
        <w:rPr>
          <w:b/>
          <w:u w:val="single"/>
        </w:rPr>
        <w:t>, and 2012</w:t>
      </w:r>
      <w:r>
        <w:t>)</w:t>
      </w:r>
      <w:r w:rsidR="00801A8C">
        <w:rPr>
          <w:noProof/>
        </w:rPr>
        <mc:AlternateContent>
          <mc:Choice Requires="wps">
            <w:drawing>
              <wp:anchor distT="0" distB="0" distL="114300" distR="114300" simplePos="0" relativeHeight="251660288" behindDoc="0" locked="0" layoutInCell="1" allowOverlap="1" wp14:anchorId="69E61390" wp14:editId="3A89632A">
                <wp:simplePos x="0" y="0"/>
                <wp:positionH relativeFrom="column">
                  <wp:posOffset>4760595</wp:posOffset>
                </wp:positionH>
                <wp:positionV relativeFrom="page">
                  <wp:posOffset>408</wp:posOffset>
                </wp:positionV>
                <wp:extent cx="565785" cy="77724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65785" cy="777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0D23" w:rsidRDefault="00110D23" w:rsidP="009D59C4">
                            <w:pPr>
                              <w:spacing w:before="4600" w:line="276" w:lineRule="auto"/>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374.85pt;margin-top:.05pt;width:44.55pt;height:6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" filled="f" stroked="f" strokeweight=".5pt">
                <v:textbox style="layout-flow:vertical">
                  <w:txbxContent>
                    <w:p w:rsidR="00110D23" w:rsidRDefault="00110D23" w:rsidP="009D59C4">
                      <w:pPr>
                        <w:spacing w:before="4600" w:line="276" w:lineRule="auto"/>
                      </w:pPr>
                    </w:p>
                  </w:txbxContent>
                </v:textbox>
                <w10:wrap anchory="page"/>
              </v:shape>
            </w:pict>
          </mc:Fallback>
        </mc:AlternateContent>
      </w:r>
    </w:p>
    <w:p w:rsidR="00E75038" w:rsidRDefault="00E263F5" w:rsidP="00CD25AA">
      <w:pPr>
        <w:ind w:left="270" w:hanging="270"/>
      </w:pPr>
      <w:r>
        <w:lastRenderedPageBreak/>
        <w:t xml:space="preserve">2) </w:t>
      </w:r>
      <w:r w:rsidR="00CD25AA">
        <w:tab/>
      </w:r>
      <w:r>
        <w:t xml:space="preserve">Amend </w:t>
      </w:r>
      <w:r w:rsidRPr="00595572">
        <w:t>NIST Handbook 44</w:t>
      </w:r>
      <w:r>
        <w:t>, Scales Code paragraph UR.1.2. Grain Hopper Scales as follows:</w:t>
      </w:r>
    </w:p>
    <w:p w:rsidR="00E75038" w:rsidRDefault="00E75038" w:rsidP="00E75038">
      <w:pPr>
        <w:pStyle w:val="I-Normalreg"/>
      </w:pPr>
      <w:r w:rsidRPr="00E75038">
        <w:rPr>
          <w:b/>
        </w:rPr>
        <w:t xml:space="preserve">UR.1.2. </w:t>
      </w:r>
      <w:r w:rsidRPr="00CD25AA">
        <w:rPr>
          <w:b/>
        </w:rPr>
        <w:t>Grain</w:t>
      </w:r>
      <w:r>
        <w:rPr>
          <w:b/>
        </w:rPr>
        <w:t xml:space="preserve"> </w:t>
      </w:r>
      <w:r w:rsidRPr="00E75038">
        <w:rPr>
          <w:b/>
        </w:rPr>
        <w:t xml:space="preserve">Hopper </w:t>
      </w:r>
      <w:r>
        <w:rPr>
          <w:b/>
        </w:rPr>
        <w:t>S</w:t>
      </w:r>
      <w:r w:rsidRPr="00E75038">
        <w:rPr>
          <w:b/>
        </w:rPr>
        <w:t>cales</w:t>
      </w:r>
      <w:r w:rsidR="00CD25AA">
        <w:rPr>
          <w:b/>
        </w:rPr>
        <w:t xml:space="preserve">. – </w:t>
      </w:r>
      <w:r w:rsidR="00E263F5">
        <w:rPr>
          <w:b/>
          <w:u w:val="single"/>
        </w:rPr>
        <w:t>Hopper scales manufactured as of January 1, 1986 that are used to weigh grain shall be Class III and have a minimum of 2000 scale divisions</w:t>
      </w:r>
      <w:r w:rsidRPr="00E75038">
        <w:rPr>
          <w:b/>
        </w:rPr>
        <w:t>.</w:t>
      </w:r>
      <w:r>
        <w:t xml:space="preserve"> The minimum number of scale divisions for a Class III </w:t>
      </w:r>
      <w:r w:rsidR="00E263F5">
        <w:t xml:space="preserve">Hopper Scale </w:t>
      </w:r>
      <w:r>
        <w:t>used for weighing grain shall be 2000</w:t>
      </w:r>
      <w:r w:rsidR="00E263F5">
        <w:t>.</w:t>
      </w:r>
    </w:p>
    <w:p w:rsidR="00E263F5" w:rsidRDefault="00E263F5" w:rsidP="00CD25AA">
      <w:pPr>
        <w:ind w:left="270" w:hanging="270"/>
      </w:pPr>
      <w:r>
        <w:t xml:space="preserve">3) </w:t>
      </w:r>
      <w:r w:rsidR="00CD25AA">
        <w:tab/>
      </w:r>
      <w:r>
        <w:t xml:space="preserve">Amend </w:t>
      </w:r>
      <w:r w:rsidRPr="00595572">
        <w:t>NIST Handbook 44</w:t>
      </w:r>
      <w:r>
        <w:t>, Scales Code Table 7a. Typical Class or Type of Device for Weighing Applications as follows: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8"/>
        <w:gridCol w:w="8568"/>
      </w:tblGrid>
      <w:tr w:rsidR="00E263F5" w:rsidTr="00CD25AA">
        <w:tc>
          <w:tcPr>
            <w:tcW w:w="9576" w:type="dxa"/>
            <w:gridSpan w:val="2"/>
            <w:tcBorders>
              <w:top w:val="double" w:sz="4" w:space="0" w:color="auto"/>
              <w:bottom w:val="double" w:sz="4" w:space="0" w:color="auto"/>
            </w:tcBorders>
          </w:tcPr>
          <w:p w:rsidR="00E263F5" w:rsidRDefault="00E263F5" w:rsidP="00CD25AA">
            <w:pPr>
              <w:pStyle w:val="TableHeading"/>
            </w:pPr>
            <w:r>
              <w:t>Table 7a.</w:t>
            </w:r>
          </w:p>
          <w:p w:rsidR="00E263F5" w:rsidRDefault="00E263F5" w:rsidP="00CD25AA">
            <w:pPr>
              <w:pStyle w:val="TableHeading"/>
            </w:pPr>
            <w:r>
              <w:t>Typical Class or Type of Device for Weighing Applications</w:t>
            </w:r>
          </w:p>
        </w:tc>
      </w:tr>
      <w:tr w:rsidR="00E263F5" w:rsidTr="00CD25AA">
        <w:tc>
          <w:tcPr>
            <w:tcW w:w="1008" w:type="dxa"/>
            <w:tcBorders>
              <w:top w:val="double" w:sz="4" w:space="0" w:color="auto"/>
            </w:tcBorders>
          </w:tcPr>
          <w:p w:rsidR="00E263F5" w:rsidRDefault="00E263F5" w:rsidP="00CD25AA">
            <w:pPr>
              <w:pStyle w:val="TableColumnHeadings"/>
            </w:pPr>
            <w:r>
              <w:t>Class</w:t>
            </w:r>
          </w:p>
        </w:tc>
        <w:tc>
          <w:tcPr>
            <w:tcW w:w="8568" w:type="dxa"/>
            <w:tcBorders>
              <w:top w:val="double" w:sz="4" w:space="0" w:color="auto"/>
            </w:tcBorders>
          </w:tcPr>
          <w:p w:rsidR="00E263F5" w:rsidRDefault="00E263F5" w:rsidP="00CD25AA">
            <w:pPr>
              <w:pStyle w:val="TableColumnHeadings"/>
              <w:rPr>
                <w:b w:val="0"/>
              </w:rPr>
            </w:pPr>
            <w:r>
              <w:t>Weighing Application or Scale Type</w:t>
            </w:r>
          </w:p>
        </w:tc>
      </w:tr>
      <w:tr w:rsidR="00E263F5" w:rsidTr="00CD25AA">
        <w:tc>
          <w:tcPr>
            <w:tcW w:w="1008" w:type="dxa"/>
          </w:tcPr>
          <w:p w:rsidR="00E263F5" w:rsidRDefault="00E263F5" w:rsidP="00CD25AA">
            <w:pPr>
              <w:pStyle w:val="TableText"/>
              <w:jc w:val="center"/>
            </w:pPr>
            <w:r>
              <w:t>I</w:t>
            </w:r>
          </w:p>
        </w:tc>
        <w:tc>
          <w:tcPr>
            <w:tcW w:w="8568" w:type="dxa"/>
          </w:tcPr>
          <w:p w:rsidR="00E263F5" w:rsidRDefault="00E263F5" w:rsidP="00CD25AA">
            <w:pPr>
              <w:pStyle w:val="TableText"/>
              <w:rPr>
                <w:b/>
              </w:rPr>
            </w:pPr>
            <w:r>
              <w:t>Precision laboratory weighing</w:t>
            </w:r>
          </w:p>
        </w:tc>
      </w:tr>
      <w:tr w:rsidR="00E263F5" w:rsidTr="00CD25AA">
        <w:tc>
          <w:tcPr>
            <w:tcW w:w="1008" w:type="dxa"/>
          </w:tcPr>
          <w:p w:rsidR="00E263F5" w:rsidRDefault="00E263F5" w:rsidP="00CD25AA">
            <w:pPr>
              <w:pStyle w:val="TableText"/>
              <w:jc w:val="center"/>
            </w:pPr>
            <w:r>
              <w:t>II</w:t>
            </w:r>
          </w:p>
        </w:tc>
        <w:tc>
          <w:tcPr>
            <w:tcW w:w="8568" w:type="dxa"/>
          </w:tcPr>
          <w:p w:rsidR="00E263F5" w:rsidRDefault="00E263F5" w:rsidP="00CD25AA">
            <w:pPr>
              <w:pStyle w:val="TableText"/>
              <w:rPr>
                <w:b/>
              </w:rPr>
            </w:pPr>
            <w:r>
              <w:t>Laboratory weighing, precious metals and gem weighing, grain test scales</w:t>
            </w:r>
          </w:p>
        </w:tc>
      </w:tr>
      <w:tr w:rsidR="00E263F5" w:rsidTr="00CD25AA">
        <w:tc>
          <w:tcPr>
            <w:tcW w:w="1008" w:type="dxa"/>
          </w:tcPr>
          <w:p w:rsidR="00E263F5" w:rsidRDefault="00E263F5" w:rsidP="00CD25AA">
            <w:pPr>
              <w:pStyle w:val="TableText"/>
              <w:jc w:val="center"/>
            </w:pPr>
            <w:r>
              <w:t>III</w:t>
            </w:r>
          </w:p>
        </w:tc>
        <w:tc>
          <w:tcPr>
            <w:tcW w:w="8568" w:type="dxa"/>
          </w:tcPr>
          <w:p w:rsidR="00E263F5" w:rsidRDefault="00E263F5" w:rsidP="00CD25AA">
            <w:pPr>
              <w:pStyle w:val="TableText"/>
              <w:rPr>
                <w:b/>
              </w:rPr>
            </w:pPr>
            <w:r>
              <w:t xml:space="preserve">All commercial weighing not otherwise specified, grain test scales, retail precious metals and semi-precious gem weighing, </w:t>
            </w:r>
            <w:r w:rsidRPr="00CD25AA">
              <w:rPr>
                <w:b/>
                <w:u w:val="single"/>
              </w:rPr>
              <w:t>grain-hopper scales</w:t>
            </w:r>
            <w:r>
              <w:t>, animal scales, postal scales, vehicle on-board weighing systems with a capacity less than or equal to 30 000 lb, and scales used to determine laundry charges</w:t>
            </w:r>
          </w:p>
        </w:tc>
      </w:tr>
      <w:tr w:rsidR="00E263F5" w:rsidTr="00CD25AA">
        <w:tc>
          <w:tcPr>
            <w:tcW w:w="1008" w:type="dxa"/>
          </w:tcPr>
          <w:p w:rsidR="00E263F5" w:rsidRDefault="00E263F5" w:rsidP="00CD25AA">
            <w:pPr>
              <w:pStyle w:val="TableText"/>
              <w:jc w:val="center"/>
            </w:pPr>
            <w:r>
              <w:t>III L</w:t>
            </w:r>
          </w:p>
        </w:tc>
        <w:tc>
          <w:tcPr>
            <w:tcW w:w="8568" w:type="dxa"/>
          </w:tcPr>
          <w:p w:rsidR="00E263F5" w:rsidRDefault="00E263F5" w:rsidP="00CD25AA">
            <w:pPr>
              <w:pStyle w:val="TableText"/>
              <w:rPr>
                <w:b/>
              </w:rPr>
            </w:pPr>
            <w:r>
              <w:t>Vehicle scales, vehicle on-board weighing systems with a capacity greater than 30 000 lb, axle-load scales, livestock scales, railway track scales, crane scales, and hopper (other than grain hopper) scales</w:t>
            </w:r>
          </w:p>
        </w:tc>
      </w:tr>
      <w:tr w:rsidR="00E263F5" w:rsidTr="00CD25AA">
        <w:tc>
          <w:tcPr>
            <w:tcW w:w="1008" w:type="dxa"/>
          </w:tcPr>
          <w:p w:rsidR="00E263F5" w:rsidRDefault="00E263F5" w:rsidP="00CD25AA">
            <w:pPr>
              <w:pStyle w:val="TableText"/>
              <w:jc w:val="center"/>
            </w:pPr>
            <w:r>
              <w:t>IIII</w:t>
            </w:r>
          </w:p>
        </w:tc>
        <w:tc>
          <w:tcPr>
            <w:tcW w:w="8568" w:type="dxa"/>
          </w:tcPr>
          <w:p w:rsidR="00E263F5" w:rsidRDefault="00E263F5" w:rsidP="00CD25AA">
            <w:pPr>
              <w:pStyle w:val="TableText"/>
              <w:rPr>
                <w:b/>
              </w:rPr>
            </w:pPr>
            <w:r>
              <w:t>Wheel-load weighers and portable axle-load weighers used for highway weight enforcement</w:t>
            </w:r>
          </w:p>
        </w:tc>
      </w:tr>
      <w:tr w:rsidR="00E263F5" w:rsidTr="00CD25AA">
        <w:tc>
          <w:tcPr>
            <w:tcW w:w="9576" w:type="dxa"/>
            <w:gridSpan w:val="2"/>
          </w:tcPr>
          <w:p w:rsidR="00E263F5" w:rsidRDefault="00E263F5" w:rsidP="00CD25AA">
            <w:pPr>
              <w:pStyle w:val="TableText"/>
            </w:pPr>
            <w:r w:rsidRPr="00CD25AA">
              <w:rPr>
                <w:b/>
              </w:rPr>
              <w:t>Note:</w:t>
            </w:r>
            <w:r>
              <w:t xml:space="preserve"> A scale with a higher accuracy class than that specified as “typical” may be used.</w:t>
            </w:r>
          </w:p>
        </w:tc>
      </w:tr>
    </w:tbl>
    <w:p w:rsidR="00E263F5" w:rsidRDefault="003178C2" w:rsidP="00595572">
      <w:pPr>
        <w:spacing w:before="60"/>
      </w:pPr>
      <w:r>
        <w:t xml:space="preserve">(Amended 1985, 1986, 1987, 1988, 1992, and 1995, </w:t>
      </w:r>
      <w:r w:rsidRPr="00CD25AA">
        <w:rPr>
          <w:b/>
          <w:u w:val="single"/>
        </w:rPr>
        <w:t>and 20</w:t>
      </w:r>
      <w:r w:rsidR="00CD25AA">
        <w:rPr>
          <w:b/>
          <w:u w:val="single"/>
        </w:rPr>
        <w:t>12</w:t>
      </w:r>
      <w:r>
        <w:t>)</w:t>
      </w:r>
    </w:p>
    <w:p w:rsidR="00E75038" w:rsidRDefault="00E75038" w:rsidP="00E75038">
      <w:pPr>
        <w:pStyle w:val="BoldHeading"/>
      </w:pPr>
      <w:r>
        <w:t>Background/Discussion:</w:t>
      </w:r>
    </w:p>
    <w:p w:rsidR="00E75038" w:rsidRDefault="00E75038" w:rsidP="00E75038">
      <w:r w:rsidRPr="00595572">
        <w:t>NIST Handbook 44</w:t>
      </w:r>
      <w:r>
        <w:t xml:space="preserve"> </w:t>
      </w:r>
      <w:r w:rsidR="009C2A4D">
        <w:t xml:space="preserve">Scales Code </w:t>
      </w:r>
      <w:r>
        <w:t xml:space="preserve">does not specifically state that grain hopper scales </w:t>
      </w:r>
      <w:r w:rsidR="009C2A4D">
        <w:t xml:space="preserve">manufactured after 1986 </w:t>
      </w:r>
      <w:r w:rsidR="00882F3E">
        <w:t xml:space="preserve">shall </w:t>
      </w:r>
      <w:r>
        <w:t xml:space="preserve">be marked as </w:t>
      </w:r>
      <w:r w:rsidR="009C2A4D">
        <w:t xml:space="preserve">Class </w:t>
      </w:r>
      <w:r>
        <w:t>III</w:t>
      </w:r>
      <w:r w:rsidR="009C2A4D">
        <w:t xml:space="preserve"> devices</w:t>
      </w:r>
      <w:r>
        <w:t>.  There are only indirect references that give exceptions for grain hopper scales as being class III</w:t>
      </w:r>
      <w:r w:rsidR="0025054F">
        <w:t xml:space="preserve"> (e.g</w:t>
      </w:r>
      <w:r>
        <w:t>.</w:t>
      </w:r>
      <w:r w:rsidR="009C2A4D">
        <w:t xml:space="preserve">, the phrase “commercial weighing not otherwise specified” and “hopper </w:t>
      </w:r>
      <w:r w:rsidR="005C531B">
        <w:t>[</w:t>
      </w:r>
      <w:r w:rsidR="009C2A4D">
        <w:t>other than grain hopper</w:t>
      </w:r>
      <w:r w:rsidR="005C531B">
        <w:t xml:space="preserve">]” </w:t>
      </w:r>
      <w:r w:rsidR="009C2A4D">
        <w:t xml:space="preserve">in Tables T.1.1. and Table 7a.).  The submitter stated there </w:t>
      </w:r>
      <w:r>
        <w:t xml:space="preserve">may be inconsistency among jurisdictions as to whether grain hopper scales are required to </w:t>
      </w:r>
      <w:r w:rsidR="009C2A4D">
        <w:t xml:space="preserve">comply with Class </w:t>
      </w:r>
      <w:r>
        <w:t>III</w:t>
      </w:r>
      <w:r w:rsidR="009C2A4D">
        <w:t xml:space="preserve"> tolerances</w:t>
      </w:r>
      <w:r>
        <w:t xml:space="preserve">.  This proposal would bring about uniformity among jurisdictions and be in accord with the original intent of the </w:t>
      </w:r>
      <w:r w:rsidR="006272C6">
        <w:t>Committee</w:t>
      </w:r>
      <w:r>
        <w:t xml:space="preserve">.  Some states may have difficulty requiring </w:t>
      </w:r>
      <w:r w:rsidR="009C2A4D">
        <w:t xml:space="preserve">Class </w:t>
      </w:r>
      <w:r>
        <w:t>III</w:t>
      </w:r>
      <w:r w:rsidR="009C2A4D">
        <w:t xml:space="preserve"> tolerances on</w:t>
      </w:r>
      <w:r>
        <w:t xml:space="preserve"> hopper scales for weighing grain if they have already allowed the use of </w:t>
      </w:r>
      <w:r w:rsidR="009C2A4D">
        <w:t xml:space="preserve">Class </w:t>
      </w:r>
      <w:r>
        <w:t>III</w:t>
      </w:r>
      <w:r w:rsidR="00D66E1F">
        <w:t> </w:t>
      </w:r>
      <w:r>
        <w:t xml:space="preserve">L </w:t>
      </w:r>
      <w:r w:rsidR="009C2A4D">
        <w:t xml:space="preserve">tolerances on hopper </w:t>
      </w:r>
      <w:r>
        <w:t xml:space="preserve">scales </w:t>
      </w:r>
      <w:r w:rsidR="009C2A4D">
        <w:t xml:space="preserve">used to weigh </w:t>
      </w:r>
      <w:r>
        <w:t xml:space="preserve">grain.  If this concern is raised then perhaps this requirement should remain non-retroactive.  </w:t>
      </w:r>
      <w:r w:rsidR="00882F3E">
        <w:t xml:space="preserve">If </w:t>
      </w:r>
      <w:r>
        <w:t>s</w:t>
      </w:r>
      <w:r w:rsidR="00882F3E">
        <w:t xml:space="preserve">ome jurisdictions have allowed Class III L </w:t>
      </w:r>
      <w:r>
        <w:t>hopper scales to weigh grain</w:t>
      </w:r>
      <w:r w:rsidR="00882F3E">
        <w:t>,</w:t>
      </w:r>
      <w:r>
        <w:t xml:space="preserve"> </w:t>
      </w:r>
      <w:r w:rsidR="00882F3E">
        <w:t>it</w:t>
      </w:r>
      <w:r>
        <w:t xml:space="preserve"> is an indication that the </w:t>
      </w:r>
      <w:r w:rsidR="006272C6">
        <w:t xml:space="preserve">Committee’s </w:t>
      </w:r>
      <w:r w:rsidR="00882F3E">
        <w:t xml:space="preserve">original </w:t>
      </w:r>
      <w:r>
        <w:t xml:space="preserve">intent </w:t>
      </w:r>
      <w:r w:rsidR="00882F3E">
        <w:t xml:space="preserve">of </w:t>
      </w:r>
      <w:r>
        <w:t>the user requirements and tolerances of a h</w:t>
      </w:r>
      <w:r w:rsidR="00882F3E">
        <w:t>opper scale used to weigh grain does require clarification offered by this proposal.</w:t>
      </w:r>
    </w:p>
    <w:p w:rsidR="00E75038" w:rsidRDefault="00E75038" w:rsidP="00E75038">
      <w:r>
        <w:t>At the 2011 CWMA Interim Meeting</w:t>
      </w:r>
      <w:r w:rsidR="009937DF">
        <w:t>,</w:t>
      </w:r>
      <w:r>
        <w:t xml:space="preserve"> regulatory officials commented that Table 7a</w:t>
      </w:r>
      <w:r w:rsidR="005C531B">
        <w:t>.</w:t>
      </w:r>
      <w:r>
        <w:t xml:space="preserve"> already states that “all weighing not otherwise specified” would define a grain hopper as a Class III scale</w:t>
      </w:r>
      <w:r w:rsidR="000E0640">
        <w:t>; indicating that the</w:t>
      </w:r>
      <w:r>
        <w:t xml:space="preserve"> problem is </w:t>
      </w:r>
      <w:r w:rsidR="000E0640">
        <w:t>already</w:t>
      </w:r>
      <w:r>
        <w:t xml:space="preserve"> address</w:t>
      </w:r>
      <w:r w:rsidR="000E0640">
        <w:t>ed.</w:t>
      </w:r>
      <w:r>
        <w:t xml:space="preserve">  </w:t>
      </w:r>
      <w:r w:rsidR="000E0640">
        <w:t xml:space="preserve">CWMA </w:t>
      </w:r>
      <w:r w:rsidR="000E0640" w:rsidRPr="006273B2">
        <w:rPr>
          <w:rFonts w:cs="Times New Roman"/>
        </w:rPr>
        <w:t>fo</w:t>
      </w:r>
      <w:r w:rsidR="000E0640">
        <w:rPr>
          <w:rFonts w:cs="Times New Roman"/>
        </w:rPr>
        <w:t>rwarded the item to NCWM, recommending it as a Developing</w:t>
      </w:r>
      <w:r w:rsidR="000E0640" w:rsidRPr="006273B2">
        <w:rPr>
          <w:rFonts w:cs="Times New Roman"/>
        </w:rPr>
        <w:t xml:space="preserve"> Item</w:t>
      </w:r>
      <w:r>
        <w:t xml:space="preserve">.  </w:t>
      </w:r>
    </w:p>
    <w:p w:rsidR="00E75038" w:rsidRDefault="00E75038" w:rsidP="00E75038">
      <w:r>
        <w:t>At the</w:t>
      </w:r>
      <w:r w:rsidR="007C4060">
        <w:t xml:space="preserve"> 2011 WWMA Annual Meeting</w:t>
      </w:r>
      <w:r w:rsidR="009937DF">
        <w:t>,</w:t>
      </w:r>
      <w:r w:rsidR="007C4060">
        <w:t xml:space="preserve"> Mr. </w:t>
      </w:r>
      <w:r w:rsidR="00BF3B61">
        <w:t xml:space="preserve">Doug </w:t>
      </w:r>
      <w:r w:rsidR="007C4060">
        <w:t>D</w:t>
      </w:r>
      <w:r>
        <w:t>e</w:t>
      </w:r>
      <w:r w:rsidR="007C4060">
        <w:t>i</w:t>
      </w:r>
      <w:r>
        <w:t xml:space="preserve">man, </w:t>
      </w:r>
      <w:r w:rsidR="007C4060" w:rsidRPr="007C4060">
        <w:t>Alaska Division of Measurement Standards/CVE</w:t>
      </w:r>
      <w:r>
        <w:t>, suggested that a modification be made to Scales Code Table 7a</w:t>
      </w:r>
      <w:r w:rsidR="009C2A4D">
        <w:t>.</w:t>
      </w:r>
      <w:r>
        <w:t xml:space="preserve"> by adding “Grain Hopper Scales” to the list of typical Class III applications.  He was also concerned that a Class III L vehicle scale weighbridge could be modified by removing the deck and adding hoppers, and could potentially be used to weigh grain.  In its deliberations,</w:t>
      </w:r>
      <w:r w:rsidR="007C4060">
        <w:t xml:space="preserve"> the </w:t>
      </w:r>
      <w:r w:rsidR="006272C6">
        <w:t xml:space="preserve">Committee </w:t>
      </w:r>
      <w:r w:rsidR="007C4060">
        <w:t>considered Mr. D</w:t>
      </w:r>
      <w:r>
        <w:t>e</w:t>
      </w:r>
      <w:r w:rsidR="007C4060">
        <w:t>i</w:t>
      </w:r>
      <w:r>
        <w:t>man’s example as a modification of type and thus the conversion would not be covered by a</w:t>
      </w:r>
      <w:r w:rsidR="009937DF">
        <w:t>n</w:t>
      </w:r>
      <w:r>
        <w:t xml:space="preserve"> NTEP CC.  Mr. Cook, NIST,</w:t>
      </w:r>
      <w:r w:rsidR="001674A3">
        <w:t xml:space="preserve"> </w:t>
      </w:r>
      <w:r w:rsidR="007C4060">
        <w:t>OWM</w:t>
      </w:r>
      <w:r>
        <w:t xml:space="preserve"> reported that OWM tried to verify the exact problem that </w:t>
      </w:r>
      <w:r>
        <w:lastRenderedPageBreak/>
        <w:t>initiated the proposal.</w:t>
      </w:r>
      <w:r w:rsidR="00C55861">
        <w:t xml:space="preserve"> </w:t>
      </w:r>
      <w:r>
        <w:t xml:space="preserve"> One possibility is that the use of the word “typical” in the title of Table 7a</w:t>
      </w:r>
      <w:r w:rsidR="009C2A4D">
        <w:t>.</w:t>
      </w:r>
      <w:r>
        <w:t xml:space="preserve"> is not strong enough to ensure that </w:t>
      </w:r>
      <w:r w:rsidR="00093777">
        <w:t>Class </w:t>
      </w:r>
      <w:r w:rsidR="009C2A4D">
        <w:t xml:space="preserve">III tolerance apply to </w:t>
      </w:r>
      <w:r>
        <w:t xml:space="preserve">Grain Hopper Scales.  The item is not fully developed because the problem was not sufficiently demonstrated to justify a change to </w:t>
      </w:r>
      <w:r w:rsidR="00C55861" w:rsidRPr="00595572">
        <w:t xml:space="preserve">NIST </w:t>
      </w:r>
      <w:r w:rsidRPr="00595572">
        <w:t>Handbook 44</w:t>
      </w:r>
      <w:r>
        <w:t>.</w:t>
      </w:r>
      <w:r w:rsidR="00C55861">
        <w:t xml:space="preserve"> </w:t>
      </w:r>
      <w:r>
        <w:t xml:space="preserve"> The </w:t>
      </w:r>
      <w:r w:rsidR="009C2A4D">
        <w:t xml:space="preserve">WWMA S&amp;T Committee </w:t>
      </w:r>
      <w:r>
        <w:t>believes that Table 7a</w:t>
      </w:r>
      <w:r w:rsidR="009C2A4D">
        <w:t>.</w:t>
      </w:r>
      <w:r>
        <w:t xml:space="preserve"> sufficiently addresses the concern and clearly states that Class III L Hopper scales are specificall</w:t>
      </w:r>
      <w:r w:rsidR="000E0640">
        <w:t xml:space="preserve">y excluded from weighing grain.  </w:t>
      </w:r>
      <w:r>
        <w:t xml:space="preserve">The </w:t>
      </w:r>
      <w:r w:rsidR="006272C6">
        <w:t xml:space="preserve">Committee </w:t>
      </w:r>
      <w:r>
        <w:t xml:space="preserve">notes that unmarked scales in Table T.1.1. considers Grain Hopper Scales as “all other scales” and that tolerances are based on </w:t>
      </w:r>
      <w:r w:rsidR="00C55861" w:rsidRPr="00595572">
        <w:t>NIST Handbook 44</w:t>
      </w:r>
      <w:r w:rsidR="00C55861">
        <w:rPr>
          <w:i/>
        </w:rPr>
        <w:t xml:space="preserve"> </w:t>
      </w:r>
      <w:r w:rsidR="009C2A4D">
        <w:t xml:space="preserve">Scales Code </w:t>
      </w:r>
      <w:r>
        <w:t>Table 6</w:t>
      </w:r>
      <w:r w:rsidR="005C531B">
        <w:t>.</w:t>
      </w:r>
      <w:r>
        <w:t xml:space="preserve"> for Class III devices which is identical to the wording in Table 7a.</w:t>
      </w:r>
      <w:r w:rsidR="00093777">
        <w:t xml:space="preserve"> </w:t>
      </w:r>
      <w:r>
        <w:t xml:space="preserve">for scales marked with as a Class III device.  </w:t>
      </w:r>
      <w:r w:rsidR="001F4AF8">
        <w:t xml:space="preserve">The </w:t>
      </w:r>
      <w:r w:rsidR="009937DF">
        <w:t xml:space="preserve">WWMA </w:t>
      </w:r>
      <w:r w:rsidR="000E0640" w:rsidRPr="006273B2">
        <w:rPr>
          <w:rFonts w:cs="Times New Roman"/>
        </w:rPr>
        <w:t>did not forward the item to NCWM</w:t>
      </w:r>
      <w:r w:rsidR="000E0640" w:rsidDel="000F5460">
        <w:t xml:space="preserve"> </w:t>
      </w:r>
      <w:r w:rsidR="000E0640">
        <w:t xml:space="preserve">and recommended </w:t>
      </w:r>
      <w:r>
        <w:t>further development</w:t>
      </w:r>
      <w:r w:rsidR="000E0640">
        <w:t xml:space="preserve"> by the submitter</w:t>
      </w:r>
      <w:r>
        <w:t xml:space="preserve">.  </w:t>
      </w:r>
    </w:p>
    <w:p w:rsidR="00E75038" w:rsidRDefault="00E75038" w:rsidP="00E75038">
      <w:r>
        <w:t xml:space="preserve">At </w:t>
      </w:r>
      <w:r w:rsidR="000E0640">
        <w:t xml:space="preserve">the </w:t>
      </w:r>
      <w:r w:rsidR="00C55861">
        <w:t xml:space="preserve">2011 </w:t>
      </w:r>
      <w:r w:rsidR="000E0640">
        <w:t xml:space="preserve">NEWMA </w:t>
      </w:r>
      <w:r w:rsidR="00C55861">
        <w:t>Interim Meeting</w:t>
      </w:r>
      <w:r w:rsidR="006D3B2E">
        <w:t xml:space="preserve">, </w:t>
      </w:r>
      <w:r w:rsidR="000E0640">
        <w:t xml:space="preserve">NEWMA </w:t>
      </w:r>
      <w:r w:rsidR="000E0640" w:rsidRPr="006273B2">
        <w:rPr>
          <w:rFonts w:cs="Times New Roman"/>
        </w:rPr>
        <w:t>fo</w:t>
      </w:r>
      <w:r w:rsidR="000E0640">
        <w:rPr>
          <w:rFonts w:cs="Times New Roman"/>
        </w:rPr>
        <w:t>rwarded the item to NCWM, recommending it as a Developing</w:t>
      </w:r>
      <w:r w:rsidR="000E0640" w:rsidRPr="006273B2">
        <w:rPr>
          <w:rFonts w:cs="Times New Roman"/>
        </w:rPr>
        <w:t xml:space="preserve"> Item</w:t>
      </w:r>
      <w:r>
        <w:t>.</w:t>
      </w:r>
    </w:p>
    <w:p w:rsidR="00E75038" w:rsidRDefault="00E75038" w:rsidP="00E75038">
      <w:r>
        <w:t>At the 2011 SWMA Annual Meeting</w:t>
      </w:r>
      <w:r w:rsidR="006D3B2E">
        <w:t>,</w:t>
      </w:r>
      <w:r>
        <w:t xml:space="preserve"> the </w:t>
      </w:r>
      <w:r w:rsidR="009C2A4D">
        <w:t xml:space="preserve">S&amp;T Committee </w:t>
      </w:r>
      <w:r>
        <w:t xml:space="preserve">did not </w:t>
      </w:r>
      <w:r w:rsidR="000E0640">
        <w:t>believe</w:t>
      </w:r>
      <w:r>
        <w:t xml:space="preserve"> it had enough information to make a decision on this issue.</w:t>
      </w:r>
      <w:r w:rsidR="00C55861">
        <w:t xml:space="preserve"> </w:t>
      </w:r>
      <w:r>
        <w:t xml:space="preserve"> The justification provided in the proposal is not sufficient to clarify the is</w:t>
      </w:r>
      <w:r w:rsidR="00C55861">
        <w:t xml:space="preserve">sues that need to be resolved.  </w:t>
      </w:r>
      <w:r>
        <w:t xml:space="preserve">The </w:t>
      </w:r>
      <w:r w:rsidR="00DA5674">
        <w:t xml:space="preserve">Committee </w:t>
      </w:r>
      <w:r>
        <w:t xml:space="preserve">noted that there are references in </w:t>
      </w:r>
      <w:r w:rsidR="00C55861" w:rsidRPr="00595572">
        <w:t>NIST Handbook 44</w:t>
      </w:r>
      <w:r>
        <w:t xml:space="preserve"> Scales Code to minimum numbers of divisions for Grain Hoppers.  The </w:t>
      </w:r>
      <w:r w:rsidR="00DA5674">
        <w:t xml:space="preserve">Committee </w:t>
      </w:r>
      <w:r>
        <w:t>acknowledged that Table 7a</w:t>
      </w:r>
      <w:r w:rsidR="009C2A4D">
        <w:t>.</w:t>
      </w:r>
      <w:r>
        <w:t xml:space="preserve"> includes only “typical” applications and that additional changes might be warranted to clearly define the required parameters for grain hoppers.  However, without additional information on the problem that needs to be resolved, the </w:t>
      </w:r>
      <w:r w:rsidR="00DA5674">
        <w:t xml:space="preserve">Committee </w:t>
      </w:r>
      <w:r>
        <w:t xml:space="preserve">is reluctant to offer any suggestions.  Consequently, the </w:t>
      </w:r>
      <w:r w:rsidR="00DA5674">
        <w:t xml:space="preserve">Committee </w:t>
      </w:r>
      <w:r>
        <w:t xml:space="preserve">believes additional development is needed on this item before it is ready for consideration.  </w:t>
      </w:r>
      <w:r w:rsidR="000E0640">
        <w:t xml:space="preserve">SWMA </w:t>
      </w:r>
      <w:r w:rsidR="000E0640" w:rsidRPr="006273B2">
        <w:rPr>
          <w:rFonts w:cs="Times New Roman"/>
        </w:rPr>
        <w:t>fo</w:t>
      </w:r>
      <w:r w:rsidR="000E0640">
        <w:rPr>
          <w:rFonts w:cs="Times New Roman"/>
        </w:rPr>
        <w:t>rwarded the item to NCWM, recommending it as a Developing</w:t>
      </w:r>
      <w:r w:rsidR="000E0640" w:rsidRPr="006273B2">
        <w:rPr>
          <w:rFonts w:cs="Times New Roman"/>
        </w:rPr>
        <w:t xml:space="preserve"> Item</w:t>
      </w:r>
      <w:r>
        <w:t>, provided that the original submitter agrees to further develop the item.</w:t>
      </w:r>
    </w:p>
    <w:p w:rsidR="009C2A4D" w:rsidRDefault="000E0640" w:rsidP="009C2A4D">
      <w:r>
        <w:rPr>
          <w:rFonts w:cs="Times New Roman"/>
        </w:rPr>
        <w:t xml:space="preserve">At </w:t>
      </w:r>
      <w:r w:rsidR="009C2A4D">
        <w:rPr>
          <w:rFonts w:cs="Times New Roman"/>
        </w:rPr>
        <w:t xml:space="preserve">the 2012 NCWM Interim Meeting, Mr. Lampmann, </w:t>
      </w:r>
      <w:r w:rsidR="009C2A4D" w:rsidRPr="009C2A4D">
        <w:t>Nebraska Division of Weights and Measures</w:t>
      </w:r>
      <w:r w:rsidR="009C2A4D">
        <w:t xml:space="preserve">, </w:t>
      </w:r>
      <w:r>
        <w:t>explain</w:t>
      </w:r>
      <w:r w:rsidR="0025054F">
        <w:t>ed</w:t>
      </w:r>
      <w:r>
        <w:t xml:space="preserve"> the</w:t>
      </w:r>
      <w:r w:rsidR="009C2A4D">
        <w:t xml:space="preserve"> events which led to </w:t>
      </w:r>
      <w:r>
        <w:t>the Division’s</w:t>
      </w:r>
      <w:r w:rsidR="009C2A4D">
        <w:t xml:space="preserve"> submission of the proposal to amend paragraph UR.1.2.  Mr. Lampma</w:t>
      </w:r>
      <w:r w:rsidR="007C5108">
        <w:t>n</w:t>
      </w:r>
      <w:r w:rsidR="009C2A4D">
        <w:t xml:space="preserve">n explained that NTEP had recently evaluated a new hopper scale installed in the State of Nebraska and issued a CC based on that evaluation.  That particular scale is marked with a </w:t>
      </w:r>
      <w:r w:rsidR="005C531B">
        <w:t>III </w:t>
      </w:r>
      <w:r w:rsidR="009C2A4D">
        <w:t xml:space="preserve">L accuracy class designation by the manufacturer.  The State of Nebraska was not notified in advance of the </w:t>
      </w:r>
      <w:r w:rsidR="00BF3B61">
        <w:t>evaluation,</w:t>
      </w:r>
      <w:r w:rsidR="009C2A4D">
        <w:t xml:space="preserve"> and it wasn’t until later that the State discovered the scale being used to weigh grain; an application that the State had believed it necessary to use a Class III scale.  Although it may not be appropriate to require “unmarked” hopper scales (i.e., tho</w:t>
      </w:r>
      <w:r w:rsidR="000420C6">
        <w:t xml:space="preserve">se manufactured prior to 1986) </w:t>
      </w:r>
      <w:r w:rsidR="009C2A4D">
        <w:t>to be marked Class III, Mr. Lampma</w:t>
      </w:r>
      <w:r w:rsidR="007C5108">
        <w:t>n</w:t>
      </w:r>
      <w:r w:rsidR="009C2A4D">
        <w:t>n indicated that this proposal is an attempt to clearly state the appropri</w:t>
      </w:r>
      <w:r>
        <w:t xml:space="preserve">ate accuracy class designation </w:t>
      </w:r>
      <w:r w:rsidR="009C2A4D">
        <w:t xml:space="preserve">for grain hopper scales in </w:t>
      </w:r>
      <w:r w:rsidR="009C2A4D" w:rsidRPr="00595572">
        <w:t>NIST Handbook 44</w:t>
      </w:r>
      <w:r w:rsidR="009C2A4D">
        <w:t xml:space="preserve">.  </w:t>
      </w:r>
    </w:p>
    <w:p w:rsidR="009C2A4D" w:rsidRDefault="009C2A4D" w:rsidP="009C2A4D">
      <w:r>
        <w:t>Mr. Lewis, Rice Lake Weighing Systems</w:t>
      </w:r>
      <w:r w:rsidR="000420C6">
        <w:t>, Inc.</w:t>
      </w:r>
      <w:r>
        <w:t xml:space="preserve">, voiced support of the proposal by commenting that although everyone present in the room is aware that a grain hopper scale must be Class III, not all their customers (grain dealers) share that same awareness.   </w:t>
      </w:r>
    </w:p>
    <w:p w:rsidR="009C2A4D" w:rsidRDefault="000420C6" w:rsidP="009C2A4D">
      <w:r>
        <w:t xml:space="preserve">NIST, </w:t>
      </w:r>
      <w:r w:rsidR="009C2A4D">
        <w:t xml:space="preserve">OWM </w:t>
      </w:r>
      <w:r w:rsidR="009C2A4D" w:rsidRPr="005A42CC">
        <w:t>note</w:t>
      </w:r>
      <w:r w:rsidR="009C2A4D">
        <w:t>d</w:t>
      </w:r>
      <w:r w:rsidR="009C2A4D" w:rsidRPr="005A42CC">
        <w:t xml:space="preserve"> that the </w:t>
      </w:r>
      <w:r w:rsidR="009C2A4D">
        <w:t>item, if adopted as originally proposed</w:t>
      </w:r>
      <w:r w:rsidR="009C2A4D" w:rsidRPr="005A42CC">
        <w:t xml:space="preserve">, would require all hopper scales used to weigh grain, including those manufactured prior to January 1, 1986, to be </w:t>
      </w:r>
      <w:r w:rsidR="009C2A4D">
        <w:t>marked with a C</w:t>
      </w:r>
      <w:r w:rsidR="009C2A4D" w:rsidRPr="005A42CC">
        <w:t>lass III</w:t>
      </w:r>
      <w:r w:rsidR="009C2A4D">
        <w:t xml:space="preserve"> accuracy class</w:t>
      </w:r>
      <w:r w:rsidR="009C2A4D" w:rsidRPr="005A42CC">
        <w:t>.  Scales manufactured prior to January 1, 1986</w:t>
      </w:r>
      <w:r w:rsidR="002A1B0B">
        <w:t>,</w:t>
      </w:r>
      <w:r w:rsidR="009C2A4D" w:rsidRPr="005A42CC">
        <w:t xml:space="preserve"> are not currently required to be marked with an accuracy class designation</w:t>
      </w:r>
      <w:r w:rsidR="009C2A4D">
        <w:t xml:space="preserve"> </w:t>
      </w:r>
      <w:r w:rsidR="009C2A4D" w:rsidRPr="005A42CC">
        <w:t>(i.e., the date a new Scales Code</w:t>
      </w:r>
      <w:r w:rsidR="009C2A4D">
        <w:t xml:space="preserve"> </w:t>
      </w:r>
      <w:r w:rsidR="009C2A4D" w:rsidRPr="005A42CC">
        <w:t>was add</w:t>
      </w:r>
      <w:r w:rsidR="009C2A4D">
        <w:t xml:space="preserve">ed to </w:t>
      </w:r>
      <w:r w:rsidR="009C2A4D" w:rsidRPr="00595572">
        <w:t>NIST Handbook 44</w:t>
      </w:r>
      <w:r w:rsidR="009C2A4D">
        <w:t xml:space="preserve">, which classified </w:t>
      </w:r>
      <w:r w:rsidR="009C2A4D" w:rsidRPr="005A42CC">
        <w:t>scales into different accuracy classes).</w:t>
      </w:r>
      <w:r>
        <w:t xml:space="preserve"> </w:t>
      </w:r>
      <w:r w:rsidR="009C2A4D">
        <w:t xml:space="preserve"> Thus, it would not be feasible or reasonable to require scales manufactured prior to 1986 to be marked with</w:t>
      </w:r>
      <w:r>
        <w:t xml:space="preserve"> an accuracy class designation.</w:t>
      </w:r>
      <w:r w:rsidR="009C2A4D">
        <w:t xml:space="preserve">  Additionally, it would be inconsistent with the note that appears at the bottom of Table 7a. in the Scales Code to require grain hopper scales manufactured as of January 1, 1986</w:t>
      </w:r>
      <w:r w:rsidR="003B20D6">
        <w:t>,</w:t>
      </w:r>
      <w:r w:rsidR="009C2A4D">
        <w:t xml:space="preserve"> to be designated Accuracy Class III because the note makes it permissible to use a scale with a higher accuracy class th</w:t>
      </w:r>
      <w:r>
        <w:t>an that specified in the table.</w:t>
      </w:r>
      <w:r w:rsidR="009C2A4D">
        <w:t xml:space="preserve">  For example, it would be permissible to use a Class II hopper scale for weighing grain.  With respect to unmarked grain hopper scales, </w:t>
      </w:r>
      <w:r w:rsidR="009C2A4D" w:rsidRPr="005A42CC">
        <w:t xml:space="preserve">Table T.1.1. Tolerances for Unmarked Scales </w:t>
      </w:r>
      <w:r w:rsidR="009C2A4D">
        <w:t xml:space="preserve">specifically </w:t>
      </w:r>
      <w:r w:rsidR="009C2A4D" w:rsidRPr="000003FA">
        <w:t>excludes grain hopper scal</w:t>
      </w:r>
      <w:r w:rsidR="009C2A4D">
        <w:t>es from other hopper scale types (e.g., those used to weigh fertilizer, aggregate, etc.).  Thus, grain hopper scales, by virtue of the fact that they are not specifically identified as one of the device types elsewhere in the table, fall into the category titled “All other scales</w:t>
      </w:r>
      <w:r w:rsidR="009C2A4D" w:rsidRPr="000003FA">
        <w:t>.</w:t>
      </w:r>
      <w:r w:rsidR="009C2A4D">
        <w:t xml:space="preserve">” </w:t>
      </w:r>
    </w:p>
    <w:p w:rsidR="009C2A4D" w:rsidRDefault="000420C6" w:rsidP="009C2A4D">
      <w:r>
        <w:t xml:space="preserve">NIST, </w:t>
      </w:r>
      <w:r w:rsidR="009C2A4D">
        <w:t xml:space="preserve">OWM stated that their analysis of this item revealed that Tables 7a. and 7b. were added to the Scales Code in 1986 in an effort to provide guidance on how to apply General Code suitability requirements.  As noted by the 1985 S&amp;T Committee in their final report, “suitability” had been a subject of discussion probably since the beginning of weights and measures.  </w:t>
      </w:r>
      <w:r>
        <w:t xml:space="preserve">NIST, </w:t>
      </w:r>
      <w:r w:rsidR="009C2A4D">
        <w:t xml:space="preserve">OWM concluded that the word “Typical” appearing in Table 7a. was added by </w:t>
      </w:r>
      <w:r>
        <w:t>NCWM</w:t>
      </w:r>
      <w:r w:rsidR="009C2A4D">
        <w:t xml:space="preserve"> because the table was only intended to provide guidance, and recognized the fact that the suitability of a </w:t>
      </w:r>
      <w:r w:rsidR="009C2A4D">
        <w:lastRenderedPageBreak/>
        <w:t xml:space="preserve">commercial device depends on many factors, all of which must be considered on a case by case basis by the official conducting the inspection.  </w:t>
      </w:r>
    </w:p>
    <w:p w:rsidR="009C2A4D" w:rsidRDefault="009C2A4D" w:rsidP="00595572">
      <w:pPr>
        <w:spacing w:after="200"/>
      </w:pPr>
      <w:r>
        <w:t xml:space="preserve">In consideration of these points, </w:t>
      </w:r>
      <w:r w:rsidR="000420C6">
        <w:t xml:space="preserve">NIST, </w:t>
      </w:r>
      <w:r>
        <w:t xml:space="preserve">OWM offered the following alternative means of amending </w:t>
      </w:r>
      <w:r w:rsidRPr="00595572">
        <w:t xml:space="preserve">NIST </w:t>
      </w:r>
      <w:r w:rsidR="005C531B" w:rsidRPr="00595572">
        <w:t>Handbook</w:t>
      </w:r>
      <w:r w:rsidR="005C531B">
        <w:t> </w:t>
      </w:r>
      <w:r w:rsidRPr="00595572">
        <w:t>44</w:t>
      </w:r>
      <w:r>
        <w:rPr>
          <w:i/>
        </w:rPr>
        <w:t xml:space="preserve"> </w:t>
      </w:r>
      <w:r w:rsidRPr="00AE7540">
        <w:t>should t</w:t>
      </w:r>
      <w:r>
        <w:t xml:space="preserve">he </w:t>
      </w:r>
      <w:r w:rsidR="00BF3B61">
        <w:t>C</w:t>
      </w:r>
      <w:r>
        <w:t>ommittee agree to add further clarification that hopper scales manufactured as of January</w:t>
      </w:r>
      <w:r w:rsidR="00595572">
        <w:t> </w:t>
      </w:r>
      <w:r>
        <w:t>1, 1986</w:t>
      </w:r>
      <w:r w:rsidR="005C531B">
        <w:t>,</w:t>
      </w:r>
      <w:r>
        <w:t xml:space="preserve"> used to weigh grain were intended to be designated Accuracy Class III. </w:t>
      </w:r>
    </w:p>
    <w:p w:rsidR="009C2A4D" w:rsidRPr="0037513C" w:rsidRDefault="009C2A4D" w:rsidP="00CD25AA">
      <w:pPr>
        <w:pStyle w:val="bulletedlist"/>
      </w:pPr>
      <w:r>
        <w:t xml:space="preserve">Amend Table T.1.1. Tolerance for Unmarked scales by adding the words “including grain hopper” after “All other scales” to read as “All other </w:t>
      </w:r>
      <w:r w:rsidR="00163A4B">
        <w:t>s</w:t>
      </w:r>
      <w:r>
        <w:t xml:space="preserve">cales </w:t>
      </w:r>
      <w:r w:rsidRPr="00E87D92">
        <w:rPr>
          <w:b/>
          <w:u w:val="single"/>
        </w:rPr>
        <w:t>(including grain hopper)</w:t>
      </w:r>
      <w:r w:rsidRPr="00CD25AA">
        <w:t>”</w:t>
      </w:r>
      <w:r>
        <w:t>;</w:t>
      </w:r>
    </w:p>
    <w:p w:rsidR="009C2A4D" w:rsidRDefault="009C2A4D" w:rsidP="00CD25AA">
      <w:pPr>
        <w:pStyle w:val="bulletedlist"/>
      </w:pPr>
      <w:r>
        <w:t xml:space="preserve">Amend Table 7a. by adding “grain hopper scales” in the “Weighing Application” column for Class III devices; and </w:t>
      </w:r>
    </w:p>
    <w:p w:rsidR="009C2A4D" w:rsidRPr="00CD25AA" w:rsidRDefault="009C2A4D" w:rsidP="00CD25AA">
      <w:pPr>
        <w:pStyle w:val="bulletedlist"/>
      </w:pPr>
      <w:r>
        <w:t>Amend paragraph UR.1.2. to address scales manufactured after January</w:t>
      </w:r>
      <w:r w:rsidR="00DA5674">
        <w:t xml:space="preserve"> </w:t>
      </w:r>
      <w:r>
        <w:t>1, 1986.  The following changes</w:t>
      </w:r>
      <w:r w:rsidR="000420C6">
        <w:t xml:space="preserve"> to UR.1.2. were suggested.  </w:t>
      </w:r>
    </w:p>
    <w:p w:rsidR="009C2A4D" w:rsidRPr="00C27787" w:rsidRDefault="009C2A4D" w:rsidP="005C531B">
      <w:pPr>
        <w:pStyle w:val="bulletedlist"/>
        <w:numPr>
          <w:ilvl w:val="0"/>
          <w:numId w:val="0"/>
        </w:numPr>
        <w:tabs>
          <w:tab w:val="left" w:pos="1260"/>
        </w:tabs>
        <w:ind w:left="360"/>
      </w:pPr>
      <w:r w:rsidRPr="00C27787">
        <w:rPr>
          <w:b/>
        </w:rPr>
        <w:t>UR.1.2.</w:t>
      </w:r>
      <w:r w:rsidR="00D66E1F">
        <w:rPr>
          <w:b/>
        </w:rPr>
        <w:tab/>
      </w:r>
      <w:r w:rsidRPr="00C27787">
        <w:rPr>
          <w:b/>
        </w:rPr>
        <w:t>Grain Hopper Scales.</w:t>
      </w:r>
      <w:r w:rsidRPr="00C27787">
        <w:t xml:space="preserve"> – </w:t>
      </w:r>
      <w:r w:rsidR="00227A48" w:rsidRPr="00C27787">
        <w:rPr>
          <w:b/>
          <w:strike/>
        </w:rPr>
        <w:t>The minimum number of scale divisions for a Class III Hopper Scale used for weighing grain shall be 2000.</w:t>
      </w:r>
      <w:r w:rsidR="00227A48">
        <w:t xml:space="preserve">  </w:t>
      </w:r>
      <w:r w:rsidRPr="00C27787">
        <w:rPr>
          <w:b/>
          <w:u w:val="single"/>
        </w:rPr>
        <w:t>Hopper scales manufactured as of January 1, 1986</w:t>
      </w:r>
      <w:r w:rsidR="003B20D6">
        <w:rPr>
          <w:b/>
          <w:u w:val="single"/>
        </w:rPr>
        <w:t>,</w:t>
      </w:r>
      <w:r w:rsidRPr="00C27787">
        <w:rPr>
          <w:b/>
          <w:u w:val="single"/>
        </w:rPr>
        <w:t xml:space="preserve"> and used to weigh grain, shall be designated Accuracy Class III and have a minimum of 2000 scale divisions.</w:t>
      </w:r>
      <w:r w:rsidRPr="00C27787">
        <w:t xml:space="preserve">  </w:t>
      </w:r>
    </w:p>
    <w:p w:rsidR="009C2A4D" w:rsidRDefault="009C2A4D" w:rsidP="00E75038">
      <w:pPr>
        <w:rPr>
          <w:bCs/>
        </w:rPr>
      </w:pPr>
      <w:r>
        <w:rPr>
          <w:bCs/>
        </w:rPr>
        <w:t xml:space="preserve">During the </w:t>
      </w:r>
      <w:r w:rsidR="00EC12D9">
        <w:rPr>
          <w:bCs/>
        </w:rPr>
        <w:t xml:space="preserve">Committee </w:t>
      </w:r>
      <w:r>
        <w:rPr>
          <w:bCs/>
        </w:rPr>
        <w:t>work session, the question was raised as to whether a “grain hopper scale” and a “hopper scale used to weigh grain” were one in</w:t>
      </w:r>
      <w:r w:rsidR="000420C6">
        <w:rPr>
          <w:bCs/>
        </w:rPr>
        <w:t xml:space="preserve"> the same or different devices.</w:t>
      </w:r>
      <w:r>
        <w:rPr>
          <w:bCs/>
        </w:rPr>
        <w:t xml:space="preserve">  After reviewing the definitions of “hopper scale” and “grain-hopper scale” in </w:t>
      </w:r>
      <w:r w:rsidRPr="00595572">
        <w:rPr>
          <w:bCs/>
        </w:rPr>
        <w:t>NIST Handbook 44</w:t>
      </w:r>
      <w:r>
        <w:rPr>
          <w:bCs/>
          <w:i/>
        </w:rPr>
        <w:t xml:space="preserve"> </w:t>
      </w:r>
      <w:r>
        <w:rPr>
          <w:bCs/>
        </w:rPr>
        <w:t xml:space="preserve">Appendix D, the </w:t>
      </w:r>
      <w:r w:rsidR="004966C6">
        <w:rPr>
          <w:bCs/>
        </w:rPr>
        <w:t xml:space="preserve">Committee </w:t>
      </w:r>
      <w:r>
        <w:rPr>
          <w:bCs/>
        </w:rPr>
        <w:t xml:space="preserve">concluded that these terms are used interchangeably throughout the Scales Code to identify the same device.  The </w:t>
      </w:r>
      <w:r w:rsidR="004966C6">
        <w:rPr>
          <w:bCs/>
        </w:rPr>
        <w:t xml:space="preserve">Committee </w:t>
      </w:r>
      <w:r>
        <w:rPr>
          <w:bCs/>
        </w:rPr>
        <w:t xml:space="preserve">then considered whether or not it was the intent of </w:t>
      </w:r>
      <w:r w:rsidR="000420C6">
        <w:rPr>
          <w:bCs/>
        </w:rPr>
        <w:t>NCWM</w:t>
      </w:r>
      <w:r>
        <w:rPr>
          <w:bCs/>
        </w:rPr>
        <w:t xml:space="preserve"> t</w:t>
      </w:r>
      <w:r w:rsidRPr="00EC5754">
        <w:rPr>
          <w:bCs/>
        </w:rPr>
        <w:t>o require hopper scales manufactured as of January 1, 1986</w:t>
      </w:r>
      <w:r w:rsidR="004966C6">
        <w:rPr>
          <w:bCs/>
        </w:rPr>
        <w:t>,</w:t>
      </w:r>
      <w:r w:rsidRPr="00EC5754">
        <w:rPr>
          <w:bCs/>
        </w:rPr>
        <w:t xml:space="preserve"> </w:t>
      </w:r>
      <w:r>
        <w:rPr>
          <w:bCs/>
        </w:rPr>
        <w:t xml:space="preserve">and </w:t>
      </w:r>
      <w:r w:rsidRPr="00EC5754">
        <w:rPr>
          <w:bCs/>
        </w:rPr>
        <w:t>used t</w:t>
      </w:r>
      <w:r>
        <w:rPr>
          <w:bCs/>
        </w:rPr>
        <w:t xml:space="preserve">o weigh grain to be Class III.  The </w:t>
      </w:r>
      <w:r w:rsidR="004966C6">
        <w:rPr>
          <w:bCs/>
        </w:rPr>
        <w:t xml:space="preserve">Committee </w:t>
      </w:r>
      <w:r>
        <w:rPr>
          <w:bCs/>
        </w:rPr>
        <w:t xml:space="preserve">concluded that this was likely the intent of </w:t>
      </w:r>
      <w:r w:rsidR="000420C6">
        <w:rPr>
          <w:bCs/>
        </w:rPr>
        <w:t>NCWM</w:t>
      </w:r>
      <w:r w:rsidR="000E0640">
        <w:rPr>
          <w:bCs/>
        </w:rPr>
        <w:t xml:space="preserve">. </w:t>
      </w:r>
      <w:r>
        <w:rPr>
          <w:bCs/>
        </w:rPr>
        <w:t xml:space="preserve"> </w:t>
      </w:r>
      <w:r w:rsidR="000E0640" w:rsidRPr="006273B2">
        <w:rPr>
          <w:rFonts w:cs="Times New Roman"/>
        </w:rPr>
        <w:t>The 20</w:t>
      </w:r>
      <w:r w:rsidR="000E0640">
        <w:rPr>
          <w:rFonts w:cs="Times New Roman"/>
        </w:rPr>
        <w:t>12</w:t>
      </w:r>
      <w:r w:rsidR="000E0640" w:rsidRPr="006273B2">
        <w:rPr>
          <w:rFonts w:cs="Times New Roman"/>
        </w:rPr>
        <w:t xml:space="preserve"> </w:t>
      </w:r>
      <w:r w:rsidR="000E0640">
        <w:rPr>
          <w:rFonts w:cs="Times New Roman"/>
        </w:rPr>
        <w:t>S&amp;T</w:t>
      </w:r>
      <w:r w:rsidR="000E0640" w:rsidRPr="006273B2">
        <w:rPr>
          <w:rFonts w:cs="Times New Roman"/>
        </w:rPr>
        <w:t xml:space="preserve"> Committee designated this item as a Voting Item</w:t>
      </w:r>
      <w:r w:rsidR="000E0640">
        <w:rPr>
          <w:rFonts w:cs="Times New Roman"/>
        </w:rPr>
        <w:t xml:space="preserve"> </w:t>
      </w:r>
      <w:r w:rsidR="000E0640">
        <w:rPr>
          <w:bCs/>
        </w:rPr>
        <w:t>with</w:t>
      </w:r>
      <w:r>
        <w:rPr>
          <w:bCs/>
        </w:rPr>
        <w:t xml:space="preserve"> the </w:t>
      </w:r>
      <w:r w:rsidR="000E0640">
        <w:rPr>
          <w:bCs/>
        </w:rPr>
        <w:t>amendment</w:t>
      </w:r>
      <w:r>
        <w:rPr>
          <w:bCs/>
        </w:rPr>
        <w:t xml:space="preserve">s offered by </w:t>
      </w:r>
      <w:r w:rsidR="000420C6">
        <w:rPr>
          <w:bCs/>
        </w:rPr>
        <w:t xml:space="preserve">NIST, </w:t>
      </w:r>
      <w:r>
        <w:rPr>
          <w:bCs/>
        </w:rPr>
        <w:t xml:space="preserve">OWM.  </w:t>
      </w:r>
    </w:p>
    <w:p w:rsidR="00EF7A99" w:rsidRPr="006A7579" w:rsidRDefault="00EF7A99" w:rsidP="00EF7A99">
      <w:r w:rsidRPr="006A7579">
        <w:t xml:space="preserve">At their 2012 Annual Meetings, both NEWMA and CWMA supported this item as a </w:t>
      </w:r>
      <w:r w:rsidR="006272C6">
        <w:t>V</w:t>
      </w:r>
      <w:r w:rsidR="006272C6" w:rsidRPr="006A7579">
        <w:t xml:space="preserve">oting </w:t>
      </w:r>
      <w:r w:rsidR="002A1B0B">
        <w:t>Item</w:t>
      </w:r>
      <w:r w:rsidRPr="006A7579">
        <w:t>.  The CWMA also noted that the proposal provides greater clarification of what is required with regard to accuracy class markings of a hopper scale used to weigh grain.</w:t>
      </w:r>
    </w:p>
    <w:p w:rsidR="00EF7A99" w:rsidRPr="006A7579" w:rsidRDefault="00EF7A99" w:rsidP="00EF7A99">
      <w:r w:rsidRPr="006A7579">
        <w:rPr>
          <w:szCs w:val="20"/>
        </w:rPr>
        <w:t>There were three positions posted on the NCWM 2012 Online Position Forum; two of which supported the proposal and the other was neutral to the proposal.</w:t>
      </w:r>
    </w:p>
    <w:p w:rsidR="00EF7A99" w:rsidRPr="006A7579" w:rsidRDefault="00EF7A99" w:rsidP="00EF7A99">
      <w:r w:rsidRPr="006A7579">
        <w:t>At the 2012 NCWM Annual Meeting, the Committee heard no additional comments on this item.</w:t>
      </w:r>
    </w:p>
    <w:p w:rsidR="00EF7A99" w:rsidRPr="006A7579" w:rsidRDefault="00EF7A99" w:rsidP="00EF7A99">
      <w:pPr>
        <w:autoSpaceDE w:val="0"/>
        <w:autoSpaceDN w:val="0"/>
        <w:adjustRightInd w:val="0"/>
      </w:pPr>
      <w:r w:rsidRPr="006A7579">
        <w:rPr>
          <w:szCs w:val="20"/>
        </w:rPr>
        <w:t>The Committee recomme</w:t>
      </w:r>
      <w:r>
        <w:rPr>
          <w:szCs w:val="20"/>
        </w:rPr>
        <w:t>nded the item be presented for v</w:t>
      </w:r>
      <w:r w:rsidRPr="006A7579">
        <w:rPr>
          <w:szCs w:val="20"/>
        </w:rPr>
        <w:t xml:space="preserve">ote as proposed. </w:t>
      </w:r>
    </w:p>
    <w:p w:rsidR="003D1DA8" w:rsidRDefault="003D1DA8">
      <w:pPr>
        <w:pStyle w:val="ItemHeading"/>
      </w:pPr>
      <w:bookmarkStart w:id="15" w:name="_Toc334183618"/>
      <w:r>
        <w:t>320-5</w:t>
      </w:r>
      <w:r>
        <w:tab/>
      </w:r>
      <w:r w:rsidR="008A31B6">
        <w:t>I</w:t>
      </w:r>
      <w:r w:rsidR="008A31B6">
        <w:tab/>
      </w:r>
      <w:r>
        <w:t>Appendix C – Units of Mass (ton)</w:t>
      </w:r>
      <w:bookmarkEnd w:id="15"/>
    </w:p>
    <w:p w:rsidR="003D1DA8" w:rsidRDefault="003D1DA8" w:rsidP="00595572">
      <w:pPr>
        <w:pStyle w:val="BoldHeading"/>
        <w:spacing w:after="0"/>
      </w:pPr>
      <w:r>
        <w:t xml:space="preserve">Source:  </w:t>
      </w:r>
    </w:p>
    <w:p w:rsidR="003D1DA8" w:rsidRDefault="00882F3E" w:rsidP="003D1DA8">
      <w:r>
        <w:t>Rice Lake Weighing</w:t>
      </w:r>
      <w:r w:rsidR="006D3B2E">
        <w:t xml:space="preserve"> Systems, Inc.</w:t>
      </w:r>
      <w:r w:rsidR="003D1DA8">
        <w:t xml:space="preserve"> </w:t>
      </w:r>
      <w:r>
        <w:t>(2012)</w:t>
      </w:r>
    </w:p>
    <w:p w:rsidR="003D1DA8" w:rsidRDefault="003D1DA8" w:rsidP="00595572">
      <w:pPr>
        <w:pStyle w:val="BoldHeading"/>
        <w:spacing w:after="0"/>
      </w:pPr>
      <w:r>
        <w:t xml:space="preserve">Purpose: </w:t>
      </w:r>
    </w:p>
    <w:p w:rsidR="003D1DA8" w:rsidRDefault="000E0640" w:rsidP="003D1DA8">
      <w:r>
        <w:t>E</w:t>
      </w:r>
      <w:r w:rsidR="003D1DA8">
        <w:t>stablish uniform abbreviations for Short Ton and Long Ton</w:t>
      </w:r>
    </w:p>
    <w:p w:rsidR="003D1DA8" w:rsidRDefault="003D1DA8" w:rsidP="00595572">
      <w:pPr>
        <w:pStyle w:val="BoldHeading"/>
        <w:spacing w:after="0"/>
      </w:pPr>
      <w:r>
        <w:t xml:space="preserve">Item Under Consideration: </w:t>
      </w:r>
    </w:p>
    <w:p w:rsidR="0059553E" w:rsidRDefault="008A31B6" w:rsidP="009D59C4">
      <w:r w:rsidRPr="000B56DA">
        <w:rPr>
          <w:rFonts w:cs="Times New Roman"/>
          <w:szCs w:val="20"/>
        </w:rPr>
        <w:t xml:space="preserve">Amend the Units of Mass Table on page C-19 of </w:t>
      </w:r>
      <w:r w:rsidRPr="00595572">
        <w:rPr>
          <w:rFonts w:cs="Times New Roman"/>
          <w:szCs w:val="20"/>
        </w:rPr>
        <w:t>NIST Handbook 44</w:t>
      </w:r>
      <w:r w:rsidRPr="000B56DA">
        <w:rPr>
          <w:rFonts w:cs="Times New Roman"/>
          <w:szCs w:val="20"/>
        </w:rPr>
        <w:t xml:space="preserve"> Appendix C to recognize the abbreviation “tn” for (net or short) ton as follows:</w:t>
      </w:r>
    </w:p>
    <w:tbl>
      <w:tblPr>
        <w:tblStyle w:val="TableGrid"/>
        <w:tblW w:w="0" w:type="auto"/>
        <w:tblInd w:w="360" w:type="dxa"/>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4608"/>
        <w:gridCol w:w="4608"/>
      </w:tblGrid>
      <w:tr w:rsidR="003D1DA8" w:rsidTr="005C531B">
        <w:tc>
          <w:tcPr>
            <w:tcW w:w="9216" w:type="dxa"/>
            <w:gridSpan w:val="2"/>
            <w:tcBorders>
              <w:top w:val="double" w:sz="4" w:space="0" w:color="auto"/>
              <w:bottom w:val="double" w:sz="4" w:space="0" w:color="auto"/>
            </w:tcBorders>
          </w:tcPr>
          <w:p w:rsidR="003D1DA8" w:rsidRDefault="003D1DA8" w:rsidP="00BF3B61">
            <w:pPr>
              <w:pStyle w:val="TableHeading"/>
              <w:spacing w:after="0"/>
            </w:pPr>
            <w:r>
              <w:lastRenderedPageBreak/>
              <w:br w:type="page"/>
              <w:t>Units of Mass</w:t>
            </w:r>
          </w:p>
        </w:tc>
      </w:tr>
      <w:tr w:rsidR="003D1DA8" w:rsidTr="005C531B">
        <w:tc>
          <w:tcPr>
            <w:tcW w:w="4608" w:type="dxa"/>
            <w:tcBorders>
              <w:top w:val="double" w:sz="4" w:space="0" w:color="auto"/>
            </w:tcBorders>
            <w:vAlign w:val="center"/>
          </w:tcPr>
          <w:p w:rsidR="003D1DA8" w:rsidRPr="003B7D39" w:rsidRDefault="003D1DA8" w:rsidP="00BF3B61">
            <w:pPr>
              <w:pStyle w:val="TableText"/>
              <w:keepNext/>
              <w:keepLines/>
              <w:spacing w:after="0"/>
            </w:pPr>
            <w:r w:rsidRPr="003B7D39">
              <w:t>1 assay ton</w:t>
            </w:r>
            <w:r w:rsidR="00DD47FF" w:rsidRPr="00C27787">
              <w:rPr>
                <w:vertAlign w:val="superscript"/>
              </w:rPr>
              <w:t>17</w:t>
            </w:r>
            <w:r w:rsidRPr="003B7D39">
              <w:t xml:space="preserve"> (AT)</w:t>
            </w:r>
          </w:p>
        </w:tc>
        <w:tc>
          <w:tcPr>
            <w:tcW w:w="4608" w:type="dxa"/>
            <w:tcBorders>
              <w:top w:val="double" w:sz="4" w:space="0" w:color="auto"/>
            </w:tcBorders>
            <w:vAlign w:val="center"/>
          </w:tcPr>
          <w:p w:rsidR="003D1DA8" w:rsidRPr="003B7D39" w:rsidRDefault="003D1DA8" w:rsidP="00BF3B61">
            <w:pPr>
              <w:pStyle w:val="TableText"/>
              <w:keepNext/>
              <w:keepLines/>
              <w:spacing w:after="0"/>
              <w:rPr>
                <w:b/>
              </w:rPr>
            </w:pPr>
            <w:r w:rsidRPr="003B7D39">
              <w:t>29.167 grams</w:t>
            </w:r>
          </w:p>
        </w:tc>
      </w:tr>
      <w:tr w:rsidR="003D1DA8" w:rsidTr="005C531B">
        <w:tc>
          <w:tcPr>
            <w:tcW w:w="4608" w:type="dxa"/>
            <w:vAlign w:val="center"/>
          </w:tcPr>
          <w:p w:rsidR="003D1DA8" w:rsidRPr="003B7D39" w:rsidRDefault="003D1DA8" w:rsidP="00BF3B61">
            <w:pPr>
              <w:pStyle w:val="TableText"/>
              <w:keepNext/>
              <w:keepLines/>
              <w:spacing w:after="0"/>
            </w:pPr>
            <w:r w:rsidRPr="003B7D39">
              <w:t>1 carat (c)</w:t>
            </w:r>
          </w:p>
        </w:tc>
        <w:tc>
          <w:tcPr>
            <w:tcW w:w="4608" w:type="dxa"/>
            <w:vAlign w:val="center"/>
          </w:tcPr>
          <w:p w:rsidR="003D1DA8" w:rsidRPr="003B7D39" w:rsidRDefault="003D1DA8" w:rsidP="00BF3B61">
            <w:pPr>
              <w:pStyle w:val="TableText"/>
              <w:keepNext/>
              <w:keepLines/>
              <w:spacing w:after="0"/>
              <w:rPr>
                <w:b/>
              </w:rPr>
            </w:pPr>
            <w:r w:rsidRPr="003B7D39">
              <w:t>200 milligrams (exactly)</w:t>
            </w:r>
          </w:p>
          <w:p w:rsidR="003D1DA8" w:rsidRPr="003B7D39" w:rsidRDefault="003D1DA8" w:rsidP="00BF3B61">
            <w:pPr>
              <w:pStyle w:val="TableText"/>
              <w:keepNext/>
              <w:keepLines/>
              <w:spacing w:after="0"/>
              <w:rPr>
                <w:b/>
              </w:rPr>
            </w:pPr>
            <w:r w:rsidRPr="003B7D39">
              <w:t>3.086 grains</w:t>
            </w:r>
          </w:p>
        </w:tc>
      </w:tr>
      <w:tr w:rsidR="00B33811" w:rsidTr="005C531B">
        <w:tc>
          <w:tcPr>
            <w:tcW w:w="4608" w:type="dxa"/>
            <w:vAlign w:val="center"/>
          </w:tcPr>
          <w:p w:rsidR="00B33811" w:rsidRPr="003B7D39" w:rsidRDefault="00B33811" w:rsidP="005C531B">
            <w:pPr>
              <w:pStyle w:val="TableText"/>
              <w:spacing w:after="0"/>
            </w:pPr>
            <w:r w:rsidRPr="003B7D39">
              <w:t>1 dram apothecaries (</w:t>
            </w:r>
            <w:proofErr w:type="spellStart"/>
            <w:r w:rsidRPr="003B7D39">
              <w:t>dr</w:t>
            </w:r>
            <w:proofErr w:type="spellEnd"/>
            <w:r w:rsidRPr="003B7D39">
              <w:t xml:space="preserve"> </w:t>
            </w:r>
            <w:proofErr w:type="spellStart"/>
            <w:r w:rsidRPr="003B7D39">
              <w:t>ap</w:t>
            </w:r>
            <w:proofErr w:type="spellEnd"/>
            <w:r w:rsidRPr="003B7D39">
              <w:t xml:space="preserve"> or </w:t>
            </w:r>
            <w:r w:rsidRPr="003B7D39">
              <w:rPr>
                <w:rFonts w:ascii="AmerType Md BT" w:hAnsi="AmerType Md BT"/>
                <w:sz w:val="18"/>
                <w:szCs w:val="18"/>
              </w:rPr>
              <w:t>3</w:t>
            </w:r>
            <w:r w:rsidRPr="003B7D39">
              <w:fldChar w:fldCharType="begin"/>
            </w:r>
            <w:r w:rsidRPr="003B7D39">
              <w:instrText>ADVANCE \d 2</w:instrText>
            </w:r>
            <w:r w:rsidRPr="003B7D39">
              <w:fldChar w:fldCharType="end"/>
            </w:r>
            <w:r w:rsidRPr="003B7D39">
              <w:fldChar w:fldCharType="begin"/>
            </w:r>
            <w:r w:rsidRPr="003B7D39">
              <w:instrText>ADVANCE \u 2</w:instrText>
            </w:r>
            <w:r w:rsidRPr="003B7D39">
              <w:fldChar w:fldCharType="end"/>
            </w:r>
            <w:r w:rsidRPr="003B7D39">
              <w:t>)</w:t>
            </w:r>
          </w:p>
        </w:tc>
        <w:tc>
          <w:tcPr>
            <w:tcW w:w="4608" w:type="dxa"/>
            <w:vAlign w:val="center"/>
          </w:tcPr>
          <w:p w:rsidR="00B33811" w:rsidRPr="003B7D39" w:rsidRDefault="00B33811" w:rsidP="005C531B">
            <w:pPr>
              <w:pStyle w:val="TableText"/>
              <w:spacing w:after="0"/>
              <w:rPr>
                <w:b/>
              </w:rPr>
            </w:pPr>
            <w:r w:rsidRPr="003B7D39">
              <w:t>60 grains (exactly)</w:t>
            </w:r>
          </w:p>
          <w:p w:rsidR="00B33811" w:rsidRPr="003B7D39" w:rsidRDefault="00B33811" w:rsidP="005C531B">
            <w:pPr>
              <w:pStyle w:val="TableText"/>
              <w:spacing w:after="0"/>
              <w:rPr>
                <w:b/>
              </w:rPr>
            </w:pPr>
            <w:r w:rsidRPr="003B7D39">
              <w:t>3.888 grams</w:t>
            </w:r>
          </w:p>
        </w:tc>
      </w:tr>
      <w:tr w:rsidR="00B33811" w:rsidTr="005C531B">
        <w:tc>
          <w:tcPr>
            <w:tcW w:w="4608" w:type="dxa"/>
            <w:vAlign w:val="center"/>
          </w:tcPr>
          <w:p w:rsidR="00B33811" w:rsidRPr="003B7D39" w:rsidRDefault="00B33811" w:rsidP="005C531B">
            <w:pPr>
              <w:pStyle w:val="TableText"/>
              <w:spacing w:after="0"/>
            </w:pPr>
            <w:r w:rsidRPr="003B7D39">
              <w:rPr>
                <w:lang w:val="fr-FR"/>
              </w:rPr>
              <w:t>1 dram avoirdupois (dr avdp)</w:t>
            </w:r>
          </w:p>
        </w:tc>
        <w:tc>
          <w:tcPr>
            <w:tcW w:w="4608" w:type="dxa"/>
            <w:vAlign w:val="center"/>
          </w:tcPr>
          <w:p w:rsidR="00B33811" w:rsidRPr="003B7D39" w:rsidRDefault="00B33811" w:rsidP="005C531B">
            <w:pPr>
              <w:pStyle w:val="TableText"/>
              <w:spacing w:after="0"/>
              <w:rPr>
                <w:b/>
                <w:lang w:val="fr-FR"/>
              </w:rPr>
            </w:pPr>
            <w:r w:rsidRPr="003B7D39">
              <w:rPr>
                <w:lang w:val="fr-FR"/>
              </w:rPr>
              <w:t>27</w:t>
            </w:r>
            <w:r w:rsidRPr="003B7D39">
              <w:rPr>
                <w:spacing w:val="-10"/>
                <w:vertAlign w:val="superscript"/>
                <w:lang w:val="fr-FR"/>
              </w:rPr>
              <w:t>11</w:t>
            </w:r>
            <w:r w:rsidRPr="003B7D39">
              <w:rPr>
                <w:spacing w:val="-10"/>
                <w:lang w:val="fr-FR"/>
              </w:rPr>
              <w:t>/32</w:t>
            </w:r>
            <w:r w:rsidRPr="003B7D39">
              <w:rPr>
                <w:lang w:val="fr-FR"/>
              </w:rPr>
              <w:t xml:space="preserve"> (= 27.344) grains</w:t>
            </w:r>
          </w:p>
          <w:p w:rsidR="00B33811" w:rsidRPr="003B7D39" w:rsidRDefault="00B33811" w:rsidP="005C531B">
            <w:pPr>
              <w:pStyle w:val="TableText"/>
              <w:spacing w:after="0"/>
              <w:rPr>
                <w:b/>
              </w:rPr>
            </w:pPr>
            <w:r w:rsidRPr="003B7D39">
              <w:t>1.772 grams</w:t>
            </w:r>
          </w:p>
        </w:tc>
      </w:tr>
      <w:tr w:rsidR="00B33811" w:rsidTr="005C531B">
        <w:tc>
          <w:tcPr>
            <w:tcW w:w="4608" w:type="dxa"/>
            <w:vAlign w:val="center"/>
          </w:tcPr>
          <w:p w:rsidR="00B33811" w:rsidRPr="003B7D39" w:rsidRDefault="00B33811" w:rsidP="005C531B">
            <w:pPr>
              <w:pStyle w:val="TableText"/>
              <w:spacing w:after="0"/>
            </w:pPr>
            <w:r w:rsidRPr="003B7D39">
              <w:t>1 gamma (</w:t>
            </w:r>
            <w:r w:rsidRPr="003B7D39">
              <w:rPr>
                <w:rFonts w:eastAsia="MS Mincho"/>
              </w:rPr>
              <w:t>γ</w:t>
            </w:r>
            <w:r w:rsidRPr="003B7D39">
              <w:t>)</w:t>
            </w:r>
          </w:p>
        </w:tc>
        <w:tc>
          <w:tcPr>
            <w:tcW w:w="4608" w:type="dxa"/>
            <w:vAlign w:val="center"/>
          </w:tcPr>
          <w:p w:rsidR="00B33811" w:rsidRPr="003B7D39" w:rsidRDefault="00B33811" w:rsidP="005C531B">
            <w:pPr>
              <w:pStyle w:val="TableText"/>
              <w:spacing w:after="0"/>
              <w:rPr>
                <w:b/>
              </w:rPr>
            </w:pPr>
            <w:r w:rsidRPr="003B7D39">
              <w:t>1 microgram (exactly)</w:t>
            </w:r>
          </w:p>
        </w:tc>
      </w:tr>
      <w:tr w:rsidR="00B33811" w:rsidTr="005C531B">
        <w:tc>
          <w:tcPr>
            <w:tcW w:w="4608" w:type="dxa"/>
            <w:vAlign w:val="center"/>
          </w:tcPr>
          <w:p w:rsidR="00B33811" w:rsidRPr="003B7D39" w:rsidRDefault="00B33811" w:rsidP="005C531B">
            <w:pPr>
              <w:pStyle w:val="TableText"/>
              <w:spacing w:after="0"/>
            </w:pPr>
            <w:r w:rsidRPr="003B7D39">
              <w:t>1 grain</w:t>
            </w:r>
          </w:p>
        </w:tc>
        <w:tc>
          <w:tcPr>
            <w:tcW w:w="4608" w:type="dxa"/>
            <w:vAlign w:val="center"/>
          </w:tcPr>
          <w:p w:rsidR="00B33811" w:rsidRPr="003B7D39" w:rsidRDefault="00B33811" w:rsidP="005C531B">
            <w:pPr>
              <w:pStyle w:val="TableText"/>
              <w:spacing w:after="0"/>
              <w:rPr>
                <w:b/>
              </w:rPr>
            </w:pPr>
            <w:r w:rsidRPr="003B7D39">
              <w:t>64.798 91 milligrams (exactly)</w:t>
            </w:r>
          </w:p>
        </w:tc>
      </w:tr>
      <w:tr w:rsidR="00B33811" w:rsidTr="005C531B">
        <w:tc>
          <w:tcPr>
            <w:tcW w:w="4608" w:type="dxa"/>
            <w:vAlign w:val="center"/>
          </w:tcPr>
          <w:p w:rsidR="00B33811" w:rsidRPr="003B7D39" w:rsidRDefault="00B33811" w:rsidP="005C531B">
            <w:pPr>
              <w:pStyle w:val="TableText"/>
              <w:spacing w:after="0"/>
            </w:pPr>
            <w:r w:rsidRPr="003B7D39">
              <w:t>1 gram (g)</w:t>
            </w:r>
          </w:p>
        </w:tc>
        <w:tc>
          <w:tcPr>
            <w:tcW w:w="4608" w:type="dxa"/>
            <w:vAlign w:val="center"/>
          </w:tcPr>
          <w:p w:rsidR="00B33811" w:rsidRPr="003B7D39" w:rsidRDefault="00B33811" w:rsidP="005C531B">
            <w:pPr>
              <w:pStyle w:val="TableText"/>
              <w:spacing w:after="0"/>
              <w:rPr>
                <w:b/>
              </w:rPr>
            </w:pPr>
            <w:r w:rsidRPr="003B7D39">
              <w:t>15.432 grains</w:t>
            </w:r>
          </w:p>
          <w:p w:rsidR="00B33811" w:rsidRPr="003B7D39" w:rsidRDefault="00B33811" w:rsidP="005C531B">
            <w:pPr>
              <w:pStyle w:val="TableText"/>
              <w:spacing w:after="0"/>
              <w:rPr>
                <w:b/>
              </w:rPr>
            </w:pPr>
            <w:r w:rsidRPr="003B7D39">
              <w:t>0.035 ounce, avoirdupois</w:t>
            </w:r>
          </w:p>
        </w:tc>
      </w:tr>
      <w:tr w:rsidR="00B33811" w:rsidTr="005C531B">
        <w:tc>
          <w:tcPr>
            <w:tcW w:w="4608" w:type="dxa"/>
            <w:vAlign w:val="center"/>
          </w:tcPr>
          <w:p w:rsidR="00B33811" w:rsidRPr="003B7D39" w:rsidRDefault="00B33811" w:rsidP="005C531B">
            <w:pPr>
              <w:pStyle w:val="TableText"/>
              <w:spacing w:after="0"/>
            </w:pPr>
            <w:r w:rsidRPr="003B7D39">
              <w:t>1 hundredweight, gross or long</w:t>
            </w:r>
            <w:r w:rsidR="00DD47FF" w:rsidRPr="00C27787">
              <w:rPr>
                <w:vertAlign w:val="superscript"/>
              </w:rPr>
              <w:t>18</w:t>
            </w:r>
          </w:p>
          <w:p w:rsidR="00B33811" w:rsidRPr="003B7D39" w:rsidRDefault="00462D4E" w:rsidP="00462D4E">
            <w:pPr>
              <w:pStyle w:val="TableText"/>
              <w:tabs>
                <w:tab w:val="left" w:pos="144"/>
              </w:tabs>
              <w:spacing w:after="0"/>
            </w:pPr>
            <w:r>
              <w:tab/>
            </w:r>
            <w:r w:rsidR="00B33811" w:rsidRPr="003B7D39">
              <w:t>(gross cwt)</w:t>
            </w:r>
          </w:p>
        </w:tc>
        <w:tc>
          <w:tcPr>
            <w:tcW w:w="4608" w:type="dxa"/>
            <w:vAlign w:val="center"/>
          </w:tcPr>
          <w:p w:rsidR="00B33811" w:rsidRPr="003B7D39" w:rsidRDefault="00B33811" w:rsidP="005C531B">
            <w:pPr>
              <w:pStyle w:val="TableText"/>
              <w:spacing w:after="0"/>
              <w:rPr>
                <w:b/>
              </w:rPr>
            </w:pPr>
            <w:r w:rsidRPr="003B7D39">
              <w:t>112 pounds (exactly)</w:t>
            </w:r>
          </w:p>
          <w:p w:rsidR="00B33811" w:rsidRPr="003B7D39" w:rsidRDefault="00B33811" w:rsidP="005C531B">
            <w:pPr>
              <w:pStyle w:val="TableText"/>
              <w:spacing w:after="0"/>
              <w:rPr>
                <w:b/>
              </w:rPr>
            </w:pPr>
            <w:r w:rsidRPr="003B7D39">
              <w:t>50.802 kilograms</w:t>
            </w:r>
          </w:p>
        </w:tc>
      </w:tr>
      <w:tr w:rsidR="00B33811" w:rsidTr="005C531B">
        <w:tc>
          <w:tcPr>
            <w:tcW w:w="4608" w:type="dxa"/>
            <w:vAlign w:val="center"/>
          </w:tcPr>
          <w:p w:rsidR="00B33811" w:rsidRPr="003B7D39" w:rsidRDefault="00B33811" w:rsidP="005C531B">
            <w:pPr>
              <w:pStyle w:val="TableText"/>
              <w:spacing w:after="0"/>
            </w:pPr>
            <w:r w:rsidRPr="003B7D39">
              <w:t>1 hundredweight, gross or short</w:t>
            </w:r>
          </w:p>
          <w:p w:rsidR="00B33811" w:rsidRPr="003B7D39" w:rsidRDefault="00462D4E" w:rsidP="00462D4E">
            <w:pPr>
              <w:pStyle w:val="TableText"/>
              <w:tabs>
                <w:tab w:val="left" w:pos="144"/>
              </w:tabs>
              <w:spacing w:after="0"/>
            </w:pPr>
            <w:r>
              <w:tab/>
            </w:r>
            <w:r w:rsidR="00B33811" w:rsidRPr="003B7D39">
              <w:t>(cwt or net cwt)</w:t>
            </w:r>
          </w:p>
        </w:tc>
        <w:tc>
          <w:tcPr>
            <w:tcW w:w="4608" w:type="dxa"/>
            <w:vAlign w:val="center"/>
          </w:tcPr>
          <w:p w:rsidR="00B33811" w:rsidRPr="003B7D39" w:rsidRDefault="00B33811" w:rsidP="005C531B">
            <w:pPr>
              <w:pStyle w:val="TableText"/>
              <w:spacing w:after="0"/>
              <w:rPr>
                <w:b/>
              </w:rPr>
            </w:pPr>
            <w:r w:rsidRPr="003B7D39">
              <w:t>100 pounds (exactly)</w:t>
            </w:r>
          </w:p>
          <w:p w:rsidR="00B33811" w:rsidRPr="003B7D39" w:rsidRDefault="00B33811" w:rsidP="005C531B">
            <w:pPr>
              <w:pStyle w:val="TableText"/>
              <w:spacing w:after="0"/>
              <w:rPr>
                <w:b/>
              </w:rPr>
            </w:pPr>
            <w:r w:rsidRPr="003B7D39">
              <w:t>45.359 kilograms</w:t>
            </w:r>
          </w:p>
        </w:tc>
      </w:tr>
      <w:tr w:rsidR="00B33811" w:rsidTr="005C531B">
        <w:tc>
          <w:tcPr>
            <w:tcW w:w="4608" w:type="dxa"/>
            <w:vAlign w:val="center"/>
          </w:tcPr>
          <w:p w:rsidR="00B33811" w:rsidRPr="003B7D39" w:rsidRDefault="00B33811" w:rsidP="005C531B">
            <w:pPr>
              <w:pStyle w:val="TableText"/>
              <w:spacing w:after="0"/>
            </w:pPr>
            <w:r w:rsidRPr="003B7D39">
              <w:t>1 kilogram (kg)</w:t>
            </w:r>
          </w:p>
        </w:tc>
        <w:tc>
          <w:tcPr>
            <w:tcW w:w="4608" w:type="dxa"/>
            <w:vAlign w:val="center"/>
          </w:tcPr>
          <w:p w:rsidR="00B33811" w:rsidRPr="003B7D39" w:rsidRDefault="00B33811" w:rsidP="005C531B">
            <w:pPr>
              <w:pStyle w:val="TableText"/>
              <w:spacing w:after="0"/>
              <w:rPr>
                <w:b/>
              </w:rPr>
            </w:pPr>
            <w:r w:rsidRPr="003B7D39">
              <w:t>2.205 pounds</w:t>
            </w:r>
          </w:p>
        </w:tc>
      </w:tr>
      <w:tr w:rsidR="00B33811" w:rsidTr="005C531B">
        <w:tc>
          <w:tcPr>
            <w:tcW w:w="4608" w:type="dxa"/>
            <w:vAlign w:val="center"/>
          </w:tcPr>
          <w:p w:rsidR="00B33811" w:rsidRPr="003B7D39" w:rsidRDefault="00B33811" w:rsidP="005C531B">
            <w:pPr>
              <w:pStyle w:val="TableText"/>
              <w:spacing w:after="0"/>
            </w:pPr>
            <w:r w:rsidRPr="003B7D39">
              <w:t>1 milligram (mg)</w:t>
            </w:r>
          </w:p>
        </w:tc>
        <w:tc>
          <w:tcPr>
            <w:tcW w:w="4608" w:type="dxa"/>
            <w:vAlign w:val="center"/>
          </w:tcPr>
          <w:p w:rsidR="00B33811" w:rsidRPr="003B7D39" w:rsidRDefault="00B33811" w:rsidP="005C531B">
            <w:pPr>
              <w:pStyle w:val="TableText"/>
              <w:spacing w:after="0"/>
              <w:rPr>
                <w:b/>
              </w:rPr>
            </w:pPr>
            <w:r w:rsidRPr="003B7D39">
              <w:t>0.015 grain</w:t>
            </w:r>
          </w:p>
        </w:tc>
      </w:tr>
      <w:tr w:rsidR="00B33811" w:rsidTr="005C531B">
        <w:tc>
          <w:tcPr>
            <w:tcW w:w="4608" w:type="dxa"/>
            <w:vAlign w:val="center"/>
          </w:tcPr>
          <w:p w:rsidR="00B33811" w:rsidRPr="0042741F" w:rsidRDefault="00B33811" w:rsidP="005C531B">
            <w:pPr>
              <w:pStyle w:val="TableText"/>
              <w:spacing w:after="0"/>
            </w:pPr>
            <w:r w:rsidRPr="0042741F">
              <w:t>1 ounce, avoirdupois (oz avdp)</w:t>
            </w:r>
          </w:p>
        </w:tc>
        <w:tc>
          <w:tcPr>
            <w:tcW w:w="4608" w:type="dxa"/>
            <w:vAlign w:val="center"/>
          </w:tcPr>
          <w:p w:rsidR="00B33811" w:rsidRPr="0042741F" w:rsidRDefault="00B33811" w:rsidP="005C531B">
            <w:pPr>
              <w:pStyle w:val="TableText"/>
              <w:spacing w:after="0"/>
              <w:rPr>
                <w:b/>
              </w:rPr>
            </w:pPr>
            <w:r w:rsidRPr="0042741F">
              <w:t>437.5 grains (exactly)</w:t>
            </w:r>
          </w:p>
          <w:p w:rsidR="00B33811" w:rsidRPr="0042741F" w:rsidRDefault="00B33811" w:rsidP="005C531B">
            <w:pPr>
              <w:pStyle w:val="TableText"/>
              <w:spacing w:after="0"/>
              <w:rPr>
                <w:b/>
              </w:rPr>
            </w:pPr>
            <w:r w:rsidRPr="0042741F">
              <w:t>0.911 troy or apothecaries ounce</w:t>
            </w:r>
          </w:p>
          <w:p w:rsidR="00B33811" w:rsidRPr="0042741F" w:rsidRDefault="00B33811" w:rsidP="005C531B">
            <w:pPr>
              <w:pStyle w:val="TableText"/>
              <w:spacing w:after="0"/>
              <w:rPr>
                <w:b/>
              </w:rPr>
            </w:pPr>
            <w:r w:rsidRPr="0042741F">
              <w:t>28.350 grams</w:t>
            </w:r>
          </w:p>
        </w:tc>
      </w:tr>
      <w:tr w:rsidR="00B33811" w:rsidTr="005C531B">
        <w:tc>
          <w:tcPr>
            <w:tcW w:w="4608" w:type="dxa"/>
            <w:vAlign w:val="center"/>
          </w:tcPr>
          <w:p w:rsidR="00B33811" w:rsidRPr="003B7D39" w:rsidRDefault="00B33811" w:rsidP="005C531B">
            <w:pPr>
              <w:pStyle w:val="TableText"/>
              <w:spacing w:after="0"/>
            </w:pPr>
            <w:r w:rsidRPr="003B7D39">
              <w:t>1 ounce, troy or apothecaries</w:t>
            </w:r>
          </w:p>
          <w:p w:rsidR="00B33811" w:rsidRPr="003B7D39" w:rsidRDefault="00462D4E" w:rsidP="00462D4E">
            <w:pPr>
              <w:pStyle w:val="TableText"/>
              <w:tabs>
                <w:tab w:val="left" w:pos="144"/>
              </w:tabs>
              <w:spacing w:after="0"/>
            </w:pPr>
            <w:r>
              <w:tab/>
            </w:r>
            <w:r w:rsidR="00B33811" w:rsidRPr="003B7D39">
              <w:t xml:space="preserve">(oz t or oz ap or </w:t>
            </w:r>
            <w:r w:rsidR="00B33811" w:rsidRPr="003B7D39">
              <w:rPr>
                <w:rFonts w:eastAsia="MS Mincho" w:hAnsi="MS Mincho"/>
              </w:rPr>
              <w:t>℥</w:t>
            </w:r>
            <w:r w:rsidR="00B33811" w:rsidRPr="003B7D39">
              <w:rPr>
                <w:rFonts w:eastAsia="MS Mincho"/>
              </w:rPr>
              <w:t>)</w:t>
            </w:r>
          </w:p>
        </w:tc>
        <w:tc>
          <w:tcPr>
            <w:tcW w:w="4608" w:type="dxa"/>
            <w:vAlign w:val="center"/>
          </w:tcPr>
          <w:p w:rsidR="00B33811" w:rsidRPr="003B7D39" w:rsidRDefault="00B33811" w:rsidP="005C531B">
            <w:pPr>
              <w:pStyle w:val="TableText"/>
              <w:spacing w:after="0"/>
              <w:rPr>
                <w:b/>
              </w:rPr>
            </w:pPr>
            <w:r w:rsidRPr="003B7D39">
              <w:t>480 grains (exactly)</w:t>
            </w:r>
          </w:p>
          <w:p w:rsidR="00B33811" w:rsidRPr="003B7D39" w:rsidRDefault="00B33811" w:rsidP="005C531B">
            <w:pPr>
              <w:pStyle w:val="TableText"/>
              <w:spacing w:after="0"/>
              <w:rPr>
                <w:b/>
              </w:rPr>
            </w:pPr>
            <w:r w:rsidRPr="003B7D39">
              <w:t>1.097 avoirdupois ounces</w:t>
            </w:r>
          </w:p>
          <w:p w:rsidR="00B33811" w:rsidRPr="003B7D39" w:rsidRDefault="00B33811" w:rsidP="005C531B">
            <w:pPr>
              <w:pStyle w:val="TableText"/>
              <w:spacing w:after="0"/>
              <w:rPr>
                <w:b/>
              </w:rPr>
            </w:pPr>
            <w:r w:rsidRPr="003B7D39">
              <w:t>31.103 grams</w:t>
            </w:r>
          </w:p>
        </w:tc>
      </w:tr>
      <w:tr w:rsidR="00B33811" w:rsidTr="005C531B">
        <w:tc>
          <w:tcPr>
            <w:tcW w:w="4608" w:type="dxa"/>
            <w:vAlign w:val="center"/>
          </w:tcPr>
          <w:p w:rsidR="00B33811" w:rsidRPr="003B7D39" w:rsidRDefault="00B33811" w:rsidP="005C531B">
            <w:pPr>
              <w:pStyle w:val="TableText"/>
              <w:spacing w:after="0"/>
            </w:pPr>
            <w:r w:rsidRPr="003B7D39">
              <w:t>1 pennyweight (dwt)</w:t>
            </w:r>
          </w:p>
        </w:tc>
        <w:tc>
          <w:tcPr>
            <w:tcW w:w="4608" w:type="dxa"/>
            <w:vAlign w:val="center"/>
          </w:tcPr>
          <w:p w:rsidR="00B33811" w:rsidRPr="003B7D39" w:rsidRDefault="00B33811" w:rsidP="005C531B">
            <w:pPr>
              <w:pStyle w:val="TableText"/>
              <w:spacing w:after="0"/>
              <w:rPr>
                <w:b/>
              </w:rPr>
            </w:pPr>
            <w:r w:rsidRPr="003B7D39">
              <w:t>1.555 grams</w:t>
            </w:r>
          </w:p>
        </w:tc>
      </w:tr>
      <w:tr w:rsidR="00B33811" w:rsidTr="005C531B">
        <w:tc>
          <w:tcPr>
            <w:tcW w:w="4608" w:type="dxa"/>
            <w:vAlign w:val="center"/>
          </w:tcPr>
          <w:p w:rsidR="00B33811" w:rsidRPr="003B7D39" w:rsidRDefault="00B33811" w:rsidP="005C531B">
            <w:pPr>
              <w:pStyle w:val="TableText"/>
              <w:spacing w:after="0"/>
            </w:pPr>
            <w:r w:rsidRPr="003B7D39">
              <w:t>1 point</w:t>
            </w:r>
          </w:p>
        </w:tc>
        <w:tc>
          <w:tcPr>
            <w:tcW w:w="4608" w:type="dxa"/>
            <w:vAlign w:val="center"/>
          </w:tcPr>
          <w:p w:rsidR="00B33811" w:rsidRPr="003B7D39" w:rsidRDefault="00B33811" w:rsidP="005C531B">
            <w:pPr>
              <w:pStyle w:val="TableText"/>
              <w:spacing w:after="0"/>
              <w:rPr>
                <w:b/>
              </w:rPr>
            </w:pPr>
            <w:r w:rsidRPr="003B7D39">
              <w:t>0.01 carat</w:t>
            </w:r>
          </w:p>
          <w:p w:rsidR="00B33811" w:rsidRPr="003B7D39" w:rsidRDefault="00B33811" w:rsidP="005C531B">
            <w:pPr>
              <w:pStyle w:val="TableText"/>
              <w:spacing w:after="0"/>
              <w:rPr>
                <w:b/>
              </w:rPr>
            </w:pPr>
            <w:r w:rsidRPr="003B7D39">
              <w:t>2 milligrams</w:t>
            </w:r>
          </w:p>
        </w:tc>
      </w:tr>
      <w:tr w:rsidR="00B33811" w:rsidTr="005C531B">
        <w:tc>
          <w:tcPr>
            <w:tcW w:w="4608" w:type="dxa"/>
            <w:vAlign w:val="center"/>
          </w:tcPr>
          <w:p w:rsidR="00B33811" w:rsidRPr="003B7D39" w:rsidRDefault="00B33811" w:rsidP="005C531B">
            <w:pPr>
              <w:pStyle w:val="TableText"/>
              <w:spacing w:after="0"/>
            </w:pPr>
            <w:r w:rsidRPr="003B7D39">
              <w:t>1 pound, avoirdupois (lb avdp)</w:t>
            </w:r>
          </w:p>
        </w:tc>
        <w:tc>
          <w:tcPr>
            <w:tcW w:w="4608" w:type="dxa"/>
            <w:vAlign w:val="center"/>
          </w:tcPr>
          <w:p w:rsidR="00B33811" w:rsidRPr="003B7D39" w:rsidRDefault="00B33811" w:rsidP="005C531B">
            <w:pPr>
              <w:pStyle w:val="TableText"/>
              <w:spacing w:after="0"/>
              <w:rPr>
                <w:b/>
              </w:rPr>
            </w:pPr>
            <w:r w:rsidRPr="003B7D39">
              <w:t>7000 grains (exactly)</w:t>
            </w:r>
          </w:p>
          <w:p w:rsidR="00B33811" w:rsidRPr="003B7D39" w:rsidRDefault="00B33811" w:rsidP="005C531B">
            <w:pPr>
              <w:pStyle w:val="TableText"/>
              <w:spacing w:after="0"/>
              <w:rPr>
                <w:b/>
              </w:rPr>
            </w:pPr>
            <w:r w:rsidRPr="003B7D39">
              <w:t>1.215 troy or apothecaries pounds</w:t>
            </w:r>
          </w:p>
          <w:p w:rsidR="00B33811" w:rsidRPr="003B7D39" w:rsidRDefault="00B33811" w:rsidP="005C531B">
            <w:pPr>
              <w:pStyle w:val="TableText"/>
              <w:spacing w:after="0"/>
              <w:rPr>
                <w:b/>
              </w:rPr>
            </w:pPr>
            <w:r w:rsidRPr="003B7D39">
              <w:t>453.592 37 grams (exactly)</w:t>
            </w:r>
          </w:p>
        </w:tc>
      </w:tr>
      <w:tr w:rsidR="00B33811" w:rsidTr="005C531B">
        <w:tc>
          <w:tcPr>
            <w:tcW w:w="4608" w:type="dxa"/>
            <w:vAlign w:val="center"/>
          </w:tcPr>
          <w:p w:rsidR="00B33811" w:rsidRPr="0042741F" w:rsidRDefault="00B33811" w:rsidP="00595572">
            <w:pPr>
              <w:pStyle w:val="TableText"/>
              <w:tabs>
                <w:tab w:val="left" w:pos="180"/>
              </w:tabs>
              <w:spacing w:after="0"/>
              <w:ind w:left="180" w:hanging="180"/>
              <w:rPr>
                <w:b/>
              </w:rPr>
            </w:pPr>
            <w:r w:rsidRPr="0042741F">
              <w:t>1 micropound (µlb) [the Greek letter mu</w:t>
            </w:r>
          </w:p>
          <w:p w:rsidR="00B33811" w:rsidRPr="0042741F" w:rsidRDefault="005C531B" w:rsidP="00595572">
            <w:pPr>
              <w:pStyle w:val="TableText"/>
              <w:tabs>
                <w:tab w:val="left" w:pos="162"/>
              </w:tabs>
              <w:spacing w:after="0"/>
              <w:rPr>
                <w:b/>
              </w:rPr>
            </w:pPr>
            <w:r>
              <w:tab/>
            </w:r>
            <w:r w:rsidR="00B33811" w:rsidRPr="0042741F">
              <w:t>in combination with the letters lb]</w:t>
            </w:r>
          </w:p>
        </w:tc>
        <w:tc>
          <w:tcPr>
            <w:tcW w:w="4608" w:type="dxa"/>
            <w:vAlign w:val="center"/>
          </w:tcPr>
          <w:p w:rsidR="00B33811" w:rsidRPr="0042741F" w:rsidRDefault="00B33811" w:rsidP="005C531B">
            <w:pPr>
              <w:pStyle w:val="TableText"/>
              <w:spacing w:after="0"/>
              <w:rPr>
                <w:b/>
              </w:rPr>
            </w:pPr>
            <w:r w:rsidRPr="0042741F">
              <w:t>0.000 001 pound (exactly)</w:t>
            </w:r>
          </w:p>
        </w:tc>
      </w:tr>
      <w:tr w:rsidR="00B33811" w:rsidTr="005C531B">
        <w:tc>
          <w:tcPr>
            <w:tcW w:w="4608" w:type="dxa"/>
            <w:vAlign w:val="center"/>
          </w:tcPr>
          <w:p w:rsidR="00B33811" w:rsidRPr="003B7D39" w:rsidRDefault="00B33811" w:rsidP="005C531B">
            <w:pPr>
              <w:pStyle w:val="TableText"/>
              <w:spacing w:after="0"/>
              <w:ind w:left="180" w:hanging="180"/>
            </w:pPr>
            <w:r w:rsidRPr="003B7D39">
              <w:t>1 pound, troy or apothecaries</w:t>
            </w:r>
          </w:p>
          <w:p w:rsidR="00B33811" w:rsidRPr="003B7D39" w:rsidRDefault="00462D4E" w:rsidP="00595572">
            <w:pPr>
              <w:pStyle w:val="TableText"/>
              <w:tabs>
                <w:tab w:val="left" w:pos="147"/>
              </w:tabs>
              <w:spacing w:after="0"/>
              <w:rPr>
                <w:b/>
              </w:rPr>
            </w:pPr>
            <w:r>
              <w:tab/>
            </w:r>
            <w:r w:rsidR="00B33811" w:rsidRPr="003B7D39">
              <w:t>(lb t or lb ap)</w:t>
            </w:r>
          </w:p>
        </w:tc>
        <w:tc>
          <w:tcPr>
            <w:tcW w:w="4608" w:type="dxa"/>
            <w:vAlign w:val="center"/>
          </w:tcPr>
          <w:p w:rsidR="00B33811" w:rsidRPr="003B7D39" w:rsidRDefault="00B33811" w:rsidP="005C531B">
            <w:pPr>
              <w:pStyle w:val="TableText"/>
              <w:spacing w:after="0"/>
              <w:rPr>
                <w:b/>
              </w:rPr>
            </w:pPr>
            <w:r w:rsidRPr="003B7D39">
              <w:t>5760 grains (exactly)</w:t>
            </w:r>
          </w:p>
          <w:p w:rsidR="00B33811" w:rsidRPr="003B7D39" w:rsidRDefault="00B33811" w:rsidP="005C531B">
            <w:pPr>
              <w:pStyle w:val="TableText"/>
              <w:spacing w:after="0"/>
              <w:rPr>
                <w:b/>
              </w:rPr>
            </w:pPr>
            <w:r w:rsidRPr="003B7D39">
              <w:t>0.823 avoirdupois pound</w:t>
            </w:r>
          </w:p>
          <w:p w:rsidR="00B33811" w:rsidRPr="003B7D39" w:rsidRDefault="00B33811" w:rsidP="005C531B">
            <w:pPr>
              <w:pStyle w:val="TableText"/>
              <w:spacing w:after="0"/>
              <w:rPr>
                <w:b/>
              </w:rPr>
            </w:pPr>
            <w:r w:rsidRPr="003B7D39">
              <w:t>373.242 grams</w:t>
            </w:r>
          </w:p>
        </w:tc>
      </w:tr>
      <w:tr w:rsidR="00B33811" w:rsidTr="005C531B">
        <w:tc>
          <w:tcPr>
            <w:tcW w:w="4608" w:type="dxa"/>
            <w:vAlign w:val="center"/>
          </w:tcPr>
          <w:p w:rsidR="00B33811" w:rsidRPr="003B7D39" w:rsidRDefault="00B33811" w:rsidP="005C531B">
            <w:pPr>
              <w:pStyle w:val="TableText"/>
              <w:spacing w:after="0"/>
            </w:pPr>
            <w:r w:rsidRPr="003B7D39">
              <w:t xml:space="preserve">1 scruple (s </w:t>
            </w:r>
            <w:proofErr w:type="spellStart"/>
            <w:r w:rsidRPr="003B7D39">
              <w:t>ap</w:t>
            </w:r>
            <w:proofErr w:type="spellEnd"/>
            <w:r w:rsidRPr="003B7D39">
              <w:t xml:space="preserve"> or </w:t>
            </w:r>
            <w:r w:rsidRPr="003B7D39">
              <w:fldChar w:fldCharType="begin"/>
            </w:r>
            <w:r w:rsidRPr="003B7D39">
              <w:instrText>ADVANCE \d 1</w:instrText>
            </w:r>
            <w:r w:rsidRPr="003B7D39">
              <w:fldChar w:fldCharType="end"/>
            </w:r>
            <w:r w:rsidRPr="003B7D39">
              <w:rPr>
                <w:rFonts w:eastAsia="Arial Unicode MS" w:hAnsi="Arial Unicode MS"/>
              </w:rPr>
              <w:t>℈</w:t>
            </w:r>
            <w:r w:rsidRPr="003B7D39">
              <w:fldChar w:fldCharType="begin"/>
            </w:r>
            <w:r w:rsidRPr="003B7D39">
              <w:instrText>ADVANCE \u 1</w:instrText>
            </w:r>
            <w:r w:rsidRPr="003B7D39">
              <w:fldChar w:fldCharType="end"/>
            </w:r>
            <w:r w:rsidRPr="003B7D39">
              <w:t>)</w:t>
            </w:r>
          </w:p>
        </w:tc>
        <w:tc>
          <w:tcPr>
            <w:tcW w:w="4608" w:type="dxa"/>
            <w:vAlign w:val="center"/>
          </w:tcPr>
          <w:p w:rsidR="00B33811" w:rsidRPr="003B7D39" w:rsidRDefault="00B33811" w:rsidP="005C531B">
            <w:pPr>
              <w:pStyle w:val="TableText"/>
              <w:spacing w:after="0"/>
              <w:rPr>
                <w:b/>
              </w:rPr>
            </w:pPr>
            <w:r w:rsidRPr="003B7D39">
              <w:t>20 grains (exactly)</w:t>
            </w:r>
          </w:p>
          <w:p w:rsidR="00B33811" w:rsidRPr="003B7D39" w:rsidRDefault="00B33811" w:rsidP="005C531B">
            <w:pPr>
              <w:pStyle w:val="TableText"/>
              <w:spacing w:after="0"/>
              <w:rPr>
                <w:b/>
              </w:rPr>
            </w:pPr>
            <w:r w:rsidRPr="003B7D39">
              <w:t>1.296 grams</w:t>
            </w:r>
          </w:p>
        </w:tc>
      </w:tr>
      <w:tr w:rsidR="00B33811" w:rsidTr="005C531B">
        <w:tc>
          <w:tcPr>
            <w:tcW w:w="4608" w:type="dxa"/>
            <w:vAlign w:val="center"/>
          </w:tcPr>
          <w:p w:rsidR="00B33811" w:rsidRPr="00B33811" w:rsidRDefault="00B33811" w:rsidP="005C531B">
            <w:pPr>
              <w:pStyle w:val="TableText"/>
              <w:spacing w:after="0"/>
              <w:rPr>
                <w:b/>
                <w:u w:val="single"/>
              </w:rPr>
            </w:pPr>
            <w:r w:rsidRPr="003B7D39">
              <w:t>1 ton, gross or long</w:t>
            </w:r>
            <w:r>
              <w:t xml:space="preserve"> </w:t>
            </w:r>
            <w:r w:rsidRPr="00B33811">
              <w:rPr>
                <w:b/>
                <w:u w:val="single"/>
              </w:rPr>
              <w:t>(lt)</w:t>
            </w:r>
            <w:r w:rsidR="00DD47FF" w:rsidRPr="00C27787">
              <w:rPr>
                <w:vertAlign w:val="superscript"/>
              </w:rPr>
              <w:t>19</w:t>
            </w:r>
          </w:p>
        </w:tc>
        <w:tc>
          <w:tcPr>
            <w:tcW w:w="4608" w:type="dxa"/>
            <w:vAlign w:val="center"/>
          </w:tcPr>
          <w:p w:rsidR="00B33811" w:rsidRPr="003B7D39" w:rsidRDefault="00B33811" w:rsidP="005C531B">
            <w:pPr>
              <w:pStyle w:val="TableText"/>
              <w:spacing w:after="0"/>
              <w:rPr>
                <w:b/>
              </w:rPr>
            </w:pPr>
            <w:r w:rsidRPr="003B7D39">
              <w:t>2240 pounds (exactly)</w:t>
            </w:r>
          </w:p>
          <w:p w:rsidR="00B33811" w:rsidRPr="003B7D39" w:rsidRDefault="00B33811" w:rsidP="005C531B">
            <w:pPr>
              <w:pStyle w:val="TableText"/>
              <w:spacing w:after="0"/>
              <w:rPr>
                <w:b/>
              </w:rPr>
            </w:pPr>
            <w:r w:rsidRPr="003B7D39">
              <w:t>1.12 net tons (exactly)</w:t>
            </w:r>
          </w:p>
          <w:p w:rsidR="00B33811" w:rsidRPr="003B7D39" w:rsidRDefault="00B33811" w:rsidP="005C531B">
            <w:pPr>
              <w:pStyle w:val="TableText"/>
              <w:spacing w:after="0"/>
              <w:rPr>
                <w:b/>
              </w:rPr>
            </w:pPr>
            <w:r w:rsidRPr="003B7D39">
              <w:rPr>
                <w:lang w:val="fr-FR"/>
              </w:rPr>
              <w:t>1.016 metric tons</w:t>
            </w:r>
          </w:p>
        </w:tc>
      </w:tr>
      <w:tr w:rsidR="00B33811" w:rsidTr="005C531B">
        <w:tc>
          <w:tcPr>
            <w:tcW w:w="4608" w:type="dxa"/>
            <w:vAlign w:val="center"/>
          </w:tcPr>
          <w:p w:rsidR="00B33811" w:rsidRPr="003B7D39" w:rsidRDefault="00B33811" w:rsidP="005C531B">
            <w:pPr>
              <w:pStyle w:val="TableText"/>
              <w:spacing w:after="0"/>
            </w:pPr>
            <w:r w:rsidRPr="003B7D39">
              <w:rPr>
                <w:lang w:val="fr-FR"/>
              </w:rPr>
              <w:t>1 ton, metric (t)</w:t>
            </w:r>
          </w:p>
        </w:tc>
        <w:tc>
          <w:tcPr>
            <w:tcW w:w="4608" w:type="dxa"/>
            <w:vAlign w:val="center"/>
          </w:tcPr>
          <w:p w:rsidR="00B33811" w:rsidRPr="003B7D39" w:rsidRDefault="00B33811" w:rsidP="005C531B">
            <w:pPr>
              <w:pStyle w:val="TableText"/>
              <w:spacing w:after="0"/>
              <w:rPr>
                <w:b/>
                <w:lang w:val="fr-FR"/>
              </w:rPr>
            </w:pPr>
            <w:r w:rsidRPr="003B7D39">
              <w:rPr>
                <w:lang w:val="fr-FR"/>
              </w:rPr>
              <w:t>2204.623 pounds</w:t>
            </w:r>
          </w:p>
          <w:p w:rsidR="00B33811" w:rsidRPr="003B7D39" w:rsidRDefault="00B33811" w:rsidP="005C531B">
            <w:pPr>
              <w:pStyle w:val="TableText"/>
              <w:spacing w:after="0"/>
              <w:rPr>
                <w:b/>
                <w:lang w:val="fr-FR"/>
              </w:rPr>
            </w:pPr>
            <w:r w:rsidRPr="003B7D39">
              <w:rPr>
                <w:lang w:val="fr-FR"/>
              </w:rPr>
              <w:t>0.984 gross ton</w:t>
            </w:r>
          </w:p>
          <w:p w:rsidR="00B33811" w:rsidRPr="003B7D39" w:rsidRDefault="00B33811" w:rsidP="005C531B">
            <w:pPr>
              <w:pStyle w:val="TableText"/>
              <w:spacing w:after="0"/>
              <w:rPr>
                <w:b/>
                <w:lang w:val="fr-FR"/>
              </w:rPr>
            </w:pPr>
            <w:r w:rsidRPr="003B7D39">
              <w:rPr>
                <w:lang w:val="fr-FR"/>
              </w:rPr>
              <w:t>1.102 net tons</w:t>
            </w:r>
          </w:p>
        </w:tc>
      </w:tr>
      <w:tr w:rsidR="003D1DA8" w:rsidTr="005C531B">
        <w:tc>
          <w:tcPr>
            <w:tcW w:w="4608" w:type="dxa"/>
            <w:vAlign w:val="center"/>
          </w:tcPr>
          <w:p w:rsidR="003D1DA8" w:rsidRPr="003B7D39" w:rsidRDefault="003D1DA8" w:rsidP="005C531B">
            <w:pPr>
              <w:pStyle w:val="TableText"/>
              <w:spacing w:after="0"/>
              <w:rPr>
                <w:lang w:val="fr-FR"/>
              </w:rPr>
            </w:pPr>
            <w:r w:rsidRPr="003B7D39">
              <w:t>1 ton, net or short</w:t>
            </w:r>
            <w:r w:rsidR="00B33811">
              <w:t xml:space="preserve"> </w:t>
            </w:r>
            <w:r w:rsidR="00B33811" w:rsidRPr="00B33811">
              <w:rPr>
                <w:b/>
                <w:u w:val="single"/>
              </w:rPr>
              <w:t>(tn)</w:t>
            </w:r>
          </w:p>
        </w:tc>
        <w:tc>
          <w:tcPr>
            <w:tcW w:w="4608" w:type="dxa"/>
            <w:vAlign w:val="center"/>
          </w:tcPr>
          <w:p w:rsidR="003D1DA8" w:rsidRPr="003B7D39" w:rsidRDefault="003D1DA8" w:rsidP="005C531B">
            <w:pPr>
              <w:pStyle w:val="TableText"/>
              <w:spacing w:after="0"/>
              <w:rPr>
                <w:b/>
              </w:rPr>
            </w:pPr>
            <w:r w:rsidRPr="003B7D39">
              <w:t>2000 pounds (exactly)</w:t>
            </w:r>
          </w:p>
          <w:p w:rsidR="003D1DA8" w:rsidRPr="003B7D39" w:rsidRDefault="003D1DA8" w:rsidP="005C531B">
            <w:pPr>
              <w:pStyle w:val="TableText"/>
              <w:spacing w:after="0"/>
              <w:rPr>
                <w:b/>
              </w:rPr>
            </w:pPr>
            <w:r w:rsidRPr="003B7D39">
              <w:t>0.893 gross ton</w:t>
            </w:r>
          </w:p>
          <w:p w:rsidR="003D1DA8" w:rsidRPr="003B7D39" w:rsidRDefault="003D1DA8" w:rsidP="005C531B">
            <w:pPr>
              <w:pStyle w:val="TableText"/>
              <w:spacing w:after="0"/>
              <w:rPr>
                <w:b/>
                <w:lang w:val="fr-FR"/>
              </w:rPr>
            </w:pPr>
            <w:r w:rsidRPr="003B7D39">
              <w:t>0.907 metric ton</w:t>
            </w:r>
          </w:p>
        </w:tc>
      </w:tr>
    </w:tbl>
    <w:p w:rsidR="00C27787" w:rsidRPr="00693E42" w:rsidRDefault="00693E42" w:rsidP="00693E42">
      <w:pPr>
        <w:spacing w:after="120"/>
        <w:rPr>
          <w:b/>
          <w:sz w:val="18"/>
          <w:szCs w:val="24"/>
          <w:vertAlign w:val="superscript"/>
        </w:rPr>
      </w:pPr>
      <w:r w:rsidRPr="00693E42">
        <w:rPr>
          <w:b/>
          <w:sz w:val="18"/>
          <w:szCs w:val="24"/>
          <w:vertAlign w:val="superscript"/>
        </w:rPr>
        <w:lastRenderedPageBreak/>
        <w:t>FOOTNOTES:</w:t>
      </w:r>
    </w:p>
    <w:p w:rsidR="00C27787" w:rsidRPr="00C27787" w:rsidRDefault="00C27787" w:rsidP="00C27787">
      <w:pPr>
        <w:rPr>
          <w:sz w:val="18"/>
        </w:rPr>
      </w:pPr>
      <w:r w:rsidRPr="00C27787">
        <w:rPr>
          <w:sz w:val="18"/>
          <w:vertAlign w:val="superscript"/>
        </w:rPr>
        <w:t>17</w:t>
      </w:r>
      <w:r w:rsidR="00AA76AD">
        <w:rPr>
          <w:sz w:val="18"/>
        </w:rPr>
        <w:t> Used in assaying,</w:t>
      </w:r>
      <w:r w:rsidRPr="00C27787">
        <w:rPr>
          <w:sz w:val="18"/>
        </w:rPr>
        <w:t xml:space="preserve"> </w:t>
      </w:r>
      <w:r w:rsidR="00AA76AD">
        <w:rPr>
          <w:sz w:val="18"/>
        </w:rPr>
        <w:t>t</w:t>
      </w:r>
      <w:r w:rsidRPr="00C27787">
        <w:rPr>
          <w:sz w:val="18"/>
        </w:rPr>
        <w:t>he assay ton bears the same relation to the milligram that a ton of 2000 pounds avoirdupois bears to the ounce troy; hence the mass in milligrams of precious metal obtained from one assay ton of ore gives directly the number of troy ounces to the net ton.</w:t>
      </w:r>
    </w:p>
    <w:p w:rsidR="00C27787" w:rsidRPr="00C27787" w:rsidRDefault="00C27787" w:rsidP="00C27787">
      <w:pPr>
        <w:rPr>
          <w:sz w:val="18"/>
        </w:rPr>
      </w:pPr>
      <w:r w:rsidRPr="00C27787">
        <w:rPr>
          <w:sz w:val="18"/>
          <w:vertAlign w:val="superscript"/>
        </w:rPr>
        <w:t>18</w:t>
      </w:r>
      <w:r w:rsidRPr="00C27787">
        <w:rPr>
          <w:sz w:val="18"/>
        </w:rPr>
        <w:t> The gross or long ton and hundredweight are used commercially in the United States to only a very limited extent, usually in restricted industrial fields.  The units are the same as the British “ton” and “hundredweight.”</w:t>
      </w:r>
    </w:p>
    <w:p w:rsidR="00C27787" w:rsidRPr="00C27787" w:rsidRDefault="00C27787" w:rsidP="00C27787">
      <w:pPr>
        <w:rPr>
          <w:sz w:val="18"/>
        </w:rPr>
      </w:pPr>
      <w:r w:rsidRPr="00C27787">
        <w:rPr>
          <w:sz w:val="18"/>
          <w:vertAlign w:val="superscript"/>
        </w:rPr>
        <w:t>19</w:t>
      </w:r>
      <w:r w:rsidRPr="00C27787">
        <w:rPr>
          <w:sz w:val="18"/>
        </w:rPr>
        <w:t> The gross or long ton and hundredweight are used commercially in the United States to a limited extent only, usually in restricted industrial fields.  These units are the same as the British “ton” and “hundredweight.”</w:t>
      </w:r>
    </w:p>
    <w:p w:rsidR="003D1DA8" w:rsidRDefault="003D1DA8" w:rsidP="00595572">
      <w:pPr>
        <w:pStyle w:val="BoldHeading"/>
        <w:spacing w:after="0"/>
      </w:pPr>
      <w:r>
        <w:t>Background</w:t>
      </w:r>
      <w:r w:rsidR="00B33811">
        <w:t>/</w:t>
      </w:r>
      <w:r>
        <w:t>Discussion:</w:t>
      </w:r>
    </w:p>
    <w:p w:rsidR="003D1DA8" w:rsidRDefault="00DD47FF" w:rsidP="003D1DA8">
      <w:r>
        <w:t xml:space="preserve">The submitter of this item has discovered a difference between </w:t>
      </w:r>
      <w:r w:rsidR="00CB0AA0">
        <w:t>United States</w:t>
      </w:r>
      <w:r>
        <w:t xml:space="preserve"> and Canadian abbreviation requirements that may impact manufacturers </w:t>
      </w:r>
      <w:r w:rsidR="000E0640">
        <w:t xml:space="preserve">that </w:t>
      </w:r>
      <w:r>
        <w:t>sell</w:t>
      </w:r>
      <w:r w:rsidR="000E0640">
        <w:t xml:space="preserve"> </w:t>
      </w:r>
      <w:r>
        <w:t xml:space="preserve">products in both countries and NTEP type evaluations under the </w:t>
      </w:r>
      <w:r w:rsidR="00BF3B61">
        <w:t>United States</w:t>
      </w:r>
      <w:r>
        <w:t xml:space="preserve">/Canada mutual recognition program.  Most </w:t>
      </w:r>
      <w:r w:rsidR="003D1DA8">
        <w:t xml:space="preserve">units of mass have an abbreviation for </w:t>
      </w:r>
      <w:r>
        <w:t xml:space="preserve">SI </w:t>
      </w:r>
      <w:r w:rsidR="003D1DA8">
        <w:t xml:space="preserve">and </w:t>
      </w:r>
      <w:r>
        <w:t xml:space="preserve">U.S. customary </w:t>
      </w:r>
      <w:r w:rsidR="003D1DA8">
        <w:t xml:space="preserve">units </w:t>
      </w:r>
      <w:r>
        <w:t>(</w:t>
      </w:r>
      <w:r w:rsidR="006D3B2E">
        <w:t>e.g.,</w:t>
      </w:r>
      <w:r w:rsidR="003D1DA8">
        <w:t xml:space="preserve"> kg, lb, g, oz</w:t>
      </w:r>
      <w:r>
        <w:t>)</w:t>
      </w:r>
      <w:r w:rsidR="003D1DA8">
        <w:t>.</w:t>
      </w:r>
      <w:r w:rsidR="00B33811">
        <w:t xml:space="preserve"> </w:t>
      </w:r>
      <w:r w:rsidR="003D1DA8">
        <w:t xml:space="preserve"> </w:t>
      </w:r>
      <w:r w:rsidR="000E0640">
        <w:t>However, t</w:t>
      </w:r>
      <w:r w:rsidR="003D1DA8">
        <w:t xml:space="preserve">he </w:t>
      </w:r>
      <w:r>
        <w:t xml:space="preserve">same </w:t>
      </w:r>
      <w:r w:rsidR="003D1DA8">
        <w:t>abbreviation</w:t>
      </w:r>
      <w:r>
        <w:t>, the lower case “t,” is used to represent both</w:t>
      </w:r>
      <w:r w:rsidR="00C27787">
        <w:t xml:space="preserve"> </w:t>
      </w:r>
      <w:r w:rsidR="00DE7AF3">
        <w:t>the metric ton and the short ton (2000</w:t>
      </w:r>
      <w:r w:rsidR="004966C6">
        <w:t> </w:t>
      </w:r>
      <w:r w:rsidR="00DE7AF3">
        <w:t>lb).</w:t>
      </w:r>
      <w:r w:rsidR="00B33811">
        <w:t xml:space="preserve"> </w:t>
      </w:r>
      <w:r w:rsidR="003D1DA8">
        <w:t xml:space="preserve"> If an indicator is set up to display </w:t>
      </w:r>
      <w:r w:rsidR="00DE7AF3">
        <w:t xml:space="preserve">both SI </w:t>
      </w:r>
      <w:r w:rsidR="003D1DA8">
        <w:t xml:space="preserve">and </w:t>
      </w:r>
      <w:r w:rsidR="00DE7AF3">
        <w:t xml:space="preserve">U.S. customary </w:t>
      </w:r>
      <w:r w:rsidR="003D1DA8">
        <w:t>units, the operator or customer</w:t>
      </w:r>
      <w:r w:rsidR="000E0640">
        <w:t xml:space="preserve"> cannot</w:t>
      </w:r>
      <w:r w:rsidR="003D1DA8">
        <w:t xml:space="preserve"> know what units </w:t>
      </w:r>
      <w:r w:rsidR="00DE7AF3">
        <w:t xml:space="preserve">are </w:t>
      </w:r>
      <w:r w:rsidR="003D1DA8">
        <w:t xml:space="preserve">is </w:t>
      </w:r>
      <w:r w:rsidR="00DE7AF3">
        <w:t xml:space="preserve">displayed </w:t>
      </w:r>
      <w:r w:rsidR="003D1DA8">
        <w:t xml:space="preserve">if “t” is the only abbreviation that is acceptable for </w:t>
      </w:r>
      <w:r w:rsidR="00DE7AF3">
        <w:t xml:space="preserve">metric </w:t>
      </w:r>
      <w:r w:rsidR="003D1DA8">
        <w:t>ton</w:t>
      </w:r>
      <w:r w:rsidR="000E0640">
        <w:t>.</w:t>
      </w:r>
      <w:r w:rsidR="003D1DA8">
        <w:t xml:space="preserve"> </w:t>
      </w:r>
      <w:r w:rsidR="00B33811">
        <w:t xml:space="preserve"> </w:t>
      </w:r>
      <w:r w:rsidR="003D1DA8">
        <w:t xml:space="preserve">Because of the limited space available on today’s indicators, </w:t>
      </w:r>
      <w:r w:rsidR="000E0640">
        <w:t xml:space="preserve">the words </w:t>
      </w:r>
      <w:r w:rsidR="003D1DA8">
        <w:t xml:space="preserve">“short ton” or “long ton” </w:t>
      </w:r>
      <w:r w:rsidR="00B820A8">
        <w:t>are</w:t>
      </w:r>
      <w:r w:rsidR="003D1DA8">
        <w:t xml:space="preserve"> not always an option.</w:t>
      </w:r>
    </w:p>
    <w:p w:rsidR="003D1DA8" w:rsidRDefault="003D1DA8" w:rsidP="003D1DA8">
      <w:r>
        <w:t xml:space="preserve">In the </w:t>
      </w:r>
      <w:r w:rsidRPr="00595572">
        <w:t>Canadian Lab Manual</w:t>
      </w:r>
      <w:r>
        <w:t xml:space="preserve">, Part 2, Section Appendix-2A in the table for abbreviations and symbols accepted in Canada, metric ton is abbreviated by “t” and ton (short ton) is abbreviated by “tn”.  In </w:t>
      </w:r>
      <w:r w:rsidR="00B33811" w:rsidRPr="00595572">
        <w:t xml:space="preserve">NCWM </w:t>
      </w:r>
      <w:r w:rsidRPr="00595572">
        <w:t>Publication 14</w:t>
      </w:r>
      <w:r>
        <w:t>, Appendix C in a table marked Acceptable Abbreviation/Symbols there is an abbreviation for short to as TN and long tons as LT.  In keeping with the Canadian ab</w:t>
      </w:r>
      <w:r w:rsidR="00B33811">
        <w:t xml:space="preserve">breviation, the </w:t>
      </w:r>
      <w:r w:rsidR="00BF3B61">
        <w:t>C</w:t>
      </w:r>
      <w:r w:rsidR="00DE7AF3">
        <w:t xml:space="preserve">ommittee considered a request that </w:t>
      </w:r>
      <w:r w:rsidR="00DE7AF3" w:rsidRPr="00595572">
        <w:t xml:space="preserve">NIST </w:t>
      </w:r>
      <w:r w:rsidR="00AA76AD" w:rsidRPr="00595572">
        <w:t>Handbook</w:t>
      </w:r>
      <w:r w:rsidR="00AA76AD">
        <w:t> </w:t>
      </w:r>
      <w:r w:rsidR="00DE7AF3" w:rsidRPr="00595572">
        <w:t>44</w:t>
      </w:r>
      <w:r w:rsidR="00DE7AF3">
        <w:t xml:space="preserve"> be amended to use </w:t>
      </w:r>
      <w:r>
        <w:t>the lower case “tn” and “lt”</w:t>
      </w:r>
      <w:r w:rsidR="00DE7AF3">
        <w:t xml:space="preserve"> as the abbreviations for short and long ton respectively</w:t>
      </w:r>
      <w:r>
        <w:t>.</w:t>
      </w:r>
    </w:p>
    <w:p w:rsidR="003D1DA8" w:rsidRDefault="003D1DA8" w:rsidP="003D1DA8">
      <w:r>
        <w:t xml:space="preserve">At </w:t>
      </w:r>
      <w:r w:rsidR="00B820A8">
        <w:t xml:space="preserve">the </w:t>
      </w:r>
      <w:r>
        <w:t xml:space="preserve">2011 </w:t>
      </w:r>
      <w:r w:rsidR="00B820A8">
        <w:t xml:space="preserve">CWMA Interim Meeting, CWMA </w:t>
      </w:r>
      <w:r w:rsidR="00B820A8" w:rsidRPr="006273B2">
        <w:rPr>
          <w:rFonts w:cs="Times New Roman"/>
        </w:rPr>
        <w:t>forward</w:t>
      </w:r>
      <w:r w:rsidR="00B820A8">
        <w:rPr>
          <w:rFonts w:cs="Times New Roman"/>
        </w:rPr>
        <w:t>ed</w:t>
      </w:r>
      <w:r w:rsidR="00B820A8" w:rsidRPr="006273B2">
        <w:rPr>
          <w:rFonts w:cs="Times New Roman"/>
        </w:rPr>
        <w:t xml:space="preserve"> the item to NCWM</w:t>
      </w:r>
      <w:r w:rsidR="00B820A8">
        <w:rPr>
          <w:rFonts w:cs="Times New Roman"/>
        </w:rPr>
        <w:t xml:space="preserve">, recommending it </w:t>
      </w:r>
      <w:r w:rsidR="00B820A8" w:rsidRPr="006273B2">
        <w:rPr>
          <w:rFonts w:cs="Times New Roman"/>
        </w:rPr>
        <w:t>as a Voting Item</w:t>
      </w:r>
      <w:r>
        <w:t>.</w:t>
      </w:r>
    </w:p>
    <w:p w:rsidR="003D1DA8" w:rsidRDefault="00B33811" w:rsidP="003D1DA8">
      <w:r>
        <w:t xml:space="preserve">At the </w:t>
      </w:r>
      <w:r w:rsidR="003D1DA8">
        <w:t xml:space="preserve">2011 WWMA </w:t>
      </w:r>
      <w:r>
        <w:t>Annual Meeting</w:t>
      </w:r>
      <w:r w:rsidR="006D3B2E">
        <w:t>,</w:t>
      </w:r>
      <w:r>
        <w:t xml:space="preserve"> </w:t>
      </w:r>
      <w:r w:rsidR="003D1DA8">
        <w:t xml:space="preserve">Mr. Ripka, Thermo-Fisher Scientific, expressed concern </w:t>
      </w:r>
      <w:r w:rsidR="00B820A8">
        <w:t>for</w:t>
      </w:r>
      <w:r w:rsidR="003D1DA8">
        <w:t xml:space="preserve"> the impact </w:t>
      </w:r>
      <w:r w:rsidR="00B820A8">
        <w:t>that the proposed</w:t>
      </w:r>
      <w:r w:rsidR="003D1DA8">
        <w:t xml:space="preserve"> abbreviation changes would have on the substitution or replacement of existing terms on longstanding industry practices.</w:t>
      </w:r>
      <w:r>
        <w:t xml:space="preserve"> </w:t>
      </w:r>
      <w:r w:rsidR="003D1DA8">
        <w:t xml:space="preserve"> Mr. </w:t>
      </w:r>
      <w:r>
        <w:t>Flocken, Mettler-</w:t>
      </w:r>
      <w:r w:rsidR="003D1DA8">
        <w:t>Toledo</w:t>
      </w:r>
      <w:r>
        <w:t xml:space="preserve">, </w:t>
      </w:r>
      <w:r w:rsidR="00B93A2D">
        <w:t>LLC</w:t>
      </w:r>
      <w:r w:rsidR="003D1DA8">
        <w:t>, expressed similar concerns.</w:t>
      </w:r>
      <w:r>
        <w:t xml:space="preserve"> </w:t>
      </w:r>
      <w:r w:rsidR="003D1DA8">
        <w:t xml:space="preserve"> He would support </w:t>
      </w:r>
      <w:r w:rsidR="00DE7AF3">
        <w:t xml:space="preserve">the </w:t>
      </w:r>
      <w:r w:rsidR="003D1DA8">
        <w:t>proposal moving forward as an Information</w:t>
      </w:r>
      <w:r w:rsidR="006272C6">
        <w:t>al</w:t>
      </w:r>
      <w:r w:rsidR="003D1DA8">
        <w:t xml:space="preserve"> Item.  Mr. Cook, NIST,</w:t>
      </w:r>
      <w:r w:rsidR="005E1866">
        <w:t xml:space="preserve"> </w:t>
      </w:r>
      <w:r w:rsidR="007C4060">
        <w:t>OWM</w:t>
      </w:r>
      <w:r w:rsidR="003D1DA8">
        <w:t xml:space="preserve"> reported that </w:t>
      </w:r>
      <w:r w:rsidR="003D1DA8" w:rsidRPr="00595572">
        <w:t>NIST Handbook 44</w:t>
      </w:r>
      <w:r w:rsidR="006D3B2E">
        <w:t xml:space="preserve"> </w:t>
      </w:r>
      <w:r w:rsidR="003D1DA8">
        <w:t xml:space="preserve">Appendix C (2011 Edition) uses the lower case </w:t>
      </w:r>
      <w:r w:rsidR="00DE7AF3">
        <w:t>“</w:t>
      </w:r>
      <w:r w:rsidR="003D1DA8">
        <w:t>t</w:t>
      </w:r>
      <w:r w:rsidR="00DE7AF3">
        <w:t>”</w:t>
      </w:r>
      <w:r w:rsidR="003D1DA8">
        <w:t xml:space="preserve"> for both the U.S. </w:t>
      </w:r>
      <w:r w:rsidR="00CB0AA0">
        <w:t xml:space="preserve">customary </w:t>
      </w:r>
      <w:r w:rsidR="003D1DA8">
        <w:t xml:space="preserve">short ton (2000 lb) on page C-6 and the metric ton (2204.623 lb) on page C-19.  Additionally, </w:t>
      </w:r>
      <w:r w:rsidR="003D1DA8" w:rsidRPr="00595572">
        <w:t>NIST Special Publication 811</w:t>
      </w:r>
      <w:r w:rsidR="00595572">
        <w:t>,</w:t>
      </w:r>
      <w:r w:rsidR="003D1DA8" w:rsidRPr="00595572">
        <w:t xml:space="preserve"> </w:t>
      </w:r>
      <w:r w:rsidR="003D1DA8" w:rsidRPr="00595572">
        <w:rPr>
          <w:i/>
        </w:rPr>
        <w:t>Guide for the International Systems</w:t>
      </w:r>
      <w:r w:rsidR="00595572">
        <w:rPr>
          <w:i/>
        </w:rPr>
        <w:t xml:space="preserve"> (SI)</w:t>
      </w:r>
      <w:r w:rsidR="003D1DA8" w:rsidRPr="00EC12D9">
        <w:t xml:space="preserve"> </w:t>
      </w:r>
      <w:r w:rsidR="003D1DA8">
        <w:t xml:space="preserve">doesn’t use any abbreviation for U.S. </w:t>
      </w:r>
      <w:r w:rsidR="00CB0AA0">
        <w:t xml:space="preserve">customary </w:t>
      </w:r>
      <w:r w:rsidR="003D1DA8">
        <w:t xml:space="preserve">tons and uses the lower case (t) for the metric ton.  The </w:t>
      </w:r>
      <w:r w:rsidR="00AA76AD">
        <w:t xml:space="preserve">Committee </w:t>
      </w:r>
      <w:r w:rsidR="003D1DA8">
        <w:t xml:space="preserve">believes the proposal lacks specific direction whether to add or replace the existing abbreviations in </w:t>
      </w:r>
      <w:r w:rsidR="006D3B2E" w:rsidRPr="00595572">
        <w:t xml:space="preserve">NIST </w:t>
      </w:r>
      <w:r w:rsidR="003D1DA8" w:rsidRPr="00595572">
        <w:t>Handbook 44</w:t>
      </w:r>
      <w:r w:rsidR="00595572">
        <w:t>,</w:t>
      </w:r>
      <w:r w:rsidR="003D1DA8">
        <w:t xml:space="preserve"> Appendix C.  Additionally, there </w:t>
      </w:r>
      <w:r w:rsidR="00DE7AF3">
        <w:t xml:space="preserve">was </w:t>
      </w:r>
      <w:r w:rsidR="003D1DA8">
        <w:t xml:space="preserve">no proposed solution or suggested abbreviation for indicators with both U.S. </w:t>
      </w:r>
      <w:r w:rsidR="00CB0AA0">
        <w:t xml:space="preserve">customary </w:t>
      </w:r>
      <w:r w:rsidR="003D1DA8">
        <w:t xml:space="preserve">and </w:t>
      </w:r>
      <w:r w:rsidR="00CB0AA0">
        <w:t xml:space="preserve">metric </w:t>
      </w:r>
      <w:r w:rsidR="003D1DA8">
        <w:t xml:space="preserve">tons used in his example.  </w:t>
      </w:r>
      <w:r w:rsidR="00B820A8">
        <w:t xml:space="preserve">WWMA </w:t>
      </w:r>
      <w:r w:rsidR="00B820A8" w:rsidRPr="006273B2">
        <w:rPr>
          <w:rFonts w:cs="Times New Roman"/>
        </w:rPr>
        <w:t>fo</w:t>
      </w:r>
      <w:r w:rsidR="00BF3B61">
        <w:rPr>
          <w:rFonts w:cs="Times New Roman"/>
        </w:rPr>
        <w:t>rwarded the item to NCWM</w:t>
      </w:r>
      <w:r w:rsidR="00B820A8">
        <w:rPr>
          <w:rFonts w:cs="Times New Roman"/>
        </w:rPr>
        <w:t xml:space="preserve"> recommending it as a Developing</w:t>
      </w:r>
      <w:r w:rsidR="00B820A8" w:rsidRPr="006273B2">
        <w:rPr>
          <w:rFonts w:cs="Times New Roman"/>
        </w:rPr>
        <w:t xml:space="preserve"> Item</w:t>
      </w:r>
      <w:r w:rsidR="003D1DA8">
        <w:t>.</w:t>
      </w:r>
    </w:p>
    <w:p w:rsidR="003D1DA8" w:rsidRDefault="00B33811" w:rsidP="003D1DA8">
      <w:r>
        <w:t xml:space="preserve">At </w:t>
      </w:r>
      <w:r w:rsidR="00DE7AF3">
        <w:t xml:space="preserve">its </w:t>
      </w:r>
      <w:r>
        <w:t xml:space="preserve">2011 </w:t>
      </w:r>
      <w:r w:rsidR="00B820A8">
        <w:t xml:space="preserve">SWMA </w:t>
      </w:r>
      <w:r>
        <w:t>Annual Meeting</w:t>
      </w:r>
      <w:r w:rsidR="006D3B2E">
        <w:t>,</w:t>
      </w:r>
      <w:r w:rsidR="003D1DA8">
        <w:t xml:space="preserve"> the </w:t>
      </w:r>
      <w:r w:rsidR="00DE7AF3">
        <w:t xml:space="preserve">S&amp;T Committee </w:t>
      </w:r>
      <w:r w:rsidR="003D1DA8">
        <w:t xml:space="preserve">heard from Mr. </w:t>
      </w:r>
      <w:r>
        <w:t>Lewis, Rice Lake Weighing</w:t>
      </w:r>
      <w:r w:rsidR="007C4060">
        <w:t xml:space="preserve"> Systems, Inc.</w:t>
      </w:r>
      <w:r>
        <w:t xml:space="preserve">  </w:t>
      </w:r>
      <w:r w:rsidR="003D1DA8">
        <w:t xml:space="preserve">Mr. Lewis indicated that, based on opposition he </w:t>
      </w:r>
      <w:r w:rsidR="00DE7AF3">
        <w:t xml:space="preserve">had </w:t>
      </w:r>
      <w:r w:rsidR="003D1DA8">
        <w:t xml:space="preserve">heard </w:t>
      </w:r>
      <w:r w:rsidR="00DE7AF3">
        <w:t xml:space="preserve">on his proposal to include an </w:t>
      </w:r>
      <w:r w:rsidR="003D1DA8">
        <w:t xml:space="preserve">abbreviation </w:t>
      </w:r>
      <w:r w:rsidR="00DE7AF3">
        <w:t xml:space="preserve">for </w:t>
      </w:r>
      <w:r w:rsidR="00163A4B">
        <w:t>“long ton</w:t>
      </w:r>
      <w:r w:rsidR="00BF3B61">
        <w:t>,</w:t>
      </w:r>
      <w:r w:rsidR="003D1DA8">
        <w:t>” he suggests removing that abbreviation from the proposal.  Thus</w:t>
      </w:r>
      <w:r w:rsidR="00DE7AF3">
        <w:t>,</w:t>
      </w:r>
      <w:r w:rsidR="003D1DA8">
        <w:t xml:space="preserve"> the proposal would only include an abbreviation for “short ton.”  Mr. </w:t>
      </w:r>
      <w:r>
        <w:t>Flocken, Mettler-</w:t>
      </w:r>
      <w:r w:rsidR="003D1DA8">
        <w:t>Toledo</w:t>
      </w:r>
      <w:r>
        <w:t xml:space="preserve">, </w:t>
      </w:r>
      <w:r w:rsidR="00B93A2D">
        <w:t>LLC</w:t>
      </w:r>
      <w:r w:rsidR="003D1DA8">
        <w:t>, noted that the Weighing Sector considered this and agreed to move this forward because of differences between the U</w:t>
      </w:r>
      <w:r w:rsidR="00AA76AD">
        <w:t xml:space="preserve">nited </w:t>
      </w:r>
      <w:r w:rsidR="003D1DA8">
        <w:t>S</w:t>
      </w:r>
      <w:r w:rsidR="00AA76AD">
        <w:t>tates</w:t>
      </w:r>
      <w:r w:rsidR="003D1DA8">
        <w:t xml:space="preserve"> and Canadian requirements.  Canad</w:t>
      </w:r>
      <w:r w:rsidR="00163A4B">
        <w:t>a doesn’t accept upper case “TN</w:t>
      </w:r>
      <w:r w:rsidR="00AA76AD">
        <w:t>.</w:t>
      </w:r>
      <w:r w:rsidR="003D1DA8">
        <w:t>”  Ms.</w:t>
      </w:r>
      <w:r>
        <w:t xml:space="preserve"> </w:t>
      </w:r>
      <w:r w:rsidR="003D1DA8">
        <w:t>Butcher</w:t>
      </w:r>
      <w:r>
        <w:t>, NIST,</w:t>
      </w:r>
      <w:r w:rsidR="007F1416">
        <w:t xml:space="preserve"> OWM</w:t>
      </w:r>
      <w:r w:rsidR="003D1DA8">
        <w:t xml:space="preserve"> noted during the </w:t>
      </w:r>
      <w:r w:rsidR="006272C6">
        <w:t xml:space="preserve">Committee </w:t>
      </w:r>
      <w:r w:rsidR="003D1DA8">
        <w:t xml:space="preserve">work sessions that </w:t>
      </w:r>
      <w:r w:rsidR="003D1DA8" w:rsidRPr="00595572">
        <w:t>NCWM Publication 14</w:t>
      </w:r>
      <w:r w:rsidR="003D1DA8">
        <w:t xml:space="preserve"> includes an exception to the abbreviation for “short ton</w:t>
      </w:r>
      <w:r w:rsidR="00BF3B61">
        <w:t>,</w:t>
      </w:r>
      <w:r w:rsidR="003D1DA8">
        <w:t>” with accept</w:t>
      </w:r>
      <w:r w:rsidR="00163A4B">
        <w:t>ed designations of “ton” or “TN</w:t>
      </w:r>
      <w:r w:rsidR="00BF3B61">
        <w:t>.</w:t>
      </w:r>
      <w:r w:rsidR="003D1DA8">
        <w:t xml:space="preserve">”  Mr. Lewis indicated that the Weighing Sector agreed to modify </w:t>
      </w:r>
      <w:r w:rsidR="003D1DA8" w:rsidRPr="00595572">
        <w:t>NCWM Publication 14</w:t>
      </w:r>
      <w:r w:rsidR="003D1DA8">
        <w:t xml:space="preserve"> </w:t>
      </w:r>
      <w:r w:rsidR="001D69C8">
        <w:t xml:space="preserve">to designate </w:t>
      </w:r>
      <w:r w:rsidR="00DE7AF3">
        <w:t xml:space="preserve">the abbreviation for </w:t>
      </w:r>
      <w:r w:rsidR="00163A4B">
        <w:t>short ton as “tn</w:t>
      </w:r>
      <w:r w:rsidR="00BF3B61">
        <w:t>.</w:t>
      </w:r>
      <w:r w:rsidR="001D69C8">
        <w:t>”  There was</w:t>
      </w:r>
      <w:r w:rsidR="003D1DA8">
        <w:t xml:space="preserve"> support for the proposed abbreviation </w:t>
      </w:r>
      <w:r w:rsidR="00DE7AF3">
        <w:t xml:space="preserve">during the </w:t>
      </w:r>
      <w:r w:rsidR="003D1DA8">
        <w:t xml:space="preserve">Open Hearings.  </w:t>
      </w:r>
      <w:r w:rsidR="001D69C8">
        <w:t>Noting</w:t>
      </w:r>
      <w:r w:rsidR="003D1DA8">
        <w:t xml:space="preserve"> the proposed change would align the U.S. requiremen</w:t>
      </w:r>
      <w:r w:rsidR="001D69C8">
        <w:t>ts with Canadian requirements</w:t>
      </w:r>
      <w:r w:rsidR="00C27787">
        <w:t xml:space="preserve">, </w:t>
      </w:r>
      <w:r w:rsidR="00DE7AF3">
        <w:t xml:space="preserve">there </w:t>
      </w:r>
      <w:r w:rsidR="001D69C8">
        <w:t xml:space="preserve">were no indications that the proposed change would impact existing equipment.  </w:t>
      </w:r>
      <w:r w:rsidR="003D1DA8">
        <w:t xml:space="preserve">Mr. Flocken </w:t>
      </w:r>
      <w:r w:rsidR="00B820A8">
        <w:t xml:space="preserve">indicated </w:t>
      </w:r>
      <w:r w:rsidR="003D1DA8">
        <w:t>that the same change is being propose</w:t>
      </w:r>
      <w:r>
        <w:t xml:space="preserve">d for </w:t>
      </w:r>
      <w:r w:rsidRPr="00595572">
        <w:t xml:space="preserve">NCWM </w:t>
      </w:r>
      <w:r w:rsidR="003D1DA8" w:rsidRPr="00595572">
        <w:t>Publication 14</w:t>
      </w:r>
      <w:r w:rsidR="001D69C8">
        <w:t xml:space="preserve"> scales checklists.  The </w:t>
      </w:r>
      <w:r w:rsidR="006D3B2E">
        <w:t xml:space="preserve">SWMA agreed with </w:t>
      </w:r>
      <w:r w:rsidR="00DE7AF3">
        <w:t xml:space="preserve">its </w:t>
      </w:r>
      <w:r w:rsidR="00EC12D9">
        <w:t xml:space="preserve">Committee </w:t>
      </w:r>
      <w:r w:rsidR="006D3B2E">
        <w:t xml:space="preserve">recommendation to delete the reference to “long ton” </w:t>
      </w:r>
      <w:r w:rsidR="00DE7AF3">
        <w:t xml:space="preserve">in the original submission </w:t>
      </w:r>
      <w:r w:rsidR="006D3B2E">
        <w:t>as requested by the submitter</w:t>
      </w:r>
      <w:r w:rsidR="00B820A8">
        <w:t xml:space="preserve">.  SWMA </w:t>
      </w:r>
      <w:r w:rsidR="00B820A8" w:rsidRPr="006273B2">
        <w:rPr>
          <w:rFonts w:cs="Times New Roman"/>
        </w:rPr>
        <w:t>forward</w:t>
      </w:r>
      <w:r w:rsidR="00B820A8">
        <w:rPr>
          <w:rFonts w:cs="Times New Roman"/>
        </w:rPr>
        <w:t>ed</w:t>
      </w:r>
      <w:r w:rsidR="00B820A8" w:rsidRPr="006273B2">
        <w:rPr>
          <w:rFonts w:cs="Times New Roman"/>
        </w:rPr>
        <w:t xml:space="preserve"> the item to NCWM</w:t>
      </w:r>
      <w:r w:rsidR="00B820A8">
        <w:rPr>
          <w:rFonts w:cs="Times New Roman"/>
        </w:rPr>
        <w:t xml:space="preserve">, recommending it </w:t>
      </w:r>
      <w:r w:rsidR="00B820A8" w:rsidRPr="006273B2">
        <w:rPr>
          <w:rFonts w:cs="Times New Roman"/>
        </w:rPr>
        <w:t>as a Voting Item</w:t>
      </w:r>
      <w:r w:rsidR="006D3B2E">
        <w:t xml:space="preserve"> </w:t>
      </w:r>
      <w:r w:rsidR="001D69C8">
        <w:t>after m</w:t>
      </w:r>
      <w:r w:rsidR="003D1DA8">
        <w:t>odify</w:t>
      </w:r>
      <w:r w:rsidR="001D69C8">
        <w:t>ing</w:t>
      </w:r>
      <w:r w:rsidR="003D1DA8">
        <w:t xml:space="preserve"> the reference to “ton” on page C-6 of </w:t>
      </w:r>
      <w:r w:rsidR="003D1DA8" w:rsidRPr="00595572">
        <w:t>NIST Handbook 44</w:t>
      </w:r>
      <w:r w:rsidR="003D1DA8">
        <w:t>, Appendix C to specify the unit “tn” as the abbreviation for “ton</w:t>
      </w:r>
      <w:r w:rsidR="00BF3B61">
        <w:t>.</w:t>
      </w:r>
      <w:r w:rsidR="003D1DA8">
        <w:t>”</w:t>
      </w:r>
    </w:p>
    <w:p w:rsidR="00DE7AF3" w:rsidRDefault="00B820A8" w:rsidP="00DE7AF3">
      <w:pPr>
        <w:rPr>
          <w:szCs w:val="20"/>
        </w:rPr>
      </w:pPr>
      <w:r>
        <w:rPr>
          <w:szCs w:val="20"/>
        </w:rPr>
        <w:lastRenderedPageBreak/>
        <w:t>A</w:t>
      </w:r>
      <w:r w:rsidR="00DE7AF3">
        <w:rPr>
          <w:szCs w:val="20"/>
        </w:rPr>
        <w:t xml:space="preserve">t the 2012 NCWM Interim Meeting, </w:t>
      </w:r>
      <w:r w:rsidR="00DE7AF3" w:rsidRPr="00E66E07">
        <w:rPr>
          <w:szCs w:val="20"/>
        </w:rPr>
        <w:t xml:space="preserve">the original submitter, </w:t>
      </w:r>
      <w:r w:rsidR="00DE7AF3">
        <w:rPr>
          <w:szCs w:val="20"/>
        </w:rPr>
        <w:t xml:space="preserve">Mr. </w:t>
      </w:r>
      <w:r w:rsidR="00DE7AF3" w:rsidRPr="00E66E07">
        <w:rPr>
          <w:szCs w:val="20"/>
        </w:rPr>
        <w:t>Lewis request</w:t>
      </w:r>
      <w:r w:rsidR="0025054F">
        <w:rPr>
          <w:szCs w:val="20"/>
        </w:rPr>
        <w:t>ed</w:t>
      </w:r>
      <w:r w:rsidR="00DE7AF3" w:rsidRPr="00E66E07">
        <w:rPr>
          <w:szCs w:val="20"/>
        </w:rPr>
        <w:t xml:space="preserve"> that the proposal </w:t>
      </w:r>
      <w:r w:rsidR="00DE7AF3">
        <w:rPr>
          <w:szCs w:val="20"/>
        </w:rPr>
        <w:t xml:space="preserve">in the Interim Agenda </w:t>
      </w:r>
      <w:r w:rsidR="00DE7AF3" w:rsidRPr="00E66E07">
        <w:rPr>
          <w:szCs w:val="20"/>
        </w:rPr>
        <w:t>be modified to remove the reference to long ton and its assoc</w:t>
      </w:r>
      <w:r w:rsidR="00163A4B">
        <w:rPr>
          <w:szCs w:val="20"/>
        </w:rPr>
        <w:t>iated proposed abbreviation “lt</w:t>
      </w:r>
      <w:r w:rsidR="00110D23">
        <w:rPr>
          <w:szCs w:val="20"/>
        </w:rPr>
        <w:t>.</w:t>
      </w:r>
      <w:r w:rsidR="00DE7AF3" w:rsidRPr="00E66E07">
        <w:rPr>
          <w:szCs w:val="20"/>
        </w:rPr>
        <w:t xml:space="preserve">”  Mr. Lewis indicated that the intent of the proposal is to align </w:t>
      </w:r>
      <w:r w:rsidR="00CB0AA0">
        <w:rPr>
          <w:szCs w:val="20"/>
        </w:rPr>
        <w:t>United States</w:t>
      </w:r>
      <w:r w:rsidR="00DE7AF3" w:rsidRPr="00E66E07">
        <w:rPr>
          <w:szCs w:val="20"/>
        </w:rPr>
        <w:t xml:space="preserve"> and Canadian requirements and noted that the abbreviation “tn” is an acceptable Canadian abbreviation for short ton. </w:t>
      </w:r>
    </w:p>
    <w:p w:rsidR="00DE7AF3" w:rsidRPr="000B56DA" w:rsidRDefault="00DE7AF3" w:rsidP="00DE7AF3">
      <w:pPr>
        <w:rPr>
          <w:b/>
        </w:rPr>
      </w:pPr>
      <w:r>
        <w:t xml:space="preserve">Mr. </w:t>
      </w:r>
      <w:r w:rsidRPr="0090191A">
        <w:t xml:space="preserve">Flocken, speaking on behalf of the SMA, suggested making the item Informational to allow for more discussion.  He stated that SMA supports the abbreviation “tn” for short ton but not the long ton abbreviation </w:t>
      </w:r>
      <w:r>
        <w:t>“</w:t>
      </w:r>
      <w:r w:rsidRPr="00113401">
        <w:t>lt</w:t>
      </w:r>
      <w:r w:rsidR="00110D23">
        <w:t>.</w:t>
      </w:r>
      <w:r>
        <w:t>”</w:t>
      </w:r>
    </w:p>
    <w:p w:rsidR="00DE7AF3" w:rsidRPr="000B56DA" w:rsidRDefault="00DE7AF3" w:rsidP="00DE7AF3">
      <w:pPr>
        <w:rPr>
          <w:b/>
        </w:rPr>
      </w:pPr>
      <w:r>
        <w:t xml:space="preserve">NIST, </w:t>
      </w:r>
      <w:r w:rsidRPr="00113401">
        <w:t xml:space="preserve">OWM </w:t>
      </w:r>
      <w:r w:rsidRPr="0090191A">
        <w:t xml:space="preserve">stated that they agreed with the points raised during the 2011 WWMA Annual Meeting for continued development of the item. </w:t>
      </w:r>
    </w:p>
    <w:p w:rsidR="00DE7AF3" w:rsidRPr="000B56DA" w:rsidRDefault="00DE7AF3" w:rsidP="00DE7AF3">
      <w:pPr>
        <w:rPr>
          <w:b/>
        </w:rPr>
      </w:pPr>
      <w:r>
        <w:t xml:space="preserve">Mr. </w:t>
      </w:r>
      <w:r w:rsidRPr="00113401">
        <w:t xml:space="preserve">Ripka indicated </w:t>
      </w:r>
      <w:r w:rsidRPr="0090191A">
        <w:t>that several different references for ton (short) have been used with belt-conveyor scale systems over the years.  For example</w:t>
      </w:r>
      <w:r w:rsidRPr="00A86F27">
        <w:t>,</w:t>
      </w:r>
      <w:r w:rsidRPr="00EC6065">
        <w:t xml:space="preserve"> both lower case “t” and upper case “T” have been used to abbreviate short ton.  He stated that although he was not opposed to the item, more work is needed to ensure that references are consistent throughout all of </w:t>
      </w:r>
      <w:r w:rsidRPr="00595572">
        <w:t>NIST Handbook 44</w:t>
      </w:r>
      <w:r w:rsidRPr="00113401">
        <w:t xml:space="preserve">.  </w:t>
      </w:r>
    </w:p>
    <w:p w:rsidR="00DE7AF3" w:rsidRPr="00B820A8" w:rsidRDefault="00DE7AF3" w:rsidP="00B820A8">
      <w:r w:rsidRPr="000B56DA">
        <w:t xml:space="preserve">The </w:t>
      </w:r>
      <w:r w:rsidR="00EC12D9">
        <w:t>C</w:t>
      </w:r>
      <w:r w:rsidR="00EC12D9" w:rsidRPr="000B56DA">
        <w:t xml:space="preserve">ommittee </w:t>
      </w:r>
      <w:r w:rsidRPr="000B56DA">
        <w:t xml:space="preserve">considered the comments received during the </w:t>
      </w:r>
      <w:r w:rsidR="00420791">
        <w:t>O</w:t>
      </w:r>
      <w:r w:rsidRPr="000B56DA">
        <w:t xml:space="preserve">pen </w:t>
      </w:r>
      <w:r w:rsidR="00420791">
        <w:t>H</w:t>
      </w:r>
      <w:r w:rsidRPr="000B56DA">
        <w:t xml:space="preserve">earings and </w:t>
      </w:r>
      <w:r w:rsidRPr="00456FCB">
        <w:t xml:space="preserve">agreed </w:t>
      </w:r>
      <w:r>
        <w:t>with</w:t>
      </w:r>
      <w:r w:rsidRPr="000B56DA">
        <w:t xml:space="preserve"> the </w:t>
      </w:r>
      <w:r>
        <w:t xml:space="preserve">recommendation to amend the Units of Mass table on </w:t>
      </w:r>
      <w:r w:rsidRPr="00D66A9B">
        <w:t xml:space="preserve">page C-19 of </w:t>
      </w:r>
      <w:r w:rsidRPr="00595572">
        <w:t>NIST Handbook 44</w:t>
      </w:r>
      <w:r w:rsidR="00AA76AD">
        <w:t>,</w:t>
      </w:r>
      <w:r w:rsidRPr="00595572">
        <w:t xml:space="preserve"> Appendix C</w:t>
      </w:r>
      <w:r w:rsidRPr="00D66A9B">
        <w:t xml:space="preserve"> </w:t>
      </w:r>
      <w:r>
        <w:t xml:space="preserve">as </w:t>
      </w:r>
      <w:r w:rsidRPr="000B56DA">
        <w:t>shown in Item Under Consideration</w:t>
      </w:r>
      <w:r w:rsidR="00B820A8">
        <w:t xml:space="preserve">.  </w:t>
      </w:r>
      <w:r w:rsidRPr="0033607C">
        <w:rPr>
          <w:rFonts w:cs="Times New Roman"/>
        </w:rPr>
        <w:t xml:space="preserve">The </w:t>
      </w:r>
      <w:r w:rsidR="00EC12D9">
        <w:rPr>
          <w:rFonts w:cs="Times New Roman"/>
        </w:rPr>
        <w:t>C</w:t>
      </w:r>
      <w:r w:rsidR="00EC12D9" w:rsidRPr="0033607C">
        <w:rPr>
          <w:rFonts w:cs="Times New Roman"/>
        </w:rPr>
        <w:t xml:space="preserve">ommittee </w:t>
      </w:r>
      <w:r w:rsidRPr="000B56DA">
        <w:rPr>
          <w:rFonts w:cs="Times New Roman"/>
          <w:szCs w:val="20"/>
        </w:rPr>
        <w:t>agreed that additional work is needed on this item</w:t>
      </w:r>
      <w:r w:rsidR="00B820A8">
        <w:rPr>
          <w:rFonts w:cs="Times New Roman"/>
          <w:szCs w:val="20"/>
        </w:rPr>
        <w:t>.</w:t>
      </w:r>
      <w:r w:rsidRPr="000B56DA">
        <w:rPr>
          <w:rFonts w:cs="Times New Roman"/>
          <w:szCs w:val="20"/>
        </w:rPr>
        <w:t xml:space="preserve"> </w:t>
      </w:r>
      <w:r w:rsidR="00B820A8">
        <w:rPr>
          <w:rFonts w:cs="Times New Roman"/>
          <w:szCs w:val="20"/>
        </w:rPr>
        <w:t xml:space="preserve"> </w:t>
      </w:r>
      <w:r>
        <w:rPr>
          <w:rFonts w:cs="Times New Roman"/>
          <w:szCs w:val="20"/>
        </w:rPr>
        <w:t xml:space="preserve">The </w:t>
      </w:r>
      <w:r w:rsidR="00EC12D9">
        <w:rPr>
          <w:rFonts w:cs="Times New Roman"/>
          <w:szCs w:val="20"/>
        </w:rPr>
        <w:t>C</w:t>
      </w:r>
      <w:r w:rsidR="00EC12D9" w:rsidRPr="000B56DA">
        <w:rPr>
          <w:rFonts w:cs="Times New Roman"/>
          <w:szCs w:val="20"/>
        </w:rPr>
        <w:t xml:space="preserve">ommittee </w:t>
      </w:r>
      <w:r w:rsidRPr="000B56DA">
        <w:rPr>
          <w:rFonts w:cs="Times New Roman"/>
          <w:szCs w:val="20"/>
        </w:rPr>
        <w:t xml:space="preserve">asked the NIST Technical Advisors to undertake a review of the references in </w:t>
      </w:r>
      <w:r w:rsidRPr="00595572">
        <w:rPr>
          <w:rFonts w:cs="Times New Roman"/>
          <w:szCs w:val="20"/>
        </w:rPr>
        <w:t>NIST Handbook 44</w:t>
      </w:r>
      <w:r w:rsidRPr="000B56DA">
        <w:rPr>
          <w:rFonts w:cs="Times New Roman"/>
          <w:szCs w:val="20"/>
        </w:rPr>
        <w:t xml:space="preserve">, the Canadian requirements, and </w:t>
      </w:r>
      <w:r w:rsidRPr="00595572">
        <w:rPr>
          <w:rFonts w:cs="Times New Roman"/>
          <w:szCs w:val="20"/>
        </w:rPr>
        <w:t>NCWM Publication 14</w:t>
      </w:r>
      <w:r w:rsidRPr="000B56DA">
        <w:rPr>
          <w:rFonts w:cs="Times New Roman"/>
          <w:szCs w:val="20"/>
        </w:rPr>
        <w:t xml:space="preserve">, and identify any additional changes that might be needed to ensure consistency. </w:t>
      </w:r>
      <w:r>
        <w:rPr>
          <w:rFonts w:cs="Times New Roman"/>
          <w:szCs w:val="20"/>
        </w:rPr>
        <w:t xml:space="preserve"> </w:t>
      </w:r>
      <w:r w:rsidRPr="000B56DA">
        <w:rPr>
          <w:rFonts w:cs="Times New Roman"/>
          <w:szCs w:val="20"/>
        </w:rPr>
        <w:t>Additionally, t</w:t>
      </w:r>
      <w:r>
        <w:rPr>
          <w:rFonts w:cs="Times New Roman"/>
          <w:szCs w:val="20"/>
        </w:rPr>
        <w:t xml:space="preserve">he </w:t>
      </w:r>
      <w:r w:rsidR="00EC12D9">
        <w:rPr>
          <w:rFonts w:cs="Times New Roman"/>
          <w:szCs w:val="20"/>
        </w:rPr>
        <w:t>C</w:t>
      </w:r>
      <w:r w:rsidR="00EC12D9" w:rsidRPr="00F87C20">
        <w:rPr>
          <w:rFonts w:cs="Times New Roman"/>
          <w:szCs w:val="20"/>
        </w:rPr>
        <w:t xml:space="preserve">ommittee </w:t>
      </w:r>
      <w:r w:rsidRPr="003A556A">
        <w:rPr>
          <w:rFonts w:cs="Times New Roman"/>
          <w:szCs w:val="20"/>
        </w:rPr>
        <w:t xml:space="preserve">is seeking input from the </w:t>
      </w:r>
      <w:r w:rsidR="00420791">
        <w:rPr>
          <w:rFonts w:cs="Times New Roman"/>
          <w:szCs w:val="20"/>
        </w:rPr>
        <w:t>c</w:t>
      </w:r>
      <w:r w:rsidRPr="003A556A">
        <w:rPr>
          <w:rFonts w:cs="Times New Roman"/>
          <w:szCs w:val="20"/>
        </w:rPr>
        <w:t xml:space="preserve">ommunity on the impact that </w:t>
      </w:r>
      <w:r w:rsidRPr="00CF5434">
        <w:rPr>
          <w:rFonts w:cs="Times New Roman"/>
          <w:szCs w:val="20"/>
        </w:rPr>
        <w:t>this item might have on existing scales in the marketplace.</w:t>
      </w:r>
      <w:r w:rsidR="00B820A8">
        <w:rPr>
          <w:rFonts w:cs="Times New Roman"/>
          <w:szCs w:val="20"/>
        </w:rPr>
        <w:t xml:space="preserve"> </w:t>
      </w:r>
      <w:r w:rsidRPr="00CF5434">
        <w:rPr>
          <w:rFonts w:cs="Times New Roman"/>
          <w:szCs w:val="20"/>
        </w:rPr>
        <w:t xml:space="preserve"> </w:t>
      </w:r>
      <w:r w:rsidR="00B820A8" w:rsidRPr="006273B2">
        <w:rPr>
          <w:rFonts w:cs="Times New Roman"/>
        </w:rPr>
        <w:t>The 20</w:t>
      </w:r>
      <w:r w:rsidR="00B820A8">
        <w:rPr>
          <w:rFonts w:cs="Times New Roman"/>
        </w:rPr>
        <w:t>12</w:t>
      </w:r>
      <w:r w:rsidR="00B820A8" w:rsidRPr="006273B2">
        <w:rPr>
          <w:rFonts w:cs="Times New Roman"/>
        </w:rPr>
        <w:t xml:space="preserve"> </w:t>
      </w:r>
      <w:r w:rsidR="00B820A8">
        <w:rPr>
          <w:rFonts w:cs="Times New Roman"/>
        </w:rPr>
        <w:t>S&amp;T</w:t>
      </w:r>
      <w:r w:rsidR="00B820A8" w:rsidRPr="006273B2">
        <w:rPr>
          <w:rFonts w:cs="Times New Roman"/>
        </w:rPr>
        <w:t xml:space="preserve"> Committee designated this item as an Informational Item</w:t>
      </w:r>
      <w:r w:rsidR="00B820A8">
        <w:rPr>
          <w:rFonts w:cs="Times New Roman"/>
        </w:rPr>
        <w:t>.</w:t>
      </w:r>
    </w:p>
    <w:p w:rsidR="00DE7AF3" w:rsidRPr="00C27787" w:rsidRDefault="00DE7AF3" w:rsidP="00595572">
      <w:pPr>
        <w:spacing w:after="200"/>
        <w:rPr>
          <w:rFonts w:cs="Times New Roman"/>
          <w:i/>
          <w:szCs w:val="20"/>
        </w:rPr>
      </w:pPr>
      <w:r w:rsidRPr="00420791">
        <w:rPr>
          <w:rFonts w:cs="Times New Roman"/>
          <w:i/>
          <w:szCs w:val="20"/>
        </w:rPr>
        <w:t xml:space="preserve">Technical Advisors </w:t>
      </w:r>
      <w:r w:rsidR="00420791">
        <w:rPr>
          <w:rFonts w:cs="Times New Roman"/>
          <w:i/>
          <w:szCs w:val="20"/>
        </w:rPr>
        <w:t>N</w:t>
      </w:r>
      <w:r w:rsidRPr="00420791">
        <w:rPr>
          <w:rFonts w:cs="Times New Roman"/>
          <w:i/>
          <w:szCs w:val="20"/>
        </w:rPr>
        <w:t>ote:</w:t>
      </w:r>
      <w:r w:rsidR="004966C6">
        <w:rPr>
          <w:rFonts w:cs="Times New Roman"/>
          <w:i/>
          <w:szCs w:val="20"/>
        </w:rPr>
        <w:t xml:space="preserve"> </w:t>
      </w:r>
      <w:r w:rsidR="00420791">
        <w:rPr>
          <w:rFonts w:cs="Times New Roman"/>
          <w:i/>
          <w:szCs w:val="20"/>
        </w:rPr>
        <w:t xml:space="preserve"> </w:t>
      </w:r>
      <w:r w:rsidRPr="00C27787">
        <w:rPr>
          <w:rFonts w:cs="Times New Roman"/>
          <w:i/>
          <w:szCs w:val="20"/>
        </w:rPr>
        <w:t>After the 201</w:t>
      </w:r>
      <w:r w:rsidR="007C5108">
        <w:rPr>
          <w:rFonts w:cs="Times New Roman"/>
          <w:i/>
          <w:szCs w:val="20"/>
        </w:rPr>
        <w:t>2</w:t>
      </w:r>
      <w:r w:rsidRPr="00C27787">
        <w:rPr>
          <w:rFonts w:cs="Times New Roman"/>
          <w:i/>
          <w:szCs w:val="20"/>
        </w:rPr>
        <w:t xml:space="preserve"> NCWM Interim meeting had concluded, </w:t>
      </w:r>
      <w:r w:rsidR="00420791">
        <w:rPr>
          <w:rFonts w:cs="Times New Roman"/>
          <w:i/>
          <w:szCs w:val="20"/>
        </w:rPr>
        <w:t xml:space="preserve">NIST, </w:t>
      </w:r>
      <w:r w:rsidRPr="00C27787">
        <w:rPr>
          <w:rFonts w:cs="Times New Roman"/>
          <w:i/>
          <w:szCs w:val="20"/>
        </w:rPr>
        <w:t xml:space="preserve">OWM in reviewing summary comments from the 2011 SWMA fall meeting, discovered an additional reference on page C-6 of Appendix C, NIST </w:t>
      </w:r>
      <w:r w:rsidR="00AA76AD" w:rsidRPr="00C27787">
        <w:rPr>
          <w:rFonts w:cs="Times New Roman"/>
          <w:i/>
          <w:szCs w:val="20"/>
        </w:rPr>
        <w:t>Handbook</w:t>
      </w:r>
      <w:r w:rsidR="00AA76AD">
        <w:rPr>
          <w:rFonts w:cs="Times New Roman"/>
          <w:i/>
          <w:szCs w:val="20"/>
        </w:rPr>
        <w:t> </w:t>
      </w:r>
      <w:r w:rsidRPr="00C27787">
        <w:rPr>
          <w:rFonts w:cs="Times New Roman"/>
          <w:i/>
          <w:szCs w:val="20"/>
        </w:rPr>
        <w:t>44</w:t>
      </w:r>
      <w:r w:rsidR="007C5108">
        <w:rPr>
          <w:rFonts w:cs="Times New Roman"/>
          <w:i/>
          <w:szCs w:val="20"/>
        </w:rPr>
        <w:t>,</w:t>
      </w:r>
      <w:r w:rsidRPr="00C27787">
        <w:rPr>
          <w:rFonts w:cs="Times New Roman"/>
          <w:i/>
          <w:szCs w:val="20"/>
        </w:rPr>
        <w:t xml:space="preserve"> that SWMA had identified as needing to be changed in order to be consistent with the change proposed in</w:t>
      </w:r>
      <w:r w:rsidR="00420791">
        <w:rPr>
          <w:rFonts w:cs="Times New Roman"/>
          <w:i/>
          <w:szCs w:val="20"/>
        </w:rPr>
        <w:t xml:space="preserve"> the Item Under Consideration. </w:t>
      </w:r>
      <w:r w:rsidRPr="00C27787">
        <w:rPr>
          <w:rFonts w:cs="Times New Roman"/>
          <w:i/>
          <w:szCs w:val="20"/>
        </w:rPr>
        <w:t xml:space="preserve"> </w:t>
      </w:r>
      <w:r w:rsidR="00420791">
        <w:rPr>
          <w:rFonts w:cs="Times New Roman"/>
          <w:i/>
          <w:szCs w:val="20"/>
        </w:rPr>
        <w:t xml:space="preserve">NIST, </w:t>
      </w:r>
      <w:r w:rsidRPr="00C27787">
        <w:rPr>
          <w:rFonts w:cs="Times New Roman"/>
          <w:i/>
          <w:szCs w:val="20"/>
        </w:rPr>
        <w:t xml:space="preserve">OWM suggests </w:t>
      </w:r>
      <w:r w:rsidR="00B820A8">
        <w:rPr>
          <w:rFonts w:cs="Times New Roman"/>
          <w:i/>
          <w:szCs w:val="20"/>
        </w:rPr>
        <w:t xml:space="preserve">that </w:t>
      </w:r>
      <w:r w:rsidRPr="00C27787">
        <w:rPr>
          <w:rFonts w:cs="Times New Roman"/>
          <w:i/>
          <w:szCs w:val="20"/>
        </w:rPr>
        <w:t xml:space="preserve">the following change be made for future consideration of this item:  </w:t>
      </w:r>
    </w:p>
    <w:p w:rsidR="00DE7AF3" w:rsidRDefault="00DE7AF3" w:rsidP="00DE7AF3">
      <w:pPr>
        <w:rPr>
          <w:rFonts w:cs="Times New Roman"/>
          <w:szCs w:val="20"/>
        </w:rPr>
      </w:pPr>
      <w:r>
        <w:rPr>
          <w:rFonts w:cs="Times New Roman"/>
          <w:szCs w:val="20"/>
        </w:rPr>
        <w:t xml:space="preserve">Amend the abbreviation “t” representing the “net” or “short” ton on page C-6 of </w:t>
      </w:r>
      <w:r w:rsidRPr="00D419EE">
        <w:rPr>
          <w:rFonts w:cs="Times New Roman"/>
          <w:szCs w:val="20"/>
        </w:rPr>
        <w:t>NIST Handbook 44</w:t>
      </w:r>
      <w:r w:rsidR="00AA76AD">
        <w:rPr>
          <w:rFonts w:cs="Times New Roman"/>
          <w:szCs w:val="20"/>
        </w:rPr>
        <w:t>,</w:t>
      </w:r>
      <w:r>
        <w:rPr>
          <w:rFonts w:cs="Times New Roman"/>
          <w:szCs w:val="20"/>
        </w:rPr>
        <w:t xml:space="preserve"> Appendix C to “tn” as follows:  </w:t>
      </w:r>
    </w:p>
    <w:p w:rsidR="00DE7AF3" w:rsidRPr="0033607C" w:rsidRDefault="00DE7AF3" w:rsidP="00AA76AD">
      <w:pPr>
        <w:keepNext/>
        <w:keepLines/>
        <w:spacing w:before="120"/>
        <w:jc w:val="center"/>
        <w:outlineLvl w:val="2"/>
        <w:rPr>
          <w:rFonts w:ascii="Times New Roman Bold" w:eastAsia="Times New Roman" w:hAnsi="Times New Roman Bold" w:cs="Times New Roman"/>
          <w:b/>
          <w:bCs/>
          <w:sz w:val="24"/>
          <w:szCs w:val="20"/>
          <w:vertAlign w:val="superscript"/>
        </w:rPr>
      </w:pPr>
      <w:bookmarkStart w:id="16" w:name="_Toc271020589"/>
      <w:r w:rsidRPr="00757231">
        <w:rPr>
          <w:rFonts w:eastAsia="Times New Roman" w:cs="Times New Roman"/>
          <w:b/>
          <w:bCs/>
          <w:szCs w:val="20"/>
        </w:rPr>
        <w:t>Avoirdupois Units of Mass</w:t>
      </w:r>
      <w:bookmarkEnd w:id="16"/>
      <w:r>
        <w:rPr>
          <w:rFonts w:ascii="Times New Roman Bold" w:eastAsia="Times New Roman" w:hAnsi="Times New Roman Bold" w:cs="Times New Roman"/>
          <w:b/>
          <w:bCs/>
          <w:szCs w:val="20"/>
          <w:vertAlign w:val="superscript"/>
        </w:rPr>
        <w:t>6</w:t>
      </w:r>
    </w:p>
    <w:p w:rsidR="00DE7AF3" w:rsidRDefault="00DE7AF3" w:rsidP="00595572">
      <w:pPr>
        <w:keepNext/>
        <w:keepLines/>
        <w:jc w:val="center"/>
        <w:rPr>
          <w:rFonts w:eastAsia="Times New Roman" w:cs="Times New Roman"/>
          <w:szCs w:val="20"/>
        </w:rPr>
      </w:pPr>
      <w:r w:rsidRPr="00757231">
        <w:rPr>
          <w:rFonts w:eastAsia="Times New Roman" w:cs="Times New Roman"/>
          <w:szCs w:val="20"/>
        </w:rPr>
        <w:t>[The “grain” is the same in avoirdupois, troy, and apothecaries units of mass.]</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788"/>
        <w:gridCol w:w="4788"/>
      </w:tblGrid>
      <w:tr w:rsidR="00420791" w:rsidTr="00110D23">
        <w:tc>
          <w:tcPr>
            <w:tcW w:w="4788" w:type="dxa"/>
          </w:tcPr>
          <w:p w:rsidR="00420791" w:rsidRDefault="00420791" w:rsidP="00AA76AD">
            <w:pPr>
              <w:pStyle w:val="TableText"/>
              <w:keepNext/>
              <w:keepLines/>
              <w:spacing w:after="0"/>
            </w:pPr>
            <w:r w:rsidRPr="00757231">
              <w:t xml:space="preserve">1 µlb </w:t>
            </w:r>
          </w:p>
        </w:tc>
        <w:tc>
          <w:tcPr>
            <w:tcW w:w="4788" w:type="dxa"/>
          </w:tcPr>
          <w:p w:rsidR="00420791" w:rsidRDefault="00420791" w:rsidP="00AA76AD">
            <w:pPr>
              <w:pStyle w:val="TableText"/>
              <w:keepNext/>
              <w:keepLines/>
              <w:spacing w:after="0"/>
            </w:pPr>
            <w:r w:rsidRPr="00757231">
              <w:t>= 0.000 001 pound (lb)</w:t>
            </w:r>
          </w:p>
        </w:tc>
      </w:tr>
      <w:tr w:rsidR="00420791" w:rsidTr="00110D23">
        <w:tc>
          <w:tcPr>
            <w:tcW w:w="4788" w:type="dxa"/>
          </w:tcPr>
          <w:p w:rsidR="00420791" w:rsidRDefault="00420791" w:rsidP="00D419EE">
            <w:pPr>
              <w:pStyle w:val="TableText"/>
              <w:spacing w:after="0"/>
            </w:pPr>
            <w:r w:rsidRPr="00757231">
              <w:t>27</w:t>
            </w:r>
            <w:r w:rsidRPr="00757231">
              <w:rPr>
                <w:spacing w:val="-10"/>
                <w:sz w:val="18"/>
                <w:szCs w:val="18"/>
                <w:vertAlign w:val="superscript"/>
              </w:rPr>
              <w:t>11</w:t>
            </w:r>
            <w:r w:rsidRPr="00757231">
              <w:rPr>
                <w:spacing w:val="-10"/>
              </w:rPr>
              <w:t>/</w:t>
            </w:r>
            <w:r w:rsidRPr="00757231">
              <w:rPr>
                <w:spacing w:val="-10"/>
                <w:sz w:val="14"/>
                <w:szCs w:val="14"/>
              </w:rPr>
              <w:t>32</w:t>
            </w:r>
            <w:r w:rsidRPr="00757231">
              <w:t> grains (gr)</w:t>
            </w:r>
          </w:p>
        </w:tc>
        <w:tc>
          <w:tcPr>
            <w:tcW w:w="4788" w:type="dxa"/>
          </w:tcPr>
          <w:p w:rsidR="00420791" w:rsidRDefault="00420791" w:rsidP="00AA76AD">
            <w:pPr>
              <w:pStyle w:val="TableText"/>
              <w:spacing w:after="0"/>
              <w:rPr>
                <w:b/>
              </w:rPr>
            </w:pPr>
            <w:r w:rsidRPr="00757231">
              <w:t>= 1 dram (dr)</w:t>
            </w:r>
          </w:p>
        </w:tc>
      </w:tr>
      <w:tr w:rsidR="00D419EE" w:rsidTr="00110D23">
        <w:trPr>
          <w:trHeight w:val="576"/>
        </w:trPr>
        <w:tc>
          <w:tcPr>
            <w:tcW w:w="4788" w:type="dxa"/>
          </w:tcPr>
          <w:p w:rsidR="00D419EE" w:rsidRDefault="00D419EE" w:rsidP="00D419EE">
            <w:pPr>
              <w:pStyle w:val="TableText"/>
              <w:spacing w:after="0"/>
              <w:rPr>
                <w:b/>
              </w:rPr>
            </w:pPr>
            <w:r w:rsidRPr="00757231">
              <w:t>16 drams</w:t>
            </w:r>
          </w:p>
        </w:tc>
        <w:tc>
          <w:tcPr>
            <w:tcW w:w="4788" w:type="dxa"/>
          </w:tcPr>
          <w:p w:rsidR="00D419EE" w:rsidRDefault="00D419EE" w:rsidP="00D419EE">
            <w:pPr>
              <w:pStyle w:val="TableText"/>
              <w:spacing w:after="0"/>
              <w:rPr>
                <w:b/>
              </w:rPr>
            </w:pPr>
            <w:r w:rsidRPr="00757231">
              <w:t>= 1 ounce (oz)</w:t>
            </w:r>
          </w:p>
          <w:p w:rsidR="00D419EE" w:rsidRDefault="00D419EE" w:rsidP="00AA76AD">
            <w:pPr>
              <w:pStyle w:val="TableText"/>
              <w:spacing w:after="0"/>
              <w:rPr>
                <w:b/>
              </w:rPr>
            </w:pPr>
            <w:r w:rsidRPr="00757231">
              <w:t>= 437½ grains</w:t>
            </w:r>
          </w:p>
        </w:tc>
      </w:tr>
      <w:tr w:rsidR="00D419EE" w:rsidTr="00110D23">
        <w:trPr>
          <w:trHeight w:val="734"/>
        </w:trPr>
        <w:tc>
          <w:tcPr>
            <w:tcW w:w="4788" w:type="dxa"/>
          </w:tcPr>
          <w:p w:rsidR="00D419EE" w:rsidRDefault="00D419EE" w:rsidP="00D419EE">
            <w:pPr>
              <w:pStyle w:val="TableText"/>
              <w:spacing w:after="0"/>
              <w:rPr>
                <w:b/>
              </w:rPr>
            </w:pPr>
            <w:r w:rsidRPr="00757231">
              <w:t>16 ounces</w:t>
            </w:r>
          </w:p>
        </w:tc>
        <w:tc>
          <w:tcPr>
            <w:tcW w:w="4788" w:type="dxa"/>
          </w:tcPr>
          <w:p w:rsidR="00D419EE" w:rsidRDefault="00D419EE" w:rsidP="00D419EE">
            <w:pPr>
              <w:pStyle w:val="TableText"/>
              <w:spacing w:after="0"/>
              <w:rPr>
                <w:b/>
              </w:rPr>
            </w:pPr>
            <w:r w:rsidRPr="00757231">
              <w:t>= 1 pound (lb)</w:t>
            </w:r>
          </w:p>
          <w:p w:rsidR="00D419EE" w:rsidRDefault="00D419EE" w:rsidP="00D419EE">
            <w:pPr>
              <w:pStyle w:val="TableText"/>
              <w:spacing w:after="0"/>
              <w:rPr>
                <w:b/>
              </w:rPr>
            </w:pPr>
            <w:r w:rsidRPr="00757231">
              <w:t>= 256 drams</w:t>
            </w:r>
          </w:p>
          <w:p w:rsidR="00D419EE" w:rsidRDefault="00D419EE" w:rsidP="00AA76AD">
            <w:pPr>
              <w:pStyle w:val="TableText"/>
              <w:spacing w:after="0"/>
              <w:rPr>
                <w:b/>
              </w:rPr>
            </w:pPr>
            <w:r w:rsidRPr="00757231">
              <w:t>= 7000 grains</w:t>
            </w:r>
          </w:p>
        </w:tc>
      </w:tr>
      <w:tr w:rsidR="00420791" w:rsidTr="00110D23">
        <w:tc>
          <w:tcPr>
            <w:tcW w:w="4788" w:type="dxa"/>
          </w:tcPr>
          <w:p w:rsidR="00420791" w:rsidRDefault="00420791" w:rsidP="00D419EE">
            <w:pPr>
              <w:pStyle w:val="TableText"/>
              <w:spacing w:after="0"/>
            </w:pPr>
            <w:r>
              <w:t>100 pounds</w:t>
            </w:r>
          </w:p>
        </w:tc>
        <w:tc>
          <w:tcPr>
            <w:tcW w:w="4788" w:type="dxa"/>
          </w:tcPr>
          <w:p w:rsidR="00420791" w:rsidRPr="00757231" w:rsidRDefault="00420791" w:rsidP="00AA76AD">
            <w:pPr>
              <w:pStyle w:val="TableText"/>
              <w:spacing w:after="0"/>
              <w:rPr>
                <w:b/>
              </w:rPr>
            </w:pPr>
            <w:r>
              <w:t>= 1 hundredweight (cwt)</w:t>
            </w:r>
            <w:r w:rsidRPr="004D64BF">
              <w:rPr>
                <w:vertAlign w:val="superscript"/>
              </w:rPr>
              <w:t>7</w:t>
            </w:r>
          </w:p>
        </w:tc>
      </w:tr>
      <w:tr w:rsidR="00D419EE" w:rsidTr="00110D23">
        <w:trPr>
          <w:trHeight w:val="473"/>
        </w:trPr>
        <w:tc>
          <w:tcPr>
            <w:tcW w:w="4788" w:type="dxa"/>
          </w:tcPr>
          <w:p w:rsidR="00D419EE" w:rsidRDefault="00D419EE" w:rsidP="00D419EE">
            <w:pPr>
              <w:pStyle w:val="TableText"/>
              <w:spacing w:after="0"/>
              <w:rPr>
                <w:b/>
              </w:rPr>
            </w:pPr>
            <w:r w:rsidRPr="00757231">
              <w:t>20 hundredweights</w:t>
            </w:r>
          </w:p>
        </w:tc>
        <w:tc>
          <w:tcPr>
            <w:tcW w:w="4788" w:type="dxa"/>
          </w:tcPr>
          <w:p w:rsidR="00D419EE" w:rsidRDefault="00D419EE" w:rsidP="00D419EE">
            <w:pPr>
              <w:pStyle w:val="TableText"/>
              <w:spacing w:after="0"/>
              <w:rPr>
                <w:b/>
              </w:rPr>
            </w:pPr>
            <w:r w:rsidRPr="00757231">
              <w:t>= 1 ton (t</w:t>
            </w:r>
            <w:r w:rsidRPr="004D64BF">
              <w:t>n</w:t>
            </w:r>
            <w:r w:rsidRPr="00757231">
              <w:t>)</w:t>
            </w:r>
          </w:p>
          <w:p w:rsidR="00D419EE" w:rsidRDefault="00D419EE" w:rsidP="00AA76AD">
            <w:pPr>
              <w:pStyle w:val="TableText"/>
              <w:spacing w:after="0"/>
              <w:rPr>
                <w:b/>
              </w:rPr>
            </w:pPr>
            <w:r w:rsidRPr="00757231">
              <w:t>= 2000 pounds</w:t>
            </w:r>
            <w:r w:rsidRPr="00757231">
              <w:rPr>
                <w:vertAlign w:val="superscript"/>
              </w:rPr>
              <w:t>7</w:t>
            </w:r>
          </w:p>
        </w:tc>
      </w:tr>
    </w:tbl>
    <w:p w:rsidR="00DE7AF3" w:rsidRDefault="00420791" w:rsidP="00D419EE">
      <w:pPr>
        <w:keepNext/>
        <w:spacing w:before="240"/>
        <w:rPr>
          <w:rFonts w:eastAsia="Times New Roman" w:cs="Times New Roman"/>
          <w:szCs w:val="20"/>
        </w:rPr>
      </w:pPr>
      <w:r w:rsidRPr="00757231">
        <w:rPr>
          <w:rFonts w:eastAsia="Times New Roman" w:cs="Times New Roman"/>
          <w:szCs w:val="20"/>
        </w:rPr>
        <w:lastRenderedPageBreak/>
        <w:t>In “gross” or “long” measure, the following values are recognized:</w:t>
      </w:r>
    </w:p>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4788"/>
        <w:gridCol w:w="4788"/>
      </w:tblGrid>
      <w:tr w:rsidR="00420791" w:rsidTr="00595572">
        <w:tc>
          <w:tcPr>
            <w:tcW w:w="4788" w:type="dxa"/>
            <w:vAlign w:val="bottom"/>
          </w:tcPr>
          <w:p w:rsidR="00420791" w:rsidRPr="00757231" w:rsidRDefault="00420791" w:rsidP="00AA76AD">
            <w:pPr>
              <w:pStyle w:val="TableText"/>
              <w:keepNext/>
              <w:spacing w:after="0"/>
            </w:pPr>
            <w:r>
              <w:t>112 pounds (lb)</w:t>
            </w:r>
          </w:p>
        </w:tc>
        <w:tc>
          <w:tcPr>
            <w:tcW w:w="4788" w:type="dxa"/>
          </w:tcPr>
          <w:p w:rsidR="00420791" w:rsidRPr="00757231" w:rsidRDefault="00420791" w:rsidP="00AA76AD">
            <w:pPr>
              <w:pStyle w:val="TableText"/>
              <w:keepNext/>
              <w:spacing w:after="0"/>
            </w:pPr>
            <w:r>
              <w:t>= 1 gross or long hundredweight (cwt)</w:t>
            </w:r>
            <w:r w:rsidRPr="004D64BF">
              <w:rPr>
                <w:vertAlign w:val="superscript"/>
              </w:rPr>
              <w:t>7</w:t>
            </w:r>
          </w:p>
        </w:tc>
      </w:tr>
      <w:tr w:rsidR="00D419EE" w:rsidTr="00110D23">
        <w:trPr>
          <w:trHeight w:val="473"/>
        </w:trPr>
        <w:tc>
          <w:tcPr>
            <w:tcW w:w="4788" w:type="dxa"/>
          </w:tcPr>
          <w:p w:rsidR="00D419EE" w:rsidRDefault="00D419EE" w:rsidP="00AA76AD">
            <w:pPr>
              <w:pStyle w:val="TableText"/>
              <w:keepNext/>
              <w:spacing w:after="0"/>
            </w:pPr>
            <w:r w:rsidRPr="00757231">
              <w:t>20 gross or long hundredweights</w:t>
            </w:r>
          </w:p>
        </w:tc>
        <w:tc>
          <w:tcPr>
            <w:tcW w:w="4788" w:type="dxa"/>
          </w:tcPr>
          <w:p w:rsidR="00D419EE" w:rsidRDefault="00D419EE" w:rsidP="00D419EE">
            <w:pPr>
              <w:pStyle w:val="TableText"/>
              <w:keepNext/>
              <w:spacing w:after="0"/>
              <w:rPr>
                <w:b/>
              </w:rPr>
            </w:pPr>
            <w:r w:rsidRPr="00757231">
              <w:t>= 1 gross or long ton</w:t>
            </w:r>
          </w:p>
          <w:p w:rsidR="00D419EE" w:rsidRDefault="00D419EE" w:rsidP="00AA76AD">
            <w:pPr>
              <w:pStyle w:val="TableText"/>
              <w:spacing w:after="0"/>
              <w:rPr>
                <w:b/>
              </w:rPr>
            </w:pPr>
            <w:r w:rsidRPr="004D64BF">
              <w:t>= 2240 pounds</w:t>
            </w:r>
          </w:p>
        </w:tc>
      </w:tr>
    </w:tbl>
    <w:p w:rsidR="00693E42" w:rsidRPr="00693E42" w:rsidRDefault="00693E42" w:rsidP="00595572">
      <w:pPr>
        <w:spacing w:before="240" w:after="120"/>
        <w:rPr>
          <w:b/>
          <w:sz w:val="18"/>
          <w:vertAlign w:val="superscript"/>
        </w:rPr>
      </w:pPr>
      <w:r w:rsidRPr="00693E42">
        <w:rPr>
          <w:b/>
          <w:sz w:val="18"/>
          <w:vertAlign w:val="superscript"/>
        </w:rPr>
        <w:t>FOOTNOTES:</w:t>
      </w:r>
    </w:p>
    <w:p w:rsidR="00420791" w:rsidRPr="004D64BF" w:rsidRDefault="00420791" w:rsidP="00693E42">
      <w:pPr>
        <w:spacing w:before="120"/>
        <w:rPr>
          <w:sz w:val="18"/>
        </w:rPr>
      </w:pPr>
      <w:r w:rsidRPr="004D64BF">
        <w:rPr>
          <w:sz w:val="18"/>
          <w:vertAlign w:val="superscript"/>
        </w:rPr>
        <w:t>6</w:t>
      </w:r>
      <w:r w:rsidR="004D64BF" w:rsidRPr="004D64BF">
        <w:rPr>
          <w:sz w:val="18"/>
          <w:vertAlign w:val="superscript"/>
        </w:rPr>
        <w:t xml:space="preserve"> </w:t>
      </w:r>
      <w:r w:rsidRPr="004D64BF">
        <w:rPr>
          <w:sz w:val="18"/>
        </w:rPr>
        <w:t xml:space="preserve">When necessary to distinguish the </w:t>
      </w:r>
      <w:r w:rsidRPr="004D64BF">
        <w:rPr>
          <w:b/>
          <w:sz w:val="18"/>
          <w:u w:val="single"/>
        </w:rPr>
        <w:t>avoirdupois</w:t>
      </w:r>
      <w:r w:rsidRPr="004D64BF">
        <w:rPr>
          <w:sz w:val="18"/>
        </w:rPr>
        <w:t xml:space="preserve"> dram from the </w:t>
      </w:r>
      <w:r w:rsidRPr="004D64BF">
        <w:rPr>
          <w:b/>
          <w:sz w:val="18"/>
          <w:u w:val="single"/>
        </w:rPr>
        <w:t>apothecaries</w:t>
      </w:r>
      <w:r w:rsidRPr="004D64BF">
        <w:rPr>
          <w:sz w:val="18"/>
        </w:rPr>
        <w:t xml:space="preserve"> dram, or to distinguish the </w:t>
      </w:r>
      <w:r w:rsidRPr="004D64BF">
        <w:rPr>
          <w:b/>
          <w:sz w:val="18"/>
          <w:u w:val="single"/>
        </w:rPr>
        <w:t>avoirdupois</w:t>
      </w:r>
      <w:r w:rsidRPr="004D64BF">
        <w:rPr>
          <w:sz w:val="18"/>
        </w:rPr>
        <w:t xml:space="preserve"> dram or ounce from the </w:t>
      </w:r>
      <w:r w:rsidRPr="004D64BF">
        <w:rPr>
          <w:b/>
          <w:sz w:val="18"/>
          <w:u w:val="single"/>
        </w:rPr>
        <w:t>fluid</w:t>
      </w:r>
      <w:r w:rsidRPr="004D64BF">
        <w:rPr>
          <w:sz w:val="18"/>
        </w:rPr>
        <w:t xml:space="preserve"> dram or ounce, or to distinguish the avoirdupois ounce or pound from the </w:t>
      </w:r>
      <w:r w:rsidRPr="004D64BF">
        <w:rPr>
          <w:b/>
          <w:sz w:val="18"/>
          <w:u w:val="single"/>
        </w:rPr>
        <w:t>troy</w:t>
      </w:r>
      <w:r w:rsidRPr="004D64BF">
        <w:rPr>
          <w:sz w:val="18"/>
        </w:rPr>
        <w:t xml:space="preserve"> or </w:t>
      </w:r>
      <w:r w:rsidRPr="004D64BF">
        <w:rPr>
          <w:b/>
          <w:sz w:val="18"/>
          <w:u w:val="single"/>
        </w:rPr>
        <w:t>apothecaries</w:t>
      </w:r>
      <w:r w:rsidRPr="004D64BF">
        <w:rPr>
          <w:sz w:val="18"/>
        </w:rPr>
        <w:t xml:space="preserve"> ounce or pound, the word “avoirdupois” or the abbreviation “avdp” should be used in combination with the name or abbreviation of the </w:t>
      </w:r>
      <w:r w:rsidRPr="004D64BF">
        <w:rPr>
          <w:b/>
          <w:sz w:val="18"/>
          <w:u w:val="single"/>
        </w:rPr>
        <w:t>avoirdupois</w:t>
      </w:r>
      <w:r w:rsidRPr="004D64BF">
        <w:rPr>
          <w:sz w:val="18"/>
        </w:rPr>
        <w:t xml:space="preserve"> unit.</w:t>
      </w:r>
    </w:p>
    <w:p w:rsidR="00420791" w:rsidRDefault="00420791" w:rsidP="004D64BF">
      <w:pPr>
        <w:rPr>
          <w:sz w:val="18"/>
        </w:rPr>
      </w:pPr>
      <w:r w:rsidRPr="004D64BF">
        <w:rPr>
          <w:sz w:val="18"/>
          <w:vertAlign w:val="superscript"/>
        </w:rPr>
        <w:t>7</w:t>
      </w:r>
      <w:r w:rsidR="004D64BF" w:rsidRPr="004D64BF">
        <w:rPr>
          <w:sz w:val="18"/>
          <w:vertAlign w:val="superscript"/>
        </w:rPr>
        <w:t xml:space="preserve"> </w:t>
      </w:r>
      <w:r w:rsidRPr="004D64BF">
        <w:rPr>
          <w:sz w:val="18"/>
        </w:rPr>
        <w:t xml:space="preserve">When the terms “hundredweight” and “ton” are used unmodified, they are commonly understood to mean the 100 pound hundredweight and the 2000-pound ton, respectively; these units may be designated “net” or “short” when necessary to distinguish them from the corresponding units in </w:t>
      </w:r>
      <w:r w:rsidRPr="004D64BF">
        <w:rPr>
          <w:b/>
          <w:sz w:val="18"/>
          <w:u w:val="single"/>
        </w:rPr>
        <w:t>gross</w:t>
      </w:r>
      <w:r w:rsidRPr="004D64BF">
        <w:rPr>
          <w:sz w:val="18"/>
        </w:rPr>
        <w:t xml:space="preserve"> or </w:t>
      </w:r>
      <w:r w:rsidRPr="004D64BF">
        <w:rPr>
          <w:b/>
          <w:sz w:val="18"/>
          <w:u w:val="single"/>
        </w:rPr>
        <w:t>long</w:t>
      </w:r>
      <w:r w:rsidRPr="004D64BF">
        <w:rPr>
          <w:sz w:val="18"/>
        </w:rPr>
        <w:t xml:space="preserve"> measure.</w:t>
      </w:r>
    </w:p>
    <w:p w:rsidR="00E7499F" w:rsidRPr="006A7579" w:rsidRDefault="00E7499F" w:rsidP="00E7499F">
      <w:r w:rsidRPr="006A7579">
        <w:t>At its 2012 Annual Meeting, NEWMA supported the item as amended at the 2012 Interim Meeting.  NEWMA questioned whether the wrong “Units of Mass” table was included in the NCWM S&amp;T Committee’s Interim Report.</w:t>
      </w:r>
    </w:p>
    <w:p w:rsidR="00E7499F" w:rsidRPr="006A7579" w:rsidRDefault="00E7499F" w:rsidP="00E7499F">
      <w:r w:rsidRPr="006A7579">
        <w:t>At its 2012 Annual Meeting, CWMA recommended that the item remain Informational.  The CWMA also recommended changing the abbreviation “t,” which refers to a “short ton,” to “tn” to avoid conflict with the recommended propo</w:t>
      </w:r>
      <w:r>
        <w:t>sal.  At that meeting Mr. Flocken</w:t>
      </w:r>
      <w:r w:rsidRPr="006A7579">
        <w:t xml:space="preserve"> supported “tn” as an acceptable abbreviation for “short ton,” but does not support “lt” as the abbreviation for “long ton;” he also suggested that the abbreviation “lt” was erroneously left in the proposal.</w:t>
      </w:r>
    </w:p>
    <w:p w:rsidR="00E7499F" w:rsidRPr="006A7579" w:rsidRDefault="00E7499F" w:rsidP="00E7499F">
      <w:r w:rsidRPr="006A7579">
        <w:t>At the 2012 NCWM Annual Meeting, the Committee acknowledged that the reference to “lt” is no longe</w:t>
      </w:r>
      <w:r>
        <w:t>r under consideration.  Mr. Flocken,</w:t>
      </w:r>
      <w:r w:rsidRPr="006A7579">
        <w:t xml:space="preserve"> speaking on behalf of SMA, reiterated the comments he made at the CWMA meeting and supported changing the item to “Informational.”</w:t>
      </w:r>
    </w:p>
    <w:p w:rsidR="00E7499F" w:rsidRPr="006A7579" w:rsidRDefault="00E7499F" w:rsidP="00E7499F">
      <w:r w:rsidRPr="006A7579">
        <w:t>Ms. Juana Williams, NIST</w:t>
      </w:r>
      <w:r w:rsidR="00EC12D9">
        <w:t>,</w:t>
      </w:r>
      <w:r w:rsidRPr="006A7579">
        <w:t xml:space="preserve"> OWM shared technical input from NIST</w:t>
      </w:r>
      <w:r w:rsidR="006272C6">
        <w:t>,</w:t>
      </w:r>
      <w:r w:rsidRPr="006A7579">
        <w:t xml:space="preserve"> OWM regarding the proposed changes.  NIST</w:t>
      </w:r>
      <w:r w:rsidR="00EC12D9">
        <w:t>,</w:t>
      </w:r>
      <w:r w:rsidRPr="006A7579">
        <w:t xml:space="preserve"> OWM noted that the 2011 </w:t>
      </w:r>
      <w:r w:rsidR="0043528A">
        <w:t xml:space="preserve">NCWM </w:t>
      </w:r>
      <w:r w:rsidRPr="006A7579">
        <w:t xml:space="preserve">Publication 14 Belt-Conveyor Scale Systems type evaluation criteria provides a table on page BCS-4 that indicates the U.S. short ton may be identified as “ton” or upper case “T;” the metric ton as lower case “t;” and the U.S. long ton as upper case “LT.”  The following abbreviations appear in the 2011 version of Pub 14 BCS systems type evaluation criteria:  </w:t>
      </w:r>
    </w:p>
    <w:tbl>
      <w:tblPr>
        <w:tblW w:w="5731" w:type="dxa"/>
        <w:tblInd w:w="14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865"/>
        <w:gridCol w:w="2866"/>
      </w:tblGrid>
      <w:tr w:rsidR="00E7499F" w:rsidRPr="00564971" w:rsidTr="00564971">
        <w:tc>
          <w:tcPr>
            <w:tcW w:w="2865" w:type="dxa"/>
            <w:tcBorders>
              <w:top w:val="double" w:sz="4" w:space="0" w:color="auto"/>
              <w:left w:val="double" w:sz="4" w:space="0" w:color="auto"/>
              <w:bottom w:val="double" w:sz="4" w:space="0" w:color="auto"/>
              <w:right w:val="single" w:sz="6" w:space="0" w:color="auto"/>
            </w:tcBorders>
            <w:hideMark/>
          </w:tcPr>
          <w:p w:rsidR="00E7499F" w:rsidRPr="00564971" w:rsidRDefault="00E7499F" w:rsidP="0043528A">
            <w:pPr>
              <w:spacing w:after="0"/>
              <w:jc w:val="center"/>
              <w:rPr>
                <w:rFonts w:eastAsia="MS Mincho" w:cs="Times New Roman"/>
                <w:b/>
                <w:szCs w:val="20"/>
              </w:rPr>
            </w:pPr>
            <w:r w:rsidRPr="00564971">
              <w:rPr>
                <w:rFonts w:eastAsia="MS Mincho" w:cs="Times New Roman"/>
                <w:b/>
                <w:szCs w:val="20"/>
              </w:rPr>
              <w:t>Unit</w:t>
            </w:r>
          </w:p>
        </w:tc>
        <w:tc>
          <w:tcPr>
            <w:tcW w:w="2866" w:type="dxa"/>
            <w:tcBorders>
              <w:top w:val="double" w:sz="4" w:space="0" w:color="auto"/>
              <w:left w:val="single" w:sz="6" w:space="0" w:color="auto"/>
              <w:bottom w:val="double" w:sz="4" w:space="0" w:color="auto"/>
              <w:right w:val="double" w:sz="4" w:space="0" w:color="auto"/>
            </w:tcBorders>
            <w:hideMark/>
          </w:tcPr>
          <w:p w:rsidR="00E7499F" w:rsidRPr="00564971" w:rsidRDefault="00E7499F" w:rsidP="0043528A">
            <w:pPr>
              <w:spacing w:after="0"/>
              <w:jc w:val="center"/>
              <w:rPr>
                <w:rFonts w:eastAsia="MS Mincho" w:cs="Times New Roman"/>
                <w:b/>
                <w:szCs w:val="20"/>
              </w:rPr>
            </w:pPr>
            <w:r w:rsidRPr="00564971">
              <w:rPr>
                <w:rFonts w:eastAsia="MS Mincho" w:cs="Times New Roman"/>
                <w:b/>
                <w:szCs w:val="20"/>
              </w:rPr>
              <w:t>Abbreviation</w:t>
            </w:r>
          </w:p>
        </w:tc>
      </w:tr>
      <w:tr w:rsidR="00E7499F" w:rsidRPr="006A7579" w:rsidTr="00564971">
        <w:tc>
          <w:tcPr>
            <w:tcW w:w="2865" w:type="dxa"/>
            <w:tcBorders>
              <w:top w:val="double" w:sz="4" w:space="0" w:color="auto"/>
              <w:left w:val="double" w:sz="4" w:space="0" w:color="auto"/>
              <w:bottom w:val="single" w:sz="6" w:space="0" w:color="auto"/>
              <w:right w:val="single" w:sz="6" w:space="0" w:color="auto"/>
            </w:tcBorders>
            <w:hideMark/>
          </w:tcPr>
          <w:p w:rsidR="00E7499F" w:rsidRPr="006A7579" w:rsidRDefault="0043528A" w:rsidP="0043528A">
            <w:pPr>
              <w:spacing w:after="0"/>
              <w:jc w:val="left"/>
              <w:rPr>
                <w:rFonts w:eastAsia="MS Mincho" w:cs="Times New Roman"/>
                <w:szCs w:val="20"/>
              </w:rPr>
            </w:pPr>
            <w:r>
              <w:rPr>
                <w:rFonts w:eastAsia="MS Mincho" w:cs="Times New Roman"/>
                <w:szCs w:val="20"/>
              </w:rPr>
              <w:tab/>
            </w:r>
            <w:r w:rsidR="00E7499F" w:rsidRPr="006A7579">
              <w:rPr>
                <w:rFonts w:eastAsia="MS Mincho" w:cs="Times New Roman"/>
                <w:szCs w:val="20"/>
              </w:rPr>
              <w:t>pounds</w:t>
            </w:r>
          </w:p>
        </w:tc>
        <w:tc>
          <w:tcPr>
            <w:tcW w:w="2866" w:type="dxa"/>
            <w:tcBorders>
              <w:top w:val="double" w:sz="4" w:space="0" w:color="auto"/>
              <w:left w:val="single" w:sz="6" w:space="0" w:color="auto"/>
              <w:bottom w:val="single" w:sz="6" w:space="0" w:color="auto"/>
              <w:right w:val="double" w:sz="4" w:space="0" w:color="auto"/>
            </w:tcBorders>
            <w:hideMark/>
          </w:tcPr>
          <w:p w:rsidR="00E7499F" w:rsidRPr="006A7579" w:rsidRDefault="00E7499F" w:rsidP="00564971">
            <w:pPr>
              <w:spacing w:after="0"/>
              <w:jc w:val="center"/>
              <w:rPr>
                <w:rFonts w:eastAsia="MS Mincho" w:cs="Times New Roman"/>
                <w:b/>
                <w:szCs w:val="20"/>
              </w:rPr>
            </w:pPr>
            <w:r w:rsidRPr="006A7579">
              <w:rPr>
                <w:rFonts w:eastAsia="MS Mincho" w:cs="Times New Roman"/>
                <w:szCs w:val="20"/>
              </w:rPr>
              <w:t>lb or LB</w:t>
            </w:r>
          </w:p>
        </w:tc>
      </w:tr>
      <w:tr w:rsidR="00E7499F" w:rsidRPr="006A7579" w:rsidTr="00564971">
        <w:tc>
          <w:tcPr>
            <w:tcW w:w="2865" w:type="dxa"/>
            <w:tcBorders>
              <w:top w:val="single" w:sz="6" w:space="0" w:color="auto"/>
              <w:left w:val="double" w:sz="4" w:space="0" w:color="auto"/>
              <w:bottom w:val="single" w:sz="6" w:space="0" w:color="auto"/>
              <w:right w:val="single" w:sz="6" w:space="0" w:color="auto"/>
            </w:tcBorders>
            <w:hideMark/>
          </w:tcPr>
          <w:p w:rsidR="00E7499F" w:rsidRPr="006A7579" w:rsidRDefault="0043528A" w:rsidP="0043528A">
            <w:pPr>
              <w:spacing w:after="0"/>
              <w:jc w:val="left"/>
              <w:rPr>
                <w:rFonts w:eastAsia="MS Mincho" w:cs="Times New Roman"/>
                <w:szCs w:val="20"/>
              </w:rPr>
            </w:pPr>
            <w:r>
              <w:rPr>
                <w:rFonts w:eastAsia="MS Mincho" w:cs="Times New Roman"/>
                <w:szCs w:val="20"/>
              </w:rPr>
              <w:tab/>
            </w:r>
            <w:r w:rsidR="00E7499F" w:rsidRPr="006A7579">
              <w:rPr>
                <w:rFonts w:eastAsia="MS Mincho" w:cs="Times New Roman"/>
                <w:szCs w:val="20"/>
              </w:rPr>
              <w:t>U.S. short ton</w:t>
            </w:r>
          </w:p>
        </w:tc>
        <w:tc>
          <w:tcPr>
            <w:tcW w:w="2866" w:type="dxa"/>
            <w:tcBorders>
              <w:top w:val="single" w:sz="6" w:space="0" w:color="auto"/>
              <w:left w:val="single" w:sz="6" w:space="0" w:color="auto"/>
              <w:bottom w:val="single" w:sz="6" w:space="0" w:color="auto"/>
              <w:right w:val="double" w:sz="4" w:space="0" w:color="auto"/>
            </w:tcBorders>
            <w:hideMark/>
          </w:tcPr>
          <w:p w:rsidR="00E7499F" w:rsidRPr="006A7579" w:rsidRDefault="00E7499F" w:rsidP="00564971">
            <w:pPr>
              <w:spacing w:after="0"/>
              <w:jc w:val="center"/>
              <w:rPr>
                <w:rFonts w:eastAsia="MS Mincho" w:cs="Times New Roman"/>
                <w:b/>
                <w:szCs w:val="20"/>
              </w:rPr>
            </w:pPr>
            <w:r w:rsidRPr="006A7579">
              <w:rPr>
                <w:rFonts w:eastAsia="MS Mincho" w:cs="Times New Roman"/>
                <w:szCs w:val="20"/>
              </w:rPr>
              <w:t>ton or T</w:t>
            </w:r>
          </w:p>
        </w:tc>
      </w:tr>
      <w:tr w:rsidR="00E7499F" w:rsidRPr="006A7579" w:rsidTr="00564971">
        <w:tc>
          <w:tcPr>
            <w:tcW w:w="2865" w:type="dxa"/>
            <w:tcBorders>
              <w:top w:val="single" w:sz="6" w:space="0" w:color="auto"/>
              <w:left w:val="double" w:sz="4" w:space="0" w:color="auto"/>
              <w:bottom w:val="single" w:sz="6" w:space="0" w:color="auto"/>
              <w:right w:val="single" w:sz="6" w:space="0" w:color="auto"/>
            </w:tcBorders>
            <w:hideMark/>
          </w:tcPr>
          <w:p w:rsidR="00E7499F" w:rsidRPr="006A7579" w:rsidRDefault="0043528A" w:rsidP="0043528A">
            <w:pPr>
              <w:spacing w:after="0"/>
              <w:jc w:val="left"/>
              <w:rPr>
                <w:rFonts w:eastAsia="MS Mincho" w:cs="Times New Roman"/>
                <w:szCs w:val="20"/>
              </w:rPr>
            </w:pPr>
            <w:r>
              <w:rPr>
                <w:rFonts w:eastAsia="MS Mincho" w:cs="Times New Roman"/>
                <w:szCs w:val="20"/>
              </w:rPr>
              <w:tab/>
            </w:r>
            <w:r w:rsidR="00E7499F" w:rsidRPr="006A7579">
              <w:rPr>
                <w:rFonts w:eastAsia="MS Mincho" w:cs="Times New Roman"/>
                <w:szCs w:val="20"/>
              </w:rPr>
              <w:t>U.S. long ton</w:t>
            </w:r>
          </w:p>
        </w:tc>
        <w:tc>
          <w:tcPr>
            <w:tcW w:w="2866" w:type="dxa"/>
            <w:tcBorders>
              <w:top w:val="single" w:sz="6" w:space="0" w:color="auto"/>
              <w:left w:val="single" w:sz="6" w:space="0" w:color="auto"/>
              <w:bottom w:val="single" w:sz="6" w:space="0" w:color="auto"/>
              <w:right w:val="double" w:sz="4" w:space="0" w:color="auto"/>
            </w:tcBorders>
            <w:hideMark/>
          </w:tcPr>
          <w:p w:rsidR="00E7499F" w:rsidRPr="006A7579" w:rsidRDefault="00E7499F" w:rsidP="00564971">
            <w:pPr>
              <w:spacing w:after="0"/>
              <w:jc w:val="center"/>
              <w:rPr>
                <w:rFonts w:eastAsia="MS Mincho" w:cs="Times New Roman"/>
                <w:b/>
                <w:szCs w:val="20"/>
              </w:rPr>
            </w:pPr>
            <w:r w:rsidRPr="006A7579">
              <w:rPr>
                <w:rFonts w:eastAsia="MS Mincho" w:cs="Times New Roman"/>
                <w:szCs w:val="20"/>
              </w:rPr>
              <w:t>LT</w:t>
            </w:r>
          </w:p>
        </w:tc>
      </w:tr>
      <w:tr w:rsidR="00E7499F" w:rsidRPr="006A7579" w:rsidTr="00564971">
        <w:tc>
          <w:tcPr>
            <w:tcW w:w="2865" w:type="dxa"/>
            <w:tcBorders>
              <w:top w:val="single" w:sz="6" w:space="0" w:color="auto"/>
              <w:left w:val="double" w:sz="4" w:space="0" w:color="auto"/>
              <w:bottom w:val="single" w:sz="6" w:space="0" w:color="auto"/>
              <w:right w:val="single" w:sz="6" w:space="0" w:color="auto"/>
            </w:tcBorders>
            <w:hideMark/>
          </w:tcPr>
          <w:p w:rsidR="00E7499F" w:rsidRPr="006A7579" w:rsidRDefault="0043528A" w:rsidP="0043528A">
            <w:pPr>
              <w:spacing w:after="0"/>
              <w:jc w:val="left"/>
              <w:rPr>
                <w:rFonts w:eastAsia="MS Mincho" w:cs="Times New Roman"/>
                <w:szCs w:val="20"/>
              </w:rPr>
            </w:pPr>
            <w:r>
              <w:rPr>
                <w:rFonts w:eastAsia="MS Mincho" w:cs="Times New Roman"/>
                <w:szCs w:val="20"/>
              </w:rPr>
              <w:tab/>
            </w:r>
            <w:r w:rsidR="00E7499F" w:rsidRPr="006A7579">
              <w:rPr>
                <w:rFonts w:eastAsia="MS Mincho" w:cs="Times New Roman"/>
                <w:szCs w:val="20"/>
              </w:rPr>
              <w:t>Metric ton</w:t>
            </w:r>
          </w:p>
        </w:tc>
        <w:tc>
          <w:tcPr>
            <w:tcW w:w="2866" w:type="dxa"/>
            <w:tcBorders>
              <w:top w:val="single" w:sz="6" w:space="0" w:color="auto"/>
              <w:left w:val="single" w:sz="6" w:space="0" w:color="auto"/>
              <w:bottom w:val="single" w:sz="6" w:space="0" w:color="auto"/>
              <w:right w:val="double" w:sz="4" w:space="0" w:color="auto"/>
            </w:tcBorders>
            <w:hideMark/>
          </w:tcPr>
          <w:p w:rsidR="00E7499F" w:rsidRPr="006A7579" w:rsidRDefault="00E7499F" w:rsidP="00564971">
            <w:pPr>
              <w:spacing w:after="0"/>
              <w:jc w:val="center"/>
              <w:rPr>
                <w:rFonts w:eastAsia="MS Mincho" w:cs="Times New Roman"/>
                <w:b/>
                <w:szCs w:val="20"/>
              </w:rPr>
            </w:pPr>
            <w:r w:rsidRPr="006A7579">
              <w:rPr>
                <w:rFonts w:eastAsia="MS Mincho" w:cs="Times New Roman"/>
                <w:szCs w:val="20"/>
              </w:rPr>
              <w:t>t</w:t>
            </w:r>
          </w:p>
        </w:tc>
      </w:tr>
      <w:tr w:rsidR="00E7499F" w:rsidRPr="006A7579" w:rsidTr="00564971">
        <w:tc>
          <w:tcPr>
            <w:tcW w:w="2865" w:type="dxa"/>
            <w:tcBorders>
              <w:top w:val="single" w:sz="6" w:space="0" w:color="auto"/>
              <w:left w:val="double" w:sz="4" w:space="0" w:color="auto"/>
              <w:bottom w:val="double" w:sz="4" w:space="0" w:color="auto"/>
              <w:right w:val="single" w:sz="6" w:space="0" w:color="auto"/>
            </w:tcBorders>
            <w:hideMark/>
          </w:tcPr>
          <w:p w:rsidR="00E7499F" w:rsidRPr="006A7579" w:rsidRDefault="0043528A" w:rsidP="0043528A">
            <w:pPr>
              <w:spacing w:after="0"/>
              <w:jc w:val="left"/>
              <w:rPr>
                <w:rFonts w:eastAsia="MS Mincho" w:cs="Times New Roman"/>
                <w:szCs w:val="20"/>
              </w:rPr>
            </w:pPr>
            <w:r>
              <w:rPr>
                <w:rFonts w:eastAsia="MS Mincho" w:cs="Times New Roman"/>
                <w:szCs w:val="20"/>
              </w:rPr>
              <w:tab/>
            </w:r>
            <w:r w:rsidR="00E7499F" w:rsidRPr="006A7579">
              <w:rPr>
                <w:rFonts w:eastAsia="MS Mincho" w:cs="Times New Roman"/>
                <w:szCs w:val="20"/>
              </w:rPr>
              <w:t>kilograms</w:t>
            </w:r>
          </w:p>
        </w:tc>
        <w:tc>
          <w:tcPr>
            <w:tcW w:w="2866" w:type="dxa"/>
            <w:tcBorders>
              <w:top w:val="single" w:sz="6" w:space="0" w:color="auto"/>
              <w:left w:val="single" w:sz="6" w:space="0" w:color="auto"/>
              <w:bottom w:val="double" w:sz="4" w:space="0" w:color="auto"/>
              <w:right w:val="double" w:sz="4" w:space="0" w:color="auto"/>
            </w:tcBorders>
            <w:hideMark/>
          </w:tcPr>
          <w:p w:rsidR="00E7499F" w:rsidRPr="006A7579" w:rsidRDefault="00E7499F" w:rsidP="00564971">
            <w:pPr>
              <w:spacing w:after="0"/>
              <w:jc w:val="center"/>
              <w:rPr>
                <w:rFonts w:eastAsia="MS Mincho" w:cs="Times New Roman"/>
                <w:b/>
                <w:szCs w:val="20"/>
              </w:rPr>
            </w:pPr>
            <w:r w:rsidRPr="006A7579">
              <w:rPr>
                <w:rFonts w:eastAsia="MS Mincho" w:cs="Times New Roman"/>
                <w:szCs w:val="20"/>
              </w:rPr>
              <w:t>kg</w:t>
            </w:r>
          </w:p>
        </w:tc>
      </w:tr>
    </w:tbl>
    <w:p w:rsidR="00E7499F" w:rsidRPr="006A7579" w:rsidRDefault="00E7499F" w:rsidP="00595572">
      <w:pPr>
        <w:spacing w:before="240"/>
      </w:pPr>
      <w:r w:rsidRPr="006A7579">
        <w:t xml:space="preserve">The abbreviation “T” for U.S. short ton in </w:t>
      </w:r>
      <w:r w:rsidR="0043528A">
        <w:t xml:space="preserve">NCWM </w:t>
      </w:r>
      <w:r w:rsidRPr="006A7579">
        <w:t>Pub</w:t>
      </w:r>
      <w:r w:rsidR="0043528A">
        <w:t>lication</w:t>
      </w:r>
      <w:r w:rsidRPr="006A7579">
        <w:t xml:space="preserve"> 14 conflicts with the acceptable abbreviation for the U.S. short ton specified in Appendix C of </w:t>
      </w:r>
      <w:r w:rsidR="0043528A">
        <w:t xml:space="preserve">NIST </w:t>
      </w:r>
      <w:r w:rsidRPr="006A7579">
        <w:t xml:space="preserve">Handbook 44, which is “t.”  A search of the word “ton” in Appendix C of NIST Handbook 44 revealed that nowhere is upper case “T” used, although lower case “t” appears as an acceptable abbreviation for both the U.S. short (or net) ton (page C-6) and the metric ton (page C-19).  OWM is concerned that officials applying paragraph G-S.5.6.1. might be inclined to reject an upper case “T” as an acceptable abbreviation for the U.S. short (or net) ton even though </w:t>
      </w:r>
      <w:r w:rsidR="00EC12D9">
        <w:t xml:space="preserve">NCWM </w:t>
      </w:r>
      <w:r w:rsidRPr="006A7579">
        <w:t>Pub</w:t>
      </w:r>
      <w:r w:rsidR="00EC12D9">
        <w:t>lication</w:t>
      </w:r>
      <w:r w:rsidRPr="006A7579">
        <w:t xml:space="preserve"> 14 indicates that the upper case “T” is acceptable.  Officials might also find it confusing if lower case “tn” were made an acceptable abbreviation for the U.S. short or net ton, given that the table on page BCS-4 of </w:t>
      </w:r>
      <w:r w:rsidR="00EC12D9">
        <w:t xml:space="preserve">NCWM </w:t>
      </w:r>
      <w:r w:rsidRPr="006A7579">
        <w:t>Pub</w:t>
      </w:r>
      <w:r w:rsidR="00EC12D9">
        <w:t>lication</w:t>
      </w:r>
      <w:r w:rsidRPr="006A7579">
        <w:t xml:space="preserve"> 14 specifies lower case “t” as the acceptable abbreviation for the metric ton.  </w:t>
      </w:r>
    </w:p>
    <w:p w:rsidR="00E7499F" w:rsidRPr="006A7579" w:rsidRDefault="00E7499F" w:rsidP="006272C6">
      <w:r w:rsidRPr="006A7579">
        <w:lastRenderedPageBreak/>
        <w:t xml:space="preserve">OWM noted that even if everyone were to agree on different acceptable abbreviations for the U.S. short or net ton, the U.S. long ton, and the metric ton, it is not likely that this would completely resolve all the confusion relating to the value of the ton in commercial transactions.  The spelled-out version of the word “ton” is often used instead of its abbreviation to identify values displayed or recorded by a commercial device.  Thus, unless the word “ton” is further qualified using an appropriate clarifying preface such as metric, short, net, or long, it’s unclear as to which ton is being referenced when the word “ton” by itself is used to identify the unit of measure.  </w:t>
      </w:r>
    </w:p>
    <w:p w:rsidR="00E7499F" w:rsidRPr="006A7579" w:rsidRDefault="00E7499F" w:rsidP="00BD3477">
      <w:pPr>
        <w:rPr>
          <w:rFonts w:eastAsia="Times New Roman"/>
          <w:szCs w:val="20"/>
        </w:rPr>
      </w:pPr>
      <w:r w:rsidRPr="006A7579">
        <w:t>OWM suggested that should the Committee decide to move forward with the item, it consider changing the abbreviation</w:t>
      </w:r>
      <w:r w:rsidRPr="006A7579">
        <w:rPr>
          <w:rFonts w:eastAsia="Times New Roman"/>
          <w:szCs w:val="20"/>
        </w:rPr>
        <w:t xml:space="preserve"> “t” (which refers to 1 ton (short), beneath the heading “Avoirdupois Units of Mass” on page C-6 of the 2012 version of NIST Handbook 44) to “tn” to avoid conflict with the recommended proposal.  OWM also noted that the abbreviation “lt” was erroneously left in the table.</w:t>
      </w:r>
    </w:p>
    <w:p w:rsidR="00E7499F" w:rsidRPr="006A7579" w:rsidRDefault="00E7499F">
      <w:pPr>
        <w:rPr>
          <w:rFonts w:eastAsia="Times New Roman"/>
          <w:szCs w:val="20"/>
        </w:rPr>
      </w:pPr>
      <w:r w:rsidRPr="006A7579">
        <w:rPr>
          <w:szCs w:val="20"/>
        </w:rPr>
        <w:t>There were three positions posted on the NCWM 2012 Online Position Forum; two of which were neutral to the proposal and the other in support of the proposal.</w:t>
      </w:r>
    </w:p>
    <w:p w:rsidR="00E7499F" w:rsidRPr="006A7579" w:rsidRDefault="00E7499F" w:rsidP="008C55B6">
      <w:pPr>
        <w:rPr>
          <w:rFonts w:eastAsia="Times New Roman"/>
          <w:szCs w:val="20"/>
        </w:rPr>
      </w:pPr>
      <w:r w:rsidRPr="006A7579">
        <w:rPr>
          <w:rFonts w:eastAsia="Times New Roman"/>
          <w:szCs w:val="20"/>
        </w:rPr>
        <w:t>The Committee agreed that the “lt” abbreviation for “1 ton, gross or long” in the table on page S&amp;</w:t>
      </w:r>
      <w:r w:rsidR="0043528A" w:rsidRPr="006A7579">
        <w:rPr>
          <w:rFonts w:eastAsia="Times New Roman"/>
          <w:szCs w:val="20"/>
        </w:rPr>
        <w:t>T</w:t>
      </w:r>
      <w:r w:rsidR="0043528A">
        <w:rPr>
          <w:rFonts w:eastAsia="Times New Roman"/>
          <w:szCs w:val="20"/>
        </w:rPr>
        <w:t>-</w:t>
      </w:r>
      <w:r w:rsidRPr="006A7579">
        <w:rPr>
          <w:rFonts w:eastAsia="Times New Roman"/>
          <w:szCs w:val="20"/>
        </w:rPr>
        <w:t xml:space="preserve">20 of 2012 </w:t>
      </w:r>
      <w:r w:rsidR="00EC12D9">
        <w:rPr>
          <w:rFonts w:eastAsia="Times New Roman"/>
          <w:szCs w:val="20"/>
        </w:rPr>
        <w:t xml:space="preserve">NCWM </w:t>
      </w:r>
      <w:r w:rsidRPr="006A7579">
        <w:rPr>
          <w:rFonts w:eastAsia="Times New Roman"/>
          <w:szCs w:val="20"/>
        </w:rPr>
        <w:t>Publication 16 was erroneously left in the table from the original proposal and should be removed.</w:t>
      </w:r>
    </w:p>
    <w:p w:rsidR="00E7499F" w:rsidRPr="006A7579" w:rsidRDefault="00E7499F" w:rsidP="00BD3477">
      <w:pPr>
        <w:rPr>
          <w:rFonts w:eastAsia="Calibri"/>
          <w:szCs w:val="20"/>
        </w:rPr>
      </w:pPr>
      <w:r w:rsidRPr="006A7579">
        <w:rPr>
          <w:rFonts w:eastAsia="Times New Roman"/>
          <w:szCs w:val="20"/>
        </w:rPr>
        <w:t xml:space="preserve">The </w:t>
      </w:r>
      <w:r w:rsidRPr="006A7579">
        <w:rPr>
          <w:szCs w:val="20"/>
        </w:rPr>
        <w:t>Committee reiterated its request for input from the community on the impact that this item might have on existing scales in the marketplace and asked for input regarding additional changes that might be needed to the proposal prior to moving it forward.</w:t>
      </w:r>
    </w:p>
    <w:p w:rsidR="00E7499F" w:rsidRPr="006A7579" w:rsidRDefault="00E7499F" w:rsidP="00E7499F">
      <w:pPr>
        <w:autoSpaceDE w:val="0"/>
        <w:autoSpaceDN w:val="0"/>
        <w:adjustRightInd w:val="0"/>
        <w:rPr>
          <w:rFonts w:eastAsia="Calibri"/>
          <w:szCs w:val="20"/>
        </w:rPr>
      </w:pPr>
      <w:r w:rsidRPr="006A7579">
        <w:rPr>
          <w:szCs w:val="20"/>
        </w:rPr>
        <w:t>The Committee recommended deleting the reference to “Long Ton” in the description of the “Purpose” of the item so that it reads as follows:</w:t>
      </w:r>
    </w:p>
    <w:p w:rsidR="00E7499F" w:rsidRPr="006A7579" w:rsidRDefault="00E7499F" w:rsidP="00E7499F">
      <w:pPr>
        <w:ind w:firstLine="720"/>
      </w:pPr>
      <w:r w:rsidRPr="006A7579">
        <w:t>“</w:t>
      </w:r>
      <w:r w:rsidRPr="00595572">
        <w:rPr>
          <w:b/>
        </w:rPr>
        <w:t>Purpose:</w:t>
      </w:r>
      <w:r w:rsidRPr="006A7579">
        <w:t xml:space="preserve">  Establish uniform abbreviations for Short Ton.”</w:t>
      </w:r>
    </w:p>
    <w:p w:rsidR="00E7499F" w:rsidRPr="006A7579" w:rsidRDefault="00E7499F" w:rsidP="00E7499F">
      <w:pPr>
        <w:autoSpaceDE w:val="0"/>
        <w:autoSpaceDN w:val="0"/>
        <w:adjustRightInd w:val="0"/>
        <w:rPr>
          <w:szCs w:val="20"/>
        </w:rPr>
      </w:pPr>
      <w:r w:rsidRPr="006A7579">
        <w:rPr>
          <w:szCs w:val="20"/>
        </w:rPr>
        <w:t>The Committee also recommended deleting the reference to “lt” in the “Units of Mass” table in the “Item Under Consideration” so that the reference for “1 ton, gross” reads as follows:</w:t>
      </w:r>
    </w:p>
    <w:p w:rsidR="00E7499F" w:rsidRPr="006A7579" w:rsidRDefault="00E7499F" w:rsidP="00E7499F">
      <w:pPr>
        <w:autoSpaceDE w:val="0"/>
        <w:autoSpaceDN w:val="0"/>
        <w:adjustRightInd w:val="0"/>
        <w:ind w:firstLine="720"/>
      </w:pPr>
      <w:r w:rsidRPr="006A7579">
        <w:t>1 ton, gross or long</w:t>
      </w:r>
      <w:r w:rsidRPr="006A7579">
        <w:rPr>
          <w:vertAlign w:val="superscript"/>
        </w:rPr>
        <w:t>19</w:t>
      </w:r>
    </w:p>
    <w:p w:rsidR="00E7499F" w:rsidRPr="006A7579" w:rsidRDefault="00E80327" w:rsidP="00E7499F">
      <w:pPr>
        <w:autoSpaceDE w:val="0"/>
        <w:autoSpaceDN w:val="0"/>
        <w:adjustRightInd w:val="0"/>
      </w:pPr>
      <w:r>
        <w:rPr>
          <w:szCs w:val="20"/>
        </w:rPr>
        <w:t>N</w:t>
      </w:r>
      <w:r w:rsidR="00E7499F" w:rsidRPr="006A7579">
        <w:rPr>
          <w:szCs w:val="20"/>
        </w:rPr>
        <w:t xml:space="preserve">o </w:t>
      </w:r>
      <w:r>
        <w:rPr>
          <w:szCs w:val="20"/>
        </w:rPr>
        <w:t>additional</w:t>
      </w:r>
      <w:r w:rsidR="00E7499F" w:rsidRPr="006A7579">
        <w:rPr>
          <w:szCs w:val="20"/>
        </w:rPr>
        <w:t xml:space="preserve"> changes </w:t>
      </w:r>
      <w:r>
        <w:rPr>
          <w:szCs w:val="20"/>
        </w:rPr>
        <w:t xml:space="preserve">were recommended by the </w:t>
      </w:r>
      <w:r w:rsidR="00EC12D9">
        <w:rPr>
          <w:szCs w:val="20"/>
        </w:rPr>
        <w:t>Committee</w:t>
      </w:r>
      <w:r>
        <w:rPr>
          <w:szCs w:val="20"/>
        </w:rPr>
        <w:t>.</w:t>
      </w:r>
    </w:p>
    <w:p w:rsidR="002A09C9" w:rsidRDefault="002A09C9">
      <w:pPr>
        <w:pStyle w:val="ItemHeading"/>
      </w:pPr>
      <w:bookmarkStart w:id="17" w:name="_Toc334183619"/>
      <w:r>
        <w:t>320-6</w:t>
      </w:r>
      <w:r>
        <w:tab/>
      </w:r>
      <w:r w:rsidR="008A31B6">
        <w:t>V</w:t>
      </w:r>
      <w:r w:rsidR="00E7499F">
        <w:t>C</w:t>
      </w:r>
      <w:r w:rsidR="008A31B6">
        <w:tab/>
      </w:r>
      <w:r>
        <w:t>Appendix D – Definitions (Reference Weight Car)</w:t>
      </w:r>
      <w:bookmarkEnd w:id="17"/>
    </w:p>
    <w:p w:rsidR="00E7499F" w:rsidRDefault="00E7499F" w:rsidP="00B77FD2">
      <w:pPr>
        <w:ind w:left="14" w:hanging="14"/>
        <w:jc w:val="center"/>
      </w:pPr>
      <w:r w:rsidRPr="006A7579">
        <w:rPr>
          <w:szCs w:val="20"/>
          <w:lang w:val="en-CA"/>
        </w:rPr>
        <w:t>(This item was adopted.)</w:t>
      </w:r>
    </w:p>
    <w:p w:rsidR="002A09C9" w:rsidRDefault="002A09C9" w:rsidP="00595572">
      <w:pPr>
        <w:pStyle w:val="BoldHeading"/>
        <w:spacing w:after="0"/>
      </w:pPr>
      <w:r>
        <w:t xml:space="preserve">Source: </w:t>
      </w:r>
    </w:p>
    <w:p w:rsidR="002A09C9" w:rsidRDefault="002A09C9" w:rsidP="002A09C9">
      <w:r>
        <w:t>Systems Associates, Inc.</w:t>
      </w:r>
      <w:r w:rsidR="001D69C8">
        <w:t xml:space="preserve"> (2012)</w:t>
      </w:r>
    </w:p>
    <w:p w:rsidR="002A09C9" w:rsidRDefault="002A09C9" w:rsidP="00595572">
      <w:pPr>
        <w:pStyle w:val="BoldHeading"/>
        <w:spacing w:after="0"/>
      </w:pPr>
      <w:r>
        <w:t xml:space="preserve">Purpose: </w:t>
      </w:r>
    </w:p>
    <w:p w:rsidR="002A09C9" w:rsidRDefault="00B820A8" w:rsidP="002A09C9">
      <w:r>
        <w:t>A</w:t>
      </w:r>
      <w:r w:rsidR="002A09C9">
        <w:t xml:space="preserve">lign </w:t>
      </w:r>
      <w:r w:rsidR="002A09C9" w:rsidRPr="00595572">
        <w:t>NIST Handbook 44</w:t>
      </w:r>
      <w:r w:rsidR="002A09C9">
        <w:t xml:space="preserve"> with updated material in </w:t>
      </w:r>
      <w:r w:rsidR="002A09C9" w:rsidRPr="00595572">
        <w:rPr>
          <w:i/>
        </w:rPr>
        <w:t>AAR Scale Handbook</w:t>
      </w:r>
      <w:r w:rsidR="002A09C9">
        <w:t>.</w:t>
      </w:r>
    </w:p>
    <w:p w:rsidR="002A09C9" w:rsidRDefault="002A09C9" w:rsidP="00595572">
      <w:pPr>
        <w:pStyle w:val="BoldHeading"/>
        <w:spacing w:after="0"/>
      </w:pPr>
      <w:r>
        <w:t>Item Under Consideration:</w:t>
      </w:r>
    </w:p>
    <w:p w:rsidR="002A09C9" w:rsidRDefault="002A09C9" w:rsidP="002A09C9">
      <w:r>
        <w:t xml:space="preserve">Replace the existing definition </w:t>
      </w:r>
      <w:r w:rsidR="008A31B6">
        <w:t xml:space="preserve">of “reference weight car” </w:t>
      </w:r>
      <w:r>
        <w:t xml:space="preserve">in </w:t>
      </w:r>
      <w:r w:rsidRPr="00595572">
        <w:t>NIST Handbook 44</w:t>
      </w:r>
      <w:r w:rsidR="008A31B6">
        <w:t xml:space="preserve">, </w:t>
      </w:r>
      <w:r>
        <w:t xml:space="preserve">Appendix D with the following:   </w:t>
      </w:r>
    </w:p>
    <w:p w:rsidR="002A09C9" w:rsidRDefault="002A09C9" w:rsidP="002A09C9">
      <w:pPr>
        <w:pStyle w:val="I-Normalreg"/>
      </w:pPr>
      <w:r w:rsidRPr="002A09C9">
        <w:rPr>
          <w:b/>
        </w:rPr>
        <w:t>reference weight car.</w:t>
      </w:r>
      <w:r>
        <w:t xml:space="preserve"> – </w:t>
      </w:r>
      <w:r w:rsidRPr="000D5649">
        <w:rPr>
          <w:b/>
          <w:strike/>
        </w:rPr>
        <w:t>A railroad car weighed on a scale for temporary use as a mass standard over a short period of time (typically, the time required to test one scale) as part of a test train.</w:t>
      </w:r>
      <w:r>
        <w:t xml:space="preserve">  </w:t>
      </w:r>
      <w:r w:rsidRPr="000D5649">
        <w:rPr>
          <w:b/>
          <w:u w:val="single"/>
        </w:rPr>
        <w:t>A railcar that has been statically weighed for temporary use as a mass standard over a short period of time, typically the time required to test one scale.</w:t>
      </w:r>
    </w:p>
    <w:p w:rsidR="002A09C9" w:rsidRDefault="002A09C9" w:rsidP="00595572">
      <w:pPr>
        <w:pStyle w:val="I-Normal1indent"/>
        <w:spacing w:after="60"/>
      </w:pPr>
      <w:r w:rsidRPr="000D5649">
        <w:rPr>
          <w:b/>
        </w:rPr>
        <w:t>Note:</w:t>
      </w:r>
      <w:r>
        <w:t xml:space="preserve">  A test weight car that is representative of the types of cars typically weighed on the scale under test may be used wherever reference weight cars are specified.[2.20]</w:t>
      </w:r>
    </w:p>
    <w:p w:rsidR="002A09C9" w:rsidRDefault="000D5649" w:rsidP="002A09C9">
      <w:pPr>
        <w:pStyle w:val="I-Normalreg"/>
      </w:pPr>
      <w:r>
        <w:lastRenderedPageBreak/>
        <w:t xml:space="preserve">(Added 1991) </w:t>
      </w:r>
      <w:r w:rsidR="002A09C9" w:rsidRPr="000D5649">
        <w:rPr>
          <w:b/>
          <w:u w:val="single"/>
        </w:rPr>
        <w:t>(Amended 20</w:t>
      </w:r>
      <w:r w:rsidR="00E7499F">
        <w:rPr>
          <w:b/>
          <w:u w:val="single"/>
        </w:rPr>
        <w:t>12</w:t>
      </w:r>
      <w:r w:rsidR="002A09C9" w:rsidRPr="000D5649">
        <w:rPr>
          <w:b/>
          <w:u w:val="single"/>
        </w:rPr>
        <w:t>)</w:t>
      </w:r>
    </w:p>
    <w:p w:rsidR="002A09C9" w:rsidRDefault="002A09C9" w:rsidP="00595572">
      <w:pPr>
        <w:pStyle w:val="BoldHeading"/>
        <w:spacing w:after="0"/>
      </w:pPr>
      <w:r>
        <w:t>Background/Discussion:</w:t>
      </w:r>
    </w:p>
    <w:p w:rsidR="002A09C9" w:rsidRDefault="002A09C9" w:rsidP="002A09C9">
      <w:r>
        <w:t xml:space="preserve">The </w:t>
      </w:r>
      <w:r w:rsidR="00B820A8">
        <w:t>proposal</w:t>
      </w:r>
      <w:r>
        <w:t xml:space="preserve"> </w:t>
      </w:r>
      <w:r w:rsidR="001D69C8">
        <w:t xml:space="preserve">would </w:t>
      </w:r>
      <w:r>
        <w:t xml:space="preserve">require </w:t>
      </w:r>
      <w:r w:rsidR="001D69C8">
        <w:t xml:space="preserve">that </w:t>
      </w:r>
      <w:r>
        <w:t xml:space="preserve">reference cars be weighed on a static scale and </w:t>
      </w:r>
      <w:r w:rsidR="001D69C8">
        <w:t>would remove</w:t>
      </w:r>
      <w:r>
        <w:t xml:space="preserve"> the statement rega</w:t>
      </w:r>
      <w:r w:rsidR="000D5649">
        <w:t xml:space="preserve">rding being part of a train.  </w:t>
      </w:r>
      <w:r>
        <w:t xml:space="preserve">For instance, Reference Weight Cars may be used in a belt scale test where the concept of a train doesn't exist.  </w:t>
      </w:r>
      <w:r w:rsidR="006D3B2E">
        <w:t xml:space="preserve">The proposed definition change was </w:t>
      </w:r>
      <w:r>
        <w:t xml:space="preserve">developed by </w:t>
      </w:r>
      <w:r w:rsidR="00B820A8">
        <w:t xml:space="preserve">AREMA Committee 34 – Scales </w:t>
      </w:r>
      <w:r>
        <w:t>and approved</w:t>
      </w:r>
      <w:r w:rsidR="00163A4B">
        <w:t>, by unanimous vote,</w:t>
      </w:r>
      <w:r>
        <w:t xml:space="preserve"> for inclusion in the </w:t>
      </w:r>
      <w:r w:rsidRPr="00595572">
        <w:rPr>
          <w:i/>
        </w:rPr>
        <w:t>AAR Scale Handbook</w:t>
      </w:r>
      <w:r>
        <w:t xml:space="preserve">.  </w:t>
      </w:r>
    </w:p>
    <w:p w:rsidR="002A09C9" w:rsidRDefault="002A09C9" w:rsidP="002A09C9">
      <w:r>
        <w:t xml:space="preserve">At the 2011 </w:t>
      </w:r>
      <w:r w:rsidR="00B820A8">
        <w:t xml:space="preserve">CWMA and NEWMA </w:t>
      </w:r>
      <w:r>
        <w:t xml:space="preserve">Interim </w:t>
      </w:r>
      <w:r w:rsidR="006D3B2E">
        <w:t>M</w:t>
      </w:r>
      <w:r>
        <w:t>eetings</w:t>
      </w:r>
      <w:r w:rsidR="006D3B2E">
        <w:t xml:space="preserve">, </w:t>
      </w:r>
      <w:r w:rsidR="00B820A8">
        <w:t xml:space="preserve">both associations </w:t>
      </w:r>
      <w:r w:rsidR="00B820A8" w:rsidRPr="006273B2">
        <w:rPr>
          <w:rFonts w:cs="Times New Roman"/>
        </w:rPr>
        <w:t>forward</w:t>
      </w:r>
      <w:r w:rsidR="00B820A8">
        <w:rPr>
          <w:rFonts w:cs="Times New Roman"/>
        </w:rPr>
        <w:t>ed</w:t>
      </w:r>
      <w:r w:rsidR="00B820A8" w:rsidRPr="006273B2">
        <w:rPr>
          <w:rFonts w:cs="Times New Roman"/>
        </w:rPr>
        <w:t xml:space="preserve"> the item to NCWM</w:t>
      </w:r>
      <w:r w:rsidR="00B820A8">
        <w:rPr>
          <w:rFonts w:cs="Times New Roman"/>
        </w:rPr>
        <w:t xml:space="preserve">, recommending it </w:t>
      </w:r>
      <w:r w:rsidR="00B820A8" w:rsidRPr="006273B2">
        <w:rPr>
          <w:rFonts w:cs="Times New Roman"/>
        </w:rPr>
        <w:t>as a Voting Item</w:t>
      </w:r>
      <w:r>
        <w:t>.</w:t>
      </w:r>
    </w:p>
    <w:p w:rsidR="002A09C9" w:rsidRDefault="002A09C9" w:rsidP="002A09C9">
      <w:r>
        <w:t>At the 2011 WWMA Annual Meeting</w:t>
      </w:r>
      <w:r w:rsidR="006D3B2E">
        <w:t>,</w:t>
      </w:r>
      <w:r>
        <w:t xml:space="preserve"> Mr. Straub, Fairbanks Scales</w:t>
      </w:r>
      <w:r w:rsidR="003E118D">
        <w:t>, Inc.</w:t>
      </w:r>
      <w:r>
        <w:t>, supported the item as submitted.  There was no opposition.</w:t>
      </w:r>
      <w:r w:rsidR="000D5649">
        <w:t xml:space="preserve">  </w:t>
      </w:r>
      <w:r>
        <w:t xml:space="preserve">The </w:t>
      </w:r>
      <w:r w:rsidR="008A31B6">
        <w:t xml:space="preserve">WWMA S&amp;T Committee </w:t>
      </w:r>
      <w:r>
        <w:t xml:space="preserve">recognized that this proposal aligns </w:t>
      </w:r>
      <w:r w:rsidR="000D5649" w:rsidRPr="00595572">
        <w:t xml:space="preserve">NIST </w:t>
      </w:r>
      <w:r w:rsidRPr="00595572">
        <w:t>Handbook 44</w:t>
      </w:r>
      <w:r>
        <w:t xml:space="preserve"> with the updated material in the </w:t>
      </w:r>
      <w:r w:rsidRPr="00595572">
        <w:rPr>
          <w:i/>
        </w:rPr>
        <w:t>AAR Scale Handbook</w:t>
      </w:r>
      <w:r w:rsidR="000D5649">
        <w:t xml:space="preserve">.  </w:t>
      </w:r>
      <w:r w:rsidR="00B820A8">
        <w:t xml:space="preserve">WWMA </w:t>
      </w:r>
      <w:r w:rsidR="00B820A8" w:rsidRPr="006273B2">
        <w:rPr>
          <w:rFonts w:cs="Times New Roman"/>
        </w:rPr>
        <w:t>forward</w:t>
      </w:r>
      <w:r w:rsidR="00B820A8">
        <w:rPr>
          <w:rFonts w:cs="Times New Roman"/>
        </w:rPr>
        <w:t>ed</w:t>
      </w:r>
      <w:r w:rsidR="00B820A8" w:rsidRPr="006273B2">
        <w:rPr>
          <w:rFonts w:cs="Times New Roman"/>
        </w:rPr>
        <w:t xml:space="preserve"> the item to NCWM</w:t>
      </w:r>
      <w:r w:rsidR="00B820A8">
        <w:rPr>
          <w:rFonts w:cs="Times New Roman"/>
        </w:rPr>
        <w:t xml:space="preserve">, recommending it </w:t>
      </w:r>
      <w:r w:rsidR="00B820A8" w:rsidRPr="006273B2">
        <w:rPr>
          <w:rFonts w:cs="Times New Roman"/>
        </w:rPr>
        <w:t>as a Voting Item</w:t>
      </w:r>
      <w:r>
        <w:t xml:space="preserve">.  </w:t>
      </w:r>
    </w:p>
    <w:p w:rsidR="002A09C9" w:rsidRDefault="00B820A8" w:rsidP="002A09C9">
      <w:r>
        <w:t>At</w:t>
      </w:r>
      <w:r w:rsidR="002A09C9">
        <w:t xml:space="preserve"> the </w:t>
      </w:r>
      <w:r>
        <w:t xml:space="preserve">2011 </w:t>
      </w:r>
      <w:r w:rsidR="008A31B6">
        <w:t xml:space="preserve">SWMA </w:t>
      </w:r>
      <w:r>
        <w:t xml:space="preserve">Annual Meeting, the </w:t>
      </w:r>
      <w:r w:rsidR="008A31B6">
        <w:t xml:space="preserve">S&amp;T Committee </w:t>
      </w:r>
      <w:r w:rsidR="002A09C9">
        <w:t xml:space="preserve">heard one comment in support </w:t>
      </w:r>
      <w:r w:rsidR="000D5649">
        <w:t xml:space="preserve">and no comments in opposition.  </w:t>
      </w:r>
      <w:r w:rsidR="002A09C9">
        <w:t xml:space="preserve">The </w:t>
      </w:r>
      <w:r w:rsidR="00D32065">
        <w:t xml:space="preserve">SWMA agreed with the </w:t>
      </w:r>
      <w:r w:rsidR="00110D23">
        <w:t>Committe</w:t>
      </w:r>
      <w:r w:rsidR="002A09C9">
        <w:t>e</w:t>
      </w:r>
      <w:r w:rsidR="00D32065">
        <w:t>’s</w:t>
      </w:r>
      <w:r w:rsidR="002A09C9">
        <w:t xml:space="preserve"> </w:t>
      </w:r>
      <w:r w:rsidR="00D32065">
        <w:t xml:space="preserve">comments </w:t>
      </w:r>
      <w:r w:rsidR="002A09C9">
        <w:t xml:space="preserve">that the modification will further align </w:t>
      </w:r>
      <w:r w:rsidR="002A09C9" w:rsidRPr="00595572">
        <w:t>NIST Handbook 44</w:t>
      </w:r>
      <w:r w:rsidR="002A09C9">
        <w:t xml:space="preserve"> and the </w:t>
      </w:r>
      <w:r w:rsidR="002A09C9" w:rsidRPr="00595572">
        <w:rPr>
          <w:i/>
        </w:rPr>
        <w:t>AAR Handbook</w:t>
      </w:r>
      <w:r w:rsidR="002A09C9">
        <w:t>.</w:t>
      </w:r>
      <w:r>
        <w:t xml:space="preserve">  SWMA forwarded the item to NCWM, recommending it as a Voting Item.</w:t>
      </w:r>
    </w:p>
    <w:p w:rsidR="008A31B6" w:rsidRDefault="00B820A8" w:rsidP="008A31B6">
      <w:r>
        <w:t>At the</w:t>
      </w:r>
      <w:r w:rsidR="008A31B6">
        <w:t xml:space="preserve"> 2012 </w:t>
      </w:r>
      <w:r>
        <w:t xml:space="preserve">NCWM Interim Meeting, </w:t>
      </w:r>
      <w:r w:rsidR="008A31B6">
        <w:t xml:space="preserve">Mr. Flocken, speaking on behalf of the SMA, </w:t>
      </w:r>
      <w:r w:rsidR="0025054F">
        <w:t>s</w:t>
      </w:r>
      <w:r>
        <w:t>upport</w:t>
      </w:r>
      <w:r w:rsidR="0025054F">
        <w:t>ed</w:t>
      </w:r>
      <w:r>
        <w:t xml:space="preserve"> </w:t>
      </w:r>
      <w:r w:rsidR="008A31B6">
        <w:t>this item.  NIST, OWM agreed that adding the words “</w:t>
      </w:r>
      <w:r w:rsidR="008A31B6" w:rsidRPr="002A480C">
        <w:t>statically weighed</w:t>
      </w:r>
      <w:r w:rsidR="008A31B6">
        <w:t>” improved the definition and made clear how reference weight cars are to be weighed.</w:t>
      </w:r>
      <w:r w:rsidR="0025054F">
        <w:t xml:space="preserve">  </w:t>
      </w:r>
      <w:r w:rsidR="0018208B">
        <w:t xml:space="preserve">The </w:t>
      </w:r>
      <w:r w:rsidR="00911FF8">
        <w:t xml:space="preserve">Committee </w:t>
      </w:r>
      <w:r w:rsidR="0018208B">
        <w:t>reviewed a January 7, 2012</w:t>
      </w:r>
      <w:r w:rsidR="004966C6">
        <w:t>,</w:t>
      </w:r>
      <w:r w:rsidR="0018208B">
        <w:t xml:space="preserve"> letter from AAR in support of the proposal.  </w:t>
      </w:r>
      <w:r w:rsidR="008A31B6">
        <w:t xml:space="preserve">The </w:t>
      </w:r>
      <w:r w:rsidR="00911FF8">
        <w:t xml:space="preserve">Committee </w:t>
      </w:r>
      <w:r w:rsidR="008A31B6">
        <w:t xml:space="preserve">agreed that the proposed </w:t>
      </w:r>
      <w:r>
        <w:t xml:space="preserve">changes improved the definition.  </w:t>
      </w:r>
      <w:r w:rsidRPr="006273B2">
        <w:rPr>
          <w:rFonts w:cs="Times New Roman"/>
        </w:rPr>
        <w:t>The 20</w:t>
      </w:r>
      <w:r>
        <w:rPr>
          <w:rFonts w:cs="Times New Roman"/>
        </w:rPr>
        <w:t>12</w:t>
      </w:r>
      <w:r w:rsidRPr="006273B2">
        <w:rPr>
          <w:rFonts w:cs="Times New Roman"/>
        </w:rPr>
        <w:t xml:space="preserve"> </w:t>
      </w:r>
      <w:r>
        <w:rPr>
          <w:rFonts w:cs="Times New Roman"/>
        </w:rPr>
        <w:t>S&amp;T</w:t>
      </w:r>
      <w:r w:rsidRPr="006273B2">
        <w:rPr>
          <w:rFonts w:cs="Times New Roman"/>
        </w:rPr>
        <w:t xml:space="preserve"> Committee designated this item as a Voting Item</w:t>
      </w:r>
      <w:r w:rsidR="008A31B6">
        <w:t xml:space="preserve">. </w:t>
      </w:r>
    </w:p>
    <w:p w:rsidR="00E7499F" w:rsidRPr="006A7579" w:rsidRDefault="00E7499F" w:rsidP="00E7499F">
      <w:r w:rsidRPr="006A7579">
        <w:t xml:space="preserve">At its 2012 Annual Meeting, the CWMA suggested the phrase “uncoupled on both ends” be added to the proposed new sentence to be consistent with AREMA requirements and supported the item, as modified, as a </w:t>
      </w:r>
      <w:r w:rsidR="00911FF8">
        <w:t>V</w:t>
      </w:r>
      <w:r w:rsidR="00911FF8" w:rsidRPr="006A7579">
        <w:t xml:space="preserve">oting </w:t>
      </w:r>
      <w:r w:rsidR="000864A4">
        <w:t>I</w:t>
      </w:r>
      <w:r w:rsidR="000864A4" w:rsidRPr="006A7579">
        <w:t>tem</w:t>
      </w:r>
      <w:r w:rsidRPr="006A7579">
        <w:t>.</w:t>
      </w:r>
    </w:p>
    <w:p w:rsidR="00E7499F" w:rsidRPr="006A7579" w:rsidRDefault="00E7499F" w:rsidP="00E7499F">
      <w:r w:rsidRPr="006A7579">
        <w:t xml:space="preserve">At its 2012 Annual Meeting, NEWMA supported the item as written as a </w:t>
      </w:r>
      <w:r w:rsidR="00911FF8">
        <w:t>V</w:t>
      </w:r>
      <w:r w:rsidR="00911FF8" w:rsidRPr="006A7579">
        <w:t xml:space="preserve">oting </w:t>
      </w:r>
      <w:r w:rsidR="004966C6">
        <w:t>I</w:t>
      </w:r>
      <w:r w:rsidR="004966C6" w:rsidRPr="006A7579">
        <w:t>tem</w:t>
      </w:r>
      <w:r w:rsidRPr="006A7579">
        <w:t>.</w:t>
      </w:r>
    </w:p>
    <w:p w:rsidR="00E7499F" w:rsidRPr="006A7579" w:rsidRDefault="00E7499F" w:rsidP="00E7499F">
      <w:r w:rsidRPr="006A7579">
        <w:t>At the Committee’s 2012 NCWM Annua</w:t>
      </w:r>
      <w:r>
        <w:t xml:space="preserve">l Meeting </w:t>
      </w:r>
      <w:r w:rsidR="00762BCA">
        <w:t>Open Hearings</w:t>
      </w:r>
      <w:r>
        <w:t>, Mr. Flocken</w:t>
      </w:r>
      <w:r w:rsidRPr="006A7579">
        <w:t>, speaking on behalf of the SMA stated that SMA supports this item.</w:t>
      </w:r>
    </w:p>
    <w:p w:rsidR="00E7499F" w:rsidRPr="006A7579" w:rsidRDefault="00E7499F" w:rsidP="00E7499F">
      <w:r w:rsidRPr="006A7579">
        <w:t>Ms. Juana Williams, speaking on behalf of NIST</w:t>
      </w:r>
      <w:r w:rsidR="00911FF8">
        <w:t>,</w:t>
      </w:r>
      <w:r w:rsidRPr="006A7579">
        <w:t xml:space="preserve"> OWM offered technical comments for the Committee to consider in its deliberation on this item.  OWM noted that weighing a reference weight car, while the car is “coupled” on either end to another railcar or engine could result in binding/friction to the extent that the error and uncertainty in the reference weight car might well exceed the maximum allowable specified in </w:t>
      </w:r>
      <w:r w:rsidRPr="00595572">
        <w:t>NIST Handbook 44</w:t>
      </w:r>
      <w:r w:rsidRPr="006A7579">
        <w:t>, Appendix A Fundamental Considerations.  This section of the Fundamental Considerations specifies that the combined error and uncertainty of any standard used in testing commercial weighing and measuring equipment, when used without correction, must be less than one-third the applicable device tolerance.</w:t>
      </w:r>
    </w:p>
    <w:p w:rsidR="00E7499F" w:rsidRPr="006A7579" w:rsidRDefault="00E7499F" w:rsidP="00E7499F">
      <w:r w:rsidRPr="006A7579">
        <w:t>OWM also commented that inserting only the word “uncoupled” into the new sentence proposed to be added to the definition of “reference weight car” implies that reference weight cars are to be weighed uncoupled on both ends.  Adding the more descriptive phrase “uncoupled on both ends” as suggested by the CWMA removes all doubt concerning how the cars are to be weighed.</w:t>
      </w:r>
    </w:p>
    <w:p w:rsidR="00E7499F" w:rsidRPr="006A7579" w:rsidRDefault="00E7499F" w:rsidP="00E7499F">
      <w:r w:rsidRPr="006A7579">
        <w:t xml:space="preserve">Ms. Julie Quinn, </w:t>
      </w:r>
      <w:r w:rsidR="004966C6">
        <w:t>Minnesota</w:t>
      </w:r>
      <w:r w:rsidRPr="006A7579">
        <w:t>, supported including the reference suggested by the CWMA.</w:t>
      </w:r>
    </w:p>
    <w:p w:rsidR="00E7499F" w:rsidRPr="006A7579" w:rsidRDefault="00E7499F" w:rsidP="00E7499F">
      <w:r w:rsidRPr="006A7579">
        <w:t>Mr. Rafael Jimenez, AAR Transportation Technology Center, stated that AAR supports this item, but does not support the inclusion of the reference to “uncoupled on both ends” pending the results of additional testing.  Mr</w:t>
      </w:r>
      <w:r w:rsidR="000864A4" w:rsidRPr="006A7579">
        <w:t>.</w:t>
      </w:r>
      <w:r w:rsidR="000864A4">
        <w:t> </w:t>
      </w:r>
      <w:r w:rsidRPr="006A7579">
        <w:t>Steve Beitzel, Systems Associates Inc., supported the item, but does not support including procedures (including the statement “uncoupled on both ends”) in the definition.</w:t>
      </w:r>
    </w:p>
    <w:p w:rsidR="00E7499F" w:rsidRPr="006A7579" w:rsidRDefault="00E7499F" w:rsidP="00E7499F">
      <w:r w:rsidRPr="006A7579">
        <w:rPr>
          <w:szCs w:val="20"/>
        </w:rPr>
        <w:t>There were two positions posted on the NCWM 2012 Online Position Forum; both of which supported the proposal.</w:t>
      </w:r>
    </w:p>
    <w:p w:rsidR="00E7499F" w:rsidRPr="006A7579" w:rsidRDefault="00E7499F" w:rsidP="00E7499F">
      <w:r w:rsidRPr="006A7579">
        <w:lastRenderedPageBreak/>
        <w:t>Although the Committee recognized the importance of proper testing procedures, it agreed that definitions are not the place for procedures to be specified.  The Committee encouraged the collection of data by AA</w:t>
      </w:r>
      <w:r>
        <w:t>R and looks forward to reviewing that data</w:t>
      </w:r>
      <w:r w:rsidRPr="006A7579">
        <w:t xml:space="preserve"> when </w:t>
      </w:r>
      <w:r>
        <w:t xml:space="preserve">it becomes </w:t>
      </w:r>
      <w:r w:rsidRPr="006A7579">
        <w:t>available.</w:t>
      </w:r>
    </w:p>
    <w:p w:rsidR="00E7499F" w:rsidRPr="006A7579" w:rsidRDefault="00E7499F" w:rsidP="00E7499F">
      <w:pPr>
        <w:autoSpaceDE w:val="0"/>
        <w:autoSpaceDN w:val="0"/>
        <w:adjustRightInd w:val="0"/>
      </w:pPr>
      <w:r w:rsidRPr="006A7579">
        <w:t>The</w:t>
      </w:r>
      <w:r w:rsidRPr="006A7579">
        <w:rPr>
          <w:szCs w:val="20"/>
        </w:rPr>
        <w:t xml:space="preserve"> Committee recommended the item be presented for Vote with no changes.</w:t>
      </w:r>
    </w:p>
    <w:p w:rsidR="00290C90" w:rsidRDefault="007F7505" w:rsidP="008A31B6">
      <w:r>
        <w:t>Any a</w:t>
      </w:r>
      <w:r w:rsidRPr="00762DFC">
        <w:t xml:space="preserve">dditional letters, presentations, and data </w:t>
      </w:r>
      <w:r>
        <w:t xml:space="preserve">that was </w:t>
      </w:r>
      <w:r w:rsidRPr="00762DFC">
        <w:t xml:space="preserve">submitted </w:t>
      </w:r>
      <w:r>
        <w:t>for consideration for this item is located in the S&amp;T Appendix A</w:t>
      </w:r>
      <w:r w:rsidRPr="00762DFC">
        <w:rPr>
          <w:rStyle w:val="Hyperlink"/>
          <w:u w:val="none"/>
        </w:rPr>
        <w:t>.</w:t>
      </w:r>
      <w:r w:rsidRPr="00960D99">
        <w:t xml:space="preserve">  </w:t>
      </w:r>
    </w:p>
    <w:p w:rsidR="00427D7B" w:rsidRDefault="00427D7B" w:rsidP="0043528A">
      <w:pPr>
        <w:pStyle w:val="Heading1"/>
        <w:spacing w:after="0"/>
      </w:pPr>
      <w:bookmarkStart w:id="18" w:name="_Toc334183620"/>
      <w:r>
        <w:t>321</w:t>
      </w:r>
      <w:r>
        <w:tab/>
        <w:t>BELT-CONVEYOR SCALE SYSTEMS</w:t>
      </w:r>
      <w:bookmarkEnd w:id="18"/>
    </w:p>
    <w:p w:rsidR="00427D7B" w:rsidRPr="00427D7B" w:rsidRDefault="00427D7B">
      <w:pPr>
        <w:pStyle w:val="ItemHeading"/>
      </w:pPr>
      <w:bookmarkStart w:id="19" w:name="_Toc334183621"/>
      <w:r w:rsidRPr="00427D7B">
        <w:t>321-1</w:t>
      </w:r>
      <w:r w:rsidRPr="00427D7B">
        <w:tab/>
      </w:r>
      <w:r w:rsidR="008A31B6">
        <w:t>V</w:t>
      </w:r>
      <w:r w:rsidR="008A31B6">
        <w:tab/>
      </w:r>
      <w:r w:rsidRPr="00427D7B">
        <w:t>S.1.9</w:t>
      </w:r>
      <w:r w:rsidR="00D32065">
        <w:t>.</w:t>
      </w:r>
      <w:r w:rsidRPr="00427D7B">
        <w:t xml:space="preserve"> </w:t>
      </w:r>
      <w:r w:rsidR="00521F91">
        <w:t xml:space="preserve"> </w:t>
      </w:r>
      <w:r w:rsidRPr="00427D7B">
        <w:t>Zero Ready Indicator</w:t>
      </w:r>
      <w:bookmarkEnd w:id="19"/>
    </w:p>
    <w:p w:rsidR="00E7499F" w:rsidRDefault="00E7499F" w:rsidP="00B77FD2">
      <w:pPr>
        <w:ind w:left="14" w:hanging="14"/>
        <w:jc w:val="center"/>
      </w:pPr>
      <w:r w:rsidRPr="000C335C">
        <w:rPr>
          <w:szCs w:val="20"/>
          <w:lang w:val="en-CA"/>
        </w:rPr>
        <w:t>(This item was adopted.)</w:t>
      </w:r>
    </w:p>
    <w:p w:rsidR="00427D7B" w:rsidRDefault="00427D7B" w:rsidP="00D34F51">
      <w:pPr>
        <w:pStyle w:val="BoldHeading"/>
        <w:spacing w:after="0"/>
      </w:pPr>
      <w:r>
        <w:t xml:space="preserve">Source: </w:t>
      </w:r>
    </w:p>
    <w:p w:rsidR="00427D7B" w:rsidRDefault="00427D7B" w:rsidP="00427D7B">
      <w:r w:rsidRPr="006D756D">
        <w:t>U.S. National Work Group</w:t>
      </w:r>
      <w:r w:rsidR="008A31B6" w:rsidRPr="006D756D">
        <w:t xml:space="preserve"> (USNWG)</w:t>
      </w:r>
      <w:r w:rsidRPr="006D756D">
        <w:t xml:space="preserve"> on Belt-Conveyor Scales</w:t>
      </w:r>
      <w:r w:rsidR="008A31B6" w:rsidRPr="006D756D">
        <w:t xml:space="preserve"> (BCS)</w:t>
      </w:r>
      <w:r w:rsidR="001D69C8" w:rsidRPr="006D756D">
        <w:t xml:space="preserve"> (2012)</w:t>
      </w:r>
    </w:p>
    <w:p w:rsidR="00427D7B" w:rsidRDefault="00427D7B" w:rsidP="00D34F51">
      <w:pPr>
        <w:pStyle w:val="BoldHeading"/>
        <w:spacing w:after="0"/>
      </w:pPr>
      <w:r>
        <w:t xml:space="preserve">Purpose: </w:t>
      </w:r>
    </w:p>
    <w:p w:rsidR="00427D7B" w:rsidRPr="004D64BF" w:rsidRDefault="00B820A8" w:rsidP="00427D7B">
      <w:pPr>
        <w:rPr>
          <w:highlight w:val="yellow"/>
        </w:rPr>
      </w:pPr>
      <w:r>
        <w:t>A</w:t>
      </w:r>
      <w:r w:rsidR="00427D7B">
        <w:t xml:space="preserve">dd a new device specification and user requirement to help ensure that a stable zero-balance condition is established prior to running material across a belt scale.  </w:t>
      </w:r>
    </w:p>
    <w:p w:rsidR="00427D7B" w:rsidRDefault="00427D7B" w:rsidP="00D34F51">
      <w:pPr>
        <w:pStyle w:val="BoldHeading"/>
        <w:spacing w:after="0"/>
      </w:pPr>
      <w:r>
        <w:t>Item Under Consideration:</w:t>
      </w:r>
    </w:p>
    <w:p w:rsidR="00427D7B" w:rsidRDefault="008A31B6" w:rsidP="00427D7B">
      <w:r>
        <w:t xml:space="preserve">1) </w:t>
      </w:r>
      <w:r w:rsidR="00427D7B">
        <w:t xml:space="preserve">Add a new paragraph </w:t>
      </w:r>
      <w:r>
        <w:t>S.1.9</w:t>
      </w:r>
      <w:r w:rsidR="004966C6">
        <w:t>.</w:t>
      </w:r>
      <w:r>
        <w:t xml:space="preserve"> Zero Ready Indicator</w:t>
      </w:r>
      <w:r w:rsidRPr="00427D7B">
        <w:rPr>
          <w:i/>
        </w:rPr>
        <w:t xml:space="preserve"> </w:t>
      </w:r>
      <w:r w:rsidRPr="004D64BF">
        <w:t>to</w:t>
      </w:r>
      <w:r>
        <w:rPr>
          <w:i/>
        </w:rPr>
        <w:t xml:space="preserve"> </w:t>
      </w:r>
      <w:r w:rsidR="00427D7B" w:rsidRPr="00D34F51">
        <w:t>NIST Handbook 44</w:t>
      </w:r>
      <w:r>
        <w:t xml:space="preserve">, </w:t>
      </w:r>
      <w:r w:rsidR="00427D7B">
        <w:t>Section 2.21., Belt-Conveyor Scale Systems Code to read as follows:</w:t>
      </w:r>
    </w:p>
    <w:p w:rsidR="0093321F" w:rsidRPr="000C335C" w:rsidRDefault="0093321F" w:rsidP="00D34F51">
      <w:pPr>
        <w:pStyle w:val="I-Normalreg"/>
        <w:tabs>
          <w:tab w:val="left" w:pos="1080"/>
        </w:tabs>
        <w:spacing w:after="0"/>
        <w:rPr>
          <w:b/>
          <w:i/>
          <w:u w:val="single"/>
        </w:rPr>
      </w:pPr>
      <w:r w:rsidRPr="000C335C">
        <w:rPr>
          <w:b/>
          <w:i/>
          <w:u w:val="single"/>
        </w:rPr>
        <w:t>S.1.9</w:t>
      </w:r>
      <w:r w:rsidR="000864A4" w:rsidRPr="000C335C">
        <w:rPr>
          <w:b/>
          <w:i/>
          <w:u w:val="single"/>
        </w:rPr>
        <w:t>.</w:t>
      </w:r>
      <w:r w:rsidR="000864A4">
        <w:rPr>
          <w:b/>
          <w:i/>
          <w:u w:val="single"/>
        </w:rPr>
        <w:tab/>
      </w:r>
      <w:r w:rsidRPr="000C335C">
        <w:rPr>
          <w:b/>
          <w:i/>
          <w:u w:val="single"/>
        </w:rPr>
        <w:t xml:space="preserve">Zero Ready Indicator. - A belt conveyor scale shall be equipped with a zero ready indicator that produces an audio or visual signal when the zero balance  is within </w:t>
      </w:r>
      <w:r w:rsidR="004966C6">
        <w:rPr>
          <w:rFonts w:cs="Times New Roman"/>
          <w:b/>
          <w:i/>
          <w:u w:val="single"/>
        </w:rPr>
        <w:t>±</w:t>
      </w:r>
      <w:r w:rsidRPr="000C335C">
        <w:rPr>
          <w:b/>
          <w:i/>
          <w:u w:val="single"/>
        </w:rPr>
        <w:t xml:space="preserve"> 0.12</w:t>
      </w:r>
      <w:r w:rsidR="004966C6">
        <w:rPr>
          <w:b/>
          <w:i/>
          <w:u w:val="single"/>
        </w:rPr>
        <w:t> </w:t>
      </w:r>
      <w:r w:rsidRPr="000C335C">
        <w:rPr>
          <w:b/>
          <w:i/>
          <w:u w:val="single"/>
        </w:rPr>
        <w:t>% of the rated capacity of the scale during an unloaded belt condition.  The type of indication (audio or visual) shall be determined by the individual installation.</w:t>
      </w:r>
    </w:p>
    <w:p w:rsidR="0093321F" w:rsidRPr="000C335C" w:rsidRDefault="0093321F" w:rsidP="00D34F51">
      <w:pPr>
        <w:spacing w:after="60"/>
        <w:ind w:firstLine="360"/>
        <w:rPr>
          <w:b/>
          <w:i/>
          <w:u w:val="single"/>
        </w:rPr>
      </w:pPr>
      <w:r w:rsidRPr="000C335C">
        <w:rPr>
          <w:b/>
          <w:i/>
          <w:u w:val="single"/>
        </w:rPr>
        <w:t>[Nonretroacvtive as of January 1, 2014]</w:t>
      </w:r>
    </w:p>
    <w:p w:rsidR="0093321F" w:rsidRPr="000C335C" w:rsidRDefault="0093321F" w:rsidP="00185A0A">
      <w:pPr>
        <w:ind w:firstLine="360"/>
        <w:rPr>
          <w:b/>
          <w:u w:val="single"/>
        </w:rPr>
      </w:pPr>
      <w:r w:rsidRPr="000C335C">
        <w:rPr>
          <w:b/>
          <w:u w:val="single"/>
        </w:rPr>
        <w:t>(Added 2012)</w:t>
      </w:r>
    </w:p>
    <w:p w:rsidR="00427D7B" w:rsidRDefault="008A31B6" w:rsidP="00427D7B">
      <w:r>
        <w:t xml:space="preserve">2) </w:t>
      </w:r>
      <w:r w:rsidR="00427D7B">
        <w:t xml:space="preserve">Amend </w:t>
      </w:r>
      <w:r w:rsidRPr="00D34F51">
        <w:t>NIST Handbook 44</w:t>
      </w:r>
      <w:r>
        <w:rPr>
          <w:i/>
        </w:rPr>
        <w:t>,</w:t>
      </w:r>
      <w:r>
        <w:t xml:space="preserve"> </w:t>
      </w:r>
      <w:r w:rsidR="00427D7B">
        <w:t xml:space="preserve">Section 2.21., Belt-Conveyor Scale Systems Code </w:t>
      </w:r>
      <w:r>
        <w:t xml:space="preserve">paragraph UR.3.2. Maintenance by adding a </w:t>
      </w:r>
      <w:r w:rsidR="00427D7B">
        <w:t xml:space="preserve">new </w:t>
      </w:r>
      <w:r>
        <w:t xml:space="preserve">subparagraph </w:t>
      </w:r>
      <w:r w:rsidR="00427D7B">
        <w:t xml:space="preserve">UR.3.2. (a) </w:t>
      </w:r>
      <w:r>
        <w:t xml:space="preserve">and renumbering subsequent subparagraphs </w:t>
      </w:r>
      <w:r w:rsidR="00427D7B">
        <w:t>as follows:</w:t>
      </w:r>
    </w:p>
    <w:p w:rsidR="00427D7B" w:rsidRDefault="00427D7B" w:rsidP="00D34F51">
      <w:pPr>
        <w:pStyle w:val="I-Normalreg"/>
        <w:tabs>
          <w:tab w:val="left" w:pos="1260"/>
        </w:tabs>
      </w:pPr>
      <w:r w:rsidRPr="00427D7B">
        <w:rPr>
          <w:b/>
        </w:rPr>
        <w:t>UR.3.2</w:t>
      </w:r>
      <w:r w:rsidR="000864A4" w:rsidRPr="00427D7B">
        <w:rPr>
          <w:b/>
        </w:rPr>
        <w:t>.</w:t>
      </w:r>
      <w:r w:rsidR="000864A4">
        <w:rPr>
          <w:b/>
        </w:rPr>
        <w:tab/>
      </w:r>
      <w:r w:rsidRPr="00427D7B">
        <w:rPr>
          <w:b/>
        </w:rPr>
        <w:t>Maintenance.</w:t>
      </w:r>
      <w:r>
        <w:t xml:space="preserve"> – Belt-conveyor scales and idlers shall be maintained and serviced in accordance with manufacturer’s instructions and the following:</w:t>
      </w:r>
    </w:p>
    <w:p w:rsidR="00427D7B" w:rsidRPr="00427D7B" w:rsidRDefault="00427D7B" w:rsidP="00D34F51">
      <w:pPr>
        <w:pStyle w:val="I-LetterAIndent1"/>
        <w:spacing w:after="60"/>
        <w:ind w:left="1260" w:hanging="540"/>
        <w:rPr>
          <w:b/>
          <w:u w:val="single"/>
        </w:rPr>
      </w:pPr>
      <w:r w:rsidRPr="00427D7B">
        <w:rPr>
          <w:b/>
          <w:u w:val="single"/>
        </w:rPr>
        <w:t>(a)</w:t>
      </w:r>
      <w:r w:rsidRPr="00427D7B">
        <w:rPr>
          <w:b/>
        </w:rPr>
        <w:tab/>
      </w:r>
      <w:r w:rsidR="008A31B6">
        <w:rPr>
          <w:b/>
          <w:u w:val="single"/>
        </w:rPr>
        <w:t>Z</w:t>
      </w:r>
      <w:r w:rsidR="008A31B6" w:rsidRPr="00427D7B">
        <w:rPr>
          <w:b/>
          <w:u w:val="single"/>
        </w:rPr>
        <w:t xml:space="preserve">ero </w:t>
      </w:r>
      <w:r w:rsidR="008A31B6">
        <w:rPr>
          <w:b/>
          <w:u w:val="single"/>
        </w:rPr>
        <w:t>B</w:t>
      </w:r>
      <w:r w:rsidR="008A31B6" w:rsidRPr="00427D7B">
        <w:rPr>
          <w:b/>
          <w:u w:val="single"/>
        </w:rPr>
        <w:t>alance</w:t>
      </w:r>
      <w:r w:rsidR="008A31B6">
        <w:rPr>
          <w:b/>
          <w:u w:val="single"/>
        </w:rPr>
        <w:t>. –</w:t>
      </w:r>
      <w:r w:rsidR="008A31B6" w:rsidRPr="00427D7B">
        <w:rPr>
          <w:b/>
          <w:u w:val="single"/>
        </w:rPr>
        <w:t xml:space="preserve"> </w:t>
      </w:r>
      <w:r w:rsidR="008A31B6">
        <w:rPr>
          <w:b/>
          <w:u w:val="single"/>
        </w:rPr>
        <w:t xml:space="preserve">The zero balance </w:t>
      </w:r>
      <w:r w:rsidRPr="00427D7B">
        <w:rPr>
          <w:b/>
          <w:u w:val="single"/>
        </w:rPr>
        <w:t xml:space="preserve">condition of a </w:t>
      </w:r>
      <w:r w:rsidR="008A31B6" w:rsidRPr="00427D7B">
        <w:rPr>
          <w:b/>
          <w:u w:val="single"/>
        </w:rPr>
        <w:t>belt</w:t>
      </w:r>
      <w:r w:rsidR="008A31B6">
        <w:rPr>
          <w:b/>
          <w:u w:val="single"/>
        </w:rPr>
        <w:t>-</w:t>
      </w:r>
      <w:r w:rsidRPr="00427D7B">
        <w:rPr>
          <w:b/>
          <w:u w:val="single"/>
        </w:rPr>
        <w:t xml:space="preserve">conveyor scale shall be maintained such that, prior to beginning any commercial transaction, with no load on the belt, </w:t>
      </w:r>
      <w:r w:rsidR="008A31B6">
        <w:rPr>
          <w:b/>
          <w:u w:val="single"/>
        </w:rPr>
        <w:t>the</w:t>
      </w:r>
      <w:r w:rsidR="008A31B6" w:rsidRPr="00427D7B">
        <w:rPr>
          <w:b/>
          <w:u w:val="single"/>
        </w:rPr>
        <w:t xml:space="preserve"> </w:t>
      </w:r>
      <w:r w:rsidRPr="00427D7B">
        <w:rPr>
          <w:b/>
          <w:u w:val="single"/>
        </w:rPr>
        <w:t xml:space="preserve">zero balance condition </w:t>
      </w:r>
      <w:r w:rsidR="008A31B6">
        <w:rPr>
          <w:b/>
          <w:u w:val="single"/>
        </w:rPr>
        <w:t xml:space="preserve">is </w:t>
      </w:r>
      <w:r w:rsidRPr="00427D7B">
        <w:rPr>
          <w:b/>
          <w:u w:val="single"/>
        </w:rPr>
        <w:t xml:space="preserve">within </w:t>
      </w:r>
      <w:r w:rsidR="004966C6">
        <w:rPr>
          <w:rFonts w:cs="Times New Roman"/>
          <w:b/>
          <w:u w:val="single"/>
        </w:rPr>
        <w:t>±</w:t>
      </w:r>
      <w:r w:rsidRPr="00427D7B">
        <w:rPr>
          <w:b/>
          <w:u w:val="single"/>
        </w:rPr>
        <w:t xml:space="preserve"> 0.12</w:t>
      </w:r>
      <w:r w:rsidR="004966C6">
        <w:rPr>
          <w:b/>
          <w:u w:val="single"/>
        </w:rPr>
        <w:t> </w:t>
      </w:r>
      <w:r w:rsidRPr="00427D7B">
        <w:rPr>
          <w:b/>
          <w:u w:val="single"/>
        </w:rPr>
        <w:t>% of the scales rated capacity</w:t>
      </w:r>
      <w:r w:rsidR="008A31B6">
        <w:rPr>
          <w:b/>
          <w:u w:val="single"/>
        </w:rPr>
        <w:t>.</w:t>
      </w:r>
      <w:r w:rsidRPr="00427D7B">
        <w:rPr>
          <w:b/>
          <w:u w:val="single"/>
        </w:rPr>
        <w:t xml:space="preserve"> </w:t>
      </w:r>
    </w:p>
    <w:p w:rsidR="00427D7B" w:rsidRDefault="00427D7B" w:rsidP="00D34F51">
      <w:pPr>
        <w:pStyle w:val="I-Normal2indent"/>
        <w:ind w:left="1260"/>
        <w:rPr>
          <w:b/>
          <w:u w:val="single"/>
        </w:rPr>
      </w:pPr>
      <w:r w:rsidRPr="00427D7B">
        <w:rPr>
          <w:b/>
          <w:u w:val="single"/>
        </w:rPr>
        <w:t>(Added 20</w:t>
      </w:r>
      <w:r w:rsidR="00E7499F">
        <w:rPr>
          <w:b/>
          <w:u w:val="single"/>
        </w:rPr>
        <w:t>12</w:t>
      </w:r>
      <w:r w:rsidRPr="00427D7B">
        <w:rPr>
          <w:b/>
          <w:u w:val="single"/>
        </w:rPr>
        <w:t>)</w:t>
      </w:r>
    </w:p>
    <w:p w:rsidR="008A31B6" w:rsidRPr="004D64BF" w:rsidRDefault="008A31B6" w:rsidP="003751DC">
      <w:pPr>
        <w:pStyle w:val="I-Normal1indent"/>
        <w:ind w:left="990"/>
        <w:rPr>
          <w:i/>
        </w:rPr>
      </w:pPr>
      <w:r w:rsidRPr="004D64BF">
        <w:rPr>
          <w:i/>
        </w:rPr>
        <w:t>Renumber subsequent subparagraphs as follows:</w:t>
      </w:r>
    </w:p>
    <w:p w:rsidR="00427D7B" w:rsidRDefault="00427D7B" w:rsidP="00D34F51">
      <w:pPr>
        <w:pStyle w:val="I-LetterAIndent1"/>
        <w:tabs>
          <w:tab w:val="left" w:pos="1260"/>
        </w:tabs>
        <w:ind w:left="1260" w:hanging="540"/>
      </w:pPr>
      <w:r w:rsidRPr="00427D7B">
        <w:rPr>
          <w:b/>
          <w:strike/>
        </w:rPr>
        <w:t>(a)</w:t>
      </w:r>
      <w:r w:rsidRPr="00427D7B">
        <w:rPr>
          <w:b/>
          <w:u w:val="single"/>
        </w:rPr>
        <w:t>(b)</w:t>
      </w:r>
      <w:r>
        <w:t xml:space="preserve"> The scale and area surrounding the scale shall be kept clean of debris or other foreign material that can detrimentally affect the performance of the system.</w:t>
      </w:r>
    </w:p>
    <w:p w:rsidR="00427D7B" w:rsidRDefault="00427D7B" w:rsidP="00D34F51">
      <w:pPr>
        <w:pStyle w:val="I-LetterAIndent1"/>
        <w:keepNext/>
        <w:keepLines/>
        <w:spacing w:after="60"/>
        <w:ind w:left="1260" w:hanging="540"/>
      </w:pPr>
      <w:r w:rsidRPr="001136ED">
        <w:rPr>
          <w:b/>
          <w:strike/>
        </w:rPr>
        <w:lastRenderedPageBreak/>
        <w:t>(b)</w:t>
      </w:r>
      <w:r w:rsidRPr="001136ED">
        <w:rPr>
          <w:b/>
          <w:u w:val="single"/>
        </w:rPr>
        <w:t>(c)</w:t>
      </w:r>
      <w:r>
        <w:t xml:space="preserve"> There shall be provisions to ensure that weighed material does not adhere to the belt and return to the scale system area.</w:t>
      </w:r>
    </w:p>
    <w:p w:rsidR="00427D7B" w:rsidRDefault="00427D7B" w:rsidP="00D34F51">
      <w:pPr>
        <w:pStyle w:val="I-Normal2indent"/>
        <w:keepNext/>
        <w:keepLines/>
        <w:ind w:left="1260"/>
      </w:pPr>
      <w:r>
        <w:t>(Added 2004)</w:t>
      </w:r>
    </w:p>
    <w:p w:rsidR="00427D7B" w:rsidRDefault="00427D7B" w:rsidP="007F2DEA">
      <w:pPr>
        <w:pStyle w:val="I-LetterAIndent1"/>
        <w:ind w:left="1260" w:hanging="540"/>
      </w:pPr>
      <w:r w:rsidRPr="001136ED">
        <w:rPr>
          <w:b/>
          <w:strike/>
        </w:rPr>
        <w:t>(c)</w:t>
      </w:r>
      <w:r w:rsidRPr="001136ED">
        <w:rPr>
          <w:b/>
          <w:u w:val="single"/>
        </w:rPr>
        <w:t>(d)</w:t>
      </w:r>
      <w:r>
        <w:t xml:space="preserve"> Zero-load tests and simulated load or material tests shall be conducted at periodic intervals between official tests and after a repair or mechanical adjustment to the conveyor system in order to provide reasonable assurance that the device is performing correctly.  The minimum interval for periodic zero load tests and simulated load tests shall be established by the official with statutory authority or according to manufacturer recommendations.</w:t>
      </w:r>
    </w:p>
    <w:p w:rsidR="00427D7B" w:rsidRDefault="00427D7B" w:rsidP="00565D64">
      <w:pPr>
        <w:pStyle w:val="I-Normalreg"/>
        <w:ind w:left="1080" w:hanging="360"/>
      </w:pPr>
      <w:r>
        <w:t>***No changes recommended for Change in Zero or Change in Factor (Reference) Table</w:t>
      </w:r>
      <w:r w:rsidR="001136ED">
        <w:t>s***</w:t>
      </w:r>
    </w:p>
    <w:p w:rsidR="00427D7B" w:rsidRDefault="001136ED" w:rsidP="00D34F51">
      <w:pPr>
        <w:pStyle w:val="I-LetterAIndent1"/>
        <w:spacing w:after="60"/>
        <w:ind w:left="1267" w:hanging="547"/>
      </w:pPr>
      <w:r w:rsidRPr="001136ED">
        <w:rPr>
          <w:b/>
          <w:strike/>
        </w:rPr>
        <w:t>(d)</w:t>
      </w:r>
      <w:r w:rsidRPr="001136ED">
        <w:rPr>
          <w:b/>
          <w:u w:val="single"/>
        </w:rPr>
        <w:t>(e)</w:t>
      </w:r>
      <w:r>
        <w:t xml:space="preserve"> </w:t>
      </w:r>
      <w:r w:rsidR="00427D7B" w:rsidRPr="001136ED">
        <w:rPr>
          <w:b/>
        </w:rPr>
        <w:t>Scale Alignment.</w:t>
      </w:r>
      <w:r w:rsidR="00427D7B">
        <w:t xml:space="preserve"> – Alignment checks shall be conducted in accordance with the manufacturer’s recommendation when conveyor work is performed in the scale area.  A material test is required after any realignment.</w:t>
      </w:r>
    </w:p>
    <w:p w:rsidR="00427D7B" w:rsidRDefault="00427D7B" w:rsidP="00D34F51">
      <w:pPr>
        <w:pStyle w:val="I-Normal2indent"/>
        <w:ind w:left="1080" w:firstLine="187"/>
      </w:pPr>
      <w:r>
        <w:t>(Amended 1986 and 2000)</w:t>
      </w:r>
    </w:p>
    <w:p w:rsidR="00427D7B" w:rsidRDefault="001136ED" w:rsidP="00565D64">
      <w:pPr>
        <w:pStyle w:val="I-LetterAIndent1"/>
        <w:ind w:left="1080"/>
      </w:pPr>
      <w:r w:rsidRPr="001136ED">
        <w:rPr>
          <w:b/>
          <w:strike/>
        </w:rPr>
        <w:t>(e)</w:t>
      </w:r>
      <w:r w:rsidRPr="001136ED">
        <w:rPr>
          <w:b/>
          <w:u w:val="single"/>
        </w:rPr>
        <w:t>(f)</w:t>
      </w:r>
      <w:r>
        <w:t xml:space="preserve"> </w:t>
      </w:r>
      <w:r w:rsidR="00427D7B" w:rsidRPr="001136ED">
        <w:rPr>
          <w:b/>
        </w:rPr>
        <w:t>Simulated Load Equipment.</w:t>
      </w:r>
      <w:r w:rsidR="00427D7B">
        <w:t xml:space="preserve"> – Simulated load equipment shall be clean and properly maintained.</w:t>
      </w:r>
    </w:p>
    <w:p w:rsidR="00427D7B" w:rsidRDefault="001136ED" w:rsidP="007F7505">
      <w:pPr>
        <w:pStyle w:val="I-LetterAIndent1"/>
        <w:spacing w:after="60"/>
        <w:ind w:left="1260" w:hanging="540"/>
      </w:pPr>
      <w:r w:rsidRPr="001136ED">
        <w:rPr>
          <w:b/>
          <w:strike/>
        </w:rPr>
        <w:t>(f)</w:t>
      </w:r>
      <w:r w:rsidR="00427D7B" w:rsidRPr="001136ED">
        <w:rPr>
          <w:b/>
          <w:u w:val="single"/>
        </w:rPr>
        <w:t>(g)</w:t>
      </w:r>
      <w:r>
        <w:t xml:space="preserve"> </w:t>
      </w:r>
      <w:r w:rsidR="00427D7B" w:rsidRPr="001136ED">
        <w:rPr>
          <w:b/>
        </w:rPr>
        <w:t>Zero Load Reference Information.</w:t>
      </w:r>
      <w:r w:rsidR="00427D7B">
        <w:t xml:space="preserve"> – When zero load reference information is recorded for a delivery, the information must be based upon zero load tests performed as a minimum both immediately before and immediately after the totalized load.</w:t>
      </w:r>
    </w:p>
    <w:p w:rsidR="00427D7B" w:rsidRPr="007F2DEA" w:rsidRDefault="00427D7B" w:rsidP="007F7505">
      <w:pPr>
        <w:pStyle w:val="I-Normal2indent"/>
        <w:spacing w:after="60"/>
        <w:ind w:left="1260"/>
      </w:pPr>
      <w:r w:rsidRPr="007F2DEA">
        <w:t>(Added 2002)</w:t>
      </w:r>
      <w:r w:rsidR="007F2DEA">
        <w:t xml:space="preserve"> </w:t>
      </w:r>
    </w:p>
    <w:p w:rsidR="00427D7B" w:rsidRPr="007F2DEA" w:rsidRDefault="00427D7B" w:rsidP="001136ED">
      <w:pPr>
        <w:pStyle w:val="I-Normalreg"/>
      </w:pPr>
      <w:r w:rsidRPr="007F2DEA">
        <w:t>(Amended 2002, 2004, and 2009)</w:t>
      </w:r>
    </w:p>
    <w:p w:rsidR="00427D7B" w:rsidRDefault="00427D7B" w:rsidP="00D34F51">
      <w:pPr>
        <w:pStyle w:val="BoldHeading"/>
        <w:spacing w:after="0"/>
      </w:pPr>
      <w:r>
        <w:t>Background/Discussion:</w:t>
      </w:r>
    </w:p>
    <w:p w:rsidR="00B820A8" w:rsidRDefault="00B820A8" w:rsidP="00B820A8">
      <w:r>
        <w:t>The intent of the proposal is to</w:t>
      </w:r>
      <w:r w:rsidR="00521F91">
        <w:t xml:space="preserve">:  </w:t>
      </w:r>
      <w:r>
        <w:t>1) provide an indication that the zero condition of the scale is within the specified requirements for accurate measurement, and 2) further clarify General Code paragraph G-UR.4.1. Maintenance of Equipment regarding a user’s responsibility to maintain the scale in proper operati</w:t>
      </w:r>
      <w:r w:rsidR="0025054F">
        <w:t>ng</w:t>
      </w:r>
      <w:r>
        <w:t xml:space="preserve"> condition.</w:t>
      </w:r>
      <w:r w:rsidRPr="002A480C">
        <w:t xml:space="preserve">  It should be noted that a similar proposal first appeared on the 2009 S&amp;T Committee’s </w:t>
      </w:r>
      <w:r>
        <w:t>A</w:t>
      </w:r>
      <w:r w:rsidRPr="002A480C">
        <w:t xml:space="preserve">genda.  The item was subsequently </w:t>
      </w:r>
      <w:r>
        <w:t>w</w:t>
      </w:r>
      <w:r w:rsidRPr="002A480C">
        <w:t>ithdrawn at the request of the submitter in order to further develop the proposal addressing the USNWG concerns reported during the</w:t>
      </w:r>
      <w:r>
        <w:t xml:space="preserve">ir February 2009 </w:t>
      </w:r>
      <w:r w:rsidR="0025054F">
        <w:t>NCWM A</w:t>
      </w:r>
      <w:r>
        <w:t xml:space="preserve">nnual </w:t>
      </w:r>
      <w:r w:rsidR="0025054F">
        <w:t>M</w:t>
      </w:r>
      <w:r>
        <w:t xml:space="preserve">eeting.  </w:t>
      </w:r>
      <w:r w:rsidRPr="002A480C">
        <w:t xml:space="preserve">Additional background information on this item can be reviewed in </w:t>
      </w:r>
      <w:r w:rsidR="0025054F">
        <w:t xml:space="preserve">2009 </w:t>
      </w:r>
      <w:r w:rsidRPr="002A480C">
        <w:t>NCWM S&amp;T Committee’s Final Reports.</w:t>
      </w:r>
    </w:p>
    <w:p w:rsidR="00427D7B" w:rsidRDefault="00427D7B" w:rsidP="00427D7B">
      <w:r>
        <w:t>It is apparent to owners, manufacturers, and service agents associated with belt conveyor scale systems that a zero shift may occur that is readily observed on systems running at a “no-load” level of operation (particularly those equipped with automatic zero mechanisms).</w:t>
      </w:r>
      <w:r w:rsidR="00F7607C">
        <w:t>  </w:t>
      </w:r>
      <w:r>
        <w:t xml:space="preserve">The </w:t>
      </w:r>
      <w:r w:rsidRPr="001136ED">
        <w:t>USNWG</w:t>
      </w:r>
      <w:r>
        <w:t xml:space="preserve"> on </w:t>
      </w:r>
      <w:r w:rsidR="001136ED">
        <w:t>belt-conveyor scales</w:t>
      </w:r>
      <w:r>
        <w:t xml:space="preserve"> has developed a recommendation that would require that an indication be present which indicates a zero condition during these low-flow periods when no material is being totalized by an integrator.  </w:t>
      </w:r>
    </w:p>
    <w:p w:rsidR="00427D7B" w:rsidRDefault="00427D7B" w:rsidP="00427D7B">
      <w:r>
        <w:t>During the 2008 USNWG on Belt-Conveyor Scales m</w:t>
      </w:r>
      <w:r w:rsidR="001136ED">
        <w:t xml:space="preserve">eeting, the work group </w:t>
      </w:r>
      <w:r>
        <w:t xml:space="preserve">submitted a proposal to NCWM S&amp;T Committee that would add a requirement to </w:t>
      </w:r>
      <w:r w:rsidRPr="00D34F51">
        <w:t>NIST Handbook 44</w:t>
      </w:r>
      <w:r>
        <w:t xml:space="preserve"> requiring belt-conveyor scales to include a means to provide the operator with an indication that the system is “ready” to operat</w:t>
      </w:r>
      <w:r w:rsidR="00163A4B">
        <w:t xml:space="preserve">e.  The recommended addition of </w:t>
      </w:r>
      <w:r>
        <w:t xml:space="preserve">paragraph S.1.6.1. would require an indication </w:t>
      </w:r>
      <w:r w:rsidR="00B820A8">
        <w:t>to</w:t>
      </w:r>
      <w:r>
        <w:t xml:space="preserve"> notify an operator of an out-of-zero condition and also </w:t>
      </w:r>
      <w:r w:rsidR="00B820A8">
        <w:t>would define</w:t>
      </w:r>
      <w:r>
        <w:t xml:space="preserve"> the limit of the width of zero for that device.</w:t>
      </w:r>
    </w:p>
    <w:p w:rsidR="00427D7B" w:rsidRDefault="00427D7B" w:rsidP="00427D7B">
      <w:r>
        <w:t xml:space="preserve">This indication would signify that the system had arrived at an acceptable stable zero condition with the belt running during periods when no totalization of material was taking place.  The </w:t>
      </w:r>
      <w:r w:rsidR="001136ED">
        <w:t>work group</w:t>
      </w:r>
      <w:r>
        <w:t xml:space="preserve"> also acknowledged the need for an associated User Requirement that would provide guidance for an operator of the system in the event that the system failed to achieve this “ready” state.</w:t>
      </w:r>
    </w:p>
    <w:p w:rsidR="00427D7B" w:rsidRDefault="00427D7B" w:rsidP="005601E3">
      <w:pPr>
        <w:spacing w:after="120"/>
      </w:pPr>
      <w:r>
        <w:t xml:space="preserve">During the February 2011 meeting of the USNWG, the </w:t>
      </w:r>
      <w:r w:rsidR="000A689B">
        <w:t>work group</w:t>
      </w:r>
      <w:r>
        <w:t xml:space="preserve"> agreed that additional effort should be expended to </w:t>
      </w:r>
      <w:r w:rsidR="008A31B6">
        <w:t xml:space="preserve">continue developing </w:t>
      </w:r>
      <w:r>
        <w:t xml:space="preserve">a requirement that will provide indication that an acceptable zero condition exists prior to any totalization operation.  There was no consensus regarding specifics related to such a requirement such as: the </w:t>
      </w:r>
      <w:r>
        <w:lastRenderedPageBreak/>
        <w:t xml:space="preserve">nature of this proposed indication and its visibility to the operator; the duration of time or length of belt travel needed to establish a zero condition; and the allowable limits that would be applied to any variation from the established zero condition.  Further discussion was tabled on this item and the sub-group </w:t>
      </w:r>
      <w:r w:rsidR="00B820A8">
        <w:t>that was established</w:t>
      </w:r>
      <w:r>
        <w:t xml:space="preserve"> to address this item agreed to further explore these issues and develop a draft proposa</w:t>
      </w:r>
      <w:r w:rsidR="000A689B">
        <w:t>l.  The sub-group consisted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5601E3" w:rsidTr="005601E3">
        <w:tc>
          <w:tcPr>
            <w:tcW w:w="3192" w:type="dxa"/>
          </w:tcPr>
          <w:p w:rsidR="005601E3" w:rsidRDefault="005601E3" w:rsidP="00B77FD2">
            <w:pPr>
              <w:pStyle w:val="TableText"/>
              <w:numPr>
                <w:ilvl w:val="0"/>
                <w:numId w:val="30"/>
              </w:numPr>
              <w:ind w:left="270" w:hanging="270"/>
            </w:pPr>
            <w:r>
              <w:t>Mr. Ian Burrell</w:t>
            </w:r>
          </w:p>
          <w:p w:rsidR="005601E3" w:rsidRDefault="005601E3" w:rsidP="00B77FD2">
            <w:pPr>
              <w:pStyle w:val="TableText"/>
              <w:numPr>
                <w:ilvl w:val="0"/>
                <w:numId w:val="30"/>
              </w:numPr>
              <w:ind w:left="270" w:hanging="270"/>
            </w:pPr>
            <w:r>
              <w:t>Mr. Phil Carpentier</w:t>
            </w:r>
          </w:p>
          <w:p w:rsidR="005601E3" w:rsidRDefault="005601E3" w:rsidP="00B77FD2">
            <w:pPr>
              <w:pStyle w:val="TableText"/>
              <w:numPr>
                <w:ilvl w:val="0"/>
                <w:numId w:val="30"/>
              </w:numPr>
              <w:ind w:left="270" w:hanging="270"/>
            </w:pPr>
            <w:r>
              <w:t>Mr. Paul Chase</w:t>
            </w:r>
          </w:p>
        </w:tc>
        <w:tc>
          <w:tcPr>
            <w:tcW w:w="3192" w:type="dxa"/>
          </w:tcPr>
          <w:p w:rsidR="005601E3" w:rsidRDefault="005601E3" w:rsidP="00B77FD2">
            <w:pPr>
              <w:pStyle w:val="TableText"/>
              <w:numPr>
                <w:ilvl w:val="0"/>
                <w:numId w:val="30"/>
              </w:numPr>
              <w:ind w:left="270" w:hanging="270"/>
            </w:pPr>
            <w:r>
              <w:t>Mr. Todd Dietrich</w:t>
            </w:r>
          </w:p>
          <w:p w:rsidR="005601E3" w:rsidRDefault="005601E3" w:rsidP="00B77FD2">
            <w:pPr>
              <w:pStyle w:val="TableText"/>
              <w:numPr>
                <w:ilvl w:val="0"/>
                <w:numId w:val="30"/>
              </w:numPr>
              <w:ind w:left="270" w:hanging="270"/>
            </w:pPr>
            <w:r>
              <w:t>Mr. Lars Marmsater</w:t>
            </w:r>
          </w:p>
          <w:p w:rsidR="005601E3" w:rsidRDefault="005601E3" w:rsidP="005601E3">
            <w:pPr>
              <w:pStyle w:val="TableText"/>
              <w:ind w:left="270"/>
            </w:pPr>
          </w:p>
        </w:tc>
        <w:tc>
          <w:tcPr>
            <w:tcW w:w="3192" w:type="dxa"/>
          </w:tcPr>
          <w:p w:rsidR="005601E3" w:rsidRDefault="005601E3" w:rsidP="00B77FD2">
            <w:pPr>
              <w:pStyle w:val="TableText"/>
              <w:numPr>
                <w:ilvl w:val="0"/>
                <w:numId w:val="30"/>
              </w:numPr>
              <w:ind w:left="270" w:hanging="270"/>
            </w:pPr>
            <w:r>
              <w:t>Mr. Bill Ripka</w:t>
            </w:r>
            <w:r>
              <w:tab/>
            </w:r>
            <w:r>
              <w:tab/>
            </w:r>
          </w:p>
          <w:p w:rsidR="005601E3" w:rsidRDefault="005601E3" w:rsidP="00B77FD2">
            <w:pPr>
              <w:pStyle w:val="TableText"/>
              <w:numPr>
                <w:ilvl w:val="0"/>
                <w:numId w:val="30"/>
              </w:numPr>
              <w:ind w:left="270" w:hanging="270"/>
            </w:pPr>
            <w:r>
              <w:t>Mr. Peter Sirrico</w:t>
            </w:r>
          </w:p>
        </w:tc>
      </w:tr>
    </w:tbl>
    <w:p w:rsidR="00427D7B" w:rsidRDefault="00427D7B" w:rsidP="00427D7B">
      <w:r>
        <w:t xml:space="preserve">This sub-group </w:t>
      </w:r>
      <w:r w:rsidR="00320BD9">
        <w:t>met</w:t>
      </w:r>
      <w:r>
        <w:t xml:space="preserve"> </w:t>
      </w:r>
      <w:r w:rsidR="00320BD9">
        <w:t>via e-mail and teleconference and developed d</w:t>
      </w:r>
      <w:r>
        <w:t>raft proposals for both</w:t>
      </w:r>
      <w:r w:rsidR="00320BD9">
        <w:t>,</w:t>
      </w:r>
      <w:r>
        <w:t xml:space="preserve"> a Specification Requirement (S.1.9. Zero Ready Indicator) and the associated User Requirement UR.3.2.(a), which has been submitted as a separate item.</w:t>
      </w:r>
    </w:p>
    <w:p w:rsidR="00427D7B" w:rsidRDefault="00427D7B" w:rsidP="00427D7B">
      <w:r>
        <w:t>The draft proposal</w:t>
      </w:r>
      <w:r w:rsidR="00320BD9">
        <w:t>s</w:t>
      </w:r>
      <w:r>
        <w:t xml:space="preserve"> w</w:t>
      </w:r>
      <w:r w:rsidR="00320BD9">
        <w:t>ere</w:t>
      </w:r>
      <w:r>
        <w:t xml:space="preserve"> sent electronically to the entire USNWG on </w:t>
      </w:r>
      <w:r w:rsidR="000A689B">
        <w:t>belt-conveyor scales</w:t>
      </w:r>
      <w:r w:rsidR="00320BD9">
        <w:t>,</w:t>
      </w:r>
      <w:r>
        <w:t xml:space="preserve"> ask</w:t>
      </w:r>
      <w:r w:rsidR="00320BD9">
        <w:t>ing</w:t>
      </w:r>
      <w:r>
        <w:t xml:space="preserve"> </w:t>
      </w:r>
      <w:r w:rsidR="00320BD9">
        <w:t>for</w:t>
      </w:r>
      <w:r>
        <w:t xml:space="preserve"> review and comments by August 10, 2011.  No additional comments were received from the members of the USNWG.</w:t>
      </w:r>
    </w:p>
    <w:p w:rsidR="00427D7B" w:rsidRDefault="00427D7B" w:rsidP="00427D7B">
      <w:r>
        <w:t>At the 2011 CWMA and NEWMA Interim Meetings</w:t>
      </w:r>
      <w:r w:rsidR="00D32065">
        <w:t>,</w:t>
      </w:r>
      <w:r>
        <w:t xml:space="preserve"> and the SWMA Annual Meeting, </w:t>
      </w:r>
      <w:r w:rsidR="00320BD9">
        <w:t xml:space="preserve">both associations forwarded the item to NCWM, recommending it as Voting Item. </w:t>
      </w:r>
    </w:p>
    <w:p w:rsidR="00427D7B" w:rsidRDefault="00427D7B" w:rsidP="006D4907">
      <w:r>
        <w:t>A</w:t>
      </w:r>
      <w:r w:rsidR="000A689B">
        <w:t>t the 2011 WWMA Annual Meeting</w:t>
      </w:r>
      <w:r w:rsidR="00D32065">
        <w:t>,</w:t>
      </w:r>
      <w:r w:rsidR="000A689B">
        <w:t xml:space="preserve"> </w:t>
      </w:r>
      <w:r w:rsidR="003E118D">
        <w:t xml:space="preserve">Mr. Ripka, Thermo </w:t>
      </w:r>
      <w:r>
        <w:t>Fisher Scientific, provided the following comments</w:t>
      </w:r>
      <w:r w:rsidR="001D69C8">
        <w:t xml:space="preserve"> and added that the</w:t>
      </w:r>
      <w:r>
        <w:t xml:space="preserve"> </w:t>
      </w:r>
      <w:r w:rsidR="000A689B">
        <w:t>Belt-Conveyor Scale</w:t>
      </w:r>
      <w:r>
        <w:t xml:space="preserve"> USNWG has thoroughly discussed the topic of “zero” as it relates to a </w:t>
      </w:r>
      <w:r w:rsidR="00352FD4">
        <w:br/>
      </w:r>
      <w:r>
        <w:t>belt</w:t>
      </w:r>
      <w:r w:rsidR="001D69C8">
        <w:t>-</w:t>
      </w:r>
      <w:r>
        <w:t xml:space="preserve">conveyor scale condition prior to running material loads.  Some of these discussions went beyond the “ready” topic and delved into some type of zero alarm.  Responses to the alarm comments seem to agree that this is a separate issue and should be addressed at a different time.  </w:t>
      </w:r>
      <w:r w:rsidR="00D32065">
        <w:t>The USNWG considered the following in its development of this item.</w:t>
      </w:r>
    </w:p>
    <w:p w:rsidR="000A689B" w:rsidRDefault="00427D7B" w:rsidP="006D4907">
      <w:pPr>
        <w:pStyle w:val="BoldHeading"/>
      </w:pPr>
      <w:r w:rsidRPr="000A689B">
        <w:t>The name of this feature/requirement.</w:t>
      </w:r>
      <w:r w:rsidR="000A689B">
        <w:t xml:space="preserve"> </w:t>
      </w:r>
    </w:p>
    <w:p w:rsidR="00427D7B" w:rsidRDefault="00352FD4" w:rsidP="006D4907">
      <w:r>
        <w:t xml:space="preserve">In the </w:t>
      </w:r>
      <w:r w:rsidR="00427D7B">
        <w:t xml:space="preserve">initial proposal </w:t>
      </w:r>
      <w:r>
        <w:t>the term</w:t>
      </w:r>
      <w:r w:rsidR="00427D7B">
        <w:t xml:space="preserve"> “</w:t>
      </w:r>
      <w:r>
        <w:t>zero balance</w:t>
      </w:r>
      <w:r w:rsidR="00427D7B">
        <w:t xml:space="preserve">” </w:t>
      </w:r>
      <w:r>
        <w:t xml:space="preserve">was used, and members of the work group </w:t>
      </w:r>
      <w:r w:rsidR="005711E4">
        <w:t xml:space="preserve">preferred </w:t>
      </w:r>
      <w:r w:rsidR="00427D7B">
        <w:t>the terms</w:t>
      </w:r>
      <w:r w:rsidR="000B3FF7">
        <w:t>:</w:t>
      </w:r>
      <w:r w:rsidR="00427D7B">
        <w:t xml:space="preserve"> </w:t>
      </w:r>
      <w:r w:rsidR="00F7607C">
        <w:t xml:space="preserve"> </w:t>
      </w:r>
      <w:r w:rsidR="00427D7B">
        <w:t>“Zero Ready” and “Scale Ready</w:t>
      </w:r>
      <w:r w:rsidR="004D64BF">
        <w:t>.”</w:t>
      </w:r>
      <w:r w:rsidR="00427D7B">
        <w:t xml:space="preserve">  </w:t>
      </w:r>
      <w:r w:rsidR="000B3FF7">
        <w:t xml:space="preserve">The work group agreed </w:t>
      </w:r>
      <w:r w:rsidR="00427D7B">
        <w:t>that having a stable zero, within a predefined range</w:t>
      </w:r>
      <w:r w:rsidR="000B3FF7">
        <w:t>,</w:t>
      </w:r>
      <w:r w:rsidR="00427D7B">
        <w:t xml:space="preserve"> does not totally verify that the scale is ready</w:t>
      </w:r>
      <w:r w:rsidR="000B3FF7">
        <w:t>.</w:t>
      </w:r>
      <w:r w:rsidR="00427D7B">
        <w:t xml:space="preserve"> </w:t>
      </w:r>
      <w:r w:rsidR="000B3FF7">
        <w:t xml:space="preserve"> Thus, it was decided that we would </w:t>
      </w:r>
      <w:r w:rsidR="00427D7B">
        <w:t>use the term “Zero Ready”</w:t>
      </w:r>
      <w:r w:rsidR="000B3FF7">
        <w:t xml:space="preserve"> in the final proposal submitted to the regional S&amp;T Committee for consideration</w:t>
      </w:r>
      <w:r w:rsidR="00427D7B">
        <w:t>.</w:t>
      </w:r>
    </w:p>
    <w:p w:rsidR="00427D7B" w:rsidRDefault="00427D7B" w:rsidP="006D4907">
      <w:pPr>
        <w:pStyle w:val="BoldHeading"/>
      </w:pPr>
      <w:r>
        <w:t>Visibility to the operator.</w:t>
      </w:r>
    </w:p>
    <w:p w:rsidR="00427D7B" w:rsidRDefault="000B3FF7" w:rsidP="006D4907">
      <w:r>
        <w:t xml:space="preserve">The work group does </w:t>
      </w:r>
      <w:r w:rsidR="00427D7B">
        <w:t xml:space="preserve">not believe there is a need to clutter the code </w:t>
      </w:r>
      <w:r w:rsidR="0025054F">
        <w:t>by</w:t>
      </w:r>
      <w:r w:rsidR="00427D7B">
        <w:t xml:space="preserve"> specifying the indicator must be visible to the operator.  General Code </w:t>
      </w:r>
      <w:r w:rsidR="002A1B0B">
        <w:t>paragraph</w:t>
      </w:r>
      <w:r w:rsidR="00427D7B">
        <w:t xml:space="preserve"> G-UR.3.3</w:t>
      </w:r>
      <w:r>
        <w:t>. Position of Equipment, states</w:t>
      </w:r>
      <w:r w:rsidR="00427D7B">
        <w:t xml:space="preserve"> “A device or system equipped with a primary indicating element and used in direct sales, except for prescription sales, shall be positioned so that its indications may be accurately read and the weighing or measuring operation may be observed from some reasonable “customer” and “operator” position.”</w:t>
      </w:r>
      <w:r w:rsidR="0025054F">
        <w:t xml:space="preserve">  </w:t>
      </w:r>
      <w:r w:rsidR="00427D7B">
        <w:t xml:space="preserve">It is within this </w:t>
      </w:r>
      <w:r>
        <w:t xml:space="preserve">General Code reference </w:t>
      </w:r>
      <w:r w:rsidR="00427D7B">
        <w:t xml:space="preserve">that the rate of flow limit indicator positioning is based </w:t>
      </w:r>
      <w:r>
        <w:t>(</w:t>
      </w:r>
      <w:r w:rsidR="00427D7B">
        <w:t>i.e.</w:t>
      </w:r>
      <w:r w:rsidR="00F7607C">
        <w:t>,</w:t>
      </w:r>
      <w:r w:rsidR="00427D7B">
        <w:t xml:space="preserve"> viewable by the operator</w:t>
      </w:r>
      <w:r>
        <w:t>) and</w:t>
      </w:r>
      <w:r w:rsidR="00427D7B">
        <w:t xml:space="preserve"> </w:t>
      </w:r>
      <w:r>
        <w:t xml:space="preserve">the </w:t>
      </w:r>
      <w:r w:rsidR="00427D7B">
        <w:t xml:space="preserve">same </w:t>
      </w:r>
      <w:r>
        <w:t xml:space="preserve">requirements </w:t>
      </w:r>
      <w:r w:rsidR="00427D7B">
        <w:t>should hold true for the “Zero Ready” indicator.</w:t>
      </w:r>
    </w:p>
    <w:p w:rsidR="00427D7B" w:rsidRDefault="00427D7B" w:rsidP="006D4907">
      <w:pPr>
        <w:pStyle w:val="BoldHeading"/>
      </w:pPr>
      <w:r>
        <w:t>Period to determine the “Zero” condition.</w:t>
      </w:r>
    </w:p>
    <w:p w:rsidR="00427D7B" w:rsidRDefault="00427D7B" w:rsidP="006D4907">
      <w:r>
        <w:t xml:space="preserve">All testing criteria currently used for </w:t>
      </w:r>
      <w:r w:rsidR="000B3FF7">
        <w:t>belt-</w:t>
      </w:r>
      <w:r>
        <w:t xml:space="preserve">conveyor scales base zero on full belt revolutions.  The </w:t>
      </w:r>
      <w:r w:rsidR="000B3FF7">
        <w:t xml:space="preserve">work group </w:t>
      </w:r>
      <w:r>
        <w:t xml:space="preserve">agrees the same basis should be used for this condition/indication.  </w:t>
      </w:r>
      <w:r w:rsidR="000B3FF7">
        <w:t xml:space="preserve">Paragraph </w:t>
      </w:r>
      <w:r>
        <w:t>N.3.1.1</w:t>
      </w:r>
      <w:r w:rsidR="000B3FF7">
        <w:t>. Determination of Zero</w:t>
      </w:r>
      <w:r>
        <w:t xml:space="preserve"> identifies:  a “Zero-Load </w:t>
      </w:r>
      <w:r w:rsidR="00467186">
        <w:t>T</w:t>
      </w:r>
      <w:r>
        <w:t>est” as “a percentage of the full-scale capacity, or a change in a totalized load over a whole number of</w:t>
      </w:r>
      <w:r w:rsidR="000A689B">
        <w:t xml:space="preserve"> complete belt revolutions</w:t>
      </w:r>
      <w:r w:rsidR="004D64BF">
        <w:t>.”</w:t>
      </w:r>
      <w:r w:rsidR="000A689B">
        <w:t xml:space="preserve">  </w:t>
      </w:r>
      <w:r>
        <w:t xml:space="preserve">The </w:t>
      </w:r>
      <w:r w:rsidR="000B3FF7">
        <w:t xml:space="preserve">work group agreed not </w:t>
      </w:r>
      <w:r>
        <w:t>to redefine this during</w:t>
      </w:r>
      <w:r w:rsidR="000B3FF7">
        <w:t xml:space="preserve"> its discussions</w:t>
      </w:r>
      <w:r>
        <w:t>.  There may be capabilities within belt profiling schemes that would be able to identify this condition in less than a revolution and the revised proposal allows for development of this or other technologies.</w:t>
      </w:r>
    </w:p>
    <w:p w:rsidR="00427D7B" w:rsidRDefault="00427D7B" w:rsidP="00851B64">
      <w:pPr>
        <w:pStyle w:val="BoldHeading"/>
        <w:keepNext/>
      </w:pPr>
      <w:r>
        <w:lastRenderedPageBreak/>
        <w:t xml:space="preserve">Location of </w:t>
      </w:r>
      <w:r w:rsidR="00163A4B">
        <w:t>s</w:t>
      </w:r>
      <w:r>
        <w:t>pecification.</w:t>
      </w:r>
    </w:p>
    <w:p w:rsidR="00427D7B" w:rsidRDefault="00427D7B" w:rsidP="00851B64">
      <w:pPr>
        <w:keepNext/>
      </w:pPr>
      <w:r>
        <w:t>Due to the methodology of indicating retroactive or non-retroactive in the handbook</w:t>
      </w:r>
      <w:r w:rsidR="000B3FF7">
        <w:t>, the work group agreed that</w:t>
      </w:r>
      <w:r>
        <w:t xml:space="preserve"> the new requirement should not be included in </w:t>
      </w:r>
      <w:r w:rsidR="000B3FF7">
        <w:t xml:space="preserve">paragraph </w:t>
      </w:r>
      <w:r>
        <w:t>S.1.5</w:t>
      </w:r>
      <w:r w:rsidR="000B3FF7">
        <w:t>. Rate of Flow Indicators and Recorders</w:t>
      </w:r>
      <w:r>
        <w:t>, which currently has a non-retroactive date of January 1, 1986.  Changing this to a non-retroactive date of January 1, 20</w:t>
      </w:r>
      <w:r w:rsidR="000A689B">
        <w:t>XX</w:t>
      </w:r>
      <w:r w:rsidR="00BA7C2F">
        <w:t>,</w:t>
      </w:r>
      <w:r>
        <w:t xml:space="preserve"> could possibly put some old existing systems into a non-compliance condition.  Therefore, the recommendation is to add the zero condition statement in a new section, numbered S.1.9</w:t>
      </w:r>
      <w:r w:rsidR="00BA7C2F">
        <w:t>.</w:t>
      </w:r>
      <w:r>
        <w:t xml:space="preserve"> simply to keep the new requirement as a stand-alone item, and to eliminate the need to renumber the other items in this area.</w:t>
      </w:r>
    </w:p>
    <w:p w:rsidR="00427D7B" w:rsidRDefault="00427D7B" w:rsidP="006D4907">
      <w:pPr>
        <w:pStyle w:val="BoldHeading"/>
      </w:pPr>
      <w:r>
        <w:t>Allowable limits.</w:t>
      </w:r>
    </w:p>
    <w:p w:rsidR="00427D7B" w:rsidRDefault="00427D7B" w:rsidP="006D4907">
      <w:r>
        <w:t>There were many opinions regarding the amount of zero error allowed prior to the initiation of the “Zero Ready” condition.  The initial proposal used 0.</w:t>
      </w:r>
      <w:r w:rsidR="00BA7C2F">
        <w:t>06 </w:t>
      </w:r>
      <w:r>
        <w:t>%.  The team discussions continually referenced the 0.</w:t>
      </w:r>
      <w:r w:rsidR="00BA7C2F">
        <w:t>12 </w:t>
      </w:r>
      <w:r>
        <w:t>% value as allowed during the performance of a materials test.  When “testing” a belt-conveyor scale</w:t>
      </w:r>
      <w:r w:rsidR="000B3FF7">
        <w:t>,</w:t>
      </w:r>
      <w:r>
        <w:t xml:space="preserve"> the zero is to be confirmed to be able to hold a zero condition for three consecutive tests within 0.</w:t>
      </w:r>
      <w:r w:rsidR="00BA7C2F">
        <w:t>06 </w:t>
      </w:r>
      <w:r>
        <w:t>%.  This test proves zero stability of an empty system only (N.3.1.2.</w:t>
      </w:r>
      <w:r w:rsidR="00207A80">
        <w:t xml:space="preserve"> Test of Zero Stability</w:t>
      </w:r>
      <w:r>
        <w:t xml:space="preserve">).  After a materials test load has been delivered, the scale is expected to </w:t>
      </w:r>
      <w:r w:rsidR="0025054F">
        <w:t>remain</w:t>
      </w:r>
      <w:r>
        <w:t xml:space="preserve"> within 0.</w:t>
      </w:r>
      <w:r w:rsidR="00BA7C2F">
        <w:t>12 </w:t>
      </w:r>
      <w:r>
        <w:t>%.  This ensure</w:t>
      </w:r>
      <w:r w:rsidR="0025054F">
        <w:t>s</w:t>
      </w:r>
      <w:r>
        <w:t xml:space="preserve"> that the materials load test has not been compromised or influenced by a zero shift (T.1.1.</w:t>
      </w:r>
      <w:r w:rsidR="00207A80">
        <w:t xml:space="preserve"> Tolerance Values – Test of Zero Stability</w:t>
      </w:r>
      <w:r>
        <w:t>).  If the zero requires adjustment during the conduct of a materials test in excess of 0.</w:t>
      </w:r>
      <w:r w:rsidR="00467186">
        <w:t>18 </w:t>
      </w:r>
      <w:r>
        <w:t>%</w:t>
      </w:r>
      <w:r w:rsidR="00207A80">
        <w:t>,</w:t>
      </w:r>
      <w:r>
        <w:t xml:space="preserve"> the statutory authority may establish specific intervals for zero testing.  This requirement does not restrict the zero range.  It can perhaps be argued the allowable zero range during “use” is 0.</w:t>
      </w:r>
      <w:r w:rsidR="00467186">
        <w:t>18 </w:t>
      </w:r>
      <w:r>
        <w:t>%, or even 0.</w:t>
      </w:r>
      <w:r w:rsidR="00467186">
        <w:t>25 </w:t>
      </w:r>
      <w:r>
        <w:t>% - the tolerance of the device itself.  While this may be a high value, we need to make changes in the handbook that do not conflict with other requirements already in place.  After final discussion, the sub-team of the USNWG agreed that the value to be implemented in this proposal is 0.</w:t>
      </w:r>
      <w:r w:rsidR="00BA7C2F">
        <w:t>12 </w:t>
      </w:r>
      <w:r>
        <w:t>%</w:t>
      </w:r>
      <w:r w:rsidR="00163A4B">
        <w:t>.</w:t>
      </w:r>
    </w:p>
    <w:p w:rsidR="00427D7B" w:rsidRDefault="00427D7B" w:rsidP="00427D7B">
      <w:r>
        <w:t xml:space="preserve">The WWMA </w:t>
      </w:r>
      <w:r w:rsidR="00207A80">
        <w:t xml:space="preserve">S&amp;T Committee </w:t>
      </w:r>
      <w:r>
        <w:t xml:space="preserve">agreed with the recommendation and justification provided by the USNWG on </w:t>
      </w:r>
      <w:r w:rsidR="000A689B">
        <w:t>belt-conveyor scales</w:t>
      </w:r>
      <w:r w:rsidR="00D32065">
        <w:t xml:space="preserve">.  </w:t>
      </w:r>
      <w:r w:rsidR="00320BD9">
        <w:t xml:space="preserve">WWMA </w:t>
      </w:r>
      <w:r w:rsidR="00320BD9" w:rsidRPr="006273B2">
        <w:rPr>
          <w:rFonts w:cs="Times New Roman"/>
        </w:rPr>
        <w:t>forward</w:t>
      </w:r>
      <w:r w:rsidR="00320BD9">
        <w:rPr>
          <w:rFonts w:cs="Times New Roman"/>
        </w:rPr>
        <w:t>ed</w:t>
      </w:r>
      <w:r w:rsidR="00320BD9" w:rsidRPr="006273B2">
        <w:rPr>
          <w:rFonts w:cs="Times New Roman"/>
        </w:rPr>
        <w:t xml:space="preserve"> the item to NCWM</w:t>
      </w:r>
      <w:r w:rsidR="00320BD9">
        <w:rPr>
          <w:rFonts w:cs="Times New Roman"/>
        </w:rPr>
        <w:t xml:space="preserve">, recommending it </w:t>
      </w:r>
      <w:r w:rsidR="00320BD9" w:rsidRPr="006273B2">
        <w:rPr>
          <w:rFonts w:cs="Times New Roman"/>
        </w:rPr>
        <w:t>as a Voting Item</w:t>
      </w:r>
      <w:r>
        <w:t>.</w:t>
      </w:r>
    </w:p>
    <w:p w:rsidR="00911FF8" w:rsidRDefault="00320BD9">
      <w:r>
        <w:t>At the</w:t>
      </w:r>
      <w:r w:rsidR="00207A80">
        <w:t xml:space="preserve"> 2012</w:t>
      </w:r>
      <w:r>
        <w:t xml:space="preserve"> NCWM</w:t>
      </w:r>
      <w:r w:rsidR="00207A80">
        <w:t xml:space="preserve"> Interim </w:t>
      </w:r>
      <w:r>
        <w:t xml:space="preserve">Meeting, </w:t>
      </w:r>
      <w:r w:rsidR="00207A80">
        <w:t xml:space="preserve">Mr. Ripka </w:t>
      </w:r>
      <w:r w:rsidR="0025054F">
        <w:t>spoke</w:t>
      </w:r>
      <w:r w:rsidR="00207A80">
        <w:t xml:space="preserve"> on behalf of the USNWG on Belt-Conveyor Scales.  Mr. Ripka indicat</w:t>
      </w:r>
      <w:r>
        <w:t>ed that over the past two years</w:t>
      </w:r>
      <w:r w:rsidR="00207A80">
        <w:t xml:space="preserve"> a subcommittee of the USNWG had worked very hard to understand influences that affect zero to be able to recommend improvements to help ensure a BCS started on zero.  The group initially developed a “Specification” requirement </w:t>
      </w:r>
      <w:r>
        <w:t>that</w:t>
      </w:r>
      <w:r w:rsidR="00207A80">
        <w:t xml:space="preserve"> provides easy to understand </w:t>
      </w:r>
      <w:r w:rsidR="007C5108">
        <w:t>indication</w:t>
      </w:r>
      <w:r w:rsidR="00207A80">
        <w:t xml:space="preserve"> that a scale is ready to use.  </w:t>
      </w:r>
      <w:r>
        <w:t>Mr. Ripka indicated that it</w:t>
      </w:r>
      <w:r w:rsidR="00207A80">
        <w:t xml:space="preserve"> was now time to move forward to the next step</w:t>
      </w:r>
      <w:r w:rsidR="00BA7C2F">
        <w:t xml:space="preserve"> (</w:t>
      </w:r>
      <w:r w:rsidR="00207A80">
        <w:t xml:space="preserve">i.e., to require users to start a commercial transaction </w:t>
      </w:r>
      <w:r>
        <w:t>only when</w:t>
      </w:r>
      <w:r w:rsidR="00207A80">
        <w:t xml:space="preserve"> the scale </w:t>
      </w:r>
      <w:r>
        <w:t xml:space="preserve">is </w:t>
      </w:r>
      <w:r w:rsidR="00207A80">
        <w:t>in a ready to use zero balance condition</w:t>
      </w:r>
      <w:r w:rsidR="00BA7C2F">
        <w:t>)</w:t>
      </w:r>
      <w:r w:rsidR="00207A80">
        <w:t xml:space="preserve">.  </w:t>
      </w:r>
    </w:p>
    <w:p w:rsidR="00207A80" w:rsidRDefault="00207A80">
      <w:r>
        <w:t>Thermo Fisher Scientific support</w:t>
      </w:r>
      <w:r w:rsidR="00320BD9">
        <w:t>ed</w:t>
      </w:r>
      <w:r>
        <w:t xml:space="preserve"> this item as written.  </w:t>
      </w:r>
    </w:p>
    <w:p w:rsidR="00207A80" w:rsidRDefault="00207A80">
      <w:r>
        <w:t>Mr. Flocken, speaking on behalf of the SMA, supported the item as written.</w:t>
      </w:r>
    </w:p>
    <w:p w:rsidR="00207A80" w:rsidRDefault="00207A80">
      <w:r>
        <w:t xml:space="preserve">NIST, OWM indicated that the language in the proposed user requirement doesn’t necessarily require a BCS system operator to start a commercial transaction with </w:t>
      </w:r>
      <w:r w:rsidRPr="000B3DEA">
        <w:t xml:space="preserve">the zero balance condition within </w:t>
      </w:r>
      <w:r w:rsidR="00BA7C2F">
        <w:rPr>
          <w:rFonts w:cs="Times New Roman"/>
        </w:rPr>
        <w:t>±</w:t>
      </w:r>
      <w:r w:rsidR="00BA7C2F">
        <w:t> </w:t>
      </w:r>
      <w:r w:rsidRPr="000B3DEA">
        <w:t>0.</w:t>
      </w:r>
      <w:r w:rsidR="00BA7C2F" w:rsidRPr="000B3DEA">
        <w:t>12</w:t>
      </w:r>
      <w:r w:rsidR="00BA7C2F">
        <w:t> </w:t>
      </w:r>
      <w:r w:rsidRPr="000B3DEA">
        <w:t xml:space="preserve">% of the scales rated capacity as is intended </w:t>
      </w:r>
      <w:r w:rsidR="00320BD9">
        <w:t>by</w:t>
      </w:r>
      <w:r>
        <w:t xml:space="preserve"> the proposal.  </w:t>
      </w:r>
      <w:r w:rsidR="00320BD9">
        <w:t>They</w:t>
      </w:r>
      <w:r>
        <w:t xml:space="preserve"> offered</w:t>
      </w:r>
      <w:r w:rsidRPr="000B3DEA">
        <w:t xml:space="preserve"> the following suggested changes to the proposed user requirement to make the paragraph an enforceable requirement:</w:t>
      </w:r>
    </w:p>
    <w:p w:rsidR="00207A80" w:rsidRPr="00A87BB4" w:rsidRDefault="00207A80" w:rsidP="00D34F51">
      <w:pPr>
        <w:pStyle w:val="I-Normal1indent"/>
        <w:spacing w:after="60"/>
        <w:ind w:hanging="360"/>
        <w:rPr>
          <w:b/>
          <w:u w:val="single"/>
        </w:rPr>
      </w:pPr>
      <w:r w:rsidRPr="00A87BB4">
        <w:rPr>
          <w:b/>
          <w:u w:val="single"/>
        </w:rPr>
        <w:t>(a)</w:t>
      </w:r>
      <w:r w:rsidR="000B72C4" w:rsidRPr="00A87BB4">
        <w:rPr>
          <w:b/>
        </w:rPr>
        <w:tab/>
      </w:r>
      <w:r w:rsidR="000B72C4" w:rsidRPr="00A87BB4">
        <w:rPr>
          <w:b/>
          <w:u w:val="single"/>
        </w:rPr>
        <w:t xml:space="preserve">Zero Balance. – The balance condition of a belt-conveyor scale shall be maintained such that, prior to beginning any commercial transaction, with no load on the belt, </w:t>
      </w:r>
      <w:r w:rsidR="000B72C4" w:rsidRPr="00A87BB4">
        <w:rPr>
          <w:b/>
          <w:strike/>
          <w:u w:val="single"/>
        </w:rPr>
        <w:t>a</w:t>
      </w:r>
      <w:r w:rsidR="000B72C4" w:rsidRPr="00A87BB4">
        <w:rPr>
          <w:b/>
          <w:u w:val="single"/>
        </w:rPr>
        <w:t xml:space="preserve"> the zero balance condition is within </w:t>
      </w:r>
      <w:r w:rsidR="00BA7C2F">
        <w:rPr>
          <w:rFonts w:cs="Times New Roman"/>
          <w:b/>
          <w:u w:val="single"/>
        </w:rPr>
        <w:t>±</w:t>
      </w:r>
      <w:r w:rsidR="00BA7C2F">
        <w:rPr>
          <w:b/>
          <w:u w:val="single"/>
        </w:rPr>
        <w:t> </w:t>
      </w:r>
      <w:r w:rsidR="000B72C4" w:rsidRPr="00A87BB4">
        <w:rPr>
          <w:b/>
          <w:u w:val="single"/>
        </w:rPr>
        <w:t>0.</w:t>
      </w:r>
      <w:r w:rsidR="00BA7C2F" w:rsidRPr="00A87BB4">
        <w:rPr>
          <w:b/>
          <w:u w:val="single"/>
        </w:rPr>
        <w:t>12</w:t>
      </w:r>
      <w:r w:rsidR="00BA7C2F">
        <w:rPr>
          <w:b/>
          <w:u w:val="single"/>
        </w:rPr>
        <w:t> </w:t>
      </w:r>
      <w:r w:rsidR="000B72C4" w:rsidRPr="00A87BB4">
        <w:rPr>
          <w:b/>
          <w:u w:val="single"/>
        </w:rPr>
        <w:t>% of the scales rated capacity</w:t>
      </w:r>
      <w:r w:rsidR="000B72C4" w:rsidRPr="00195329">
        <w:rPr>
          <w:b/>
          <w:strike/>
        </w:rPr>
        <w:t xml:space="preserve"> can be verified</w:t>
      </w:r>
      <w:r w:rsidR="000B72C4" w:rsidRPr="00195329">
        <w:rPr>
          <w:b/>
          <w:u w:val="single"/>
        </w:rPr>
        <w:t>.</w:t>
      </w:r>
      <w:r w:rsidR="000B72C4" w:rsidRPr="00195329">
        <w:rPr>
          <w:b/>
        </w:rPr>
        <w:t xml:space="preserve"> </w:t>
      </w:r>
    </w:p>
    <w:p w:rsidR="00207A80" w:rsidRPr="00A87BB4" w:rsidRDefault="000B72C4" w:rsidP="00D34F51">
      <w:pPr>
        <w:pStyle w:val="I-Normalreg"/>
        <w:ind w:firstLine="360"/>
        <w:rPr>
          <w:b/>
          <w:u w:val="single"/>
        </w:rPr>
      </w:pPr>
      <w:r w:rsidRPr="00A87BB4">
        <w:rPr>
          <w:b/>
          <w:u w:val="single"/>
        </w:rPr>
        <w:t>(</w:t>
      </w:r>
      <w:r w:rsidR="00207A80" w:rsidRPr="00A87BB4">
        <w:rPr>
          <w:b/>
          <w:u w:val="single"/>
        </w:rPr>
        <w:t>Added 20</w:t>
      </w:r>
      <w:r w:rsidRPr="00A87BB4">
        <w:rPr>
          <w:b/>
          <w:u w:val="single"/>
        </w:rPr>
        <w:t>XX</w:t>
      </w:r>
      <w:r w:rsidR="00207A80" w:rsidRPr="00A87BB4">
        <w:rPr>
          <w:b/>
          <w:u w:val="single"/>
        </w:rPr>
        <w:t>)</w:t>
      </w:r>
    </w:p>
    <w:p w:rsidR="00207A80" w:rsidRPr="00A87BB4" w:rsidRDefault="00207A80" w:rsidP="00B60B18">
      <w:pPr>
        <w:pStyle w:val="I-Normalreg"/>
        <w:rPr>
          <w:i/>
        </w:rPr>
      </w:pPr>
      <w:r w:rsidRPr="00A87BB4">
        <w:rPr>
          <w:i/>
        </w:rPr>
        <w:t xml:space="preserve">(No changes recommended for Change in Zero or Change in Factor </w:t>
      </w:r>
      <w:r w:rsidR="004A6EF2">
        <w:rPr>
          <w:i/>
        </w:rPr>
        <w:t>[Reference]</w:t>
      </w:r>
      <w:r w:rsidRPr="00A87BB4">
        <w:rPr>
          <w:i/>
        </w:rPr>
        <w:t>) Tables)</w:t>
      </w:r>
    </w:p>
    <w:p w:rsidR="00207A80" w:rsidRPr="00A87BB4" w:rsidRDefault="00207A80" w:rsidP="00B60B18">
      <w:pPr>
        <w:pStyle w:val="I-Normalreg"/>
        <w:rPr>
          <w:i/>
        </w:rPr>
      </w:pPr>
      <w:r w:rsidRPr="00A87BB4">
        <w:rPr>
          <w:i/>
        </w:rPr>
        <w:t>(Renumber subsequent subparagraphs)</w:t>
      </w:r>
    </w:p>
    <w:p w:rsidR="00207A80" w:rsidRPr="000B56DA" w:rsidRDefault="000B72C4" w:rsidP="00207A80">
      <w:pPr>
        <w:rPr>
          <w:rFonts w:cs="Times New Roman"/>
          <w:szCs w:val="20"/>
        </w:rPr>
      </w:pPr>
      <w:r>
        <w:rPr>
          <w:rFonts w:cs="Times New Roman"/>
          <w:szCs w:val="20"/>
        </w:rPr>
        <w:t xml:space="preserve">NIST, </w:t>
      </w:r>
      <w:r w:rsidR="00207A80" w:rsidRPr="000B56DA">
        <w:rPr>
          <w:rFonts w:cs="Times New Roman"/>
          <w:szCs w:val="20"/>
        </w:rPr>
        <w:t>OWM noted that their suggested changes to proposed user requirement UR.3.2</w:t>
      </w:r>
      <w:r w:rsidR="00BA7C2F">
        <w:rPr>
          <w:rFonts w:cs="Times New Roman"/>
          <w:szCs w:val="20"/>
        </w:rPr>
        <w:t>.</w:t>
      </w:r>
      <w:r w:rsidR="00207A80" w:rsidRPr="000B56DA">
        <w:rPr>
          <w:rFonts w:cs="Times New Roman"/>
          <w:szCs w:val="20"/>
        </w:rPr>
        <w:t xml:space="preserve">(a) had been circulated to the USNWG on </w:t>
      </w:r>
      <w:r w:rsidR="00207A80" w:rsidRPr="006D756D">
        <w:rPr>
          <w:rFonts w:cs="Times New Roman"/>
          <w:szCs w:val="20"/>
        </w:rPr>
        <w:t>BCS</w:t>
      </w:r>
      <w:r w:rsidR="00207A80" w:rsidRPr="000B56DA">
        <w:rPr>
          <w:rFonts w:cs="Times New Roman"/>
          <w:szCs w:val="20"/>
        </w:rPr>
        <w:t xml:space="preserve"> systems as part of an alternative reorganization of the User Requirements proposed by </w:t>
      </w:r>
      <w:r>
        <w:rPr>
          <w:rFonts w:cs="Times New Roman"/>
          <w:szCs w:val="20"/>
        </w:rPr>
        <w:t xml:space="preserve">NIST, </w:t>
      </w:r>
      <w:r w:rsidR="00207A80" w:rsidRPr="000B56DA">
        <w:rPr>
          <w:rFonts w:cs="Times New Roman"/>
          <w:szCs w:val="20"/>
        </w:rPr>
        <w:t xml:space="preserve">OWM under </w:t>
      </w:r>
      <w:r w:rsidR="00207A80">
        <w:rPr>
          <w:rFonts w:cs="Times New Roman"/>
          <w:szCs w:val="20"/>
        </w:rPr>
        <w:t xml:space="preserve">agenda </w:t>
      </w:r>
      <w:r w:rsidR="00BA7C2F">
        <w:rPr>
          <w:rFonts w:cs="Times New Roman"/>
          <w:szCs w:val="20"/>
        </w:rPr>
        <w:t>I</w:t>
      </w:r>
      <w:r w:rsidR="00BA7C2F" w:rsidRPr="000B56DA">
        <w:rPr>
          <w:rFonts w:cs="Times New Roman"/>
          <w:szCs w:val="20"/>
        </w:rPr>
        <w:t xml:space="preserve">tem </w:t>
      </w:r>
      <w:r w:rsidR="00207A80" w:rsidRPr="000B56DA">
        <w:rPr>
          <w:rFonts w:cs="Times New Roman"/>
          <w:szCs w:val="20"/>
        </w:rPr>
        <w:t xml:space="preserve">321-2 and that members of the </w:t>
      </w:r>
      <w:r>
        <w:rPr>
          <w:rFonts w:cs="Times New Roman"/>
          <w:szCs w:val="20"/>
        </w:rPr>
        <w:t>work group</w:t>
      </w:r>
      <w:r w:rsidR="00207A80" w:rsidRPr="000B56DA">
        <w:rPr>
          <w:rFonts w:cs="Times New Roman"/>
          <w:szCs w:val="20"/>
        </w:rPr>
        <w:t xml:space="preserve"> had supported those suggested changes.  </w:t>
      </w:r>
    </w:p>
    <w:p w:rsidR="00207A80" w:rsidRPr="000B56DA" w:rsidRDefault="00207A80" w:rsidP="00207A80">
      <w:pPr>
        <w:rPr>
          <w:rFonts w:cs="Times New Roman"/>
          <w:szCs w:val="20"/>
        </w:rPr>
      </w:pPr>
      <w:r w:rsidRPr="000B56DA">
        <w:rPr>
          <w:rFonts w:cs="Times New Roman"/>
          <w:szCs w:val="20"/>
        </w:rPr>
        <w:lastRenderedPageBreak/>
        <w:t xml:space="preserve">The </w:t>
      </w:r>
      <w:r w:rsidR="00BA7C2F">
        <w:rPr>
          <w:rFonts w:cs="Times New Roman"/>
          <w:szCs w:val="20"/>
        </w:rPr>
        <w:t>C</w:t>
      </w:r>
      <w:r w:rsidR="00BA7C2F" w:rsidRPr="000B56DA">
        <w:rPr>
          <w:rFonts w:cs="Times New Roman"/>
          <w:szCs w:val="20"/>
        </w:rPr>
        <w:t xml:space="preserve">ommittee </w:t>
      </w:r>
      <w:r w:rsidRPr="000B56DA">
        <w:rPr>
          <w:rFonts w:cs="Times New Roman"/>
          <w:szCs w:val="20"/>
        </w:rPr>
        <w:t xml:space="preserve">considered the comments provided by </w:t>
      </w:r>
      <w:r w:rsidR="000B72C4">
        <w:rPr>
          <w:rFonts w:cs="Times New Roman"/>
          <w:szCs w:val="20"/>
        </w:rPr>
        <w:t xml:space="preserve">Mr. </w:t>
      </w:r>
      <w:r w:rsidRPr="000B56DA">
        <w:rPr>
          <w:rFonts w:cs="Times New Roman"/>
          <w:szCs w:val="20"/>
        </w:rPr>
        <w:t>Ripka</w:t>
      </w:r>
      <w:r w:rsidR="000B72C4">
        <w:rPr>
          <w:rFonts w:cs="Times New Roman"/>
          <w:szCs w:val="20"/>
        </w:rPr>
        <w:t>, T</w:t>
      </w:r>
      <w:r w:rsidR="000B72C4" w:rsidRPr="000B72C4">
        <w:rPr>
          <w:rFonts w:cs="Times New Roman"/>
          <w:szCs w:val="20"/>
        </w:rPr>
        <w:t>hermo Fisher Scientific</w:t>
      </w:r>
      <w:r w:rsidR="000B72C4">
        <w:rPr>
          <w:rFonts w:cs="Times New Roman"/>
          <w:szCs w:val="20"/>
        </w:rPr>
        <w:t>,</w:t>
      </w:r>
      <w:r w:rsidRPr="000B56DA">
        <w:rPr>
          <w:rFonts w:cs="Times New Roman"/>
          <w:szCs w:val="20"/>
        </w:rPr>
        <w:t xml:space="preserve"> and </w:t>
      </w:r>
      <w:r w:rsidR="000B72C4">
        <w:rPr>
          <w:rFonts w:cs="Times New Roman"/>
          <w:szCs w:val="20"/>
        </w:rPr>
        <w:t>Mr</w:t>
      </w:r>
      <w:r w:rsidR="00467186">
        <w:rPr>
          <w:rFonts w:cs="Times New Roman"/>
          <w:szCs w:val="20"/>
        </w:rPr>
        <w:t>. </w:t>
      </w:r>
      <w:r w:rsidRPr="000B56DA">
        <w:rPr>
          <w:rFonts w:cs="Times New Roman"/>
          <w:szCs w:val="20"/>
        </w:rPr>
        <w:t>Flocken</w:t>
      </w:r>
      <w:r w:rsidR="000B72C4">
        <w:rPr>
          <w:rFonts w:cs="Times New Roman"/>
          <w:szCs w:val="20"/>
        </w:rPr>
        <w:t xml:space="preserve">, Mettler-Toledo, LLC, </w:t>
      </w:r>
      <w:r w:rsidRPr="000B56DA">
        <w:rPr>
          <w:rFonts w:cs="Times New Roman"/>
          <w:szCs w:val="20"/>
        </w:rPr>
        <w:t xml:space="preserve">in support of the original proposal and </w:t>
      </w:r>
      <w:r w:rsidR="00320BD9">
        <w:rPr>
          <w:rFonts w:cs="Times New Roman"/>
          <w:szCs w:val="20"/>
        </w:rPr>
        <w:t>the proposed changes from</w:t>
      </w:r>
      <w:r w:rsidRPr="000B56DA">
        <w:rPr>
          <w:rFonts w:cs="Times New Roman"/>
          <w:szCs w:val="20"/>
        </w:rPr>
        <w:t xml:space="preserve"> </w:t>
      </w:r>
      <w:r w:rsidR="000B72C4">
        <w:rPr>
          <w:rFonts w:cs="Times New Roman"/>
          <w:szCs w:val="20"/>
        </w:rPr>
        <w:t xml:space="preserve">NIST, </w:t>
      </w:r>
      <w:r w:rsidRPr="000B56DA">
        <w:rPr>
          <w:rFonts w:cs="Times New Roman"/>
          <w:szCs w:val="20"/>
        </w:rPr>
        <w:t xml:space="preserve">OWM </w:t>
      </w:r>
      <w:r w:rsidR="00320BD9">
        <w:rPr>
          <w:rFonts w:cs="Times New Roman"/>
          <w:szCs w:val="20"/>
        </w:rPr>
        <w:t xml:space="preserve">that had been </w:t>
      </w:r>
      <w:r w:rsidRPr="000B56DA">
        <w:rPr>
          <w:rFonts w:cs="Times New Roman"/>
          <w:szCs w:val="20"/>
        </w:rPr>
        <w:t>support</w:t>
      </w:r>
      <w:r w:rsidR="00320BD9">
        <w:rPr>
          <w:rFonts w:cs="Times New Roman"/>
          <w:szCs w:val="20"/>
        </w:rPr>
        <w:t>ed</w:t>
      </w:r>
      <w:r w:rsidRPr="000B56DA">
        <w:rPr>
          <w:rFonts w:cs="Times New Roman"/>
          <w:szCs w:val="20"/>
        </w:rPr>
        <w:t xml:space="preserve"> by the </w:t>
      </w:r>
      <w:r w:rsidR="000B72C4">
        <w:rPr>
          <w:rFonts w:cs="Times New Roman"/>
          <w:szCs w:val="20"/>
        </w:rPr>
        <w:t>work group</w:t>
      </w:r>
      <w:r w:rsidRPr="000B56DA">
        <w:rPr>
          <w:rFonts w:cs="Times New Roman"/>
          <w:szCs w:val="20"/>
        </w:rPr>
        <w:t>.</w:t>
      </w:r>
      <w:r w:rsidR="000B72C4">
        <w:rPr>
          <w:rFonts w:cs="Times New Roman"/>
          <w:szCs w:val="20"/>
        </w:rPr>
        <w:t xml:space="preserve"> </w:t>
      </w:r>
      <w:r w:rsidRPr="000B56DA">
        <w:rPr>
          <w:rFonts w:cs="Times New Roman"/>
          <w:szCs w:val="20"/>
        </w:rPr>
        <w:t xml:space="preserve"> The </w:t>
      </w:r>
      <w:r w:rsidR="00467186">
        <w:rPr>
          <w:rFonts w:cs="Times New Roman"/>
          <w:szCs w:val="20"/>
        </w:rPr>
        <w:t>C</w:t>
      </w:r>
      <w:r w:rsidR="00467186" w:rsidRPr="000B56DA">
        <w:rPr>
          <w:rFonts w:cs="Times New Roman"/>
          <w:szCs w:val="20"/>
        </w:rPr>
        <w:t xml:space="preserve">ommittee </w:t>
      </w:r>
      <w:r w:rsidRPr="000B56DA">
        <w:rPr>
          <w:rFonts w:cs="Times New Roman"/>
          <w:szCs w:val="20"/>
        </w:rPr>
        <w:t xml:space="preserve">agreed that the changes suggested by </w:t>
      </w:r>
      <w:r w:rsidR="000B72C4">
        <w:rPr>
          <w:rFonts w:cs="Times New Roman"/>
          <w:szCs w:val="20"/>
        </w:rPr>
        <w:t xml:space="preserve">NIST, </w:t>
      </w:r>
      <w:r w:rsidRPr="000B56DA">
        <w:rPr>
          <w:rFonts w:cs="Times New Roman"/>
          <w:szCs w:val="20"/>
        </w:rPr>
        <w:t>OWM to</w:t>
      </w:r>
      <w:r w:rsidRPr="00F87C20">
        <w:rPr>
          <w:szCs w:val="20"/>
        </w:rPr>
        <w:t xml:space="preserve"> the </w:t>
      </w:r>
      <w:r w:rsidRPr="003A556A">
        <w:rPr>
          <w:szCs w:val="20"/>
        </w:rPr>
        <w:t>language originally proposed for UR.3.2.</w:t>
      </w:r>
      <w:r w:rsidRPr="00CF5434">
        <w:rPr>
          <w:szCs w:val="20"/>
        </w:rPr>
        <w:t xml:space="preserve">(a) </w:t>
      </w:r>
      <w:r w:rsidRPr="000B56DA">
        <w:rPr>
          <w:rFonts w:cs="Times New Roman"/>
          <w:szCs w:val="20"/>
        </w:rPr>
        <w:t>were needed in order to make the paragraph an enforceable requirement</w:t>
      </w:r>
      <w:r w:rsidR="00320BD9">
        <w:rPr>
          <w:rFonts w:cs="Times New Roman"/>
          <w:szCs w:val="20"/>
        </w:rPr>
        <w:t xml:space="preserve"> and thus modified the original proposal accordingly.  </w:t>
      </w:r>
      <w:r w:rsidR="00320BD9" w:rsidRPr="006273B2">
        <w:rPr>
          <w:rFonts w:cs="Times New Roman"/>
        </w:rPr>
        <w:t>The 20</w:t>
      </w:r>
      <w:r w:rsidR="00320BD9">
        <w:rPr>
          <w:rFonts w:cs="Times New Roman"/>
        </w:rPr>
        <w:t>12</w:t>
      </w:r>
      <w:r w:rsidR="00320BD9" w:rsidRPr="006273B2">
        <w:rPr>
          <w:rFonts w:cs="Times New Roman"/>
        </w:rPr>
        <w:t xml:space="preserve"> </w:t>
      </w:r>
      <w:r w:rsidR="00320BD9">
        <w:rPr>
          <w:rFonts w:cs="Times New Roman"/>
        </w:rPr>
        <w:t>S&amp;T</w:t>
      </w:r>
      <w:r w:rsidR="00320BD9" w:rsidRPr="006273B2">
        <w:rPr>
          <w:rFonts w:cs="Times New Roman"/>
        </w:rPr>
        <w:t xml:space="preserve"> Committee designated this item as a Voting Item</w:t>
      </w:r>
      <w:r w:rsidR="00320BD9">
        <w:rPr>
          <w:rFonts w:cs="Times New Roman"/>
          <w:szCs w:val="20"/>
        </w:rPr>
        <w:t>.</w:t>
      </w:r>
    </w:p>
    <w:p w:rsidR="00207A80" w:rsidRDefault="00207A80" w:rsidP="00427D7B">
      <w:pPr>
        <w:rPr>
          <w:rFonts w:cs="Times New Roman"/>
          <w:szCs w:val="20"/>
        </w:rPr>
      </w:pPr>
      <w:r w:rsidRPr="000B56DA">
        <w:rPr>
          <w:rFonts w:cs="Times New Roman"/>
          <w:szCs w:val="20"/>
        </w:rPr>
        <w:t xml:space="preserve">The </w:t>
      </w:r>
      <w:r w:rsidR="00911FF8">
        <w:rPr>
          <w:rFonts w:cs="Times New Roman"/>
          <w:szCs w:val="20"/>
        </w:rPr>
        <w:t>C</w:t>
      </w:r>
      <w:r w:rsidR="00911FF8" w:rsidRPr="000B56DA">
        <w:rPr>
          <w:rFonts w:cs="Times New Roman"/>
          <w:szCs w:val="20"/>
        </w:rPr>
        <w:t xml:space="preserve">ommittee </w:t>
      </w:r>
      <w:r w:rsidRPr="000B56DA">
        <w:rPr>
          <w:rFonts w:cs="Times New Roman"/>
          <w:szCs w:val="20"/>
        </w:rPr>
        <w:t xml:space="preserve">then considered the effect that this agenda item would have on agenda </w:t>
      </w:r>
      <w:r w:rsidR="00BA7C2F">
        <w:rPr>
          <w:rFonts w:cs="Times New Roman"/>
          <w:szCs w:val="20"/>
        </w:rPr>
        <w:t>I</w:t>
      </w:r>
      <w:r w:rsidR="00BA7C2F" w:rsidRPr="000B56DA">
        <w:rPr>
          <w:rFonts w:cs="Times New Roman"/>
          <w:szCs w:val="20"/>
        </w:rPr>
        <w:t xml:space="preserve">tem </w:t>
      </w:r>
      <w:r w:rsidRPr="000B56DA">
        <w:rPr>
          <w:rFonts w:cs="Times New Roman"/>
          <w:szCs w:val="20"/>
        </w:rPr>
        <w:t xml:space="preserve">321-2 should both be considered </w:t>
      </w:r>
      <w:r>
        <w:rPr>
          <w:rFonts w:cs="Times New Roman"/>
          <w:szCs w:val="20"/>
        </w:rPr>
        <w:t>V</w:t>
      </w:r>
      <w:r w:rsidRPr="000B56DA">
        <w:rPr>
          <w:rFonts w:cs="Times New Roman"/>
          <w:szCs w:val="20"/>
        </w:rPr>
        <w:t xml:space="preserve">oting </w:t>
      </w:r>
      <w:r w:rsidR="000B72C4">
        <w:rPr>
          <w:rFonts w:cs="Times New Roman"/>
          <w:szCs w:val="20"/>
        </w:rPr>
        <w:t>I</w:t>
      </w:r>
      <w:r w:rsidRPr="000B56DA">
        <w:rPr>
          <w:rFonts w:cs="Times New Roman"/>
          <w:szCs w:val="20"/>
        </w:rPr>
        <w:t xml:space="preserve">tems at </w:t>
      </w:r>
      <w:r w:rsidR="00163A4B">
        <w:rPr>
          <w:rFonts w:cs="Times New Roman"/>
          <w:szCs w:val="20"/>
        </w:rPr>
        <w:t xml:space="preserve">the </w:t>
      </w:r>
      <w:r w:rsidRPr="000B56DA">
        <w:rPr>
          <w:rFonts w:cs="Times New Roman"/>
          <w:szCs w:val="20"/>
        </w:rPr>
        <w:t xml:space="preserve">NCWM Annual Meeting.  The </w:t>
      </w:r>
      <w:r w:rsidR="00911FF8">
        <w:rPr>
          <w:rFonts w:cs="Times New Roman"/>
          <w:szCs w:val="20"/>
        </w:rPr>
        <w:t>C</w:t>
      </w:r>
      <w:r w:rsidR="00911FF8" w:rsidRPr="000B56DA">
        <w:rPr>
          <w:rFonts w:cs="Times New Roman"/>
          <w:szCs w:val="20"/>
        </w:rPr>
        <w:t xml:space="preserve">ommittee </w:t>
      </w:r>
      <w:r w:rsidRPr="000B56DA">
        <w:rPr>
          <w:rFonts w:cs="Times New Roman"/>
          <w:szCs w:val="20"/>
        </w:rPr>
        <w:t xml:space="preserve">concluded that </w:t>
      </w:r>
      <w:r w:rsidR="002A1B0B">
        <w:rPr>
          <w:rFonts w:cs="Times New Roman"/>
          <w:szCs w:val="20"/>
        </w:rPr>
        <w:t>Item</w:t>
      </w:r>
      <w:r w:rsidRPr="000B56DA">
        <w:rPr>
          <w:rFonts w:cs="Times New Roman"/>
          <w:szCs w:val="20"/>
        </w:rPr>
        <w:t xml:space="preserve"> 321-1 was intended as a stand</w:t>
      </w:r>
      <w:r w:rsidR="00467186">
        <w:rPr>
          <w:rFonts w:cs="Times New Roman"/>
          <w:szCs w:val="20"/>
        </w:rPr>
        <w:t>-</w:t>
      </w:r>
      <w:r w:rsidRPr="000B56DA">
        <w:rPr>
          <w:rFonts w:cs="Times New Roman"/>
          <w:szCs w:val="20"/>
        </w:rPr>
        <w:t xml:space="preserve">alone item to be voted on separately from </w:t>
      </w:r>
      <w:r w:rsidR="002A1B0B">
        <w:rPr>
          <w:rFonts w:cs="Times New Roman"/>
          <w:szCs w:val="20"/>
        </w:rPr>
        <w:t>Item</w:t>
      </w:r>
      <w:r w:rsidRPr="000B56DA">
        <w:rPr>
          <w:rFonts w:cs="Times New Roman"/>
          <w:szCs w:val="20"/>
        </w:rPr>
        <w:t xml:space="preserve"> 321-2.  However, if agenda </w:t>
      </w:r>
      <w:r w:rsidR="00BA7C2F">
        <w:rPr>
          <w:rFonts w:cs="Times New Roman"/>
          <w:szCs w:val="20"/>
        </w:rPr>
        <w:t>I</w:t>
      </w:r>
      <w:r w:rsidR="00BA7C2F" w:rsidRPr="000B56DA">
        <w:rPr>
          <w:rFonts w:cs="Times New Roman"/>
          <w:szCs w:val="20"/>
        </w:rPr>
        <w:t xml:space="preserve">tem </w:t>
      </w:r>
      <w:r w:rsidRPr="000B56DA">
        <w:rPr>
          <w:rFonts w:cs="Times New Roman"/>
          <w:szCs w:val="20"/>
        </w:rPr>
        <w:t>321-1 were to be a</w:t>
      </w:r>
      <w:r w:rsidR="00320BD9">
        <w:rPr>
          <w:rFonts w:cs="Times New Roman"/>
          <w:szCs w:val="20"/>
        </w:rPr>
        <w:t>dopted by NCWM,</w:t>
      </w:r>
      <w:r w:rsidRPr="000B56DA">
        <w:rPr>
          <w:rFonts w:cs="Times New Roman"/>
          <w:szCs w:val="20"/>
        </w:rPr>
        <w:t xml:space="preserve"> the insertion of the new user requirement proposed under </w:t>
      </w:r>
      <w:r w:rsidR="00BA7C2F">
        <w:rPr>
          <w:rFonts w:cs="Times New Roman"/>
          <w:szCs w:val="20"/>
        </w:rPr>
        <w:t xml:space="preserve">Item </w:t>
      </w:r>
      <w:r w:rsidRPr="000B56DA">
        <w:rPr>
          <w:rFonts w:cs="Times New Roman"/>
          <w:szCs w:val="20"/>
        </w:rPr>
        <w:t xml:space="preserve">321-1 would change the organization and some of the paragraph references in the user requirement restructuring proposed under </w:t>
      </w:r>
      <w:r w:rsidR="00BA7C2F">
        <w:rPr>
          <w:rFonts w:cs="Times New Roman"/>
          <w:szCs w:val="20"/>
        </w:rPr>
        <w:t xml:space="preserve">Item </w:t>
      </w:r>
      <w:r w:rsidRPr="000B56DA">
        <w:rPr>
          <w:rFonts w:cs="Times New Roman"/>
          <w:szCs w:val="20"/>
        </w:rPr>
        <w:t xml:space="preserve">321-2.  It was noted that </w:t>
      </w:r>
      <w:r w:rsidR="00453401">
        <w:rPr>
          <w:rFonts w:cs="Times New Roman"/>
          <w:szCs w:val="20"/>
        </w:rPr>
        <w:t xml:space="preserve">NIST, </w:t>
      </w:r>
      <w:r w:rsidRPr="000B56DA">
        <w:rPr>
          <w:rFonts w:cs="Times New Roman"/>
          <w:szCs w:val="20"/>
        </w:rPr>
        <w:t xml:space="preserve">OWM had suggested a further reorganization of the language in the User Requirements in </w:t>
      </w:r>
      <w:r w:rsidR="00BA7C2F">
        <w:rPr>
          <w:rFonts w:cs="Times New Roman"/>
          <w:szCs w:val="20"/>
        </w:rPr>
        <w:t>I</w:t>
      </w:r>
      <w:r w:rsidR="00BA7C2F" w:rsidRPr="000B56DA">
        <w:rPr>
          <w:rFonts w:cs="Times New Roman"/>
          <w:szCs w:val="20"/>
        </w:rPr>
        <w:t xml:space="preserve">tem </w:t>
      </w:r>
      <w:r w:rsidRPr="000B56DA">
        <w:rPr>
          <w:rFonts w:cs="Times New Roman"/>
          <w:szCs w:val="20"/>
        </w:rPr>
        <w:t xml:space="preserve">321-2.  </w:t>
      </w:r>
      <w:r w:rsidR="00320BD9">
        <w:rPr>
          <w:rFonts w:cs="Times New Roman"/>
          <w:szCs w:val="20"/>
        </w:rPr>
        <w:t>They</w:t>
      </w:r>
      <w:r w:rsidRPr="000B56DA">
        <w:rPr>
          <w:rFonts w:cs="Times New Roman"/>
          <w:szCs w:val="20"/>
        </w:rPr>
        <w:t xml:space="preserve"> circulated this language (including their suggested changes to UR.3.2. proposed under </w:t>
      </w:r>
      <w:r w:rsidR="00BA7C2F">
        <w:rPr>
          <w:rFonts w:cs="Times New Roman"/>
          <w:szCs w:val="20"/>
        </w:rPr>
        <w:t>I</w:t>
      </w:r>
      <w:r w:rsidR="00BA7C2F" w:rsidRPr="000B56DA">
        <w:rPr>
          <w:rFonts w:cs="Times New Roman"/>
          <w:szCs w:val="20"/>
        </w:rPr>
        <w:t xml:space="preserve">tem </w:t>
      </w:r>
      <w:r w:rsidRPr="000B56DA">
        <w:rPr>
          <w:rFonts w:cs="Times New Roman"/>
          <w:szCs w:val="20"/>
        </w:rPr>
        <w:t xml:space="preserve">321-1) to members of the </w:t>
      </w:r>
      <w:r>
        <w:rPr>
          <w:rFonts w:cs="Times New Roman"/>
          <w:szCs w:val="20"/>
        </w:rPr>
        <w:t xml:space="preserve">USNWG </w:t>
      </w:r>
      <w:r w:rsidR="00163A4B">
        <w:rPr>
          <w:rFonts w:cs="Times New Roman"/>
          <w:szCs w:val="20"/>
        </w:rPr>
        <w:t>on BCS</w:t>
      </w:r>
      <w:r w:rsidRPr="000B56DA">
        <w:rPr>
          <w:rFonts w:cs="Times New Roman"/>
          <w:szCs w:val="20"/>
        </w:rPr>
        <w:t xml:space="preserve">s and </w:t>
      </w:r>
      <w:r w:rsidR="00320BD9">
        <w:rPr>
          <w:rFonts w:cs="Times New Roman"/>
          <w:szCs w:val="20"/>
        </w:rPr>
        <w:t xml:space="preserve">indicated </w:t>
      </w:r>
      <w:r w:rsidRPr="000B56DA">
        <w:rPr>
          <w:rFonts w:cs="Times New Roman"/>
          <w:szCs w:val="20"/>
        </w:rPr>
        <w:t xml:space="preserve">that they had supported this alternative proposal. </w:t>
      </w:r>
      <w:r w:rsidR="00453401">
        <w:rPr>
          <w:rFonts w:cs="Times New Roman"/>
          <w:szCs w:val="20"/>
        </w:rPr>
        <w:t xml:space="preserve"> </w:t>
      </w:r>
      <w:r w:rsidRPr="000B56DA">
        <w:rPr>
          <w:rFonts w:cs="Times New Roman"/>
          <w:szCs w:val="20"/>
        </w:rPr>
        <w:t xml:space="preserve">The </w:t>
      </w:r>
      <w:r w:rsidR="008C55B6">
        <w:rPr>
          <w:rFonts w:cs="Times New Roman"/>
          <w:szCs w:val="20"/>
        </w:rPr>
        <w:t>C</w:t>
      </w:r>
      <w:r w:rsidR="008C55B6" w:rsidRPr="000B56DA">
        <w:rPr>
          <w:rFonts w:cs="Times New Roman"/>
          <w:szCs w:val="20"/>
        </w:rPr>
        <w:t xml:space="preserve">ommittee </w:t>
      </w:r>
      <w:r w:rsidRPr="000B56DA">
        <w:rPr>
          <w:rFonts w:cs="Times New Roman"/>
          <w:szCs w:val="20"/>
        </w:rPr>
        <w:t xml:space="preserve">decided that if </w:t>
      </w:r>
      <w:r w:rsidR="00BA7C2F">
        <w:rPr>
          <w:rFonts w:cs="Times New Roman"/>
          <w:szCs w:val="20"/>
        </w:rPr>
        <w:t>I</w:t>
      </w:r>
      <w:r w:rsidR="00BA7C2F" w:rsidRPr="000B56DA">
        <w:rPr>
          <w:rFonts w:cs="Times New Roman"/>
          <w:szCs w:val="20"/>
        </w:rPr>
        <w:t xml:space="preserve">tem </w:t>
      </w:r>
      <w:r w:rsidRPr="000B56DA">
        <w:rPr>
          <w:rFonts w:cs="Times New Roman"/>
          <w:szCs w:val="20"/>
        </w:rPr>
        <w:t>321-1 were</w:t>
      </w:r>
      <w:r w:rsidR="00320BD9">
        <w:rPr>
          <w:rFonts w:cs="Times New Roman"/>
          <w:szCs w:val="20"/>
        </w:rPr>
        <w:t xml:space="preserve"> adopted by NCWM</w:t>
      </w:r>
      <w:r w:rsidRPr="000B56DA">
        <w:rPr>
          <w:rFonts w:cs="Times New Roman"/>
          <w:szCs w:val="20"/>
        </w:rPr>
        <w:t xml:space="preserve">, the user requirement proposed under </w:t>
      </w:r>
      <w:r w:rsidR="00BA7C2F">
        <w:rPr>
          <w:rFonts w:cs="Times New Roman"/>
          <w:szCs w:val="20"/>
        </w:rPr>
        <w:t xml:space="preserve">Item </w:t>
      </w:r>
      <w:r w:rsidRPr="000B56DA">
        <w:rPr>
          <w:rFonts w:cs="Times New Roman"/>
          <w:szCs w:val="20"/>
        </w:rPr>
        <w:t xml:space="preserve">321-1 should be inserted into </w:t>
      </w:r>
      <w:r w:rsidR="00320BD9">
        <w:rPr>
          <w:rFonts w:cs="Times New Roman"/>
          <w:szCs w:val="20"/>
        </w:rPr>
        <w:t>the</w:t>
      </w:r>
      <w:r w:rsidRPr="000B56DA">
        <w:rPr>
          <w:rFonts w:cs="Times New Roman"/>
          <w:szCs w:val="20"/>
        </w:rPr>
        <w:t xml:space="preserve"> alternative restructuring proposal and </w:t>
      </w:r>
      <w:r w:rsidR="00320BD9">
        <w:rPr>
          <w:rFonts w:cs="Times New Roman"/>
          <w:szCs w:val="20"/>
        </w:rPr>
        <w:t xml:space="preserve">should </w:t>
      </w:r>
      <w:r w:rsidRPr="000B56DA">
        <w:rPr>
          <w:rFonts w:cs="Times New Roman"/>
          <w:szCs w:val="20"/>
        </w:rPr>
        <w:t xml:space="preserve">be voted </w:t>
      </w:r>
      <w:r w:rsidR="00320BD9">
        <w:rPr>
          <w:rFonts w:cs="Times New Roman"/>
          <w:szCs w:val="20"/>
        </w:rPr>
        <w:t>up</w:t>
      </w:r>
      <w:r w:rsidRPr="000B56DA">
        <w:rPr>
          <w:rFonts w:cs="Times New Roman"/>
          <w:szCs w:val="20"/>
        </w:rPr>
        <w:t xml:space="preserve">on as part of </w:t>
      </w:r>
      <w:r w:rsidR="00BA7C2F">
        <w:rPr>
          <w:rFonts w:cs="Times New Roman"/>
          <w:szCs w:val="20"/>
        </w:rPr>
        <w:t xml:space="preserve">Item </w:t>
      </w:r>
      <w:r w:rsidRPr="000B56DA">
        <w:rPr>
          <w:rFonts w:cs="Times New Roman"/>
          <w:szCs w:val="20"/>
        </w:rPr>
        <w:t xml:space="preserve">321-2.  </w:t>
      </w:r>
    </w:p>
    <w:p w:rsidR="00E7499F" w:rsidRDefault="00E7499F" w:rsidP="00E7499F">
      <w:r w:rsidRPr="000C335C">
        <w:t xml:space="preserve">At their 2012 Annual Meetings, NEWMA and CWMA supported the item as a </w:t>
      </w:r>
      <w:r w:rsidR="00911FF8">
        <w:t>V</w:t>
      </w:r>
      <w:r w:rsidR="00911FF8" w:rsidRPr="000C335C">
        <w:t xml:space="preserve">oting </w:t>
      </w:r>
      <w:r w:rsidR="002A1B0B">
        <w:t>Item</w:t>
      </w:r>
      <w:r w:rsidRPr="000C335C">
        <w:t>.  NEWMA also acknowledged the need to renumber the paragraph should Item 321-2 pass.</w:t>
      </w:r>
    </w:p>
    <w:p w:rsidR="00782A2D" w:rsidRDefault="00782A2D" w:rsidP="00E7499F">
      <w:r>
        <w:t>In its 2012 Interim Report, the Committee proposed adding a new paragraph S.1.9. as follows:</w:t>
      </w:r>
    </w:p>
    <w:p w:rsidR="00782A2D" w:rsidRPr="001136ED" w:rsidRDefault="00782A2D" w:rsidP="004408AC">
      <w:pPr>
        <w:pStyle w:val="I-Normalreg"/>
        <w:tabs>
          <w:tab w:val="left" w:pos="1080"/>
        </w:tabs>
        <w:spacing w:after="0"/>
        <w:rPr>
          <w:b/>
          <w:i/>
          <w:u w:val="single"/>
        </w:rPr>
      </w:pPr>
      <w:r w:rsidRPr="001136ED">
        <w:rPr>
          <w:b/>
          <w:i/>
          <w:u w:val="single"/>
        </w:rPr>
        <w:t>S.1.9.</w:t>
      </w:r>
      <w:r w:rsidR="00851B64">
        <w:rPr>
          <w:b/>
          <w:i/>
          <w:u w:val="single"/>
        </w:rPr>
        <w:tab/>
      </w:r>
      <w:r w:rsidRPr="001136ED">
        <w:rPr>
          <w:b/>
          <w:i/>
          <w:u w:val="single"/>
        </w:rPr>
        <w:t>Zero Ready Indicator</w:t>
      </w:r>
      <w:r w:rsidR="000970E1" w:rsidRPr="001136ED">
        <w:rPr>
          <w:b/>
          <w:i/>
          <w:u w:val="single"/>
        </w:rPr>
        <w:t>.</w:t>
      </w:r>
      <w:r w:rsidR="000970E1">
        <w:rPr>
          <w:b/>
          <w:i/>
          <w:u w:val="single"/>
        </w:rPr>
        <w:t xml:space="preserve"> – </w:t>
      </w:r>
      <w:r w:rsidRPr="001136ED">
        <w:rPr>
          <w:b/>
          <w:i/>
          <w:u w:val="single"/>
        </w:rPr>
        <w:t xml:space="preserve">A belt conveyor scale shall be equipped with a Zero Ready indicator.  Permanent means shall be provided to produce an audio or visual signal when the zero is within </w:t>
      </w:r>
      <w:r w:rsidR="000970E1">
        <w:rPr>
          <w:rFonts w:cs="Times New Roman"/>
          <w:b/>
          <w:i/>
          <w:u w:val="single"/>
        </w:rPr>
        <w:t>±</w:t>
      </w:r>
      <w:r w:rsidR="000970E1">
        <w:rPr>
          <w:b/>
          <w:i/>
          <w:u w:val="single"/>
        </w:rPr>
        <w:t> </w:t>
      </w:r>
      <w:r w:rsidRPr="001136ED">
        <w:rPr>
          <w:b/>
          <w:i/>
          <w:u w:val="single"/>
        </w:rPr>
        <w:t>0.12</w:t>
      </w:r>
      <w:r w:rsidR="000970E1">
        <w:rPr>
          <w:b/>
          <w:i/>
          <w:u w:val="single"/>
        </w:rPr>
        <w:t> </w:t>
      </w:r>
      <w:r w:rsidRPr="001136ED">
        <w:rPr>
          <w:b/>
          <w:i/>
          <w:u w:val="single"/>
        </w:rPr>
        <w:t>% of the rated capacity of the scale during an unloaded belt condition.  The type of indication (audio or visual) shall be determined by the individual installation.</w:t>
      </w:r>
    </w:p>
    <w:p w:rsidR="00782A2D" w:rsidRPr="001136ED" w:rsidRDefault="00782A2D" w:rsidP="004408AC">
      <w:pPr>
        <w:pStyle w:val="I-Normalreg"/>
        <w:spacing w:after="60"/>
        <w:rPr>
          <w:b/>
          <w:i/>
          <w:u w:val="single"/>
        </w:rPr>
      </w:pPr>
      <w:r w:rsidRPr="001136ED">
        <w:rPr>
          <w:b/>
          <w:i/>
          <w:u w:val="single"/>
        </w:rPr>
        <w:t>[Nonretroactive as of January 1, 20XX]</w:t>
      </w:r>
    </w:p>
    <w:p w:rsidR="00782A2D" w:rsidRDefault="00782A2D" w:rsidP="00782A2D">
      <w:pPr>
        <w:pStyle w:val="I-Normalreg"/>
        <w:rPr>
          <w:b/>
          <w:u w:val="single"/>
        </w:rPr>
      </w:pPr>
      <w:r w:rsidRPr="00427D7B">
        <w:rPr>
          <w:b/>
          <w:u w:val="single"/>
        </w:rPr>
        <w:t>(Added 20XX)</w:t>
      </w:r>
    </w:p>
    <w:p w:rsidR="00E7499F" w:rsidRPr="000C335C" w:rsidRDefault="00E7499F" w:rsidP="00E7499F">
      <w:pPr>
        <w:rPr>
          <w:szCs w:val="20"/>
        </w:rPr>
      </w:pPr>
      <w:r w:rsidRPr="000C335C">
        <w:t xml:space="preserve">At the 2012 NCWM Annual Meeting, the Committee heard comments from Ms. Juana Williams, speaking on behalf of </w:t>
      </w:r>
      <w:r w:rsidR="00911FF8">
        <w:t xml:space="preserve">NIST, </w:t>
      </w:r>
      <w:r w:rsidRPr="000C335C">
        <w:t>OWM who noted that a</w:t>
      </w:r>
      <w:r w:rsidRPr="000C335C">
        <w:rPr>
          <w:szCs w:val="20"/>
        </w:rPr>
        <w:t xml:space="preserve">dding a Specification requirement that defines a proper zero-load balance condition on a belt-conveyor scale system and an associated User Requirement that requires operators to start each commercial weighment with the scale </w:t>
      </w:r>
      <w:r w:rsidR="001F4AF8">
        <w:rPr>
          <w:szCs w:val="20"/>
        </w:rPr>
        <w:t>at</w:t>
      </w:r>
      <w:r w:rsidRPr="000C335C">
        <w:rPr>
          <w:szCs w:val="20"/>
        </w:rPr>
        <w:t xml:space="preserve"> zero (i.e., in a proper zero-balance condition) would make the Belt Conveyor Scales Systems Code more consistent with other device codes in </w:t>
      </w:r>
      <w:r w:rsidRPr="004E6688">
        <w:rPr>
          <w:szCs w:val="20"/>
        </w:rPr>
        <w:t>NIST Handbook 44</w:t>
      </w:r>
      <w:r w:rsidRPr="000C335C">
        <w:rPr>
          <w:szCs w:val="20"/>
        </w:rPr>
        <w:t xml:space="preserve"> and likely improve the accuracy of the measurement process.</w:t>
      </w:r>
    </w:p>
    <w:p w:rsidR="00E7499F" w:rsidRPr="000C335C" w:rsidRDefault="00E7499F" w:rsidP="00911FF8">
      <w:pPr>
        <w:rPr>
          <w:szCs w:val="20"/>
        </w:rPr>
      </w:pPr>
      <w:r w:rsidRPr="000C335C">
        <w:rPr>
          <w:szCs w:val="20"/>
        </w:rPr>
        <w:t xml:space="preserve">With regard to the proposed paragraph S.1.9. Zero Ready Indicator, </w:t>
      </w:r>
      <w:r w:rsidR="00467186">
        <w:rPr>
          <w:szCs w:val="20"/>
        </w:rPr>
        <w:t xml:space="preserve">NIST, </w:t>
      </w:r>
      <w:r w:rsidRPr="000C335C">
        <w:rPr>
          <w:szCs w:val="20"/>
        </w:rPr>
        <w:t>OWM commented that the words</w:t>
      </w:r>
      <w:r>
        <w:rPr>
          <w:szCs w:val="20"/>
        </w:rPr>
        <w:t xml:space="preserve"> “permanent means” seemed </w:t>
      </w:r>
      <w:r w:rsidRPr="000C335C">
        <w:rPr>
          <w:szCs w:val="20"/>
        </w:rPr>
        <w:t xml:space="preserve">confusing.  </w:t>
      </w:r>
      <w:r w:rsidR="00F841D3">
        <w:rPr>
          <w:szCs w:val="20"/>
        </w:rPr>
        <w:t xml:space="preserve">NIST, </w:t>
      </w:r>
      <w:r w:rsidRPr="000C335C">
        <w:rPr>
          <w:szCs w:val="20"/>
        </w:rPr>
        <w:t>OWM suggested that the Committee consider whether or not the first two sentences might be consolidated into a single sentence whic</w:t>
      </w:r>
      <w:r>
        <w:rPr>
          <w:szCs w:val="20"/>
        </w:rPr>
        <w:t>h better describes how the zero-</w:t>
      </w:r>
      <w:r w:rsidRPr="000C335C">
        <w:rPr>
          <w:szCs w:val="20"/>
        </w:rPr>
        <w:t xml:space="preserve">ready indicator is intended to operate and offered a suggestion for the Committee to consider.  </w:t>
      </w:r>
    </w:p>
    <w:p w:rsidR="00E7499F" w:rsidRPr="000C335C" w:rsidRDefault="00E7499F" w:rsidP="00911FF8">
      <w:r>
        <w:t>Mr. Ripka</w:t>
      </w:r>
      <w:r w:rsidRPr="000C335C">
        <w:t xml:space="preserve"> supported the item with </w:t>
      </w:r>
      <w:r w:rsidR="00F841D3">
        <w:t xml:space="preserve">NIST, </w:t>
      </w:r>
      <w:r w:rsidRPr="000C335C">
        <w:t>OWM’s proposed changes and commented that he believed the remainder of the Belt Scale Work Group would also support the changes.  Mr. Ripka also suggested establishing a nonretroactive date of 2014.</w:t>
      </w:r>
    </w:p>
    <w:p w:rsidR="00E7499F" w:rsidRPr="000C335C" w:rsidRDefault="00E7499F" w:rsidP="00E7499F">
      <w:r>
        <w:t>Mr. Flocken</w:t>
      </w:r>
      <w:r w:rsidRPr="000C335C">
        <w:t xml:space="preserve">, speaking on behalf of SMA, supported the original proposal, noting that he would like to review </w:t>
      </w:r>
      <w:r w:rsidR="00F841D3">
        <w:t xml:space="preserve">NIST, </w:t>
      </w:r>
      <w:r w:rsidRPr="000C335C">
        <w:t>OWM’s proposal in more detail before commenting on it one way or the other.</w:t>
      </w:r>
    </w:p>
    <w:p w:rsidR="00E7499F" w:rsidRPr="000C335C" w:rsidRDefault="00E7499F" w:rsidP="00E7499F">
      <w:r w:rsidRPr="000C335C">
        <w:rPr>
          <w:szCs w:val="20"/>
        </w:rPr>
        <w:t>A single position was posted on the NCWM 2012 Online Position Forum in support of the proposal.</w:t>
      </w:r>
    </w:p>
    <w:p w:rsidR="00E7499F" w:rsidRPr="000C335C" w:rsidRDefault="00E7499F" w:rsidP="00E7499F">
      <w:r w:rsidRPr="000C335C">
        <w:t xml:space="preserve">Based on comments received and general support for </w:t>
      </w:r>
      <w:r w:rsidR="00F841D3">
        <w:t xml:space="preserve">NIST, </w:t>
      </w:r>
      <w:r w:rsidRPr="000C335C">
        <w:t xml:space="preserve">OWM’s proposed modifications, </w:t>
      </w:r>
      <w:r w:rsidR="0093321F">
        <w:t>the Committ</w:t>
      </w:r>
      <w:r w:rsidR="00782A2D">
        <w:t>ee agreed to modify the proposed paragraph S.1.9.</w:t>
      </w:r>
      <w:r w:rsidR="0093321F">
        <w:t xml:space="preserve"> as shown in the “Item Under Consideration” above and to specify</w:t>
      </w:r>
      <w:r w:rsidRPr="000C335C">
        <w:t xml:space="preserve"> a nonretroactive date of 2014</w:t>
      </w:r>
      <w:r w:rsidR="0093321F">
        <w:t>.</w:t>
      </w:r>
    </w:p>
    <w:p w:rsidR="00E7499F" w:rsidRPr="000C335C" w:rsidRDefault="00E7499F" w:rsidP="00E7499F">
      <w:r w:rsidRPr="000C335C">
        <w:lastRenderedPageBreak/>
        <w:t xml:space="preserve">The Committee recommended no changes to Item 2) included in the “Item Under Consideration” and </w:t>
      </w:r>
      <w:r w:rsidR="00782A2D">
        <w:t xml:space="preserve">agreed to present </w:t>
      </w:r>
      <w:r w:rsidRPr="000C335C">
        <w:t xml:space="preserve">both items </w:t>
      </w:r>
      <w:r w:rsidR="00782A2D">
        <w:t>for a vote.</w:t>
      </w:r>
    </w:p>
    <w:p w:rsidR="00506B74" w:rsidRDefault="00506B74">
      <w:pPr>
        <w:pStyle w:val="ItemHeading"/>
      </w:pPr>
      <w:bookmarkStart w:id="20" w:name="_Toc334183622"/>
      <w:r>
        <w:t>321-2</w:t>
      </w:r>
      <w:r>
        <w:tab/>
      </w:r>
      <w:r w:rsidR="00453401">
        <w:t>V</w:t>
      </w:r>
      <w:r w:rsidR="00F017CE">
        <w:t>C</w:t>
      </w:r>
      <w:r w:rsidR="00453401">
        <w:tab/>
      </w:r>
      <w:r>
        <w:t>UR.1</w:t>
      </w:r>
      <w:r w:rsidR="00D32065">
        <w:t>.</w:t>
      </w:r>
      <w:r>
        <w:t xml:space="preserve"> </w:t>
      </w:r>
      <w:r w:rsidR="005065F1">
        <w:t xml:space="preserve"> </w:t>
      </w:r>
      <w:r>
        <w:t>User Requirements</w:t>
      </w:r>
      <w:bookmarkEnd w:id="20"/>
    </w:p>
    <w:p w:rsidR="00F017CE" w:rsidRPr="000C335C" w:rsidRDefault="00F017CE" w:rsidP="00F017CE">
      <w:pPr>
        <w:ind w:left="14" w:hanging="14"/>
        <w:jc w:val="center"/>
      </w:pPr>
      <w:r w:rsidRPr="000C335C">
        <w:rPr>
          <w:szCs w:val="20"/>
          <w:lang w:val="en-CA"/>
        </w:rPr>
        <w:t>(This item was adopted.)</w:t>
      </w:r>
    </w:p>
    <w:p w:rsidR="00506B74" w:rsidRDefault="00506B74" w:rsidP="004408AC">
      <w:pPr>
        <w:pStyle w:val="BoldHeading"/>
        <w:spacing w:after="0"/>
      </w:pPr>
      <w:r>
        <w:t xml:space="preserve">Source: </w:t>
      </w:r>
    </w:p>
    <w:p w:rsidR="00506B74" w:rsidRDefault="00506B74" w:rsidP="00506B74">
      <w:r>
        <w:t>U.S. National Work Group on Belt-Conveyor Scales</w:t>
      </w:r>
      <w:r w:rsidR="001D69C8">
        <w:t xml:space="preserve"> (2012)</w:t>
      </w:r>
    </w:p>
    <w:p w:rsidR="00506B74" w:rsidRDefault="00506B74" w:rsidP="004408AC">
      <w:pPr>
        <w:pStyle w:val="BoldHeading"/>
        <w:spacing w:after="0"/>
      </w:pPr>
      <w:r>
        <w:t xml:space="preserve">Purpose: </w:t>
      </w:r>
    </w:p>
    <w:p w:rsidR="00506B74" w:rsidRDefault="00005743" w:rsidP="00506B74">
      <w:r>
        <w:t>Achieve a better organization and formatting of the User Requirement section, by renumbering and/or relocated paragraphs within this section.</w:t>
      </w:r>
    </w:p>
    <w:p w:rsidR="00506B74" w:rsidRDefault="00506B74" w:rsidP="004408AC">
      <w:pPr>
        <w:pStyle w:val="BoldHeading"/>
        <w:spacing w:after="0"/>
      </w:pPr>
      <w:r>
        <w:t xml:space="preserve">Item Under Consideration: </w:t>
      </w:r>
    </w:p>
    <w:p w:rsidR="00506B74" w:rsidRDefault="00506B74" w:rsidP="00506B74">
      <w:r>
        <w:t xml:space="preserve">Amend </w:t>
      </w:r>
      <w:r w:rsidR="005B2C7D" w:rsidRPr="004408AC">
        <w:t>NIST Handbook 44</w:t>
      </w:r>
      <w:r w:rsidR="00467186">
        <w:rPr>
          <w:i/>
        </w:rPr>
        <w:t xml:space="preserve">, </w:t>
      </w:r>
      <w:r>
        <w:t>Belt-Conveyor Scales Systems UR. User Requirements section as follows:</w:t>
      </w:r>
    </w:p>
    <w:p w:rsidR="00D45A8C" w:rsidRDefault="00D45A8C" w:rsidP="004408AC">
      <w:pPr>
        <w:pStyle w:val="I-Normalreg"/>
        <w:jc w:val="center"/>
        <w:rPr>
          <w:b/>
        </w:rPr>
      </w:pPr>
      <w:r>
        <w:rPr>
          <w:b/>
        </w:rPr>
        <w:t>UR. User Requirements</w:t>
      </w:r>
    </w:p>
    <w:p w:rsidR="00506B74" w:rsidRPr="005B2C7D" w:rsidRDefault="005B2C7D" w:rsidP="004408AC">
      <w:pPr>
        <w:pStyle w:val="I-Normalreg"/>
        <w:tabs>
          <w:tab w:val="left" w:pos="990"/>
        </w:tabs>
        <w:spacing w:after="60"/>
        <w:rPr>
          <w:b/>
          <w:strike/>
        </w:rPr>
      </w:pPr>
      <w:r w:rsidRPr="005B2C7D">
        <w:rPr>
          <w:b/>
        </w:rPr>
        <w:t>UR.1</w:t>
      </w:r>
      <w:r w:rsidR="000970E1" w:rsidRPr="005B2C7D">
        <w:rPr>
          <w:b/>
        </w:rPr>
        <w:t>.</w:t>
      </w:r>
      <w:r w:rsidR="000970E1">
        <w:rPr>
          <w:b/>
        </w:rPr>
        <w:tab/>
      </w:r>
      <w:r w:rsidR="00506B74" w:rsidRPr="00D45A8C">
        <w:rPr>
          <w:b/>
          <w:strike/>
        </w:rPr>
        <w:t>Use</w:t>
      </w:r>
      <w:r w:rsidR="00D45A8C">
        <w:rPr>
          <w:b/>
        </w:rPr>
        <w:t xml:space="preserve"> </w:t>
      </w:r>
      <w:r w:rsidR="00D45A8C">
        <w:rPr>
          <w:b/>
          <w:u w:val="single"/>
        </w:rPr>
        <w:t>Installa</w:t>
      </w:r>
      <w:r w:rsidR="000C01CA">
        <w:rPr>
          <w:b/>
          <w:u w:val="single"/>
        </w:rPr>
        <w:t>t</w:t>
      </w:r>
      <w:r w:rsidR="00D45A8C">
        <w:rPr>
          <w:b/>
          <w:u w:val="single"/>
        </w:rPr>
        <w:t>ion</w:t>
      </w:r>
      <w:r w:rsidR="00506B74" w:rsidRPr="005B2C7D">
        <w:rPr>
          <w:b/>
        </w:rPr>
        <w:t xml:space="preserve"> Requirements.</w:t>
      </w:r>
      <w:r w:rsidR="00506B74">
        <w:t xml:space="preserve"> – </w:t>
      </w:r>
      <w:r w:rsidR="00506B74" w:rsidRPr="005B2C7D">
        <w:rPr>
          <w:b/>
          <w:strike/>
        </w:rPr>
        <w:t>A belt-conveyor scale system shall be operated between 20 % and 100 % of its rated capacity.</w:t>
      </w:r>
    </w:p>
    <w:p w:rsidR="00506B74" w:rsidRDefault="00506B74" w:rsidP="005B2C7D">
      <w:pPr>
        <w:pStyle w:val="I-Normalreg"/>
      </w:pPr>
      <w:r w:rsidRPr="005B2C7D">
        <w:rPr>
          <w:b/>
          <w:strike/>
        </w:rPr>
        <w:t>(Amended 2004)</w:t>
      </w:r>
    </w:p>
    <w:p w:rsidR="00F12B44" w:rsidRPr="00D45A8C" w:rsidRDefault="00F12B44" w:rsidP="004408AC">
      <w:pPr>
        <w:pStyle w:val="I-Normal1indent"/>
        <w:tabs>
          <w:tab w:val="left" w:pos="1530"/>
          <w:tab w:val="left" w:pos="1620"/>
        </w:tabs>
        <w:rPr>
          <w:b/>
          <w:strike/>
        </w:rPr>
      </w:pPr>
      <w:r w:rsidRPr="00D45A8C">
        <w:rPr>
          <w:b/>
          <w:strike/>
        </w:rPr>
        <w:t>UR.1.1</w:t>
      </w:r>
      <w:r w:rsidR="000970E1" w:rsidRPr="00D45A8C">
        <w:rPr>
          <w:b/>
          <w:strike/>
        </w:rPr>
        <w:t>.</w:t>
      </w:r>
      <w:r w:rsidR="000970E1">
        <w:rPr>
          <w:b/>
          <w:strike/>
        </w:rPr>
        <w:tab/>
      </w:r>
      <w:r w:rsidRPr="00D45A8C">
        <w:rPr>
          <w:b/>
          <w:strike/>
        </w:rPr>
        <w:t>Minimum Totalized Load. – Delivered quantities of less than the minimum test load shall not be considered a valid weighment.</w:t>
      </w:r>
    </w:p>
    <w:p w:rsidR="00D45A8C" w:rsidRDefault="00D45A8C" w:rsidP="004408AC">
      <w:pPr>
        <w:pStyle w:val="I-Normal1indent"/>
        <w:tabs>
          <w:tab w:val="left" w:pos="1530"/>
          <w:tab w:val="left" w:pos="1620"/>
        </w:tabs>
        <w:rPr>
          <w:b/>
        </w:rPr>
      </w:pPr>
      <w:r w:rsidRPr="00181600">
        <w:rPr>
          <w:b/>
          <w:u w:val="single"/>
        </w:rPr>
        <w:t>UR.1.1</w:t>
      </w:r>
      <w:r w:rsidR="000970E1" w:rsidRPr="00181600">
        <w:rPr>
          <w:b/>
          <w:u w:val="single"/>
        </w:rPr>
        <w:t>.</w:t>
      </w:r>
      <w:r w:rsidR="000970E1" w:rsidRPr="004408AC">
        <w:rPr>
          <w:b/>
          <w:u w:val="single"/>
        </w:rPr>
        <w:tab/>
      </w:r>
      <w:r w:rsidRPr="00D45A8C">
        <w:rPr>
          <w:b/>
          <w:u w:val="single"/>
        </w:rPr>
        <w:t>Protection from Environmental Factors. –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rsidR="00506B74" w:rsidRPr="00D45A8C" w:rsidRDefault="00D46EC9" w:rsidP="004408AC">
      <w:pPr>
        <w:pStyle w:val="I-Normal1indent"/>
        <w:tabs>
          <w:tab w:val="left" w:pos="1530"/>
          <w:tab w:val="left" w:pos="1620"/>
        </w:tabs>
        <w:spacing w:after="60"/>
        <w:rPr>
          <w:b/>
          <w:strike/>
        </w:rPr>
      </w:pPr>
      <w:r w:rsidRPr="00D45A8C">
        <w:rPr>
          <w:b/>
          <w:strike/>
        </w:rPr>
        <w:t>UR.1.2</w:t>
      </w:r>
      <w:r w:rsidR="000970E1" w:rsidRPr="00D45A8C">
        <w:rPr>
          <w:b/>
          <w:strike/>
        </w:rPr>
        <w:t>.</w:t>
      </w:r>
      <w:r w:rsidR="000970E1">
        <w:rPr>
          <w:b/>
          <w:strike/>
        </w:rPr>
        <w:tab/>
      </w:r>
      <w:r w:rsidR="00506B74" w:rsidRPr="00D45A8C">
        <w:rPr>
          <w:b/>
          <w:strike/>
        </w:rPr>
        <w:t>Security Means. – When a security means has been broken, it shall be reported to the official with statutory authority.</w:t>
      </w:r>
    </w:p>
    <w:p w:rsidR="00506B74" w:rsidRPr="00D45A8C" w:rsidRDefault="00506B74" w:rsidP="00BC4500">
      <w:pPr>
        <w:pStyle w:val="I-Normal1indent"/>
        <w:tabs>
          <w:tab w:val="left" w:pos="1530"/>
        </w:tabs>
        <w:rPr>
          <w:b/>
          <w:strike/>
        </w:rPr>
      </w:pPr>
      <w:r w:rsidRPr="00D45A8C">
        <w:rPr>
          <w:b/>
          <w:strike/>
        </w:rPr>
        <w:t>(Amended 1991)</w:t>
      </w:r>
    </w:p>
    <w:p w:rsidR="00D45A8C" w:rsidRPr="00181600" w:rsidRDefault="00D45A8C" w:rsidP="004408AC">
      <w:pPr>
        <w:pStyle w:val="I-Normal1indent"/>
        <w:tabs>
          <w:tab w:val="left" w:pos="1530"/>
          <w:tab w:val="left" w:pos="1620"/>
        </w:tabs>
        <w:spacing w:after="60"/>
        <w:rPr>
          <w:b/>
          <w:u w:val="single"/>
        </w:rPr>
      </w:pPr>
      <w:r w:rsidRPr="00181600">
        <w:rPr>
          <w:b/>
          <w:u w:val="single"/>
        </w:rPr>
        <w:t>UR.1.2</w:t>
      </w:r>
      <w:r w:rsidR="000970E1" w:rsidRPr="00181600">
        <w:rPr>
          <w:b/>
          <w:u w:val="single"/>
        </w:rPr>
        <w:t>.</w:t>
      </w:r>
      <w:r w:rsidR="000970E1" w:rsidRPr="004408AC">
        <w:rPr>
          <w:u w:val="single"/>
        </w:rPr>
        <w:tab/>
      </w:r>
      <w:r w:rsidRPr="00181600">
        <w:rPr>
          <w:b/>
          <w:u w:val="single"/>
        </w:rPr>
        <w:t>Conveyor Installation. – The design and installation of the conveyor leading to and from the belt conveyor scale is critical with respect to scale performance.  The conveyor can be horizontal or inclined, but if inclined, the angle shall be such that slippage of material along the belt does not occur.  Installation shall be in accordance with the scale manufacturer’s instructions and the following:</w:t>
      </w:r>
    </w:p>
    <w:p w:rsidR="00D45A8C" w:rsidRDefault="00D45A8C" w:rsidP="00D45A8C">
      <w:pPr>
        <w:pStyle w:val="I-Normal1indent"/>
      </w:pPr>
      <w:r w:rsidRPr="00181600">
        <w:rPr>
          <w:b/>
          <w:u w:val="single"/>
        </w:rPr>
        <w:t>(Amended 2002</w:t>
      </w:r>
      <w:r w:rsidR="004A6EF2">
        <w:rPr>
          <w:b/>
          <w:u w:val="single"/>
        </w:rPr>
        <w:t xml:space="preserve"> and 2012</w:t>
      </w:r>
      <w:r w:rsidRPr="00181600">
        <w:rPr>
          <w:b/>
          <w:u w:val="single"/>
        </w:rPr>
        <w:t>)</w:t>
      </w:r>
    </w:p>
    <w:p w:rsidR="00181600" w:rsidRDefault="00D45A8C" w:rsidP="00D46EC9">
      <w:pPr>
        <w:pStyle w:val="I-Normal1indent"/>
      </w:pPr>
      <w:r>
        <w:t>***Items (a) through (n) of UR.2.2. to be relocated beneath and become part of UR.1.2. Conveyor Installation.  No other changes recommended for (a) through (n).***</w:t>
      </w:r>
    </w:p>
    <w:p w:rsidR="00D45A8C" w:rsidRPr="00181600" w:rsidRDefault="00D45A8C" w:rsidP="004408AC">
      <w:pPr>
        <w:pStyle w:val="I-Normal1indent"/>
        <w:tabs>
          <w:tab w:val="left" w:pos="1530"/>
        </w:tabs>
        <w:spacing w:after="0"/>
        <w:rPr>
          <w:b/>
          <w:i/>
          <w:u w:val="single"/>
        </w:rPr>
      </w:pPr>
      <w:r w:rsidRPr="00181600">
        <w:rPr>
          <w:b/>
          <w:i/>
          <w:u w:val="single"/>
        </w:rPr>
        <w:t>UR.1.3</w:t>
      </w:r>
      <w:r w:rsidR="000970E1" w:rsidRPr="00181600">
        <w:rPr>
          <w:b/>
          <w:i/>
          <w:u w:val="single"/>
        </w:rPr>
        <w:t>.</w:t>
      </w:r>
      <w:r w:rsidR="000970E1">
        <w:rPr>
          <w:b/>
          <w:i/>
          <w:u w:val="single"/>
        </w:rPr>
        <w:tab/>
      </w:r>
      <w:r w:rsidRPr="00181600">
        <w:rPr>
          <w:b/>
          <w:i/>
          <w:u w:val="single"/>
        </w:rPr>
        <w:t>Material Test. – A belt-conveyor scale shall be installed so that a material test can be conveniently conducted.</w:t>
      </w:r>
    </w:p>
    <w:p w:rsidR="00D45A8C" w:rsidRDefault="00D45A8C" w:rsidP="00BC4500">
      <w:pPr>
        <w:pStyle w:val="I-Normal1indent"/>
        <w:tabs>
          <w:tab w:val="left" w:pos="1530"/>
        </w:tabs>
        <w:rPr>
          <w:b/>
          <w:i/>
          <w:u w:val="single"/>
        </w:rPr>
      </w:pPr>
      <w:r w:rsidRPr="00181600">
        <w:rPr>
          <w:b/>
          <w:i/>
          <w:u w:val="single"/>
        </w:rPr>
        <w:t>[Nonretroactive as of January 1, 1981]</w:t>
      </w:r>
    </w:p>
    <w:p w:rsidR="00D45A8C" w:rsidRDefault="00D45A8C" w:rsidP="004A6EF2">
      <w:pPr>
        <w:pStyle w:val="I-Normal1indent"/>
        <w:tabs>
          <w:tab w:val="left" w:pos="1530"/>
        </w:tabs>
        <w:spacing w:after="0"/>
        <w:rPr>
          <w:b/>
          <w:u w:val="single"/>
        </w:rPr>
      </w:pPr>
      <w:r w:rsidRPr="00D45A8C">
        <w:rPr>
          <w:b/>
          <w:u w:val="single"/>
        </w:rPr>
        <w:t>UR.1.4.</w:t>
      </w:r>
      <w:r w:rsidR="000970E1">
        <w:rPr>
          <w:b/>
          <w:u w:val="single"/>
        </w:rPr>
        <w:tab/>
      </w:r>
      <w:r w:rsidRPr="00D45A8C">
        <w:rPr>
          <w:b/>
          <w:u w:val="single"/>
        </w:rPr>
        <w:t>Belt Travel (Speed or Velocity). – The belt travel sensor shall be so positioned that it accurately represents the travel of the belt over the scale for all flow rates between the maximum and minimum values.  The belt travel sensor shall be so designed and installed that there is no slip.</w:t>
      </w:r>
    </w:p>
    <w:p w:rsidR="004A6EF2" w:rsidRDefault="004A6EF2" w:rsidP="004A6EF2">
      <w:pPr>
        <w:pStyle w:val="I-Normal1indent"/>
        <w:tabs>
          <w:tab w:val="left" w:pos="360"/>
          <w:tab w:val="left" w:pos="1530"/>
        </w:tabs>
        <w:spacing w:before="60"/>
        <w:ind w:left="0"/>
        <w:rPr>
          <w:b/>
          <w:u w:val="single"/>
        </w:rPr>
      </w:pPr>
      <w:r w:rsidRPr="004A6EF2">
        <w:rPr>
          <w:b/>
        </w:rPr>
        <w:tab/>
      </w:r>
      <w:r>
        <w:rPr>
          <w:b/>
          <w:u w:val="single"/>
        </w:rPr>
        <w:t>(Amended 2012)</w:t>
      </w:r>
    </w:p>
    <w:p w:rsidR="00D45A8C" w:rsidRDefault="00D45A8C" w:rsidP="004408AC">
      <w:pPr>
        <w:pStyle w:val="I-Normal-bold"/>
        <w:tabs>
          <w:tab w:val="left" w:pos="990"/>
        </w:tabs>
      </w:pPr>
      <w:r>
        <w:lastRenderedPageBreak/>
        <w:t>UR.2.</w:t>
      </w:r>
      <w:r w:rsidR="000970E1">
        <w:tab/>
      </w:r>
      <w:r w:rsidRPr="00D45A8C">
        <w:rPr>
          <w:strike/>
        </w:rPr>
        <w:t>Installation</w:t>
      </w:r>
      <w:r>
        <w:t xml:space="preserve"> </w:t>
      </w:r>
      <w:r w:rsidRPr="00D45A8C">
        <w:rPr>
          <w:u w:val="single"/>
        </w:rPr>
        <w:t>Use</w:t>
      </w:r>
      <w:r>
        <w:t xml:space="preserve"> Requirements.</w:t>
      </w:r>
    </w:p>
    <w:p w:rsidR="00D45A8C" w:rsidRPr="00B93A2D" w:rsidRDefault="00D45A8C" w:rsidP="004408AC">
      <w:pPr>
        <w:pStyle w:val="I-Normal1indent"/>
        <w:tabs>
          <w:tab w:val="left" w:pos="1530"/>
        </w:tabs>
        <w:rPr>
          <w:b/>
          <w:strike/>
        </w:rPr>
      </w:pPr>
      <w:r w:rsidRPr="00B93A2D">
        <w:rPr>
          <w:b/>
          <w:strike/>
        </w:rPr>
        <w:t>UR.2.1.</w:t>
      </w:r>
      <w:r w:rsidR="000970E1">
        <w:rPr>
          <w:b/>
          <w:strike/>
        </w:rPr>
        <w:tab/>
      </w:r>
      <w:r w:rsidRPr="00B93A2D">
        <w:rPr>
          <w:b/>
          <w:strike/>
        </w:rPr>
        <w:t xml:space="preserve">Protection from Environmental Factors. </w:t>
      </w:r>
      <w:r w:rsidR="004408AC">
        <w:rPr>
          <w:b/>
          <w:strike/>
        </w:rPr>
        <w:t>–</w:t>
      </w:r>
      <w:r w:rsidRPr="00B93A2D">
        <w:rPr>
          <w:b/>
          <w:strike/>
        </w:rPr>
        <w:t xml:space="preserve"> The indicating elements, the lever system or load cells, and the load-receiving element of a belt-conveyor scale shall be adequately protected from environmental factors such as wind, moisture, dust, weather, and radio frequency interference (RFI) and electromagnetic interference (EMI) that may adversely affect the operation or performance of the device.</w:t>
      </w:r>
    </w:p>
    <w:p w:rsidR="00D45A8C" w:rsidRDefault="00D45A8C" w:rsidP="004408AC">
      <w:pPr>
        <w:pStyle w:val="I-Normal1indent"/>
        <w:tabs>
          <w:tab w:val="left" w:pos="1530"/>
        </w:tabs>
      </w:pPr>
      <w:r w:rsidRPr="00181600">
        <w:rPr>
          <w:b/>
          <w:u w:val="single"/>
        </w:rPr>
        <w:t>UR.2.1.</w:t>
      </w:r>
      <w:r w:rsidRPr="00181600">
        <w:rPr>
          <w:b/>
          <w:u w:val="single"/>
        </w:rPr>
        <w:tab/>
      </w:r>
      <w:r w:rsidRPr="00B93A2D">
        <w:rPr>
          <w:b/>
          <w:u w:val="single"/>
        </w:rPr>
        <w:t>Rate of Operation. – A belt-conveyor scale system shall be operated between 20</w:t>
      </w:r>
      <w:r w:rsidR="00BC4500">
        <w:rPr>
          <w:b/>
          <w:u w:val="single"/>
        </w:rPr>
        <w:t> </w:t>
      </w:r>
      <w:r w:rsidRPr="00B93A2D">
        <w:rPr>
          <w:b/>
          <w:u w:val="single"/>
        </w:rPr>
        <w:t>% and 100</w:t>
      </w:r>
      <w:r w:rsidR="00BC4500">
        <w:rPr>
          <w:b/>
          <w:u w:val="single"/>
        </w:rPr>
        <w:t> </w:t>
      </w:r>
      <w:r w:rsidRPr="00B93A2D">
        <w:rPr>
          <w:b/>
          <w:u w:val="single"/>
        </w:rPr>
        <w:t>% of its rated capacity.</w:t>
      </w:r>
    </w:p>
    <w:p w:rsidR="00D45A8C" w:rsidRPr="00B93A2D" w:rsidRDefault="00D45A8C" w:rsidP="004408AC">
      <w:pPr>
        <w:pStyle w:val="I-Normal1indent"/>
        <w:tabs>
          <w:tab w:val="left" w:pos="1530"/>
        </w:tabs>
        <w:rPr>
          <w:b/>
          <w:strike/>
        </w:rPr>
      </w:pPr>
      <w:r w:rsidRPr="00B93A2D">
        <w:rPr>
          <w:b/>
          <w:strike/>
        </w:rPr>
        <w:t>UR.2.2.</w:t>
      </w:r>
      <w:r w:rsidRPr="00B93A2D">
        <w:rPr>
          <w:b/>
          <w:strike/>
        </w:rPr>
        <w:tab/>
        <w:t>Conveyor Installation. – The design and installation of the conveyor leading to and from the belt conveyor scale is critical with respect to scale performance.  The conveyor can be horizontal or inclined, but if inclined, the angle shall be such that slippage of material along the belt does not occur.  Installation shall be in accordance with the scale manufacturer’s instructions and the following:</w:t>
      </w:r>
    </w:p>
    <w:p w:rsidR="00D45A8C" w:rsidRPr="00B93A2D" w:rsidRDefault="00D45A8C" w:rsidP="004408AC">
      <w:pPr>
        <w:pStyle w:val="I-Normal1indent"/>
        <w:keepNext/>
        <w:spacing w:after="60"/>
        <w:rPr>
          <w:i/>
        </w:rPr>
      </w:pPr>
      <w:r w:rsidRPr="00B93A2D">
        <w:rPr>
          <w:i/>
        </w:rPr>
        <w:t xml:space="preserve">*NIST Technical Advisor’s note:   Also delete items (a) through (n) since there were relocated to UR.1.2. </w:t>
      </w:r>
    </w:p>
    <w:p w:rsidR="00D45A8C" w:rsidRPr="00B93A2D" w:rsidRDefault="00D45A8C" w:rsidP="004408AC">
      <w:pPr>
        <w:pStyle w:val="I-Normal1indent"/>
        <w:keepNext/>
        <w:rPr>
          <w:b/>
          <w:strike/>
        </w:rPr>
      </w:pPr>
      <w:r w:rsidRPr="00B93A2D">
        <w:rPr>
          <w:b/>
          <w:strike/>
        </w:rPr>
        <w:t>(Amended 2002)</w:t>
      </w:r>
    </w:p>
    <w:p w:rsidR="00D45A8C" w:rsidRPr="00B93A2D" w:rsidRDefault="00D45A8C" w:rsidP="00A0545E">
      <w:pPr>
        <w:pStyle w:val="I-Normal1indent"/>
        <w:tabs>
          <w:tab w:val="left" w:pos="1530"/>
        </w:tabs>
        <w:rPr>
          <w:b/>
        </w:rPr>
      </w:pPr>
      <w:r w:rsidRPr="00181600">
        <w:rPr>
          <w:b/>
          <w:u w:val="single"/>
        </w:rPr>
        <w:t>UR.2.2.</w:t>
      </w:r>
      <w:r w:rsidRPr="00181600">
        <w:rPr>
          <w:b/>
          <w:u w:val="single"/>
        </w:rPr>
        <w:tab/>
      </w:r>
      <w:r w:rsidRPr="00B93A2D">
        <w:rPr>
          <w:b/>
          <w:u w:val="single"/>
        </w:rPr>
        <w:t>Minimum Totalized Load. – Delivered quantities of less than the minimum test load shall not be considered a valid weighment.</w:t>
      </w:r>
    </w:p>
    <w:p w:rsidR="00D45A8C" w:rsidRPr="00B93A2D" w:rsidRDefault="00D45A8C" w:rsidP="004408AC">
      <w:pPr>
        <w:pStyle w:val="I-Normal1indent"/>
        <w:tabs>
          <w:tab w:val="left" w:pos="1530"/>
        </w:tabs>
        <w:rPr>
          <w:b/>
          <w:i/>
          <w:strike/>
        </w:rPr>
      </w:pPr>
      <w:r w:rsidRPr="00B93A2D">
        <w:rPr>
          <w:b/>
          <w:i/>
          <w:strike/>
        </w:rPr>
        <w:t>UR.2.3.</w:t>
      </w:r>
      <w:r w:rsidRPr="00B93A2D">
        <w:rPr>
          <w:b/>
          <w:i/>
          <w:strike/>
        </w:rPr>
        <w:tab/>
        <w:t>Material Test. – A belt-conveyor scale shall be installed so that a material test can be conveniently conducted.</w:t>
      </w:r>
    </w:p>
    <w:p w:rsidR="00D45A8C" w:rsidRPr="00B93A2D" w:rsidRDefault="00D45A8C" w:rsidP="00A0545E">
      <w:pPr>
        <w:pStyle w:val="I-Normal1indent"/>
        <w:tabs>
          <w:tab w:val="left" w:pos="1530"/>
        </w:tabs>
        <w:rPr>
          <w:b/>
          <w:i/>
          <w:strike/>
        </w:rPr>
      </w:pPr>
      <w:r w:rsidRPr="00B93A2D">
        <w:rPr>
          <w:b/>
          <w:i/>
          <w:strike/>
        </w:rPr>
        <w:t>[Nonretroactive as of January 1, 1981]</w:t>
      </w:r>
    </w:p>
    <w:p w:rsidR="00D45A8C" w:rsidRPr="004408AC" w:rsidRDefault="00E51209" w:rsidP="004408AC">
      <w:pPr>
        <w:pStyle w:val="I-Normal1indent"/>
        <w:tabs>
          <w:tab w:val="left" w:pos="1530"/>
        </w:tabs>
        <w:spacing w:after="60"/>
      </w:pPr>
      <w:r w:rsidRPr="004408AC">
        <w:rPr>
          <w:b/>
          <w:strike/>
          <w:u w:val="single"/>
        </w:rPr>
        <w:t>UR.1.2.</w:t>
      </w:r>
      <w:r w:rsidR="00D45A8C" w:rsidRPr="00E51209">
        <w:rPr>
          <w:b/>
          <w:u w:val="single"/>
        </w:rPr>
        <w:t>UR.2.3.</w:t>
      </w:r>
      <w:r w:rsidR="00D45A8C" w:rsidRPr="004408AC">
        <w:rPr>
          <w:b/>
        </w:rPr>
        <w:tab/>
        <w:t>Security Means.</w:t>
      </w:r>
      <w:r w:rsidR="00D45A8C" w:rsidRPr="004408AC">
        <w:t xml:space="preserve"> – When a security means has been broken, it shall be reported to the official with statutory authority.</w:t>
      </w:r>
    </w:p>
    <w:p w:rsidR="00D45A8C" w:rsidRPr="004408AC" w:rsidRDefault="00D45A8C" w:rsidP="00A0545E">
      <w:pPr>
        <w:pStyle w:val="I-Normal1indent"/>
        <w:tabs>
          <w:tab w:val="left" w:pos="1530"/>
        </w:tabs>
      </w:pPr>
      <w:r w:rsidRPr="004408AC">
        <w:t>(Amended 1991)</w:t>
      </w:r>
    </w:p>
    <w:p w:rsidR="00D45A8C" w:rsidRPr="00B93A2D" w:rsidRDefault="00D45A8C" w:rsidP="004408AC">
      <w:pPr>
        <w:pStyle w:val="I-Normal1indent"/>
        <w:tabs>
          <w:tab w:val="left" w:pos="1530"/>
        </w:tabs>
        <w:rPr>
          <w:b/>
          <w:strike/>
        </w:rPr>
      </w:pPr>
      <w:r w:rsidRPr="00B93A2D">
        <w:rPr>
          <w:b/>
          <w:strike/>
        </w:rPr>
        <w:t>UR.2.4.</w:t>
      </w:r>
      <w:r w:rsidRPr="00B93A2D">
        <w:rPr>
          <w:b/>
          <w:strike/>
        </w:rPr>
        <w:tab/>
        <w:t>Belt Travel (Speed or Velocity). – The belt travel sensor shall be so positioned that it accurately represents the travel of the belt over the scale for all flow rates between the maximum and minimum values.  The belt travel sensor shall be so designed and installed that there is no slip.</w:t>
      </w:r>
    </w:p>
    <w:p w:rsidR="00D45A8C" w:rsidRPr="00B93A2D" w:rsidRDefault="00D45A8C" w:rsidP="00A0545E">
      <w:pPr>
        <w:pStyle w:val="I-Normal1indent"/>
        <w:tabs>
          <w:tab w:val="left" w:pos="1530"/>
        </w:tabs>
        <w:rPr>
          <w:b/>
        </w:rPr>
      </w:pPr>
      <w:r w:rsidRPr="00181600">
        <w:rPr>
          <w:b/>
          <w:u w:val="single"/>
        </w:rPr>
        <w:t>UR.2.4.</w:t>
      </w:r>
      <w:r w:rsidRPr="00181600">
        <w:rPr>
          <w:b/>
          <w:u w:val="single"/>
        </w:rPr>
        <w:tab/>
      </w:r>
      <w:r w:rsidRPr="00B93A2D">
        <w:rPr>
          <w:b/>
          <w:u w:val="single"/>
        </w:rPr>
        <w:t>Loading. – The feed of material to the scale shall be controlled to assure that, during normal operation, the material flow is in accordance with manufacturer’s recommendation for rated capacity.</w:t>
      </w:r>
    </w:p>
    <w:p w:rsidR="00D45A8C" w:rsidRPr="004408AC" w:rsidRDefault="00E51209" w:rsidP="004408AC">
      <w:pPr>
        <w:pStyle w:val="I-Normal1indent"/>
        <w:tabs>
          <w:tab w:val="left" w:pos="1530"/>
          <w:tab w:val="left" w:pos="2250"/>
        </w:tabs>
        <w:spacing w:after="60"/>
      </w:pPr>
      <w:r w:rsidRPr="004408AC">
        <w:rPr>
          <w:b/>
          <w:strike/>
        </w:rPr>
        <w:t>U.R.3.4.</w:t>
      </w:r>
      <w:r w:rsidR="00D45A8C" w:rsidRPr="00E51209">
        <w:rPr>
          <w:b/>
          <w:u w:val="single"/>
        </w:rPr>
        <w:t>UR.2.5</w:t>
      </w:r>
      <w:r w:rsidR="00D45A8C" w:rsidRPr="004408AC">
        <w:rPr>
          <w:b/>
        </w:rPr>
        <w:t>.</w:t>
      </w:r>
      <w:r>
        <w:rPr>
          <w:b/>
        </w:rPr>
        <w:tab/>
      </w:r>
      <w:r w:rsidR="00D45A8C" w:rsidRPr="004408AC">
        <w:rPr>
          <w:b/>
        </w:rPr>
        <w:t>Diversion or Loss of Measured Product.</w:t>
      </w:r>
      <w:r w:rsidR="00D45A8C" w:rsidRPr="004408AC">
        <w:t xml:space="preserve"> – There shall be no operation(s) or condition(s) of use that result in loss or diversion that adversely affects the quantity of measured product.</w:t>
      </w:r>
    </w:p>
    <w:p w:rsidR="00E51209" w:rsidRPr="004408AC" w:rsidRDefault="00D45A8C" w:rsidP="00A0545E">
      <w:pPr>
        <w:pStyle w:val="I-Normal1indent"/>
        <w:tabs>
          <w:tab w:val="left" w:pos="1530"/>
          <w:tab w:val="left" w:pos="2250"/>
        </w:tabs>
      </w:pPr>
      <w:r w:rsidRPr="004408AC">
        <w:t>(Added 20</w:t>
      </w:r>
      <w:r w:rsidR="00E51209" w:rsidRPr="004408AC">
        <w:t>05)</w:t>
      </w:r>
    </w:p>
    <w:p w:rsidR="00911FF8" w:rsidRPr="004408AC" w:rsidRDefault="00E51209" w:rsidP="006E6DC2">
      <w:pPr>
        <w:pStyle w:val="I-Normal1indent"/>
        <w:tabs>
          <w:tab w:val="left" w:pos="1530"/>
          <w:tab w:val="left" w:pos="2250"/>
        </w:tabs>
        <w:spacing w:after="60"/>
      </w:pPr>
      <w:r w:rsidRPr="004408AC">
        <w:rPr>
          <w:b/>
          <w:strike/>
        </w:rPr>
        <w:t>U.R.3.3.</w:t>
      </w:r>
      <w:r w:rsidR="00911FF8" w:rsidRPr="00E51209">
        <w:rPr>
          <w:b/>
          <w:u w:val="single"/>
        </w:rPr>
        <w:t>UR.2.6.</w:t>
      </w:r>
      <w:r w:rsidR="00911FF8" w:rsidRPr="004408AC">
        <w:rPr>
          <w:b/>
        </w:rPr>
        <w:tab/>
        <w:t>Retention of Maintenance, Test, and Analog or Digital Recorder Information</w:t>
      </w:r>
      <w:r w:rsidR="00911FF8" w:rsidRPr="004408AC">
        <w:t>. – Records of calibration and maintenance, including conveyor alignment, analog or digital recorder, zero-load test, and material test data shall be maintained on site for at least the three concurrent years as a history of scale performance.  Copies of any report as a result of a test or repair shall be mailed to the official with statutory authority as required.  The current date and correction factor(s) for simulated load equipment shall be recorded and maintained in the scale cabinet.</w:t>
      </w:r>
    </w:p>
    <w:p w:rsidR="00911FF8" w:rsidRDefault="00911FF8" w:rsidP="0004787B">
      <w:pPr>
        <w:pStyle w:val="I-Normal1indent"/>
        <w:spacing w:after="60"/>
        <w:rPr>
          <w:b/>
          <w:u w:val="single"/>
        </w:rPr>
      </w:pPr>
      <w:r w:rsidRPr="00B93A2D">
        <w:rPr>
          <w:b/>
          <w:u w:val="single"/>
        </w:rPr>
        <w:t>(Added 2002)</w:t>
      </w:r>
    </w:p>
    <w:p w:rsidR="0004787B" w:rsidRPr="00B93A2D" w:rsidRDefault="0004787B" w:rsidP="0004787B">
      <w:pPr>
        <w:pStyle w:val="I-Normal1indent"/>
        <w:tabs>
          <w:tab w:val="left" w:pos="360"/>
        </w:tabs>
        <w:ind w:left="360"/>
        <w:rPr>
          <w:b/>
        </w:rPr>
      </w:pPr>
      <w:r>
        <w:rPr>
          <w:b/>
          <w:u w:val="single"/>
        </w:rPr>
        <w:t>(Amended 2012)</w:t>
      </w:r>
    </w:p>
    <w:p w:rsidR="00911FF8" w:rsidRDefault="00911FF8" w:rsidP="0004787B">
      <w:pPr>
        <w:pStyle w:val="I-Normal-bold"/>
        <w:keepNext/>
        <w:tabs>
          <w:tab w:val="left" w:pos="990"/>
        </w:tabs>
      </w:pPr>
      <w:r>
        <w:lastRenderedPageBreak/>
        <w:t>UR.3.</w:t>
      </w:r>
      <w:r w:rsidR="00E51209">
        <w:tab/>
      </w:r>
      <w:r w:rsidRPr="00B93A2D">
        <w:rPr>
          <w:strike/>
        </w:rPr>
        <w:t>Use</w:t>
      </w:r>
      <w:r>
        <w:t xml:space="preserve"> </w:t>
      </w:r>
      <w:r w:rsidRPr="00B93A2D">
        <w:rPr>
          <w:u w:val="single"/>
        </w:rPr>
        <w:t>Maintenance</w:t>
      </w:r>
      <w:r>
        <w:t xml:space="preserve"> Requirements.</w:t>
      </w:r>
    </w:p>
    <w:p w:rsidR="00911FF8" w:rsidRPr="00B93A2D" w:rsidRDefault="00911FF8" w:rsidP="0004787B">
      <w:pPr>
        <w:pStyle w:val="I-Normal1indent"/>
        <w:keepNext/>
        <w:tabs>
          <w:tab w:val="left" w:pos="1530"/>
        </w:tabs>
        <w:rPr>
          <w:b/>
          <w:strike/>
        </w:rPr>
      </w:pPr>
      <w:r w:rsidRPr="00B93A2D">
        <w:rPr>
          <w:b/>
          <w:strike/>
        </w:rPr>
        <w:t>UR.3.1.</w:t>
      </w:r>
      <w:r w:rsidRPr="00B93A2D">
        <w:rPr>
          <w:b/>
          <w:strike/>
        </w:rPr>
        <w:tab/>
        <w:t>Loading. – The feed of material to the scale shall be controlled to assure that, during normal operation, the material flow is in accordance with manufacturer’s recommendation for rated capacity.</w:t>
      </w:r>
    </w:p>
    <w:p w:rsidR="00911FF8" w:rsidRPr="00B93A2D" w:rsidRDefault="00911FF8" w:rsidP="004408AC">
      <w:pPr>
        <w:pStyle w:val="I-Normal1indent"/>
        <w:tabs>
          <w:tab w:val="left" w:pos="1530"/>
        </w:tabs>
        <w:rPr>
          <w:b/>
        </w:rPr>
      </w:pPr>
      <w:r w:rsidRPr="00181600">
        <w:rPr>
          <w:b/>
          <w:u w:val="single"/>
        </w:rPr>
        <w:t>UR.3.1.</w:t>
      </w:r>
      <w:r w:rsidRPr="00181600">
        <w:rPr>
          <w:b/>
          <w:u w:val="single"/>
        </w:rPr>
        <w:tab/>
      </w:r>
      <w:r w:rsidRPr="00B93A2D">
        <w:rPr>
          <w:b/>
          <w:u w:val="single"/>
        </w:rPr>
        <w:t>Scale and Conveyor Maintenance. – Belt-conveyor scales and idlers shall be maintained and serviced in accordance with manufacturer’s instructions and the following:</w:t>
      </w:r>
    </w:p>
    <w:p w:rsidR="00911FF8" w:rsidRPr="00B93A2D" w:rsidRDefault="00911FF8" w:rsidP="00E51209">
      <w:pPr>
        <w:pStyle w:val="I-noindent"/>
        <w:tabs>
          <w:tab w:val="left" w:pos="1440"/>
        </w:tabs>
        <w:ind w:left="1080"/>
        <w:rPr>
          <w:b/>
          <w:u w:val="single"/>
        </w:rPr>
      </w:pPr>
      <w:r w:rsidRPr="00B93A2D">
        <w:rPr>
          <w:b/>
          <w:u w:val="single"/>
        </w:rPr>
        <w:t>(a</w:t>
      </w:r>
      <w:r w:rsidR="00E51209" w:rsidRPr="00B93A2D">
        <w:rPr>
          <w:b/>
          <w:u w:val="single"/>
        </w:rPr>
        <w:t>)</w:t>
      </w:r>
      <w:r w:rsidR="00E51209">
        <w:rPr>
          <w:b/>
        </w:rPr>
        <w:tab/>
      </w:r>
      <w:r w:rsidRPr="00B93A2D">
        <w:rPr>
          <w:b/>
          <w:u w:val="single"/>
        </w:rPr>
        <w:t>Scale Clearance. – The scale and area surrounding the scale …</w:t>
      </w:r>
    </w:p>
    <w:p w:rsidR="00911FF8" w:rsidRPr="00B93A2D" w:rsidRDefault="00911FF8" w:rsidP="00E51209">
      <w:pPr>
        <w:pStyle w:val="I-noindent"/>
        <w:tabs>
          <w:tab w:val="left" w:pos="1440"/>
        </w:tabs>
        <w:ind w:left="1080"/>
        <w:rPr>
          <w:b/>
          <w:u w:val="single"/>
        </w:rPr>
      </w:pPr>
      <w:r w:rsidRPr="00B93A2D">
        <w:rPr>
          <w:b/>
          <w:u w:val="single"/>
        </w:rPr>
        <w:t>(b</w:t>
      </w:r>
      <w:r w:rsidR="00E51209" w:rsidRPr="00B93A2D">
        <w:rPr>
          <w:b/>
          <w:u w:val="single"/>
        </w:rPr>
        <w:t>)</w:t>
      </w:r>
      <w:r w:rsidR="00E51209">
        <w:rPr>
          <w:b/>
        </w:rPr>
        <w:tab/>
      </w:r>
      <w:r w:rsidRPr="00B93A2D">
        <w:rPr>
          <w:b/>
          <w:u w:val="single"/>
        </w:rPr>
        <w:t>Weighed Material. – There shall be provisions to ensure that …</w:t>
      </w:r>
    </w:p>
    <w:p w:rsidR="00911FF8" w:rsidRPr="00B93A2D" w:rsidRDefault="00911FF8" w:rsidP="00E51209">
      <w:pPr>
        <w:pStyle w:val="I-noindent"/>
        <w:tabs>
          <w:tab w:val="left" w:pos="1440"/>
        </w:tabs>
        <w:ind w:left="1080"/>
        <w:rPr>
          <w:b/>
          <w:u w:val="single"/>
        </w:rPr>
      </w:pPr>
      <w:r w:rsidRPr="00B93A2D">
        <w:rPr>
          <w:b/>
          <w:u w:val="single"/>
        </w:rPr>
        <w:t>(c</w:t>
      </w:r>
      <w:r w:rsidR="00E51209" w:rsidRPr="00B93A2D">
        <w:rPr>
          <w:b/>
          <w:u w:val="single"/>
        </w:rPr>
        <w:t>)</w:t>
      </w:r>
      <w:r w:rsidR="00E51209">
        <w:rPr>
          <w:b/>
        </w:rPr>
        <w:tab/>
      </w:r>
      <w:r w:rsidRPr="00B93A2D">
        <w:rPr>
          <w:b/>
          <w:u w:val="single"/>
        </w:rPr>
        <w:t>Simulated and Zero-load Test Intervals. – Zero-load tests and simulated load or …</w:t>
      </w:r>
    </w:p>
    <w:p w:rsidR="00911FF8" w:rsidRDefault="00911FF8" w:rsidP="004408AC">
      <w:pPr>
        <w:pStyle w:val="I-Normal1indent"/>
        <w:tabs>
          <w:tab w:val="left" w:pos="1440"/>
        </w:tabs>
      </w:pPr>
      <w:r>
        <w:t xml:space="preserve">*** The tables under UR.3.2.(c) to be relocated beneath and become part of UR.3.1.(c). </w:t>
      </w:r>
      <w:r w:rsidR="00E51209">
        <w:t xml:space="preserve"> </w:t>
      </w:r>
      <w:r>
        <w:t>No other changes recommended for those tables.  ***</w:t>
      </w:r>
    </w:p>
    <w:p w:rsidR="00911FF8" w:rsidRPr="00B93A2D" w:rsidRDefault="00911FF8" w:rsidP="00E51209">
      <w:pPr>
        <w:pStyle w:val="I-noindent"/>
        <w:tabs>
          <w:tab w:val="left" w:pos="1440"/>
        </w:tabs>
        <w:ind w:left="1080"/>
        <w:rPr>
          <w:b/>
          <w:u w:val="single"/>
        </w:rPr>
      </w:pPr>
      <w:r w:rsidRPr="00B93A2D">
        <w:rPr>
          <w:b/>
          <w:u w:val="single"/>
        </w:rPr>
        <w:t>(d</w:t>
      </w:r>
      <w:r w:rsidR="00E51209" w:rsidRPr="00B93A2D">
        <w:rPr>
          <w:b/>
          <w:u w:val="single"/>
        </w:rPr>
        <w:t>)</w:t>
      </w:r>
      <w:r w:rsidR="00E51209">
        <w:rPr>
          <w:b/>
        </w:rPr>
        <w:tab/>
      </w:r>
      <w:r w:rsidRPr="00B93A2D">
        <w:rPr>
          <w:b/>
          <w:u w:val="single"/>
        </w:rPr>
        <w:t>Scale Alignment. – Alignment checks shall be conducted …</w:t>
      </w:r>
    </w:p>
    <w:p w:rsidR="00911FF8" w:rsidRPr="00B93A2D" w:rsidRDefault="00911FF8" w:rsidP="00E51209">
      <w:pPr>
        <w:pStyle w:val="I-noindent"/>
        <w:tabs>
          <w:tab w:val="left" w:pos="1440"/>
        </w:tabs>
        <w:ind w:left="1080"/>
        <w:rPr>
          <w:b/>
          <w:u w:val="single"/>
        </w:rPr>
      </w:pPr>
      <w:r w:rsidRPr="00B93A2D">
        <w:rPr>
          <w:b/>
          <w:u w:val="single"/>
        </w:rPr>
        <w:t>(e</w:t>
      </w:r>
      <w:r w:rsidR="00E51209" w:rsidRPr="00B93A2D">
        <w:rPr>
          <w:b/>
          <w:u w:val="single"/>
        </w:rPr>
        <w:t>)</w:t>
      </w:r>
      <w:r w:rsidR="00E51209">
        <w:rPr>
          <w:b/>
        </w:rPr>
        <w:tab/>
      </w:r>
      <w:r w:rsidRPr="00B93A2D">
        <w:rPr>
          <w:b/>
          <w:u w:val="single"/>
        </w:rPr>
        <w:t>Simulated Load Equipment. – Simulated load equipment shall be …</w:t>
      </w:r>
    </w:p>
    <w:p w:rsidR="00911FF8" w:rsidRPr="00B93A2D" w:rsidRDefault="00911FF8" w:rsidP="004408AC">
      <w:pPr>
        <w:pStyle w:val="I-noindent"/>
        <w:tabs>
          <w:tab w:val="left" w:pos="1440"/>
        </w:tabs>
        <w:spacing w:after="60"/>
        <w:ind w:left="1080"/>
        <w:rPr>
          <w:b/>
          <w:u w:val="single"/>
        </w:rPr>
      </w:pPr>
      <w:r w:rsidRPr="00B93A2D">
        <w:rPr>
          <w:b/>
          <w:u w:val="single"/>
        </w:rPr>
        <w:t>(f</w:t>
      </w:r>
      <w:r w:rsidR="00E51209" w:rsidRPr="00B93A2D">
        <w:rPr>
          <w:b/>
          <w:u w:val="single"/>
        </w:rPr>
        <w:t>)</w:t>
      </w:r>
      <w:r w:rsidR="00E51209">
        <w:rPr>
          <w:b/>
        </w:rPr>
        <w:tab/>
      </w:r>
      <w:r w:rsidRPr="00B93A2D">
        <w:rPr>
          <w:b/>
          <w:u w:val="single"/>
        </w:rPr>
        <w:t>Zero Load Reference Information. – When zero load reference information is recorded …</w:t>
      </w:r>
    </w:p>
    <w:p w:rsidR="00911FF8" w:rsidRDefault="00911FF8" w:rsidP="0034017E">
      <w:pPr>
        <w:pStyle w:val="I-Normal2indent"/>
        <w:tabs>
          <w:tab w:val="left" w:pos="1440"/>
        </w:tabs>
        <w:spacing w:after="60"/>
        <w:ind w:left="1354" w:firstLine="86"/>
      </w:pPr>
      <w:r w:rsidRPr="00B93A2D">
        <w:t xml:space="preserve">(Amended 2002, 2004, 2009, </w:t>
      </w:r>
      <w:r w:rsidRPr="00B93A2D">
        <w:rPr>
          <w:b/>
          <w:u w:val="single"/>
        </w:rPr>
        <w:t>and 20</w:t>
      </w:r>
      <w:r>
        <w:rPr>
          <w:b/>
          <w:u w:val="single"/>
        </w:rPr>
        <w:t>XX</w:t>
      </w:r>
      <w:r w:rsidRPr="00B93A2D">
        <w:t>)</w:t>
      </w:r>
    </w:p>
    <w:p w:rsidR="0034017E" w:rsidRPr="0034017E" w:rsidRDefault="0034017E" w:rsidP="0034017E">
      <w:pPr>
        <w:pStyle w:val="I-Normal2indent"/>
        <w:tabs>
          <w:tab w:val="left" w:pos="1440"/>
        </w:tabs>
        <w:ind w:left="360" w:firstLine="90"/>
        <w:rPr>
          <w:b/>
          <w:u w:val="single"/>
        </w:rPr>
      </w:pPr>
      <w:r w:rsidRPr="0034017E">
        <w:rPr>
          <w:b/>
          <w:u w:val="single"/>
        </w:rPr>
        <w:t>(Amended 2012)</w:t>
      </w:r>
    </w:p>
    <w:p w:rsidR="00E845DD" w:rsidRDefault="00E845DD" w:rsidP="004408AC">
      <w:pPr>
        <w:pStyle w:val="I-Normalreg"/>
        <w:tabs>
          <w:tab w:val="left" w:pos="990"/>
        </w:tabs>
        <w:spacing w:after="60"/>
      </w:pPr>
      <w:r w:rsidRPr="00B93A2D">
        <w:rPr>
          <w:b/>
        </w:rPr>
        <w:t>UR.4.</w:t>
      </w:r>
      <w:r w:rsidR="00136D98">
        <w:rPr>
          <w:b/>
        </w:rPr>
        <w:tab/>
      </w:r>
      <w:r w:rsidRPr="00B93A2D">
        <w:rPr>
          <w:b/>
        </w:rPr>
        <w:t>Compliance.</w:t>
      </w:r>
      <w:r>
        <w:t xml:space="preserve"> – Prior to initial verification, the scale manufacturer or installer shall certify to the owner that the scale meets code requirements.  Prior to initial verification and each subsequent verification, the scale owner or his agent shall notify the official with statutory authority in writing that the belt-conveyor scale system is in compliance with this specification and ready for material testing.</w:t>
      </w:r>
    </w:p>
    <w:p w:rsidR="00E845DD" w:rsidRDefault="00E845DD" w:rsidP="00E845DD">
      <w:pPr>
        <w:pStyle w:val="I-Normalreg"/>
        <w:spacing w:after="120"/>
      </w:pPr>
      <w:r>
        <w:t>(Amended 1991)</w:t>
      </w:r>
    </w:p>
    <w:p w:rsidR="00E845DD" w:rsidRDefault="00E845DD" w:rsidP="009F4A43">
      <w:pPr>
        <w:pStyle w:val="BoldHeading"/>
        <w:rPr>
          <w:i/>
        </w:rPr>
      </w:pPr>
      <w:r w:rsidRPr="00B93A2D">
        <w:rPr>
          <w:i/>
        </w:rPr>
        <w:t xml:space="preserve">*NIST Technical Advisors note:  No relocation or changes </w:t>
      </w:r>
      <w:r>
        <w:rPr>
          <w:i/>
        </w:rPr>
        <w:t xml:space="preserve">are </w:t>
      </w:r>
      <w:r w:rsidRPr="00B93A2D">
        <w:rPr>
          <w:i/>
        </w:rPr>
        <w:t>proposed for paragraph UR.4. Complianc</w:t>
      </w:r>
      <w:r>
        <w:rPr>
          <w:i/>
        </w:rPr>
        <w:t xml:space="preserve">e. </w:t>
      </w:r>
    </w:p>
    <w:p w:rsidR="00506B74" w:rsidRDefault="00506B74" w:rsidP="004408AC">
      <w:pPr>
        <w:pStyle w:val="BoldHeading"/>
        <w:spacing w:after="0"/>
      </w:pPr>
      <w:r>
        <w:t>Background/Discussion:</w:t>
      </w:r>
    </w:p>
    <w:p w:rsidR="00506B74" w:rsidRDefault="00506B74" w:rsidP="00506B74">
      <w:r>
        <w:t>This item comes from the recommendation of the NIST Technical Advisor to th</w:t>
      </w:r>
      <w:r w:rsidR="002A42AB">
        <w:t xml:space="preserve">e USNWG on </w:t>
      </w:r>
      <w:r w:rsidR="00163A4B">
        <w:t>BCS</w:t>
      </w:r>
      <w:r w:rsidR="002A42AB">
        <w:t xml:space="preserve"> and would:</w:t>
      </w:r>
    </w:p>
    <w:p w:rsidR="002A42AB" w:rsidRDefault="002A42AB" w:rsidP="00B77FD2">
      <w:pPr>
        <w:pStyle w:val="numberedlist"/>
        <w:numPr>
          <w:ilvl w:val="0"/>
          <w:numId w:val="24"/>
        </w:numPr>
      </w:pPr>
      <w:r>
        <w:t>Consolidat</w:t>
      </w:r>
      <w:r w:rsidR="0025054F">
        <w:t>e</w:t>
      </w:r>
      <w:r>
        <w:t xml:space="preserve"> applicable operational user requirements into paragraph UR.1. User Requirements,</w:t>
      </w:r>
    </w:p>
    <w:p w:rsidR="002A42AB" w:rsidRDefault="002A42AB" w:rsidP="002A42AB">
      <w:pPr>
        <w:pStyle w:val="numberedlist"/>
      </w:pPr>
      <w:r>
        <w:t>Chang</w:t>
      </w:r>
      <w:r w:rsidR="0025054F">
        <w:t>e</w:t>
      </w:r>
      <w:r>
        <w:t xml:space="preserve"> the title of paragraph UR.3. from “User Requirements” to “Maintenance,” and </w:t>
      </w:r>
    </w:p>
    <w:p w:rsidR="002A42AB" w:rsidRDefault="002A42AB" w:rsidP="002A42AB">
      <w:pPr>
        <w:pStyle w:val="numberedlist"/>
      </w:pPr>
      <w:r>
        <w:t>Consolidat</w:t>
      </w:r>
      <w:r w:rsidR="0025054F">
        <w:t>e</w:t>
      </w:r>
      <w:r>
        <w:t xml:space="preserve"> applicable maintenance requirements into paragraph UR.3.</w:t>
      </w:r>
    </w:p>
    <w:p w:rsidR="00506B74" w:rsidRDefault="00005743" w:rsidP="00506B74">
      <w:r>
        <w:t xml:space="preserve">As the USNWG on Belt-Conveyor Scales </w:t>
      </w:r>
      <w:r w:rsidR="00506B74">
        <w:t>develo</w:t>
      </w:r>
      <w:r w:rsidR="009F4A43">
        <w:t>p</w:t>
      </w:r>
      <w:r>
        <w:t>ed</w:t>
      </w:r>
      <w:r w:rsidR="009F4A43">
        <w:t xml:space="preserve"> new User Requirement</w:t>
      </w:r>
      <w:r w:rsidR="00E845DD">
        <w:t>,</w:t>
      </w:r>
      <w:r w:rsidR="009F4A43">
        <w:t xml:space="preserve"> </w:t>
      </w:r>
      <w:r w:rsidR="00136D98">
        <w:t>[</w:t>
      </w:r>
      <w:r w:rsidR="00506B74">
        <w:t>UR.3.2.(a</w:t>
      </w:r>
      <w:r w:rsidR="00136D98">
        <w:t xml:space="preserve">)] </w:t>
      </w:r>
      <w:r>
        <w:t>they</w:t>
      </w:r>
      <w:r w:rsidR="00506B74">
        <w:t xml:space="preserve"> recognized that many of the individual paragraphs within the User Requirement</w:t>
      </w:r>
      <w:r>
        <w:t>s</w:t>
      </w:r>
      <w:r w:rsidR="00506B74">
        <w:t xml:space="preserve"> </w:t>
      </w:r>
      <w:r>
        <w:t>s</w:t>
      </w:r>
      <w:r w:rsidR="00506B74">
        <w:t xml:space="preserve">ection were not appropriately located in the Belt-Conveyor Scales Code.  </w:t>
      </w:r>
      <w:r>
        <w:t>They</w:t>
      </w:r>
      <w:r w:rsidR="00506B74">
        <w:t xml:space="preserve"> also recognized that </w:t>
      </w:r>
      <w:r>
        <w:t>paragraphs</w:t>
      </w:r>
      <w:r w:rsidR="00506B74">
        <w:t xml:space="preserve"> UR.1. and UR.3 were both titled “Use Requirements</w:t>
      </w:r>
      <w:r w:rsidR="00181600">
        <w:t>.”</w:t>
      </w:r>
      <w:r w:rsidR="00506B74">
        <w:t xml:space="preserve">  </w:t>
      </w:r>
    </w:p>
    <w:p w:rsidR="00506B74" w:rsidRDefault="00506B74" w:rsidP="00506B74">
      <w:r>
        <w:t xml:space="preserve">The draft proposal as shown was circulated to the entire USNWG by e-mail.  The members of the </w:t>
      </w:r>
      <w:r w:rsidR="009F4A43">
        <w:t>work group</w:t>
      </w:r>
      <w:r>
        <w:t xml:space="preserve"> were asked to respond with their support or comments based on this draft.  All responses indicated support for the proposal as drafted.</w:t>
      </w:r>
    </w:p>
    <w:p w:rsidR="00D32065" w:rsidRDefault="00D32065" w:rsidP="00506B74">
      <w:r w:rsidRPr="00D32065">
        <w:t xml:space="preserve">At the 2011 CWMA and NEWMA Interim Meetings, and the SWMA Annual Meeting, </w:t>
      </w:r>
      <w:r w:rsidR="00005743">
        <w:t xml:space="preserve">both associations </w:t>
      </w:r>
      <w:r w:rsidR="00005743" w:rsidRPr="006273B2">
        <w:rPr>
          <w:rFonts w:cs="Times New Roman"/>
        </w:rPr>
        <w:t>forward</w:t>
      </w:r>
      <w:r w:rsidR="00005743">
        <w:rPr>
          <w:rFonts w:cs="Times New Roman"/>
        </w:rPr>
        <w:t>ed</w:t>
      </w:r>
      <w:r w:rsidR="00005743" w:rsidRPr="006273B2">
        <w:rPr>
          <w:rFonts w:cs="Times New Roman"/>
        </w:rPr>
        <w:t xml:space="preserve"> the item to NCWM</w:t>
      </w:r>
      <w:r w:rsidR="00005743">
        <w:rPr>
          <w:rFonts w:cs="Times New Roman"/>
        </w:rPr>
        <w:t xml:space="preserve">, recommending it </w:t>
      </w:r>
      <w:r w:rsidR="00005743" w:rsidRPr="006273B2">
        <w:rPr>
          <w:rFonts w:cs="Times New Roman"/>
        </w:rPr>
        <w:t>as a Voting Item</w:t>
      </w:r>
      <w:r w:rsidRPr="00D32065">
        <w:t>.</w:t>
      </w:r>
    </w:p>
    <w:p w:rsidR="00506B74" w:rsidRDefault="00506B74" w:rsidP="00506B74">
      <w:r>
        <w:lastRenderedPageBreak/>
        <w:t>A</w:t>
      </w:r>
      <w:r w:rsidR="009F4A43">
        <w:t>t the 2011 WWMA Annual Meeting</w:t>
      </w:r>
      <w:r w:rsidR="00A0545E">
        <w:t>,</w:t>
      </w:r>
      <w:r w:rsidR="009F4A43">
        <w:t xml:space="preserve"> </w:t>
      </w:r>
      <w:r w:rsidR="003E118D">
        <w:t xml:space="preserve">Mr. Ripka, Thermo </w:t>
      </w:r>
      <w:r>
        <w:t xml:space="preserve">Fisher </w:t>
      </w:r>
      <w:r w:rsidR="00E845DD">
        <w:t>Scientific</w:t>
      </w:r>
      <w:r>
        <w:t xml:space="preserve"> restated the reasons and history for this proposal to reorganize the User Requirements. </w:t>
      </w:r>
      <w:r w:rsidR="009F4A43">
        <w:t xml:space="preserve"> </w:t>
      </w:r>
      <w:r>
        <w:t xml:space="preserve">There </w:t>
      </w:r>
      <w:r w:rsidR="009F4A43">
        <w:t xml:space="preserve">were no comments </w:t>
      </w:r>
      <w:r w:rsidR="0025054F">
        <w:t>on</w:t>
      </w:r>
      <w:r>
        <w:t xml:space="preserve"> this item.  The </w:t>
      </w:r>
      <w:r w:rsidR="00E845DD">
        <w:t xml:space="preserve">Committee </w:t>
      </w:r>
      <w:r>
        <w:t>agreed with the justification and background information provided with the submission of this proposal and agreed this r</w:t>
      </w:r>
      <w:r w:rsidR="0025054F">
        <w:t>eorganization helps consolidate</w:t>
      </w:r>
      <w:r>
        <w:t xml:space="preserve"> application </w:t>
      </w:r>
      <w:r w:rsidR="00796A90">
        <w:t>User’s Requirements</w:t>
      </w:r>
      <w:r>
        <w:t xml:space="preserve">.  </w:t>
      </w:r>
      <w:r w:rsidR="00005743">
        <w:t xml:space="preserve">WWMA </w:t>
      </w:r>
      <w:r w:rsidR="00005743" w:rsidRPr="006273B2">
        <w:rPr>
          <w:rFonts w:cs="Times New Roman"/>
        </w:rPr>
        <w:t>forward</w:t>
      </w:r>
      <w:r w:rsidR="00005743">
        <w:rPr>
          <w:rFonts w:cs="Times New Roman"/>
        </w:rPr>
        <w:t>ed</w:t>
      </w:r>
      <w:r w:rsidR="00005743" w:rsidRPr="006273B2">
        <w:rPr>
          <w:rFonts w:cs="Times New Roman"/>
        </w:rPr>
        <w:t xml:space="preserve"> the item to NCWM</w:t>
      </w:r>
      <w:r w:rsidR="00005743">
        <w:rPr>
          <w:rFonts w:cs="Times New Roman"/>
        </w:rPr>
        <w:t xml:space="preserve"> recommending it </w:t>
      </w:r>
      <w:r w:rsidR="00005743" w:rsidRPr="006273B2">
        <w:rPr>
          <w:rFonts w:cs="Times New Roman"/>
        </w:rPr>
        <w:t>as a Voting Item</w:t>
      </w:r>
      <w:r>
        <w:t>.</w:t>
      </w:r>
    </w:p>
    <w:p w:rsidR="000763F6" w:rsidRDefault="00005743" w:rsidP="000763F6">
      <w:r>
        <w:t>At the</w:t>
      </w:r>
      <w:r w:rsidR="000763F6">
        <w:t xml:space="preserve"> 2012 </w:t>
      </w:r>
      <w:r>
        <w:t xml:space="preserve">NCWM </w:t>
      </w:r>
      <w:r w:rsidR="000763F6">
        <w:t xml:space="preserve">Interim </w:t>
      </w:r>
      <w:r>
        <w:t xml:space="preserve">Meeting, </w:t>
      </w:r>
      <w:r w:rsidR="000763F6">
        <w:t xml:space="preserve">Mr. Ripka, speaking on behalf of the USNWG on </w:t>
      </w:r>
      <w:r w:rsidR="000763F6" w:rsidRPr="006D756D">
        <w:t>BCS</w:t>
      </w:r>
      <w:r w:rsidR="000763F6">
        <w:t xml:space="preserve"> systems supported the item.  He noted that the proposal doesn’t change existing maintenance requirements and provides more meaningful headings to the requirements.   </w:t>
      </w:r>
    </w:p>
    <w:p w:rsidR="000763F6" w:rsidRDefault="000763F6" w:rsidP="000763F6">
      <w:r>
        <w:t xml:space="preserve">NIST, OWM offered an alternative restructuring proposal to improve the organization of the User Requirements in the BCS systems code beyond that being proposed.  NIST, OWM’s proposal </w:t>
      </w:r>
      <w:r w:rsidR="00005743">
        <w:t>would change</w:t>
      </w:r>
      <w:r>
        <w:t xml:space="preserve"> the order of the User, Installation, and Maintenance requirements being proposed to </w:t>
      </w:r>
      <w:r w:rsidR="00005743">
        <w:t xml:space="preserve">be consistent with how similar </w:t>
      </w:r>
      <w:r>
        <w:t xml:space="preserve">requirements are organized in most other specific </w:t>
      </w:r>
      <w:r w:rsidRPr="004408AC">
        <w:t>NIST Handbook 44</w:t>
      </w:r>
      <w:r>
        <w:t xml:space="preserve"> codes.  </w:t>
      </w:r>
      <w:r w:rsidR="0056019A">
        <w:t>T</w:t>
      </w:r>
      <w:r w:rsidR="0056019A" w:rsidRPr="00EF0487">
        <w:t>he NIST Technical Advisor to the USNWG on BCS Systems</w:t>
      </w:r>
      <w:r w:rsidR="0056019A">
        <w:t xml:space="preserve"> </w:t>
      </w:r>
      <w:r>
        <w:t xml:space="preserve">distributed </w:t>
      </w:r>
      <w:r w:rsidR="00005743">
        <w:t>their</w:t>
      </w:r>
      <w:r>
        <w:t xml:space="preserve"> alternative restructuring of the User Requirements to members of the USNWG</w:t>
      </w:r>
      <w:r w:rsidR="0056019A">
        <w:t xml:space="preserve"> </w:t>
      </w:r>
      <w:r w:rsidR="0056019A" w:rsidRPr="00EF0487">
        <w:t>prior to the 2012 NCWM Interim Meeting</w:t>
      </w:r>
      <w:r>
        <w:t xml:space="preserve">.  </w:t>
      </w:r>
      <w:r w:rsidR="0056019A">
        <w:t>It included</w:t>
      </w:r>
      <w:r>
        <w:t xml:space="preserve"> </w:t>
      </w:r>
      <w:r w:rsidR="00005743">
        <w:t xml:space="preserve">the technical advisor’s </w:t>
      </w:r>
      <w:r>
        <w:t xml:space="preserve">suggested changes to the </w:t>
      </w:r>
      <w:r w:rsidR="00005743">
        <w:t>u</w:t>
      </w:r>
      <w:r>
        <w:t xml:space="preserve">ser requirement being proposed under Item 321-1.  </w:t>
      </w:r>
      <w:r w:rsidR="00005743">
        <w:t>USNWG m</w:t>
      </w:r>
      <w:r>
        <w:t xml:space="preserve">embers were polled </w:t>
      </w:r>
      <w:r w:rsidR="00005743">
        <w:t>and those responding supported submitting the</w:t>
      </w:r>
      <w:r>
        <w:t xml:space="preserve"> NIST, </w:t>
      </w:r>
      <w:r w:rsidR="00005743">
        <w:t>OWM</w:t>
      </w:r>
      <w:r w:rsidRPr="005C7290">
        <w:t xml:space="preserve"> version to the S&amp;T</w:t>
      </w:r>
      <w:r>
        <w:t xml:space="preserve"> Committee</w:t>
      </w:r>
      <w:r w:rsidRPr="005C7290">
        <w:t xml:space="preserve"> for consideration. </w:t>
      </w:r>
    </w:p>
    <w:p w:rsidR="000763F6" w:rsidRDefault="000763F6" w:rsidP="000763F6">
      <w:r>
        <w:t xml:space="preserve">The </w:t>
      </w:r>
      <w:r w:rsidR="00E845DD">
        <w:t xml:space="preserve">Committee </w:t>
      </w:r>
      <w:r>
        <w:t xml:space="preserve">considered the comments received during the </w:t>
      </w:r>
      <w:r w:rsidR="00163A4B">
        <w:t>O</w:t>
      </w:r>
      <w:r>
        <w:t xml:space="preserve">pen </w:t>
      </w:r>
      <w:r w:rsidR="00163A4B">
        <w:t>H</w:t>
      </w:r>
      <w:r>
        <w:t xml:space="preserve">earings and agreed replace the </w:t>
      </w:r>
      <w:r w:rsidR="00005743">
        <w:t>original proposal</w:t>
      </w:r>
      <w:r>
        <w:t xml:space="preserve"> with the alternative arrangement </w:t>
      </w:r>
      <w:r w:rsidR="00005743">
        <w:t xml:space="preserve">that was approved by the USNWG.  </w:t>
      </w:r>
      <w:r w:rsidR="00005743" w:rsidRPr="006273B2">
        <w:rPr>
          <w:rFonts w:cs="Times New Roman"/>
        </w:rPr>
        <w:t>The 20</w:t>
      </w:r>
      <w:r w:rsidR="00005743">
        <w:rPr>
          <w:rFonts w:cs="Times New Roman"/>
        </w:rPr>
        <w:t>12</w:t>
      </w:r>
      <w:r w:rsidR="00005743" w:rsidRPr="006273B2">
        <w:rPr>
          <w:rFonts w:cs="Times New Roman"/>
        </w:rPr>
        <w:t xml:space="preserve"> </w:t>
      </w:r>
      <w:r w:rsidR="00005743">
        <w:rPr>
          <w:rFonts w:cs="Times New Roman"/>
        </w:rPr>
        <w:t>S&amp;T</w:t>
      </w:r>
      <w:r w:rsidR="00005743" w:rsidRPr="006273B2">
        <w:rPr>
          <w:rFonts w:cs="Times New Roman"/>
        </w:rPr>
        <w:t xml:space="preserve"> Committee designated this item as a Voting Item.</w:t>
      </w:r>
    </w:p>
    <w:p w:rsidR="000763F6" w:rsidRDefault="000763F6" w:rsidP="000763F6">
      <w:r>
        <w:t xml:space="preserve">The </w:t>
      </w:r>
      <w:r w:rsidR="00A0545E">
        <w:t xml:space="preserve">Committee </w:t>
      </w:r>
      <w:r>
        <w:t>also agreed that</w:t>
      </w:r>
      <w:r w:rsidR="00005743">
        <w:t>,</w:t>
      </w:r>
      <w:r>
        <w:t xml:space="preserve"> should agenda </w:t>
      </w:r>
      <w:r w:rsidR="002A1B0B">
        <w:t xml:space="preserve">Items </w:t>
      </w:r>
      <w:r>
        <w:t xml:space="preserve">321-1 and 321-2 both pass, the proposed language adopted for paragraph UR.3.2.(a) in agenda </w:t>
      </w:r>
      <w:r w:rsidR="002A1B0B">
        <w:t>Item</w:t>
      </w:r>
      <w:r>
        <w:t xml:space="preserve"> 321-1 would be renumbered to UR.3.1.(a) and the designations of the remaining subparagraphs in UR.3.1. w</w:t>
      </w:r>
      <w:r w:rsidR="0056019A">
        <w:t>ould</w:t>
      </w:r>
      <w:r>
        <w:t xml:space="preserve"> be revised.  </w:t>
      </w:r>
    </w:p>
    <w:p w:rsidR="00F017CE" w:rsidRPr="000C335C" w:rsidRDefault="00F017CE" w:rsidP="00F017CE">
      <w:r w:rsidRPr="000C335C">
        <w:t xml:space="preserve">At its 2012 Annual Meeting, the CWMA supported the proposed changes in the “Item Under Consideration” as a </w:t>
      </w:r>
      <w:r w:rsidR="00674E77">
        <w:t>V</w:t>
      </w:r>
      <w:r w:rsidR="00674E77" w:rsidRPr="000C335C">
        <w:t xml:space="preserve">oting </w:t>
      </w:r>
      <w:r w:rsidR="00136D98">
        <w:t>I</w:t>
      </w:r>
      <w:r w:rsidR="00136D98" w:rsidRPr="000C335C">
        <w:t xml:space="preserve">tem </w:t>
      </w:r>
      <w:r w:rsidRPr="000C335C">
        <w:t>and agreed that a reorganization of the paragraphs is appropriate and would make finding specific paragraphs in the code easier.</w:t>
      </w:r>
    </w:p>
    <w:p w:rsidR="00F017CE" w:rsidRPr="000C335C" w:rsidRDefault="00F017CE" w:rsidP="00F017CE">
      <w:r w:rsidRPr="000C335C">
        <w:t>At the 2012 NCWM Annual Meeting, Ms. Juana Williams, NIST</w:t>
      </w:r>
      <w:r w:rsidR="00785F7E">
        <w:t>,</w:t>
      </w:r>
      <w:r w:rsidRPr="000C335C">
        <w:t xml:space="preserve"> OWM echoed the CWMA’s comments and </w:t>
      </w:r>
      <w:r>
        <w:t>also heard support from Mr. Ripka</w:t>
      </w:r>
      <w:r w:rsidRPr="000C335C">
        <w:t xml:space="preserve"> and from Mr. Darrell Flocken, Mettler-Toledo, LLC, speaking on behalf of the SMA.</w:t>
      </w:r>
    </w:p>
    <w:p w:rsidR="00F017CE" w:rsidRPr="000C335C" w:rsidRDefault="00F017CE" w:rsidP="00F017CE">
      <w:r w:rsidRPr="000C335C">
        <w:rPr>
          <w:szCs w:val="20"/>
        </w:rPr>
        <w:t>There was one position posted on the NCWM 2012 Online Position Forum, which was neutral to the proposal.</w:t>
      </w:r>
    </w:p>
    <w:p w:rsidR="009C1D0A" w:rsidRDefault="00F017CE" w:rsidP="00B77FD2">
      <w:r w:rsidRPr="000C335C">
        <w:t>The</w:t>
      </w:r>
      <w:r w:rsidRPr="000C335C">
        <w:rPr>
          <w:szCs w:val="20"/>
        </w:rPr>
        <w:t xml:space="preserve"> Committee agreed that the proposed reorganization of the </w:t>
      </w:r>
      <w:r>
        <w:rPr>
          <w:szCs w:val="20"/>
        </w:rPr>
        <w:t xml:space="preserve">User Requirement </w:t>
      </w:r>
      <w:r w:rsidRPr="000C335C">
        <w:rPr>
          <w:szCs w:val="20"/>
        </w:rPr>
        <w:t xml:space="preserve">paragraphs would be beneficial and recommended the item be presented for Vote with no changes, except unless Agenda </w:t>
      </w:r>
      <w:r w:rsidR="002A1B0B">
        <w:rPr>
          <w:szCs w:val="20"/>
        </w:rPr>
        <w:t>Items</w:t>
      </w:r>
      <w:r w:rsidRPr="000C335C">
        <w:rPr>
          <w:szCs w:val="20"/>
        </w:rPr>
        <w:t xml:space="preserve"> 321-1 and 321</w:t>
      </w:r>
      <w:r w:rsidR="00A0545E">
        <w:rPr>
          <w:szCs w:val="20"/>
        </w:rPr>
        <w:noBreakHyphen/>
      </w:r>
      <w:r w:rsidRPr="000C335C">
        <w:rPr>
          <w:szCs w:val="20"/>
        </w:rPr>
        <w:t>2 w</w:t>
      </w:r>
      <w:r>
        <w:rPr>
          <w:szCs w:val="20"/>
        </w:rPr>
        <w:t>ere both to pass when voted on</w:t>
      </w:r>
      <w:r w:rsidRPr="000C335C">
        <w:rPr>
          <w:szCs w:val="20"/>
        </w:rPr>
        <w:t xml:space="preserve"> by the Conference.  If this were the case, the Committee, as previously noted, agreed </w:t>
      </w:r>
      <w:r w:rsidRPr="000C335C">
        <w:t xml:space="preserve">the proposed language adopted for paragraph UR.3.2.(a) in agenda </w:t>
      </w:r>
      <w:r w:rsidR="002A1B0B">
        <w:t>Item</w:t>
      </w:r>
      <w:r w:rsidRPr="000C335C">
        <w:t xml:space="preserve"> 321-1 would be renumbered to UR.3.1.(a) and the designations of the remaining subparagraphs in UR.3.1. would be revised.</w:t>
      </w:r>
    </w:p>
    <w:p w:rsidR="009C1D0A" w:rsidRDefault="009C1D0A" w:rsidP="00B77FD2">
      <w:r>
        <w:t>Based on the comments received, and general support for the proposed changes, the Committee recommended no changes to the “Item Under Consideration” and presented it for a vote as written.</w:t>
      </w:r>
    </w:p>
    <w:p w:rsidR="007436F6" w:rsidRDefault="007436F6">
      <w:pPr>
        <w:pStyle w:val="Heading1"/>
      </w:pPr>
      <w:bookmarkStart w:id="21" w:name="_Toc334183623"/>
      <w:r>
        <w:t>330</w:t>
      </w:r>
      <w:r>
        <w:tab/>
        <w:t>LIQUID MEASURING DEVICES</w:t>
      </w:r>
      <w:bookmarkEnd w:id="21"/>
    </w:p>
    <w:p w:rsidR="00E315A1" w:rsidRPr="00E315A1" w:rsidRDefault="00E315A1" w:rsidP="00E315A1">
      <w:pPr>
        <w:rPr>
          <w:i/>
        </w:rPr>
      </w:pPr>
      <w:r w:rsidRPr="00E315A1">
        <w:rPr>
          <w:i/>
        </w:rPr>
        <w:t xml:space="preserve">S&amp;T Committee Note: </w:t>
      </w:r>
      <w:r w:rsidR="00A0545E">
        <w:rPr>
          <w:i/>
        </w:rPr>
        <w:t xml:space="preserve"> </w:t>
      </w:r>
      <w:r w:rsidRPr="00E315A1">
        <w:rPr>
          <w:i/>
        </w:rPr>
        <w:t xml:space="preserve">Proposals under Items 330-1 through 330-6 of the </w:t>
      </w:r>
      <w:r w:rsidR="00F873D1">
        <w:rPr>
          <w:i/>
        </w:rPr>
        <w:t>C</w:t>
      </w:r>
      <w:r w:rsidR="00F873D1" w:rsidRPr="00E315A1">
        <w:rPr>
          <w:i/>
        </w:rPr>
        <w:t xml:space="preserve">ommittee’s </w:t>
      </w:r>
      <w:r w:rsidRPr="00E315A1">
        <w:rPr>
          <w:i/>
        </w:rPr>
        <w:t xml:space="preserve">2012 Interim Agenda were consolidated by the </w:t>
      </w:r>
      <w:r w:rsidR="00796A90">
        <w:rPr>
          <w:i/>
        </w:rPr>
        <w:t>C</w:t>
      </w:r>
      <w:r w:rsidRPr="00E315A1">
        <w:rPr>
          <w:i/>
        </w:rPr>
        <w:t>omm</w:t>
      </w:r>
      <w:r w:rsidR="00E2379E">
        <w:rPr>
          <w:i/>
        </w:rPr>
        <w:t xml:space="preserve">ittee into a single </w:t>
      </w:r>
      <w:r w:rsidR="002A1B0B">
        <w:rPr>
          <w:i/>
        </w:rPr>
        <w:t>Item</w:t>
      </w:r>
      <w:r w:rsidR="00E2379E">
        <w:rPr>
          <w:i/>
        </w:rPr>
        <w:t xml:space="preserve"> 330-1</w:t>
      </w:r>
      <w:r>
        <w:rPr>
          <w:i/>
        </w:rPr>
        <w:t xml:space="preserve">.  </w:t>
      </w:r>
      <w:r w:rsidRPr="00E315A1">
        <w:rPr>
          <w:i/>
        </w:rPr>
        <w:t xml:space="preserve">An explanation of the </w:t>
      </w:r>
      <w:r w:rsidR="002A1B0B">
        <w:rPr>
          <w:i/>
        </w:rPr>
        <w:t>C</w:t>
      </w:r>
      <w:r w:rsidR="002A1B0B" w:rsidRPr="00E315A1">
        <w:rPr>
          <w:i/>
        </w:rPr>
        <w:t xml:space="preserve">ommittee’s </w:t>
      </w:r>
      <w:r w:rsidRPr="00E315A1">
        <w:rPr>
          <w:i/>
        </w:rPr>
        <w:t>rationale is provided under Item 330-1.</w:t>
      </w:r>
    </w:p>
    <w:p w:rsidR="007436F6" w:rsidRDefault="007436F6">
      <w:pPr>
        <w:pStyle w:val="ItemHeading"/>
        <w:tabs>
          <w:tab w:val="left" w:pos="1440"/>
        </w:tabs>
        <w:ind w:left="1440" w:hanging="1440"/>
      </w:pPr>
      <w:bookmarkStart w:id="22" w:name="_Toc334183624"/>
      <w:r>
        <w:lastRenderedPageBreak/>
        <w:t>330-1</w:t>
      </w:r>
      <w:r>
        <w:tab/>
      </w:r>
      <w:r w:rsidR="00E315A1">
        <w:t>V</w:t>
      </w:r>
      <w:r w:rsidR="00E315A1">
        <w:tab/>
        <w:t>Unit Price Posting, Selection, and Display Requirements - S.1.6.4.1. Unit Price; S.1.6.5.4. Selection of Unit Price; S.1.6.6. Agreement Between Indications; S.1.6.7. Recorded Representations; S.1.6.8. Recorded Representations for Transactions Where a Post-Delivery Discount(s) is Provided; UR.3.2. Unit Price and Product Identity; and UR.3.3. Computing Device</w:t>
      </w:r>
      <w:bookmarkEnd w:id="22"/>
    </w:p>
    <w:p w:rsidR="00A15903" w:rsidRDefault="00A15903" w:rsidP="00A15903">
      <w:pPr>
        <w:ind w:left="14" w:hanging="14"/>
        <w:jc w:val="center"/>
      </w:pPr>
      <w:r w:rsidRPr="000C335C">
        <w:rPr>
          <w:szCs w:val="20"/>
          <w:lang w:val="en-CA"/>
        </w:rPr>
        <w:t>(This item was adopted.)</w:t>
      </w:r>
    </w:p>
    <w:p w:rsidR="007436F6" w:rsidRDefault="007436F6" w:rsidP="004408AC">
      <w:pPr>
        <w:pStyle w:val="BoldHeading"/>
        <w:spacing w:after="0"/>
      </w:pPr>
      <w:r>
        <w:t xml:space="preserve">Source: </w:t>
      </w:r>
      <w:r>
        <w:tab/>
      </w:r>
    </w:p>
    <w:p w:rsidR="007436F6" w:rsidRDefault="00E2379E" w:rsidP="007436F6">
      <w:r>
        <w:t xml:space="preserve">NCWM </w:t>
      </w:r>
      <w:r w:rsidR="002970AF">
        <w:t xml:space="preserve">Task Group on </w:t>
      </w:r>
      <w:r w:rsidR="007436F6">
        <w:t>Retail Motor Fuel D</w:t>
      </w:r>
      <w:r w:rsidR="002970AF">
        <w:t>ispenser</w:t>
      </w:r>
      <w:r w:rsidR="007436F6">
        <w:t xml:space="preserve"> Price Posting and Comput</w:t>
      </w:r>
      <w:r w:rsidR="002970AF">
        <w:t>er Capabilit</w:t>
      </w:r>
      <w:r>
        <w:t>y</w:t>
      </w:r>
      <w:r w:rsidR="002A42AB">
        <w:t xml:space="preserve"> (2012)</w:t>
      </w:r>
    </w:p>
    <w:p w:rsidR="007436F6" w:rsidRDefault="007436F6" w:rsidP="004408AC">
      <w:pPr>
        <w:pStyle w:val="BoldHeading"/>
        <w:spacing w:after="0"/>
      </w:pPr>
      <w:r>
        <w:t xml:space="preserve">Purpose: </w:t>
      </w:r>
    </w:p>
    <w:p w:rsidR="007436F6" w:rsidRDefault="002A42AB" w:rsidP="007436F6">
      <w:r>
        <w:t>U</w:t>
      </w:r>
      <w:r w:rsidR="007436F6">
        <w:t xml:space="preserve">pdate specifications to address current marketing methods for offering pricing </w:t>
      </w:r>
      <w:r w:rsidR="00E315A1">
        <w:t xml:space="preserve">discounts </w:t>
      </w:r>
      <w:r w:rsidR="007436F6">
        <w:t>beyond simple cash/credit pricing</w:t>
      </w:r>
      <w:r w:rsidR="00E315A1">
        <w:t xml:space="preserve"> </w:t>
      </w:r>
      <w:r w:rsidR="00E315A1" w:rsidRPr="00E87D92">
        <w:t>and to establish a framework for “post-delivery” discounts offered after t</w:t>
      </w:r>
      <w:r w:rsidR="00E315A1">
        <w:t>he delivery of fuel is complete</w:t>
      </w:r>
      <w:r w:rsidR="007436F6">
        <w:t>.</w:t>
      </w:r>
    </w:p>
    <w:p w:rsidR="007436F6" w:rsidRDefault="007436F6" w:rsidP="004408AC">
      <w:pPr>
        <w:pStyle w:val="BoldHeading"/>
        <w:spacing w:after="0"/>
      </w:pPr>
      <w:r>
        <w:t xml:space="preserve">Item Under Consideration: </w:t>
      </w:r>
    </w:p>
    <w:p w:rsidR="007436F6" w:rsidRDefault="007436F6" w:rsidP="007436F6">
      <w:r>
        <w:t xml:space="preserve">Amend </w:t>
      </w:r>
      <w:r w:rsidR="002970AF" w:rsidRPr="004408AC">
        <w:t xml:space="preserve">NIST </w:t>
      </w:r>
      <w:r w:rsidRPr="004408AC">
        <w:t>Handbook 44</w:t>
      </w:r>
      <w:r w:rsidR="00306981">
        <w:t>,</w:t>
      </w:r>
      <w:r>
        <w:t xml:space="preserve"> Liquid Measuring Devices Code </w:t>
      </w:r>
      <w:r w:rsidR="00E315A1">
        <w:t xml:space="preserve">paragraph S.1.6.4.1. </w:t>
      </w:r>
      <w:r>
        <w:t>as follows:</w:t>
      </w:r>
    </w:p>
    <w:p w:rsidR="007436F6" w:rsidRPr="002970AF" w:rsidRDefault="002970AF" w:rsidP="002970AF">
      <w:pPr>
        <w:pStyle w:val="I-Normalreg"/>
        <w:rPr>
          <w:b/>
        </w:rPr>
      </w:pPr>
      <w:r w:rsidRPr="002970AF">
        <w:rPr>
          <w:b/>
        </w:rPr>
        <w:t xml:space="preserve">S.1.6.4.1. </w:t>
      </w:r>
      <w:r w:rsidR="007436F6" w:rsidRPr="002970AF">
        <w:rPr>
          <w:b/>
        </w:rPr>
        <w:t>Unit Price.</w:t>
      </w:r>
    </w:p>
    <w:p w:rsidR="007436F6" w:rsidRPr="00B60B18" w:rsidRDefault="007436F6" w:rsidP="00136D98">
      <w:pPr>
        <w:pStyle w:val="I-LetterAIndent1"/>
        <w:spacing w:after="200"/>
        <w:ind w:left="1080"/>
      </w:pPr>
      <w:r w:rsidRPr="00B60B18">
        <w:t>(a)</w:t>
      </w:r>
      <w:r w:rsidRPr="00B60B18">
        <w:tab/>
        <w:t>A computing or money-operated device shall be able to display on each face the unit price at which the device is set to compute or to dispense.</w:t>
      </w:r>
    </w:p>
    <w:p w:rsidR="00EE701A" w:rsidRDefault="007436F6" w:rsidP="00136D98">
      <w:pPr>
        <w:pStyle w:val="I-LetterAIndent1"/>
        <w:spacing w:after="200"/>
        <w:ind w:left="1080"/>
        <w:rPr>
          <w:b/>
          <w:i/>
          <w:u w:val="single"/>
        </w:rPr>
      </w:pPr>
      <w:r w:rsidRPr="002970AF">
        <w:rPr>
          <w:i/>
        </w:rPr>
        <w:t>(b)</w:t>
      </w:r>
      <w:r w:rsidRPr="002970AF">
        <w:rPr>
          <w:i/>
        </w:rPr>
        <w:tab/>
      </w:r>
      <w:r w:rsidR="00E315A1" w:rsidRPr="0025202B">
        <w:rPr>
          <w:b/>
          <w:i/>
          <w:u w:val="single"/>
        </w:rPr>
        <w:t>Except for dispensers used exclusively for fleet sales, other price contract sales, and truck refueling (e.g., truck stop dispensers used only to refuel trucks)</w:t>
      </w:r>
      <w:r w:rsidR="00E315A1">
        <w:rPr>
          <w:b/>
          <w:i/>
          <w:u w:val="single"/>
        </w:rPr>
        <w:t>,</w:t>
      </w:r>
      <w:r w:rsidR="00E315A1">
        <w:rPr>
          <w:i/>
        </w:rPr>
        <w:t xml:space="preserve"> </w:t>
      </w:r>
      <w:r w:rsidRPr="00E315A1">
        <w:rPr>
          <w:b/>
          <w:i/>
          <w:strike/>
        </w:rPr>
        <w:t>W</w:t>
      </w:r>
      <w:r w:rsidR="00E315A1" w:rsidRPr="00E315A1">
        <w:rPr>
          <w:b/>
          <w:i/>
          <w:u w:val="single"/>
        </w:rPr>
        <w:t>w</w:t>
      </w:r>
      <w:r w:rsidRPr="002970AF">
        <w:rPr>
          <w:i/>
        </w:rPr>
        <w:t xml:space="preserve">henever a grade, brand, blend, or mixture is offered for sale from a device at more than one unit price, then all of the unit prices at which that product is offered for sale </w:t>
      </w:r>
      <w:r w:rsidR="00EE701A" w:rsidRPr="00E87D92">
        <w:rPr>
          <w:b/>
          <w:i/>
          <w:u w:val="single"/>
        </w:rPr>
        <w:t>shall meet the following conditions:</w:t>
      </w:r>
    </w:p>
    <w:p w:rsidR="007436F6" w:rsidRPr="00B60B18" w:rsidRDefault="00B04907" w:rsidP="004408AC">
      <w:pPr>
        <w:pStyle w:val="I-Normal2indent"/>
        <w:spacing w:after="0"/>
        <w:ind w:left="1440" w:hanging="360"/>
        <w:rPr>
          <w:b/>
          <w:i/>
        </w:rPr>
      </w:pPr>
      <w:r>
        <w:rPr>
          <w:b/>
          <w:i/>
          <w:u w:val="single"/>
        </w:rPr>
        <w:t>(1)</w:t>
      </w:r>
      <w:r w:rsidRPr="00B04907">
        <w:rPr>
          <w:b/>
          <w:i/>
        </w:rPr>
        <w:tab/>
      </w:r>
      <w:r w:rsidR="00EE701A" w:rsidRPr="00B60B18">
        <w:rPr>
          <w:b/>
          <w:i/>
          <w:u w:val="single"/>
        </w:rPr>
        <w:t>For a system that applies a discount prior to the delivery, all unit prices</w:t>
      </w:r>
      <w:r w:rsidR="00EE701A" w:rsidRPr="00B60B18">
        <w:rPr>
          <w:i/>
        </w:rPr>
        <w:t xml:space="preserve"> </w:t>
      </w:r>
      <w:r w:rsidR="007436F6" w:rsidRPr="00B60B18">
        <w:rPr>
          <w:i/>
        </w:rPr>
        <w:t xml:space="preserve">shall be displayed or shall be capable of being displayed on the dispenser </w:t>
      </w:r>
      <w:r w:rsidR="007436F6" w:rsidRPr="00B60B18">
        <w:rPr>
          <w:b/>
          <w:i/>
          <w:strike/>
        </w:rPr>
        <w:t>using controls available to the customer</w:t>
      </w:r>
      <w:r w:rsidR="007436F6" w:rsidRPr="00B60B18">
        <w:rPr>
          <w:b/>
          <w:i/>
        </w:rPr>
        <w:t xml:space="preserve"> </w:t>
      </w:r>
      <w:r w:rsidR="007436F6" w:rsidRPr="00B60B18">
        <w:rPr>
          <w:b/>
          <w:i/>
          <w:u w:val="single"/>
        </w:rPr>
        <w:t>through a deliberate action of the purchaser</w:t>
      </w:r>
      <w:r w:rsidR="007436F6" w:rsidRPr="00B60B18">
        <w:rPr>
          <w:i/>
        </w:rPr>
        <w:t xml:space="preserve"> prior to the delivery of the product.  It is not necessary that all of the unit prices for all grades, brands, blends, or mixtures be simultaneously displayed prior to the delivery of the product.</w:t>
      </w:r>
      <w:r w:rsidR="007436F6" w:rsidRPr="00B60B18">
        <w:rPr>
          <w:b/>
          <w:i/>
        </w:rPr>
        <w:t xml:space="preserve">  </w:t>
      </w:r>
      <w:r w:rsidR="007436F6" w:rsidRPr="00B60B18">
        <w:rPr>
          <w:b/>
          <w:i/>
          <w:strike/>
        </w:rPr>
        <w:t>This subsection shall not apply to fleet sales, other contract sales, or truck refueling sales (e.g., sales from dispensers used to refuel trucks).</w:t>
      </w:r>
    </w:p>
    <w:p w:rsidR="007436F6" w:rsidRDefault="007436F6" w:rsidP="004408AC">
      <w:pPr>
        <w:pStyle w:val="I-Normalreg"/>
        <w:ind w:left="1440"/>
        <w:rPr>
          <w:i/>
        </w:rPr>
      </w:pPr>
      <w:r w:rsidRPr="002970AF">
        <w:rPr>
          <w:i/>
        </w:rPr>
        <w:t>[Effective and nonretroactive as of January 1, 1991]</w:t>
      </w:r>
    </w:p>
    <w:p w:rsidR="00EE701A" w:rsidRPr="004408AC" w:rsidRDefault="00EE701A" w:rsidP="004408AC">
      <w:pPr>
        <w:pStyle w:val="I-Normal2indent"/>
        <w:spacing w:after="60"/>
        <w:ind w:left="1440" w:hanging="360"/>
        <w:rPr>
          <w:b/>
          <w:u w:val="single"/>
        </w:rPr>
      </w:pPr>
      <w:r w:rsidRPr="004408AC">
        <w:rPr>
          <w:b/>
          <w:u w:val="single"/>
        </w:rPr>
        <w:t>(2)</w:t>
      </w:r>
      <w:r w:rsidR="00B04907" w:rsidRPr="004408AC">
        <w:rPr>
          <w:b/>
        </w:rPr>
        <w:tab/>
      </w:r>
      <w:r w:rsidRPr="004408AC">
        <w:rPr>
          <w:b/>
          <w:u w:val="single"/>
        </w:rPr>
        <w:t>For a system that offers post-delivery discounts on fuel sales, display of pre-delivery unit price information is exempt from (b)(1), provided the system complies with S.1.6.8.</w:t>
      </w:r>
    </w:p>
    <w:p w:rsidR="00EE701A" w:rsidRPr="004408AC" w:rsidRDefault="00EE701A" w:rsidP="004408AC">
      <w:pPr>
        <w:pStyle w:val="I-Normalreg"/>
        <w:tabs>
          <w:tab w:val="left" w:pos="1440"/>
        </w:tabs>
        <w:ind w:left="720" w:firstLine="720"/>
        <w:rPr>
          <w:b/>
          <w:u w:val="single"/>
        </w:rPr>
      </w:pPr>
      <w:r w:rsidRPr="004408AC">
        <w:rPr>
          <w:b/>
          <w:u w:val="single"/>
        </w:rPr>
        <w:t xml:space="preserve">(Added </w:t>
      </w:r>
      <w:r w:rsidR="00B60B18" w:rsidRPr="004408AC">
        <w:rPr>
          <w:b/>
          <w:u w:val="single"/>
        </w:rPr>
        <w:t>20</w:t>
      </w:r>
      <w:r w:rsidRPr="004408AC">
        <w:rPr>
          <w:b/>
          <w:u w:val="single"/>
        </w:rPr>
        <w:t>12)</w:t>
      </w:r>
    </w:p>
    <w:p w:rsidR="00EE701A" w:rsidRDefault="00EE701A" w:rsidP="004408AC">
      <w:pPr>
        <w:pStyle w:val="I-Normal2indent"/>
        <w:spacing w:after="60"/>
        <w:ind w:left="1354"/>
        <w:rPr>
          <w:rFonts w:ascii="Arial Narrow" w:hAnsi="Arial Narrow"/>
          <w:b/>
          <w:i/>
          <w:u w:val="single"/>
        </w:rPr>
      </w:pPr>
      <w:r w:rsidRPr="004408AC">
        <w:rPr>
          <w:rFonts w:ascii="Arial Narrow" w:hAnsi="Arial Narrow"/>
          <w:b/>
          <w:i/>
          <w:u w:val="single"/>
        </w:rPr>
        <w:t>Note:  When a product is offered at more than one unit price, display of unit price information may be through the deliberate action of the purchaser:  1) using controls on the device;  2) through the purchaser’s use of personal or vehicle mounted electronic equipment communicating with the system; or 3) verbal instructions by the customer.</w:t>
      </w:r>
    </w:p>
    <w:p w:rsidR="00983723" w:rsidRPr="004408AC" w:rsidRDefault="00983723" w:rsidP="004408AC">
      <w:pPr>
        <w:pStyle w:val="I-Normal2indent"/>
        <w:spacing w:after="60"/>
        <w:ind w:left="1354"/>
        <w:rPr>
          <w:rFonts w:cs="Times New Roman"/>
          <w:b/>
          <w:u w:val="single"/>
        </w:rPr>
      </w:pPr>
      <w:r w:rsidRPr="004408AC">
        <w:rPr>
          <w:rFonts w:cs="Times New Roman"/>
          <w:b/>
          <w:u w:val="single"/>
        </w:rPr>
        <w:t>(Added 2012)</w:t>
      </w:r>
    </w:p>
    <w:p w:rsidR="007436F6" w:rsidRDefault="00983723" w:rsidP="004408AC">
      <w:pPr>
        <w:pStyle w:val="I-Normal2indent"/>
        <w:tabs>
          <w:tab w:val="left" w:pos="360"/>
        </w:tabs>
        <w:ind w:left="0"/>
      </w:pPr>
      <w:r>
        <w:tab/>
      </w:r>
      <w:r w:rsidR="007436F6">
        <w:t>(Amended 1989</w:t>
      </w:r>
      <w:r w:rsidR="007436F6" w:rsidRPr="002970AF">
        <w:rPr>
          <w:u w:val="single"/>
        </w:rPr>
        <w:t>,</w:t>
      </w:r>
      <w:r w:rsidR="007436F6">
        <w:t xml:space="preserve"> </w:t>
      </w:r>
      <w:r w:rsidR="007436F6" w:rsidRPr="00B60B18">
        <w:rPr>
          <w:b/>
          <w:strike/>
        </w:rPr>
        <w:t>and</w:t>
      </w:r>
      <w:r w:rsidR="007436F6">
        <w:t xml:space="preserve"> 1997</w:t>
      </w:r>
      <w:r w:rsidRPr="004408AC">
        <w:rPr>
          <w:b/>
          <w:u w:val="single"/>
        </w:rPr>
        <w:t>,</w:t>
      </w:r>
      <w:r w:rsidR="007436F6" w:rsidRPr="004408AC">
        <w:rPr>
          <w:b/>
          <w:u w:val="single"/>
        </w:rPr>
        <w:t xml:space="preserve"> </w:t>
      </w:r>
      <w:r w:rsidR="007436F6" w:rsidRPr="002970AF">
        <w:rPr>
          <w:b/>
          <w:u w:val="single"/>
        </w:rPr>
        <w:t xml:space="preserve">and </w:t>
      </w:r>
      <w:r w:rsidR="00EE701A" w:rsidRPr="002970AF">
        <w:rPr>
          <w:b/>
          <w:u w:val="single"/>
        </w:rPr>
        <w:t>20</w:t>
      </w:r>
      <w:r w:rsidR="00EE701A">
        <w:rPr>
          <w:b/>
          <w:u w:val="single"/>
        </w:rPr>
        <w:t>12</w:t>
      </w:r>
      <w:r w:rsidR="007436F6">
        <w:t>)</w:t>
      </w:r>
    </w:p>
    <w:p w:rsidR="00565EB6" w:rsidRPr="00EC3A3C" w:rsidRDefault="00565EB6" w:rsidP="00565EB6">
      <w:r w:rsidRPr="00EC3A3C">
        <w:t xml:space="preserve">Amend </w:t>
      </w:r>
      <w:r w:rsidRPr="004408AC">
        <w:t>NIST Handbook 44</w:t>
      </w:r>
      <w:r w:rsidRPr="00EC3A3C">
        <w:t>, Liquid Measuring Devices Code paragraph S.1.6.5.4. as follows:</w:t>
      </w:r>
    </w:p>
    <w:p w:rsidR="00413EC1" w:rsidRDefault="00413EC1" w:rsidP="004408AC">
      <w:pPr>
        <w:keepNext/>
        <w:tabs>
          <w:tab w:val="left" w:pos="1260"/>
        </w:tabs>
        <w:ind w:left="360"/>
        <w:rPr>
          <w:b/>
          <w:iCs/>
          <w:u w:val="single"/>
        </w:rPr>
      </w:pPr>
      <w:r w:rsidRPr="00413EC1">
        <w:rPr>
          <w:b/>
          <w:bCs/>
          <w:i/>
          <w:iCs/>
        </w:rPr>
        <w:t>S.1.6.5.4.</w:t>
      </w:r>
      <w:r w:rsidRPr="00413EC1">
        <w:rPr>
          <w:b/>
          <w:bCs/>
          <w:i/>
          <w:iCs/>
        </w:rPr>
        <w:tab/>
        <w:t>Selection of Unit Price.</w:t>
      </w:r>
      <w:r w:rsidRPr="00B77FD2">
        <w:rPr>
          <w:b/>
          <w:i/>
          <w:iCs/>
        </w:rPr>
        <w:t xml:space="preserve"> </w:t>
      </w:r>
      <w:r w:rsidRPr="00B77FD2">
        <w:rPr>
          <w:b/>
        </w:rPr>
        <w:t>–</w:t>
      </w:r>
      <w:r w:rsidRPr="00974D97">
        <w:rPr>
          <w:i/>
          <w:iCs/>
        </w:rPr>
        <w:t xml:space="preserve"> </w:t>
      </w:r>
      <w:r w:rsidRPr="00B77FD2">
        <w:rPr>
          <w:b/>
          <w:i/>
          <w:iCs/>
          <w:strike/>
        </w:rPr>
        <w:t>Except for dispensers used exclusively for fleet sales, other price contract sales, and truck refueling (e.g., truck stop dispensers used only to refuel trucks), when a product or grade is offered for sale at more than one unit price through a computing device, the selection of the unit price shall be made prior to delivery using controls on the device or other customer-activated controls.</w:t>
      </w:r>
      <w:r w:rsidRPr="00B77FD2">
        <w:rPr>
          <w:b/>
          <w:strike/>
        </w:rPr>
        <w:t xml:space="preserve">  </w:t>
      </w:r>
      <w:r w:rsidRPr="00974D97">
        <w:t>A system shall not permit a change to the unit price during delivery of product.</w:t>
      </w:r>
      <w:r>
        <w:t xml:space="preserve">  </w:t>
      </w:r>
      <w:r w:rsidRPr="00B77FD2">
        <w:rPr>
          <w:b/>
          <w:iCs/>
          <w:u w:val="single"/>
        </w:rPr>
        <w:t xml:space="preserve">When a product or grade is </w:t>
      </w:r>
      <w:r w:rsidRPr="00B77FD2">
        <w:rPr>
          <w:b/>
          <w:iCs/>
          <w:u w:val="single"/>
        </w:rPr>
        <w:lastRenderedPageBreak/>
        <w:t>offered for sale at more than one unit price through a computing device,</w:t>
      </w:r>
      <w:r w:rsidRPr="00413EC1">
        <w:rPr>
          <w:b/>
          <w:u w:val="single"/>
        </w:rPr>
        <w:t xml:space="preserve"> t</w:t>
      </w:r>
      <w:r w:rsidRPr="00413EC1">
        <w:rPr>
          <w:b/>
          <w:iCs/>
          <w:u w:val="single"/>
        </w:rPr>
        <w:t>he following conditions shall be met:</w:t>
      </w:r>
    </w:p>
    <w:p w:rsidR="00413EC1" w:rsidRPr="00B77FD2" w:rsidRDefault="00413EC1" w:rsidP="004408AC">
      <w:pPr>
        <w:pStyle w:val="ListParagraph"/>
        <w:keepNext/>
        <w:numPr>
          <w:ilvl w:val="0"/>
          <w:numId w:val="53"/>
        </w:numPr>
        <w:spacing w:after="0"/>
        <w:ind w:left="1080" w:hanging="367"/>
        <w:contextualSpacing w:val="0"/>
        <w:rPr>
          <w:b/>
          <w:u w:val="single"/>
        </w:rPr>
      </w:pPr>
      <w:r w:rsidRPr="00EC3A3C">
        <w:rPr>
          <w:b/>
          <w:i/>
          <w:iCs/>
          <w:u w:val="single"/>
        </w:rPr>
        <w:t>Except for a system only capable of applying a post-delivery discount(s), the selection of the unit price shall be made prior to delivery through a deliberate action of the purchaser to select the unit price for the fuel delivery</w:t>
      </w:r>
      <w:r w:rsidRPr="00B77FD2">
        <w:rPr>
          <w:b/>
          <w:u w:val="single"/>
        </w:rPr>
        <w:t>.</w:t>
      </w:r>
    </w:p>
    <w:p w:rsidR="00413EC1" w:rsidRPr="00B77FD2" w:rsidRDefault="00983723" w:rsidP="004408AC">
      <w:pPr>
        <w:keepNext/>
        <w:tabs>
          <w:tab w:val="left" w:pos="1080"/>
        </w:tabs>
        <w:spacing w:after="0" w:line="480" w:lineRule="auto"/>
        <w:rPr>
          <w:i/>
          <w:iCs/>
        </w:rPr>
      </w:pPr>
      <w:r>
        <w:rPr>
          <w:i/>
          <w:iCs/>
        </w:rPr>
        <w:tab/>
      </w:r>
      <w:r w:rsidR="00413EC1" w:rsidRPr="00B77FD2">
        <w:rPr>
          <w:i/>
          <w:iCs/>
        </w:rPr>
        <w:t>[Nonretroactive as of January 1, 1991]</w:t>
      </w:r>
    </w:p>
    <w:p w:rsidR="00413EC1" w:rsidRDefault="00413EC1" w:rsidP="004408AC">
      <w:pPr>
        <w:keepNext/>
        <w:spacing w:after="60"/>
        <w:ind w:left="1080" w:hanging="367"/>
        <w:rPr>
          <w:b/>
        </w:rPr>
      </w:pPr>
      <w:r w:rsidRPr="00B77FD2">
        <w:rPr>
          <w:b/>
          <w:iCs/>
          <w:u w:val="single"/>
        </w:rPr>
        <w:t>(b)</w:t>
      </w:r>
      <w:r w:rsidRPr="00B77FD2">
        <w:rPr>
          <w:b/>
          <w:iCs/>
          <w:u w:val="single"/>
        </w:rPr>
        <w:tab/>
        <w:t>For a system only capable of applying a post-delivery discount(s), the selection of the unit price shall be made through a deliberate action of the purchaser to select the unit price for the fuel delivery.</w:t>
      </w:r>
      <w:r w:rsidRPr="00B77FD2">
        <w:rPr>
          <w:b/>
        </w:rPr>
        <w:t xml:space="preserve">  </w:t>
      </w:r>
    </w:p>
    <w:p w:rsidR="00413EC1" w:rsidRPr="00B77FD2" w:rsidRDefault="00413EC1" w:rsidP="004408AC">
      <w:pPr>
        <w:keepNext/>
        <w:ind w:left="360" w:firstLine="720"/>
      </w:pPr>
      <w:r w:rsidRPr="0066629B">
        <w:rPr>
          <w:b/>
          <w:u w:val="single"/>
        </w:rPr>
        <w:t>(Added 2012)</w:t>
      </w:r>
    </w:p>
    <w:p w:rsidR="00413EC1" w:rsidRPr="00EC3A3C" w:rsidRDefault="00413EC1" w:rsidP="003254FF">
      <w:pPr>
        <w:shd w:val="clear" w:color="auto" w:fill="FFFFFF" w:themeFill="background1"/>
        <w:spacing w:after="60"/>
        <w:ind w:left="360"/>
        <w:rPr>
          <w:rFonts w:ascii="Arial Narrow" w:hAnsi="Arial Narrow"/>
          <w:b/>
          <w:u w:val="single"/>
        </w:rPr>
      </w:pPr>
      <w:r w:rsidRPr="00EC3A3C">
        <w:rPr>
          <w:rFonts w:ascii="Arial Narrow" w:hAnsi="Arial Narrow"/>
          <w:b/>
          <w:u w:val="single"/>
        </w:rPr>
        <w:t xml:space="preserve">Note:  When a product is offered at more than one unit price, selection of the unit price may be through the deliberate action of the purchaser:  1) using controls on the device; 2) through the purchaser’s use of personal or vehicle mounted electronic equipment communicating with the system; or 3) verbal instructions by the customer. </w:t>
      </w:r>
    </w:p>
    <w:p w:rsidR="00413EC1" w:rsidRPr="0066629B" w:rsidRDefault="00413EC1" w:rsidP="00983723">
      <w:pPr>
        <w:shd w:val="clear" w:color="auto" w:fill="FFFFFF" w:themeFill="background1"/>
        <w:ind w:left="360"/>
        <w:rPr>
          <w:b/>
          <w:u w:val="single"/>
        </w:rPr>
      </w:pPr>
      <w:r w:rsidRPr="0066629B">
        <w:rPr>
          <w:b/>
          <w:u w:val="single"/>
        </w:rPr>
        <w:t>(Added 2012)</w:t>
      </w:r>
    </w:p>
    <w:p w:rsidR="00413EC1" w:rsidRDefault="00413EC1" w:rsidP="003254FF">
      <w:pPr>
        <w:shd w:val="clear" w:color="auto" w:fill="FFFFFF" w:themeFill="background1"/>
        <w:spacing w:after="60"/>
        <w:ind w:left="360"/>
        <w:rPr>
          <w:b/>
          <w:iCs/>
          <w:u w:val="single"/>
        </w:rPr>
      </w:pPr>
      <w:r w:rsidRPr="00B77FD2">
        <w:rPr>
          <w:b/>
          <w:iCs/>
          <w:u w:val="single"/>
        </w:rPr>
        <w:t>The provisions in (a) and (b) do not apply to dispensers used exclusively for fleet sales, other price contract sales, and truck refueling (e.g., truck stop dispensers used only to refuel trucks).</w:t>
      </w:r>
    </w:p>
    <w:p w:rsidR="00983723" w:rsidRPr="00B77FD2" w:rsidRDefault="00983723" w:rsidP="003254FF">
      <w:pPr>
        <w:shd w:val="clear" w:color="auto" w:fill="FFFFFF" w:themeFill="background1"/>
        <w:spacing w:after="60"/>
        <w:ind w:left="360"/>
        <w:rPr>
          <w:b/>
          <w:iCs/>
          <w:u w:val="single"/>
        </w:rPr>
      </w:pPr>
      <w:r>
        <w:rPr>
          <w:b/>
          <w:iCs/>
          <w:u w:val="single"/>
        </w:rPr>
        <w:t>(Added 2012)</w:t>
      </w:r>
    </w:p>
    <w:p w:rsidR="00413EC1" w:rsidRDefault="00413EC1" w:rsidP="003254FF">
      <w:pPr>
        <w:pStyle w:val="I-Normalreg"/>
        <w:spacing w:before="60"/>
      </w:pPr>
      <w:r w:rsidRPr="002970AF">
        <w:t xml:space="preserve">(Added 1989) (Amended 1991, 1992, 1993, </w:t>
      </w:r>
      <w:r w:rsidRPr="002970AF">
        <w:rPr>
          <w:b/>
          <w:strike/>
        </w:rPr>
        <w:t>and</w:t>
      </w:r>
      <w:r w:rsidRPr="002970AF">
        <w:t xml:space="preserve"> 1996</w:t>
      </w:r>
      <w:r w:rsidRPr="002970AF">
        <w:rPr>
          <w:b/>
          <w:u w:val="single"/>
        </w:rPr>
        <w:t>, and 20</w:t>
      </w:r>
      <w:r>
        <w:rPr>
          <w:b/>
          <w:u w:val="single"/>
        </w:rPr>
        <w:t>12</w:t>
      </w:r>
      <w:r w:rsidRPr="002970AF">
        <w:t>)</w:t>
      </w:r>
    </w:p>
    <w:p w:rsidR="00F81098" w:rsidRPr="00B77FD2" w:rsidRDefault="00F81098" w:rsidP="00B77FD2">
      <w:pPr>
        <w:pStyle w:val="I-Normalreg"/>
        <w:ind w:left="0"/>
        <w:rPr>
          <w:i/>
        </w:rPr>
      </w:pPr>
      <w:r w:rsidRPr="00B77FD2">
        <w:rPr>
          <w:i/>
        </w:rPr>
        <w:t>[Technical Advisor’s Note:  During preparation of the 2013 edition of NIST Handbook 44 to reflect changes adopted by the NCWM, NIST technical advisors noted an error in the text style for a portion of S.1.6.5.4.</w:t>
      </w:r>
      <w:r w:rsidR="005B068E" w:rsidRPr="00B77FD2">
        <w:rPr>
          <w:i/>
        </w:rPr>
        <w:t xml:space="preserve"> as it appeared in NCWM Publication 16.  A</w:t>
      </w:r>
      <w:r w:rsidRPr="00B77FD2">
        <w:rPr>
          <w:i/>
        </w:rPr>
        <w:t xml:space="preserve"> portion of the text</w:t>
      </w:r>
      <w:r w:rsidR="005B068E" w:rsidRPr="00B77FD2">
        <w:rPr>
          <w:i/>
        </w:rPr>
        <w:t xml:space="preserve"> that appears in the existing Handbook 44 paragraph S.1.6.5.4.</w:t>
      </w:r>
      <w:r w:rsidRPr="00B77FD2">
        <w:rPr>
          <w:i/>
        </w:rPr>
        <w:t xml:space="preserve"> was </w:t>
      </w:r>
      <w:r w:rsidR="005B068E" w:rsidRPr="00B77FD2">
        <w:rPr>
          <w:i/>
        </w:rPr>
        <w:t>inadvertently shown in italic font, suggesting that the entire existing paragraph was Nonretroactive in nature.  To correct this error and to remove ambiguity in the application of the paragraph to devices manufactured or installed on different dates, the paragraph that was adopted was reformatted and additional editorial revisions made.  To ensure that those revisions did not change the intent of the changes proposed to and adopted by the NCWM, the revised paragraph was distributed to the NCWM S&amp;T Committee as well as the members of the NCWM Task Group on Retail Motor Fuel Dispenser Price Posting and Computer Capability for review and approval.  The Technical Advisors received comments in support of the revisions from multiple members of the S&amp;T Committee and the Task Group</w:t>
      </w:r>
      <w:r w:rsidR="009943AD" w:rsidRPr="00B77FD2">
        <w:rPr>
          <w:i/>
        </w:rPr>
        <w:t>; no</w:t>
      </w:r>
      <w:r w:rsidR="005B068E" w:rsidRPr="00B77FD2">
        <w:rPr>
          <w:i/>
        </w:rPr>
        <w:t xml:space="preserve"> objections</w:t>
      </w:r>
      <w:r w:rsidR="009943AD" w:rsidRPr="00B77FD2">
        <w:rPr>
          <w:i/>
        </w:rPr>
        <w:t xml:space="preserve"> were received</w:t>
      </w:r>
      <w:r w:rsidR="005B068E" w:rsidRPr="00B77FD2">
        <w:rPr>
          <w:i/>
        </w:rPr>
        <w:t>.  The revised version of the paragraph</w:t>
      </w:r>
      <w:r w:rsidR="009943AD" w:rsidRPr="00B77FD2">
        <w:rPr>
          <w:i/>
        </w:rPr>
        <w:t xml:space="preserve"> is reflected in the language above.]</w:t>
      </w:r>
    </w:p>
    <w:p w:rsidR="00B0113B" w:rsidRDefault="00B0113B" w:rsidP="00B0113B">
      <w:r>
        <w:t xml:space="preserve">Amend </w:t>
      </w:r>
      <w:r w:rsidRPr="003254FF">
        <w:t>NIST Handbook 44</w:t>
      </w:r>
      <w:r>
        <w:rPr>
          <w:i/>
        </w:rPr>
        <w:t>,</w:t>
      </w:r>
      <w:r>
        <w:t xml:space="preserve"> Liquid Measuring Devices Code </w:t>
      </w:r>
      <w:r w:rsidR="002A1B0B">
        <w:t>paragraph</w:t>
      </w:r>
      <w:r>
        <w:t>s S.1.6.6. as follows:</w:t>
      </w:r>
    </w:p>
    <w:p w:rsidR="00B0113B" w:rsidRDefault="00B0113B" w:rsidP="003254FF">
      <w:pPr>
        <w:pStyle w:val="I-Normal-bold"/>
        <w:tabs>
          <w:tab w:val="left" w:pos="1080"/>
        </w:tabs>
      </w:pPr>
      <w:r>
        <w:t>S.1.6.6</w:t>
      </w:r>
      <w:r w:rsidR="00E87891">
        <w:t>.</w:t>
      </w:r>
      <w:r w:rsidR="00E87891">
        <w:tab/>
      </w:r>
      <w:r>
        <w:t>Agreement Between Indications.</w:t>
      </w:r>
    </w:p>
    <w:p w:rsidR="00B0113B" w:rsidRDefault="00B0113B" w:rsidP="00B60B18">
      <w:pPr>
        <w:pStyle w:val="I-Normal1indent"/>
        <w:tabs>
          <w:tab w:val="left" w:pos="1080"/>
        </w:tabs>
        <w:ind w:left="1080" w:hanging="360"/>
      </w:pPr>
      <w:r w:rsidRPr="00B60B18">
        <w:rPr>
          <w:b/>
          <w:u w:val="single"/>
        </w:rPr>
        <w:t>(a)</w:t>
      </w:r>
      <w:r>
        <w:tab/>
        <w:t>When a quantity value indicated or recorded by an auxiliary element is a derived or computed value based on data received from a retail motor fuel dispenser, the value may differ from the quantity value displayed on the dispenser, provided the following conditions are met:</w:t>
      </w:r>
    </w:p>
    <w:p w:rsidR="00B0113B" w:rsidRDefault="00B0113B" w:rsidP="003254FF">
      <w:pPr>
        <w:pStyle w:val="I-noindent"/>
        <w:tabs>
          <w:tab w:val="left" w:pos="1530"/>
        </w:tabs>
        <w:ind w:left="1530" w:hanging="450"/>
      </w:pPr>
      <w:r>
        <w:t>(</w:t>
      </w:r>
      <w:r w:rsidRPr="00B60B18">
        <w:rPr>
          <w:b/>
          <w:strike/>
        </w:rPr>
        <w:t>a</w:t>
      </w:r>
      <w:r w:rsidRPr="00B60B18">
        <w:rPr>
          <w:b/>
          <w:u w:val="single"/>
        </w:rPr>
        <w:t>1</w:t>
      </w:r>
      <w:r>
        <w:t>)</w:t>
      </w:r>
      <w:r w:rsidR="00DF2E7B">
        <w:tab/>
      </w:r>
      <w:r>
        <w:t>all total money-values for an individual sale that are indicated or recorded by the system agree; and</w:t>
      </w:r>
    </w:p>
    <w:p w:rsidR="00B0113B" w:rsidRPr="00B60B18" w:rsidRDefault="00B0113B" w:rsidP="003254FF">
      <w:pPr>
        <w:pStyle w:val="I-noindent"/>
        <w:keepNext/>
        <w:spacing w:after="0"/>
        <w:ind w:left="1530" w:hanging="450"/>
        <w:rPr>
          <w:i/>
        </w:rPr>
      </w:pPr>
      <w:r w:rsidRPr="00B60B18">
        <w:rPr>
          <w:i/>
        </w:rPr>
        <w:t>(</w:t>
      </w:r>
      <w:r w:rsidRPr="00B60B18">
        <w:rPr>
          <w:b/>
          <w:i/>
          <w:strike/>
        </w:rPr>
        <w:t>b</w:t>
      </w:r>
      <w:r w:rsidRPr="00B60B18">
        <w:rPr>
          <w:b/>
          <w:i/>
          <w:u w:val="single"/>
        </w:rPr>
        <w:t>2</w:t>
      </w:r>
      <w:r w:rsidRPr="00B60B18">
        <w:rPr>
          <w:i/>
        </w:rPr>
        <w:t>)</w:t>
      </w:r>
      <w:r w:rsidR="00DF2E7B">
        <w:rPr>
          <w:i/>
        </w:rPr>
        <w:tab/>
      </w:r>
      <w:r w:rsidRPr="00B60B18">
        <w:rPr>
          <w:i/>
        </w:rPr>
        <w:t xml:space="preserve">within each element, the values indicated or recorded meet the formula (quantity </w:t>
      </w:r>
      <w:r w:rsidR="00796A90" w:rsidRPr="00796A90">
        <w:rPr>
          <w:rFonts w:cs="Times New Roman"/>
        </w:rPr>
        <w:t>×</w:t>
      </w:r>
      <w:r w:rsidRPr="00B60B18">
        <w:rPr>
          <w:i/>
        </w:rPr>
        <w:t xml:space="preserve"> unit price = total sales price) to the closest cent.</w:t>
      </w:r>
    </w:p>
    <w:p w:rsidR="00B0113B" w:rsidRPr="00B60B18" w:rsidRDefault="00B0113B" w:rsidP="00796A90">
      <w:pPr>
        <w:pStyle w:val="I-Normal1indent"/>
        <w:keepNext/>
        <w:ind w:left="1080" w:firstLine="450"/>
        <w:rPr>
          <w:i/>
        </w:rPr>
      </w:pPr>
      <w:r w:rsidRPr="00B60B18">
        <w:rPr>
          <w:i/>
        </w:rPr>
        <w:t>[Nonretroactive as of January 1, 1988]</w:t>
      </w:r>
    </w:p>
    <w:p w:rsidR="00B0113B" w:rsidRPr="00B60B18" w:rsidRDefault="00065E4F" w:rsidP="00B60B18">
      <w:pPr>
        <w:pStyle w:val="I-Normal1indent"/>
        <w:ind w:left="1080" w:hanging="360"/>
        <w:rPr>
          <w:b/>
          <w:u w:val="single"/>
        </w:rPr>
      </w:pPr>
      <w:r w:rsidRPr="00B60B18">
        <w:rPr>
          <w:b/>
          <w:u w:val="single"/>
        </w:rPr>
        <w:t>(b)</w:t>
      </w:r>
      <w:r w:rsidRPr="00B60B18">
        <w:rPr>
          <w:b/>
        </w:rPr>
        <w:tab/>
      </w:r>
      <w:r w:rsidR="00B0113B" w:rsidRPr="00B60B18">
        <w:rPr>
          <w:b/>
          <w:u w:val="single"/>
        </w:rPr>
        <w:t xml:space="preserve">When a system applies a post-delivery discount(s) to a fuel’s unit price through an auxiliary element, the following conditions shall apply for computed values: </w:t>
      </w:r>
    </w:p>
    <w:p w:rsidR="00B0113B" w:rsidRPr="00B60B18" w:rsidRDefault="00B0113B" w:rsidP="00F23727">
      <w:pPr>
        <w:pStyle w:val="I-noindent"/>
        <w:spacing w:after="80"/>
        <w:ind w:hanging="360"/>
        <w:rPr>
          <w:b/>
          <w:u w:val="single"/>
        </w:rPr>
      </w:pPr>
      <w:r w:rsidRPr="00B60B18">
        <w:rPr>
          <w:b/>
          <w:u w:val="single"/>
        </w:rPr>
        <w:lastRenderedPageBreak/>
        <w:t>(1)</w:t>
      </w:r>
      <w:r w:rsidRPr="00B60B18">
        <w:rPr>
          <w:b/>
        </w:rPr>
        <w:tab/>
      </w:r>
      <w:r w:rsidRPr="00B60B18">
        <w:rPr>
          <w:b/>
          <w:u w:val="single"/>
        </w:rPr>
        <w:t>the total volume of the delivery shall be in agreement between all elements in the system.</w:t>
      </w:r>
    </w:p>
    <w:p w:rsidR="00B0113B" w:rsidRPr="00B60B18" w:rsidRDefault="00065E4F" w:rsidP="000D1ED5">
      <w:pPr>
        <w:pStyle w:val="I-Normal1indent"/>
        <w:spacing w:after="80"/>
        <w:ind w:left="1080" w:firstLine="360"/>
        <w:rPr>
          <w:b/>
          <w:u w:val="single"/>
        </w:rPr>
      </w:pPr>
      <w:r>
        <w:rPr>
          <w:b/>
          <w:u w:val="single"/>
        </w:rPr>
        <w:t>(</w:t>
      </w:r>
      <w:r w:rsidR="00B0113B" w:rsidRPr="00B60B18">
        <w:rPr>
          <w:b/>
          <w:u w:val="single"/>
        </w:rPr>
        <w:t>Added 2012</w:t>
      </w:r>
      <w:r>
        <w:rPr>
          <w:b/>
          <w:u w:val="single"/>
        </w:rPr>
        <w:t>)</w:t>
      </w:r>
    </w:p>
    <w:p w:rsidR="00B0113B" w:rsidRDefault="00DF2E7B" w:rsidP="000D1ED5">
      <w:pPr>
        <w:pStyle w:val="I-Normal1indent"/>
        <w:tabs>
          <w:tab w:val="left" w:pos="360"/>
        </w:tabs>
        <w:ind w:left="0"/>
      </w:pPr>
      <w:r>
        <w:tab/>
      </w:r>
      <w:r w:rsidR="00B0113B">
        <w:t xml:space="preserve">(Added 1985) (Amended 1987, </w:t>
      </w:r>
      <w:r w:rsidR="00B0113B" w:rsidRPr="00B60B18">
        <w:rPr>
          <w:b/>
          <w:strike/>
        </w:rPr>
        <w:t>and</w:t>
      </w:r>
      <w:r w:rsidR="00B0113B">
        <w:t xml:space="preserve"> 1988</w:t>
      </w:r>
      <w:r w:rsidR="00B0113B" w:rsidRPr="00B60B18">
        <w:rPr>
          <w:b/>
          <w:u w:val="single"/>
        </w:rPr>
        <w:t>, and 2012</w:t>
      </w:r>
      <w:r w:rsidR="00B0113B">
        <w:t>)</w:t>
      </w:r>
    </w:p>
    <w:p w:rsidR="00674E77" w:rsidRDefault="00674E77" w:rsidP="006E6DC2">
      <w:pPr>
        <w:spacing w:after="0" w:line="276" w:lineRule="auto"/>
        <w:jc w:val="left"/>
      </w:pPr>
    </w:p>
    <w:p w:rsidR="00065E4F" w:rsidRDefault="00065E4F" w:rsidP="000D1ED5">
      <w:pPr>
        <w:spacing w:after="0" w:line="480" w:lineRule="auto"/>
        <w:jc w:val="left"/>
      </w:pPr>
      <w:r>
        <w:t xml:space="preserve">Amend </w:t>
      </w:r>
      <w:r w:rsidRPr="000D1ED5">
        <w:t>NIST Handbook 44</w:t>
      </w:r>
      <w:r>
        <w:t xml:space="preserve">, Liquid Measuring Devices Code </w:t>
      </w:r>
      <w:r w:rsidR="002A1B0B">
        <w:t>paragraph</w:t>
      </w:r>
      <w:r>
        <w:t>s S.1.6.7. as follows:</w:t>
      </w:r>
    </w:p>
    <w:p w:rsidR="00065E4F" w:rsidRPr="00B60B18" w:rsidRDefault="00065E4F" w:rsidP="000D1ED5">
      <w:pPr>
        <w:pStyle w:val="I-Normalreg"/>
        <w:tabs>
          <w:tab w:val="left" w:pos="1080"/>
        </w:tabs>
        <w:rPr>
          <w:i/>
        </w:rPr>
      </w:pPr>
      <w:r w:rsidRPr="00B60B18">
        <w:rPr>
          <w:b/>
          <w:i/>
        </w:rPr>
        <w:t>S.1.6.7</w:t>
      </w:r>
      <w:r w:rsidR="00DF2E7B" w:rsidRPr="00B60B18">
        <w:rPr>
          <w:b/>
          <w:i/>
        </w:rPr>
        <w:t>.</w:t>
      </w:r>
      <w:r w:rsidR="00DF2E7B">
        <w:rPr>
          <w:b/>
          <w:i/>
        </w:rPr>
        <w:tab/>
      </w:r>
      <w:r w:rsidRPr="00B60B18">
        <w:rPr>
          <w:b/>
          <w:i/>
        </w:rPr>
        <w:t>Recorded Representations.</w:t>
      </w:r>
      <w:r w:rsidRPr="00B60B18">
        <w:rPr>
          <w:i/>
        </w:rPr>
        <w:t xml:space="preserve"> – Except for fleet sales and other price contract sales </w:t>
      </w:r>
      <w:r w:rsidRPr="00B60B18">
        <w:rPr>
          <w:b/>
          <w:i/>
          <w:u w:val="single"/>
        </w:rPr>
        <w:t>and for transactions where a post-delivery discount is provided,</w:t>
      </w:r>
      <w:r w:rsidRPr="00B60B18">
        <w:rPr>
          <w:i/>
        </w:rPr>
        <w:t xml:space="preserve"> a printed receipt providing the following information shall be available through a built-in or separate recording element for all transactions conducted with point-of-sale systems or devices activated by debit cards, credit cards, and/or cash:</w:t>
      </w:r>
    </w:p>
    <w:p w:rsidR="00065E4F" w:rsidRPr="00B60B18" w:rsidRDefault="00065E4F" w:rsidP="00B60B18">
      <w:pPr>
        <w:pStyle w:val="I-Normal1indent"/>
        <w:ind w:left="1080" w:hanging="360"/>
        <w:rPr>
          <w:i/>
        </w:rPr>
      </w:pPr>
      <w:r w:rsidRPr="00B60B18">
        <w:rPr>
          <w:i/>
        </w:rPr>
        <w:t>(a)</w:t>
      </w:r>
      <w:r w:rsidRPr="00B60B18">
        <w:rPr>
          <w:i/>
        </w:rPr>
        <w:tab/>
        <w:t>the total volume of the delivery;</w:t>
      </w:r>
    </w:p>
    <w:p w:rsidR="00065E4F" w:rsidRPr="00B60B18" w:rsidRDefault="00065E4F" w:rsidP="00B60B18">
      <w:pPr>
        <w:pStyle w:val="I-Normal1indent"/>
        <w:ind w:left="1080" w:hanging="360"/>
        <w:rPr>
          <w:i/>
        </w:rPr>
      </w:pPr>
      <w:r w:rsidRPr="00B60B18">
        <w:rPr>
          <w:i/>
        </w:rPr>
        <w:t>(b)</w:t>
      </w:r>
      <w:r w:rsidRPr="00B60B18">
        <w:rPr>
          <w:i/>
        </w:rPr>
        <w:tab/>
        <w:t>the unit price;</w:t>
      </w:r>
    </w:p>
    <w:p w:rsidR="00065E4F" w:rsidRPr="00B60B18" w:rsidRDefault="00065E4F" w:rsidP="00B60B18">
      <w:pPr>
        <w:pStyle w:val="I-Normal1indent"/>
        <w:ind w:left="1080" w:hanging="360"/>
        <w:rPr>
          <w:i/>
        </w:rPr>
      </w:pPr>
      <w:r w:rsidRPr="00B60B18">
        <w:rPr>
          <w:i/>
        </w:rPr>
        <w:t>(c)</w:t>
      </w:r>
      <w:r w:rsidRPr="00B60B18">
        <w:rPr>
          <w:i/>
        </w:rPr>
        <w:tab/>
        <w:t>the total computed price;</w:t>
      </w:r>
      <w:r w:rsidR="00E77562">
        <w:rPr>
          <w:i/>
        </w:rPr>
        <w:t xml:space="preserve"> and</w:t>
      </w:r>
    </w:p>
    <w:p w:rsidR="00065E4F" w:rsidRPr="00B60B18" w:rsidRDefault="00065E4F" w:rsidP="00B60B18">
      <w:pPr>
        <w:pStyle w:val="I-Normal1indent"/>
        <w:ind w:left="1080" w:hanging="360"/>
        <w:rPr>
          <w:i/>
        </w:rPr>
      </w:pPr>
      <w:r w:rsidRPr="00B60B18">
        <w:rPr>
          <w:i/>
        </w:rPr>
        <w:t>(d)</w:t>
      </w:r>
      <w:r w:rsidRPr="00B60B18">
        <w:rPr>
          <w:i/>
        </w:rPr>
        <w:tab/>
        <w:t>the product identity by name, symbol, abbreviation, or code number.</w:t>
      </w:r>
    </w:p>
    <w:p w:rsidR="00065E4F" w:rsidRPr="00B60B18" w:rsidRDefault="00065E4F" w:rsidP="006E6DC2">
      <w:pPr>
        <w:pStyle w:val="I-Normalreg"/>
        <w:spacing w:after="0"/>
        <w:rPr>
          <w:b/>
          <w:i/>
          <w:u w:val="single"/>
        </w:rPr>
      </w:pPr>
      <w:r w:rsidRPr="00B60B18">
        <w:rPr>
          <w:b/>
          <w:i/>
          <w:u w:val="single"/>
        </w:rPr>
        <w:t>For systems equipped with the capability to issue an electronic receipt, the customer may be given the option to receive the receipt electronically (e.g., via cell phone, computer, etc.)</w:t>
      </w:r>
    </w:p>
    <w:p w:rsidR="00065E4F" w:rsidRPr="00B60B18" w:rsidRDefault="00065E4F" w:rsidP="006E6DC2">
      <w:pPr>
        <w:pStyle w:val="I-Normalreg"/>
        <w:spacing w:after="60"/>
        <w:rPr>
          <w:i/>
        </w:rPr>
      </w:pPr>
      <w:r w:rsidRPr="00B60B18">
        <w:rPr>
          <w:i/>
        </w:rPr>
        <w:t>[Nonretroactive as of January 1, 1986]</w:t>
      </w:r>
    </w:p>
    <w:p w:rsidR="00065E4F" w:rsidRDefault="00065E4F" w:rsidP="00A87BB4">
      <w:pPr>
        <w:pStyle w:val="I-Normalreg"/>
      </w:pPr>
      <w:r>
        <w:t xml:space="preserve">(Added 1985) (Amended 1997 </w:t>
      </w:r>
      <w:r w:rsidRPr="00B60B18">
        <w:rPr>
          <w:b/>
          <w:u w:val="single"/>
        </w:rPr>
        <w:t>and 2012</w:t>
      </w:r>
      <w:r>
        <w:t>)</w:t>
      </w:r>
    </w:p>
    <w:p w:rsidR="007F2250" w:rsidRDefault="007F2250" w:rsidP="007F2250">
      <w:r>
        <w:t xml:space="preserve">Add a new paragraph S.1.6.8. to </w:t>
      </w:r>
      <w:r w:rsidRPr="006E6DC2">
        <w:t>NIST Handbook 44</w:t>
      </w:r>
      <w:r>
        <w:rPr>
          <w:i/>
        </w:rPr>
        <w:t>,</w:t>
      </w:r>
      <w:r>
        <w:t xml:space="preserve"> Liquid Measuring Devices Code as follows:</w:t>
      </w:r>
    </w:p>
    <w:p w:rsidR="007F2250" w:rsidRPr="00B60B18" w:rsidRDefault="007F2250" w:rsidP="006E6DC2">
      <w:pPr>
        <w:pStyle w:val="I-Normalreg"/>
        <w:tabs>
          <w:tab w:val="left" w:pos="1080"/>
        </w:tabs>
        <w:rPr>
          <w:b/>
          <w:u w:val="single"/>
        </w:rPr>
      </w:pPr>
      <w:r w:rsidRPr="00B60B18">
        <w:rPr>
          <w:b/>
          <w:u w:val="single"/>
        </w:rPr>
        <w:t>S.1.6.8</w:t>
      </w:r>
      <w:r w:rsidR="00DF2E7B" w:rsidRPr="00B60B18">
        <w:rPr>
          <w:b/>
          <w:u w:val="single"/>
        </w:rPr>
        <w:t>.</w:t>
      </w:r>
      <w:r w:rsidR="00DF2E7B">
        <w:rPr>
          <w:b/>
          <w:u w:val="single"/>
        </w:rPr>
        <w:tab/>
      </w:r>
      <w:r w:rsidRPr="00B60B18">
        <w:rPr>
          <w:b/>
          <w:u w:val="single"/>
        </w:rPr>
        <w:t>Recorded Representations for Transactions Where a Post-Delivery Discount(s) is Provided. – Except for fleet sales and other price contract sales, a printed receipt providing the following information shall be available through a built-in or separate recording element that is part of the system fo</w:t>
      </w:r>
      <w:r w:rsidR="00B60B18">
        <w:rPr>
          <w:b/>
          <w:u w:val="single"/>
        </w:rPr>
        <w:t>r transactions involving a post-</w:t>
      </w:r>
      <w:r w:rsidRPr="00B60B18">
        <w:rPr>
          <w:b/>
          <w:u w:val="single"/>
        </w:rPr>
        <w:t>delivery discount:</w:t>
      </w:r>
    </w:p>
    <w:p w:rsidR="007F2250" w:rsidRPr="00B60B18" w:rsidRDefault="007F2250" w:rsidP="00B60B18">
      <w:pPr>
        <w:pStyle w:val="I-Normal1indent"/>
        <w:ind w:left="1080" w:hanging="360"/>
        <w:rPr>
          <w:b/>
          <w:u w:val="single"/>
        </w:rPr>
      </w:pPr>
      <w:r w:rsidRPr="00B60B18">
        <w:rPr>
          <w:b/>
          <w:u w:val="single"/>
        </w:rPr>
        <w:t>(a)</w:t>
      </w:r>
      <w:r w:rsidRPr="00B60B18">
        <w:rPr>
          <w:b/>
        </w:rPr>
        <w:tab/>
      </w:r>
      <w:r w:rsidRPr="00B60B18">
        <w:rPr>
          <w:b/>
          <w:u w:val="single"/>
        </w:rPr>
        <w:t>the product identity by name, symbol, abbreviation, or code number;</w:t>
      </w:r>
    </w:p>
    <w:p w:rsidR="007F2250" w:rsidRPr="00B60B18" w:rsidRDefault="007F2250" w:rsidP="00B60B18">
      <w:pPr>
        <w:pStyle w:val="I-Normal1indent"/>
        <w:ind w:left="1080" w:hanging="360"/>
        <w:rPr>
          <w:b/>
          <w:u w:val="single"/>
        </w:rPr>
      </w:pPr>
      <w:r w:rsidRPr="00B60B18">
        <w:rPr>
          <w:b/>
          <w:u w:val="single"/>
        </w:rPr>
        <w:t>(b)</w:t>
      </w:r>
      <w:r w:rsidRPr="00B60B18">
        <w:rPr>
          <w:b/>
        </w:rPr>
        <w:tab/>
      </w:r>
      <w:r w:rsidRPr="00B60B18">
        <w:rPr>
          <w:b/>
          <w:u w:val="single"/>
        </w:rPr>
        <w:t>transaction information as shown on the dispenser at the end of the delivery an</w:t>
      </w:r>
      <w:r w:rsidR="00B60B18">
        <w:rPr>
          <w:b/>
          <w:u w:val="single"/>
        </w:rPr>
        <w:t>d prior to any post-</w:t>
      </w:r>
      <w:r w:rsidRPr="00B60B18">
        <w:rPr>
          <w:b/>
          <w:u w:val="single"/>
        </w:rPr>
        <w:t xml:space="preserve">delivery discount(s), including the: </w:t>
      </w:r>
    </w:p>
    <w:p w:rsidR="007F2250" w:rsidRPr="00B60B18" w:rsidRDefault="007F2250" w:rsidP="00B60B18">
      <w:pPr>
        <w:pStyle w:val="I-Normal2indent"/>
        <w:ind w:left="1440" w:hanging="360"/>
        <w:rPr>
          <w:b/>
          <w:u w:val="single"/>
        </w:rPr>
      </w:pPr>
      <w:r w:rsidRPr="00B60B18">
        <w:rPr>
          <w:b/>
          <w:u w:val="single"/>
        </w:rPr>
        <w:t>(1</w:t>
      </w:r>
      <w:r w:rsidR="00DF2E7B" w:rsidRPr="00B60B18">
        <w:rPr>
          <w:b/>
          <w:u w:val="single"/>
        </w:rPr>
        <w:t>)</w:t>
      </w:r>
      <w:r w:rsidR="00DF2E7B">
        <w:rPr>
          <w:b/>
        </w:rPr>
        <w:tab/>
      </w:r>
      <w:r w:rsidRPr="00B60B18">
        <w:rPr>
          <w:b/>
          <w:u w:val="single"/>
        </w:rPr>
        <w:t xml:space="preserve">total volume of the delivery; </w:t>
      </w:r>
    </w:p>
    <w:p w:rsidR="007F2250" w:rsidRPr="00B60B18" w:rsidRDefault="007F2250" w:rsidP="00B60B18">
      <w:pPr>
        <w:pStyle w:val="I-Normal2indent"/>
        <w:ind w:left="1440" w:hanging="360"/>
        <w:rPr>
          <w:b/>
          <w:u w:val="single"/>
        </w:rPr>
      </w:pPr>
      <w:r w:rsidRPr="00B60B18">
        <w:rPr>
          <w:b/>
          <w:u w:val="single"/>
        </w:rPr>
        <w:t>(2</w:t>
      </w:r>
      <w:r w:rsidR="00DF2E7B" w:rsidRPr="00B60B18">
        <w:rPr>
          <w:b/>
          <w:u w:val="single"/>
        </w:rPr>
        <w:t>)</w:t>
      </w:r>
      <w:r w:rsidR="00DF2E7B">
        <w:rPr>
          <w:b/>
        </w:rPr>
        <w:tab/>
      </w:r>
      <w:r w:rsidRPr="00B60B18">
        <w:rPr>
          <w:b/>
          <w:u w:val="single"/>
        </w:rPr>
        <w:t xml:space="preserve">unit price; and </w:t>
      </w:r>
    </w:p>
    <w:p w:rsidR="007F2250" w:rsidRPr="00B60B18" w:rsidRDefault="007F2250" w:rsidP="00B60B18">
      <w:pPr>
        <w:pStyle w:val="I-Normal2indent"/>
        <w:ind w:left="1440" w:hanging="360"/>
        <w:rPr>
          <w:b/>
          <w:u w:val="single"/>
        </w:rPr>
      </w:pPr>
      <w:r w:rsidRPr="00B60B18">
        <w:rPr>
          <w:b/>
          <w:u w:val="single"/>
        </w:rPr>
        <w:t>(3</w:t>
      </w:r>
      <w:r w:rsidR="00DF2E7B" w:rsidRPr="00B60B18">
        <w:rPr>
          <w:b/>
          <w:u w:val="single"/>
        </w:rPr>
        <w:t>)</w:t>
      </w:r>
      <w:r w:rsidR="00DF2E7B">
        <w:rPr>
          <w:b/>
        </w:rPr>
        <w:tab/>
      </w:r>
      <w:r w:rsidRPr="00B60B18">
        <w:rPr>
          <w:b/>
          <w:u w:val="single"/>
        </w:rPr>
        <w:t>total computed price of the fuel sale;</w:t>
      </w:r>
    </w:p>
    <w:p w:rsidR="007F2250" w:rsidRPr="00B60B18" w:rsidRDefault="007F2250" w:rsidP="00B60B18">
      <w:pPr>
        <w:pStyle w:val="I-Normal1indent"/>
        <w:ind w:left="1080" w:hanging="360"/>
        <w:rPr>
          <w:b/>
          <w:u w:val="single"/>
        </w:rPr>
      </w:pPr>
      <w:r w:rsidRPr="00B60B18">
        <w:rPr>
          <w:b/>
          <w:u w:val="single"/>
        </w:rPr>
        <w:t>(c)</w:t>
      </w:r>
      <w:r w:rsidRPr="00B60B18">
        <w:rPr>
          <w:b/>
        </w:rPr>
        <w:tab/>
      </w:r>
      <w:r w:rsidRPr="00B60B18">
        <w:rPr>
          <w:b/>
          <w:u w:val="single"/>
        </w:rPr>
        <w:t>an itemization of the post-delivery discounts to the unit price; and</w:t>
      </w:r>
    </w:p>
    <w:p w:rsidR="007F2250" w:rsidRPr="00B60B18" w:rsidRDefault="007F2250" w:rsidP="00B60B18">
      <w:pPr>
        <w:pStyle w:val="I-Normal1indent"/>
        <w:ind w:left="1080" w:hanging="360"/>
        <w:rPr>
          <w:b/>
          <w:u w:val="single"/>
        </w:rPr>
      </w:pPr>
      <w:r w:rsidRPr="00B60B18">
        <w:rPr>
          <w:b/>
          <w:u w:val="single"/>
        </w:rPr>
        <w:t>(d)</w:t>
      </w:r>
      <w:r w:rsidRPr="00B60B18">
        <w:rPr>
          <w:b/>
        </w:rPr>
        <w:tab/>
      </w:r>
      <w:r w:rsidRPr="00B60B18">
        <w:rPr>
          <w:b/>
          <w:u w:val="single"/>
        </w:rPr>
        <w:t>the final total price of the fuel sale after all post-delivery discounts are applied.</w:t>
      </w:r>
    </w:p>
    <w:p w:rsidR="007F2250" w:rsidRPr="00B60B18" w:rsidRDefault="007F2250" w:rsidP="006E6DC2">
      <w:pPr>
        <w:pStyle w:val="I-Normalreg"/>
        <w:spacing w:after="60"/>
        <w:rPr>
          <w:b/>
          <w:u w:val="single"/>
        </w:rPr>
      </w:pPr>
      <w:r w:rsidRPr="00B60B18">
        <w:rPr>
          <w:b/>
          <w:u w:val="single"/>
        </w:rPr>
        <w:t xml:space="preserve">For systems equipped with the capability to issue an electronic receipt, the customer may be given the option to receive the receipt electronically (e.g., via cell phone, computer, etc.). </w:t>
      </w:r>
    </w:p>
    <w:p w:rsidR="007F2250" w:rsidRPr="00B60B18" w:rsidRDefault="007F2250" w:rsidP="00B60B18">
      <w:pPr>
        <w:pStyle w:val="I-Normalreg"/>
        <w:rPr>
          <w:b/>
          <w:u w:val="single"/>
        </w:rPr>
      </w:pPr>
      <w:r w:rsidRPr="00B60B18">
        <w:rPr>
          <w:b/>
          <w:u w:val="single"/>
        </w:rPr>
        <w:t>(Added 2012)</w:t>
      </w:r>
    </w:p>
    <w:p w:rsidR="007F2250" w:rsidRDefault="007F2250" w:rsidP="00B60B18">
      <w:r>
        <w:t>Renumber current S.1.6.8. Lubricant Devices, Travel of Indicator to S.1.6.9.</w:t>
      </w:r>
    </w:p>
    <w:p w:rsidR="007F2250" w:rsidRPr="00A15903" w:rsidRDefault="007F2250" w:rsidP="006E6DC2">
      <w:pPr>
        <w:spacing w:after="0" w:line="480" w:lineRule="auto"/>
        <w:jc w:val="left"/>
      </w:pPr>
      <w:r w:rsidRPr="00A15903">
        <w:t xml:space="preserve">Amend </w:t>
      </w:r>
      <w:r w:rsidRPr="006E6DC2">
        <w:t>NIST Handbook 44</w:t>
      </w:r>
      <w:r w:rsidRPr="00A15903">
        <w:t xml:space="preserve">, Liquid Measuring Devices Code </w:t>
      </w:r>
      <w:r w:rsidR="002A1B0B">
        <w:t>paragraph</w:t>
      </w:r>
      <w:r w:rsidRPr="00A15903">
        <w:t>s UR.3.2. as follows:</w:t>
      </w:r>
    </w:p>
    <w:p w:rsidR="00F8223C" w:rsidRPr="00B77FD2" w:rsidRDefault="00F8223C" w:rsidP="006E6DC2">
      <w:pPr>
        <w:pStyle w:val="I-Normal-bold"/>
        <w:tabs>
          <w:tab w:val="left" w:pos="1080"/>
        </w:tabs>
      </w:pPr>
      <w:r w:rsidRPr="00B77FD2">
        <w:lastRenderedPageBreak/>
        <w:t>UR.3.2</w:t>
      </w:r>
      <w:r w:rsidR="00322170" w:rsidRPr="00B77FD2">
        <w:t>.</w:t>
      </w:r>
      <w:r w:rsidR="00322170">
        <w:tab/>
      </w:r>
      <w:r w:rsidRPr="00B77FD2">
        <w:t>Unit Price and Product Identity.</w:t>
      </w:r>
    </w:p>
    <w:p w:rsidR="00F8223C" w:rsidRPr="00B77FD2" w:rsidRDefault="00F8223C" w:rsidP="00F8223C">
      <w:pPr>
        <w:pStyle w:val="I-Normal1indent"/>
        <w:ind w:left="1080" w:hanging="360"/>
      </w:pPr>
      <w:r w:rsidRPr="00B77FD2">
        <w:t>(a)</w:t>
      </w:r>
      <w:r w:rsidRPr="00B77FD2">
        <w:tab/>
        <w:t>The following information shall be conspicuously displayed or posted on the face of a retail dispenser used in direct sale:</w:t>
      </w:r>
    </w:p>
    <w:p w:rsidR="00F8223C" w:rsidRPr="00B77FD2" w:rsidRDefault="00F8223C" w:rsidP="00DF2E7B">
      <w:pPr>
        <w:pStyle w:val="I-Normal2indent"/>
        <w:ind w:left="1440" w:hanging="360"/>
      </w:pPr>
      <w:r w:rsidRPr="00B77FD2">
        <w:t>(1)</w:t>
      </w:r>
      <w:r w:rsidRPr="00B77FD2">
        <w:tab/>
        <w:t xml:space="preserve">except for </w:t>
      </w:r>
      <w:r w:rsidRPr="00B77FD2">
        <w:rPr>
          <w:b/>
          <w:u w:val="single"/>
        </w:rPr>
        <w:t>unit prices resulting from any post-delivery discount and</w:t>
      </w:r>
      <w:r w:rsidRPr="00B77FD2">
        <w:rPr>
          <w:u w:val="single"/>
        </w:rPr>
        <w:t xml:space="preserve"> </w:t>
      </w:r>
      <w:r w:rsidRPr="00B77FD2">
        <w:t>dispensers used exclusively for fleet sales, other price contract sales, and truck refueling (e.g., truck stop dispensers used only to refuel trucks), all of the unit prices at which the product is offered for sale; and</w:t>
      </w:r>
    </w:p>
    <w:p w:rsidR="00F8223C" w:rsidRPr="00B77FD2" w:rsidRDefault="00F8223C" w:rsidP="00DF2E7B">
      <w:pPr>
        <w:pStyle w:val="I-Normal2indent"/>
        <w:ind w:left="1440" w:hanging="360"/>
      </w:pPr>
      <w:r w:rsidRPr="00B77FD2">
        <w:t>(2)</w:t>
      </w:r>
      <w:r w:rsidRPr="00B77FD2">
        <w:tab/>
        <w:t>in the case of a computing type or money-operated type, the unit price at which the dispenser is set to compute.</w:t>
      </w:r>
    </w:p>
    <w:p w:rsidR="00F8223C" w:rsidRPr="00B77FD2" w:rsidRDefault="00F8223C" w:rsidP="00F8223C">
      <w:pPr>
        <w:pStyle w:val="I-Normalreg"/>
      </w:pPr>
      <w:r w:rsidRPr="00B77FD2">
        <w:t>Provided that the dispenser complies with S.1.6.4.1. Display of Unit Price, it is not necessary that all the unit prices for all grades, brands, blends, or mixtures be simultaneously displayed or posted.</w:t>
      </w:r>
    </w:p>
    <w:p w:rsidR="00F8223C" w:rsidRPr="00B77FD2" w:rsidRDefault="00F8223C" w:rsidP="00F8223C">
      <w:pPr>
        <w:pStyle w:val="I-Normal1indent"/>
        <w:ind w:left="1080" w:hanging="360"/>
      </w:pPr>
      <w:r w:rsidRPr="00B77FD2">
        <w:t>(b)</w:t>
      </w:r>
      <w:r w:rsidRPr="00B77FD2">
        <w:tab/>
        <w:t>The following information shall be conspicuously displayed or posted on each side of a retail dispenser used in direct sale:</w:t>
      </w:r>
    </w:p>
    <w:p w:rsidR="00F8223C" w:rsidRPr="00B77FD2" w:rsidRDefault="00F8223C" w:rsidP="00DF2E7B">
      <w:pPr>
        <w:pStyle w:val="I-Normal2indent"/>
        <w:ind w:left="1440" w:hanging="360"/>
      </w:pPr>
      <w:r w:rsidRPr="00B77FD2">
        <w:t>(1)</w:t>
      </w:r>
      <w:r w:rsidRPr="00B77FD2">
        <w:tab/>
        <w:t>the identity of the product in descriptive commercial terms; and</w:t>
      </w:r>
    </w:p>
    <w:p w:rsidR="00F8223C" w:rsidRPr="00B77FD2" w:rsidRDefault="00F8223C" w:rsidP="006E6DC2">
      <w:pPr>
        <w:pStyle w:val="I-Normal2indent"/>
        <w:spacing w:after="60"/>
        <w:ind w:left="1440" w:hanging="360"/>
      </w:pPr>
      <w:r w:rsidRPr="00B77FD2">
        <w:t>(2)</w:t>
      </w:r>
      <w:r w:rsidRPr="00B77FD2">
        <w:tab/>
        <w:t>the identity of the grade, brand, blend, or mixture that a multi-product dispenser is set to deliver.</w:t>
      </w:r>
    </w:p>
    <w:p w:rsidR="00F8223C" w:rsidRPr="00B77FD2" w:rsidRDefault="00F8223C" w:rsidP="00F8223C">
      <w:pPr>
        <w:pStyle w:val="I-Normalreg"/>
      </w:pPr>
      <w:r w:rsidRPr="00B77FD2">
        <w:t xml:space="preserve">(Amended 1972, 1983, 1987, 1989, 1992, </w:t>
      </w:r>
      <w:r w:rsidRPr="00B77FD2">
        <w:rPr>
          <w:b/>
          <w:strike/>
        </w:rPr>
        <w:t>and</w:t>
      </w:r>
      <w:r w:rsidRPr="00B77FD2">
        <w:t xml:space="preserve"> 1993</w:t>
      </w:r>
      <w:r w:rsidRPr="00B77FD2">
        <w:rPr>
          <w:b/>
          <w:u w:val="single"/>
        </w:rPr>
        <w:t>, and 2012</w:t>
      </w:r>
      <w:r w:rsidRPr="00B77FD2">
        <w:t>)</w:t>
      </w:r>
    </w:p>
    <w:p w:rsidR="00990D32" w:rsidRPr="0056019A" w:rsidRDefault="00990D32" w:rsidP="00990D32">
      <w:r w:rsidRPr="0056019A">
        <w:t xml:space="preserve">Amend </w:t>
      </w:r>
      <w:r w:rsidRPr="006E6DC2">
        <w:t>NIST Handbook 44</w:t>
      </w:r>
      <w:r w:rsidR="00813C53">
        <w:t>,</w:t>
      </w:r>
      <w:r w:rsidRPr="0056019A">
        <w:t xml:space="preserve"> Liquid Measuring Devices Code </w:t>
      </w:r>
      <w:r w:rsidR="002A1B0B">
        <w:t>paragraph</w:t>
      </w:r>
      <w:r w:rsidRPr="0056019A">
        <w:t>s UR.3.3. as follows:</w:t>
      </w:r>
    </w:p>
    <w:p w:rsidR="00990D32" w:rsidRDefault="00990D32" w:rsidP="006E6DC2">
      <w:pPr>
        <w:pStyle w:val="I-Normalreg"/>
        <w:tabs>
          <w:tab w:val="left" w:pos="1080"/>
        </w:tabs>
        <w:spacing w:after="60"/>
      </w:pPr>
      <w:r w:rsidRPr="0002289F">
        <w:rPr>
          <w:b/>
        </w:rPr>
        <w:t>UR.3.3</w:t>
      </w:r>
      <w:r w:rsidR="00322170" w:rsidRPr="0002289F">
        <w:rPr>
          <w:b/>
        </w:rPr>
        <w:t>.</w:t>
      </w:r>
      <w:r w:rsidR="00322170">
        <w:rPr>
          <w:b/>
        </w:rPr>
        <w:tab/>
      </w:r>
      <w:r w:rsidRPr="0002289F">
        <w:rPr>
          <w:b/>
        </w:rPr>
        <w:t>Computing Device.</w:t>
      </w:r>
      <w:r>
        <w:t xml:space="preserve"> – Any computing device used in an application where a product or grade is offered for sale at one or more unit prices shall be used only for sales for which the device computes and displays the sales price for the selected transaction.</w:t>
      </w:r>
    </w:p>
    <w:p w:rsidR="00990D32" w:rsidRDefault="00990D32" w:rsidP="0002289F">
      <w:pPr>
        <w:pStyle w:val="I-Normalreg"/>
      </w:pPr>
      <w:r>
        <w:t>(Added 1989) (Amended 1992)</w:t>
      </w:r>
    </w:p>
    <w:p w:rsidR="00990D32" w:rsidRDefault="00990D32" w:rsidP="0002289F">
      <w:pPr>
        <w:pStyle w:val="I-Normalreg"/>
      </w:pPr>
      <w:r>
        <w:t>The following exceptions apply:</w:t>
      </w:r>
    </w:p>
    <w:p w:rsidR="00990D32" w:rsidRDefault="00990D32" w:rsidP="0002289F">
      <w:pPr>
        <w:pStyle w:val="I-Normal1indent"/>
        <w:ind w:left="1080" w:hanging="360"/>
      </w:pPr>
      <w:r>
        <w:t>(a)</w:t>
      </w:r>
      <w:r>
        <w:tab/>
        <w:t>Fleet sales and other price contract sales are exempt from this requirement.</w:t>
      </w:r>
    </w:p>
    <w:p w:rsidR="00990D32" w:rsidRDefault="00990D32" w:rsidP="0002289F">
      <w:pPr>
        <w:pStyle w:val="I-Normal1indent"/>
        <w:ind w:left="1080" w:hanging="360"/>
      </w:pPr>
      <w:r>
        <w:t>(b)</w:t>
      </w:r>
      <w:r>
        <w:tab/>
        <w:t>A truck stop dispenser used exclusively for refueling trucks is exempt from this requirement provided that:</w:t>
      </w:r>
    </w:p>
    <w:p w:rsidR="00990D32" w:rsidRDefault="00990D32" w:rsidP="006E6DC2">
      <w:pPr>
        <w:pStyle w:val="I-Normal2indent"/>
        <w:spacing w:after="60"/>
        <w:ind w:left="1440" w:hanging="360"/>
      </w:pPr>
      <w:r>
        <w:t>(1)</w:t>
      </w:r>
      <w:r>
        <w:tab/>
        <w:t>all purchases of fuel are accompanied by a printed receipt of the transaction containing the applicable price per gallon, the total gallons delivered, and the total price of the sale; and</w:t>
      </w:r>
    </w:p>
    <w:p w:rsidR="00990D32" w:rsidRPr="00A87BB4" w:rsidRDefault="00990D32" w:rsidP="006E6DC2">
      <w:pPr>
        <w:pStyle w:val="I-Normal2indent"/>
        <w:ind w:left="1800" w:hanging="360"/>
      </w:pPr>
      <w:r w:rsidRPr="00A87BB4">
        <w:t>(Added 1993)</w:t>
      </w:r>
    </w:p>
    <w:p w:rsidR="00990D32" w:rsidRDefault="00990D32" w:rsidP="006E6DC2">
      <w:pPr>
        <w:pStyle w:val="I-Normal2indent"/>
        <w:spacing w:after="60"/>
        <w:ind w:left="1440" w:hanging="360"/>
      </w:pPr>
      <w:r>
        <w:t>(2)</w:t>
      </w:r>
      <w:r>
        <w:tab/>
        <w:t xml:space="preserve">unless a dispenser complies with S.1.6.4.1. Display of Unit Price, the </w:t>
      </w:r>
      <w:r w:rsidRPr="0002289F">
        <w:rPr>
          <w:b/>
          <w:u w:val="single"/>
        </w:rPr>
        <w:t>unit</w:t>
      </w:r>
      <w:r>
        <w:t xml:space="preserve"> price posted on the dispenser and the unit price at which the dispenser is set to compute shall be the highest </w:t>
      </w:r>
      <w:r w:rsidRPr="0002289F">
        <w:rPr>
          <w:b/>
          <w:u w:val="single"/>
        </w:rPr>
        <w:t>unit</w:t>
      </w:r>
      <w:r>
        <w:t xml:space="preserve"> price for any transaction which may be conducted.</w:t>
      </w:r>
    </w:p>
    <w:p w:rsidR="00990D32" w:rsidRPr="00A87BB4" w:rsidRDefault="00990D32" w:rsidP="0002289F">
      <w:pPr>
        <w:pStyle w:val="I-Normal2indent"/>
        <w:ind w:left="1530"/>
      </w:pPr>
      <w:r w:rsidRPr="00A87BB4">
        <w:t>(Added 1993)</w:t>
      </w:r>
    </w:p>
    <w:p w:rsidR="00990D32" w:rsidRPr="0002289F" w:rsidRDefault="00990D32" w:rsidP="0002289F">
      <w:pPr>
        <w:pStyle w:val="I-Normal1indent"/>
        <w:ind w:left="1080" w:hanging="360"/>
        <w:rPr>
          <w:b/>
          <w:u w:val="single"/>
        </w:rPr>
      </w:pPr>
      <w:r w:rsidRPr="0002289F">
        <w:rPr>
          <w:b/>
          <w:u w:val="single"/>
        </w:rPr>
        <w:t>(c)</w:t>
      </w:r>
      <w:r w:rsidRPr="0002289F">
        <w:rPr>
          <w:b/>
        </w:rPr>
        <w:tab/>
      </w:r>
      <w:r w:rsidRPr="0002289F">
        <w:rPr>
          <w:b/>
          <w:u w:val="single"/>
        </w:rPr>
        <w:t>A dispenser used in an application where a price per unit discount is offered following the delivery is exempt from this requirement, provided the following conditions are satisfied:</w:t>
      </w:r>
    </w:p>
    <w:p w:rsidR="00990D32" w:rsidRPr="0002289F" w:rsidRDefault="00990D32" w:rsidP="00BB130B">
      <w:pPr>
        <w:pStyle w:val="I-Normal2indent"/>
        <w:ind w:left="1440" w:hanging="360"/>
        <w:rPr>
          <w:b/>
          <w:u w:val="single"/>
        </w:rPr>
      </w:pPr>
      <w:r w:rsidRPr="0002289F">
        <w:rPr>
          <w:b/>
          <w:u w:val="single"/>
        </w:rPr>
        <w:t>(1)</w:t>
      </w:r>
      <w:r w:rsidRPr="0002289F">
        <w:rPr>
          <w:b/>
        </w:rPr>
        <w:tab/>
      </w:r>
      <w:r w:rsidRPr="0002289F">
        <w:rPr>
          <w:b/>
          <w:u w:val="single"/>
        </w:rPr>
        <w:t>The unit price posted on the dispenser and the unit price at which the dispenser is set to compute shall be the highest unit price for any transaction.</w:t>
      </w:r>
    </w:p>
    <w:p w:rsidR="00990D32" w:rsidRPr="0002289F" w:rsidRDefault="00990D32" w:rsidP="00BB130B">
      <w:pPr>
        <w:pStyle w:val="I-Normal2indent"/>
        <w:ind w:left="1440" w:hanging="360"/>
        <w:rPr>
          <w:b/>
          <w:u w:val="single"/>
        </w:rPr>
      </w:pPr>
      <w:r w:rsidRPr="0002289F">
        <w:rPr>
          <w:b/>
          <w:u w:val="single"/>
        </w:rPr>
        <w:lastRenderedPageBreak/>
        <w:t>(2)</w:t>
      </w:r>
      <w:r w:rsidRPr="0002289F">
        <w:rPr>
          <w:b/>
        </w:rPr>
        <w:tab/>
      </w:r>
      <w:r w:rsidRPr="0002289F">
        <w:rPr>
          <w:b/>
          <w:u w:val="single"/>
        </w:rPr>
        <w:t>All purchases of fuel are accompanied by a printed receipt recorded by the system for the transaction containing:</w:t>
      </w:r>
    </w:p>
    <w:p w:rsidR="00990D32" w:rsidRDefault="00BB130B" w:rsidP="006E6DC2">
      <w:pPr>
        <w:pStyle w:val="I-Normal3indent"/>
        <w:ind w:left="1800" w:hanging="360"/>
      </w:pPr>
      <w:r>
        <w:t>a.</w:t>
      </w:r>
      <w:r w:rsidR="00990D32" w:rsidRPr="0002289F">
        <w:rPr>
          <w:u w:val="none"/>
        </w:rPr>
        <w:tab/>
      </w:r>
      <w:r w:rsidR="00990D32">
        <w:t>the product identity by name, symbol, abbreviation, or code number,</w:t>
      </w:r>
    </w:p>
    <w:p w:rsidR="00990D32" w:rsidRDefault="00BB130B" w:rsidP="006E6DC2">
      <w:pPr>
        <w:pStyle w:val="I-Normal3indent"/>
        <w:ind w:left="1800" w:hanging="360"/>
      </w:pPr>
      <w:r>
        <w:t>b.</w:t>
      </w:r>
      <w:r w:rsidR="00990D32" w:rsidRPr="0002289F">
        <w:rPr>
          <w:u w:val="none"/>
        </w:rPr>
        <w:tab/>
      </w:r>
      <w:r w:rsidR="00990D32">
        <w:t>transaction information as shown on the dispenser at the end of the delivery and prior to any post-delivery discount including the:</w:t>
      </w:r>
    </w:p>
    <w:p w:rsidR="00990D32" w:rsidRDefault="00BB130B" w:rsidP="006E6DC2">
      <w:pPr>
        <w:pStyle w:val="I-Normal3indent"/>
        <w:ind w:left="2160" w:hanging="360"/>
      </w:pPr>
      <w:r>
        <w:t>1.</w:t>
      </w:r>
      <w:r w:rsidR="00990D32" w:rsidRPr="0002289F">
        <w:rPr>
          <w:u w:val="none"/>
        </w:rPr>
        <w:tab/>
      </w:r>
      <w:r w:rsidR="00990D32">
        <w:t xml:space="preserve">total volume of the delivery; </w:t>
      </w:r>
    </w:p>
    <w:p w:rsidR="00990D32" w:rsidRDefault="00BB130B" w:rsidP="006E6DC2">
      <w:pPr>
        <w:pStyle w:val="I-Normal3indent"/>
        <w:ind w:left="2160" w:hanging="360"/>
      </w:pPr>
      <w:r>
        <w:t>2.</w:t>
      </w:r>
      <w:r w:rsidR="00990D32" w:rsidRPr="0002289F">
        <w:rPr>
          <w:u w:val="none"/>
        </w:rPr>
        <w:tab/>
      </w:r>
      <w:r w:rsidR="00990D32">
        <w:t xml:space="preserve">unit price; and </w:t>
      </w:r>
    </w:p>
    <w:p w:rsidR="00990D32" w:rsidRDefault="00BB130B" w:rsidP="006E6DC2">
      <w:pPr>
        <w:pStyle w:val="I-Normal3indent"/>
        <w:ind w:left="2160" w:hanging="360"/>
      </w:pPr>
      <w:r>
        <w:t>3.</w:t>
      </w:r>
      <w:r w:rsidR="00990D32" w:rsidRPr="0002289F">
        <w:rPr>
          <w:u w:val="none"/>
        </w:rPr>
        <w:tab/>
      </w:r>
      <w:r w:rsidR="00990D32">
        <w:t>total computed price of the fuel sale prior to post-delivery discounts being applied,</w:t>
      </w:r>
    </w:p>
    <w:p w:rsidR="00990D32" w:rsidRDefault="00BB130B" w:rsidP="0002289F">
      <w:pPr>
        <w:pStyle w:val="I-Normal3indent"/>
        <w:ind w:left="1980" w:hanging="450"/>
      </w:pPr>
      <w:r>
        <w:t>c.</w:t>
      </w:r>
      <w:r w:rsidR="00990D32" w:rsidRPr="0002289F">
        <w:rPr>
          <w:u w:val="none"/>
        </w:rPr>
        <w:tab/>
      </w:r>
      <w:r w:rsidR="00990D32">
        <w:t xml:space="preserve"> an itemization of the post-delivery discounts to the unit price, and</w:t>
      </w:r>
      <w:r w:rsidR="00990D32">
        <w:tab/>
      </w:r>
    </w:p>
    <w:p w:rsidR="00990D32" w:rsidRDefault="00BB130B" w:rsidP="0002289F">
      <w:pPr>
        <w:pStyle w:val="I-Normal3indent"/>
        <w:ind w:left="1980" w:hanging="450"/>
      </w:pPr>
      <w:r>
        <w:t>d.</w:t>
      </w:r>
      <w:r w:rsidR="00990D32" w:rsidRPr="0002289F">
        <w:rPr>
          <w:u w:val="none"/>
        </w:rPr>
        <w:tab/>
      </w:r>
      <w:r w:rsidR="00990D32">
        <w:t>the final total price of the fuel sale.</w:t>
      </w:r>
    </w:p>
    <w:p w:rsidR="00990D32" w:rsidRPr="0002289F" w:rsidRDefault="00990D32" w:rsidP="006E6DC2">
      <w:pPr>
        <w:pStyle w:val="I-Normalreg"/>
        <w:spacing w:after="60"/>
        <w:rPr>
          <w:b/>
          <w:u w:val="single"/>
        </w:rPr>
      </w:pPr>
      <w:r w:rsidRPr="0002289F">
        <w:rPr>
          <w:b/>
          <w:u w:val="single"/>
        </w:rPr>
        <w:t>For systems equipped with the capability to issue an electronic receipt, the customer may be given the option to receive the receipt electronically (e.g., via cell phone, computer, etc.)</w:t>
      </w:r>
    </w:p>
    <w:p w:rsidR="00565EB6" w:rsidRPr="0002289F" w:rsidRDefault="00990D32" w:rsidP="00A87BB4">
      <w:pPr>
        <w:pStyle w:val="I-Normalreg"/>
        <w:rPr>
          <w:b/>
          <w:u w:val="single"/>
        </w:rPr>
      </w:pPr>
      <w:r w:rsidRPr="0002289F">
        <w:rPr>
          <w:b/>
          <w:u w:val="single"/>
        </w:rPr>
        <w:t>(Added 2012)</w:t>
      </w:r>
    </w:p>
    <w:p w:rsidR="007436F6" w:rsidRDefault="007436F6" w:rsidP="006E6DC2">
      <w:pPr>
        <w:pStyle w:val="BoldHeading"/>
        <w:spacing w:after="0"/>
      </w:pPr>
      <w:r>
        <w:t>Background/Discussion:</w:t>
      </w:r>
    </w:p>
    <w:p w:rsidR="0031609D" w:rsidRDefault="00E2379E" w:rsidP="007436F6">
      <w:r>
        <w:t>At the 2012 NCWM Interim Meeting, t</w:t>
      </w:r>
      <w:r w:rsidR="00EE701A" w:rsidRPr="00EE701A">
        <w:t xml:space="preserve">he </w:t>
      </w:r>
      <w:r w:rsidR="005B4ED6">
        <w:t>C</w:t>
      </w:r>
      <w:r w:rsidR="005B4ED6" w:rsidRPr="00EE701A">
        <w:t xml:space="preserve">ommittee </w:t>
      </w:r>
      <w:r w:rsidR="00EE701A" w:rsidRPr="00EE701A">
        <w:t>considered six proposals from NCWM S&amp;T Committ</w:t>
      </w:r>
      <w:r w:rsidR="00EE701A">
        <w:t xml:space="preserve">ee’s Task Group on Retail Motor </w:t>
      </w:r>
      <w:r w:rsidR="00EE701A" w:rsidRPr="00EE701A">
        <w:t>Fuel Dis</w:t>
      </w:r>
      <w:r w:rsidR="00EE701A">
        <w:t>penser Price Posting and Computer</w:t>
      </w:r>
      <w:r w:rsidR="00EE701A" w:rsidRPr="00EE701A">
        <w:t xml:space="preserve"> Capabilit</w:t>
      </w:r>
      <w:r w:rsidR="00EE701A">
        <w:t>y</w:t>
      </w:r>
      <w:r w:rsidR="00EE701A" w:rsidRPr="00EE701A">
        <w:t xml:space="preserve"> to modify the </w:t>
      </w:r>
      <w:r w:rsidR="00EE701A" w:rsidRPr="006E6DC2">
        <w:t>NIST Handbook</w:t>
      </w:r>
      <w:r w:rsidR="006E6DC2">
        <w:t> </w:t>
      </w:r>
      <w:r w:rsidR="00EE701A" w:rsidRPr="006E6DC2">
        <w:t>44</w:t>
      </w:r>
      <w:r w:rsidR="00EE701A">
        <w:t xml:space="preserve"> Liquid </w:t>
      </w:r>
      <w:r w:rsidR="00EE701A" w:rsidRPr="00EE701A">
        <w:t xml:space="preserve">Measuring Devices Code to accommodate changes in marketing practices relative to price discounts at retail motor-fuel stations.  These proposals were covered in the </w:t>
      </w:r>
      <w:r w:rsidR="008C55B6">
        <w:t>C</w:t>
      </w:r>
      <w:r w:rsidR="008C55B6" w:rsidRPr="00EE701A">
        <w:t xml:space="preserve">ommittee’s </w:t>
      </w:r>
      <w:r w:rsidR="00EE701A" w:rsidRPr="00EE701A">
        <w:t xml:space="preserve">2012 Interim Agenda under separate </w:t>
      </w:r>
      <w:r w:rsidR="00813C53">
        <w:t>I</w:t>
      </w:r>
      <w:r w:rsidR="00813C53" w:rsidRPr="00EE701A">
        <w:t>tems</w:t>
      </w:r>
      <w:r w:rsidR="00EE701A" w:rsidRPr="00EE701A">
        <w:t xml:space="preserve"> 330-1 through 330-6.  After reviewing these items and the comments received during Open Hearings, the </w:t>
      </w:r>
      <w:r w:rsidR="00674E77">
        <w:t>C</w:t>
      </w:r>
      <w:r w:rsidR="00674E77" w:rsidRPr="00EE701A">
        <w:t xml:space="preserve">ommittee </w:t>
      </w:r>
      <w:r w:rsidR="00EE701A" w:rsidRPr="00EE701A">
        <w:t xml:space="preserve">agreed that the proposals were interdependent and should not be addressed individually.  Consequently, the </w:t>
      </w:r>
      <w:r w:rsidR="00674E77">
        <w:t>C</w:t>
      </w:r>
      <w:r w:rsidR="00674E77" w:rsidRPr="00EE701A">
        <w:t xml:space="preserve">ommittee </w:t>
      </w:r>
      <w:r w:rsidR="00EE701A" w:rsidRPr="00EE701A">
        <w:t xml:space="preserve">consolidated Items 330-1 through 330-6 into </w:t>
      </w:r>
      <w:r w:rsidR="00813C53">
        <w:t>the</w:t>
      </w:r>
      <w:r w:rsidR="00813C53" w:rsidRPr="00EE701A">
        <w:t xml:space="preserve"> </w:t>
      </w:r>
      <w:r w:rsidR="00EE701A" w:rsidRPr="00EE701A">
        <w:t xml:space="preserve">single </w:t>
      </w:r>
      <w:r w:rsidR="00813C53">
        <w:t>I</w:t>
      </w:r>
      <w:r w:rsidR="00813C53" w:rsidRPr="00EE701A">
        <w:t>tem</w:t>
      </w:r>
      <w:r w:rsidR="00EE701A" w:rsidRPr="00EE701A">
        <w:t xml:space="preserve"> 330-1.  The </w:t>
      </w:r>
      <w:r w:rsidR="00674E77">
        <w:t>C</w:t>
      </w:r>
      <w:r w:rsidR="00674E77" w:rsidRPr="00EE701A">
        <w:t xml:space="preserve">ommittee </w:t>
      </w:r>
      <w:r w:rsidR="00EE701A" w:rsidRPr="00EE701A">
        <w:t>further modified the proposals to clarify how current requirements apply when a pre-delivery discount is offered and to include additional requirements for the operation of equipment that offers post-delivery</w:t>
      </w:r>
      <w:r w:rsidR="00A56860">
        <w:t xml:space="preserve"> discounts on motor fuel prices.  </w:t>
      </w:r>
      <w:r w:rsidR="00EE701A" w:rsidRPr="00EE701A">
        <w:t xml:space="preserve">Consolidated background information for these items and a summary of the </w:t>
      </w:r>
      <w:r w:rsidR="00674E77">
        <w:t>C</w:t>
      </w:r>
      <w:r w:rsidR="00674E77" w:rsidRPr="00EE701A">
        <w:t xml:space="preserve">ommittee’s </w:t>
      </w:r>
      <w:r w:rsidR="00EE701A" w:rsidRPr="00EE701A">
        <w:t>conclusions are outlined below.</w:t>
      </w:r>
    </w:p>
    <w:p w:rsidR="007436F6" w:rsidRDefault="0031609D" w:rsidP="007436F6">
      <w:r w:rsidRPr="00E2379E">
        <w:rPr>
          <w:b/>
        </w:rPr>
        <w:t>Proposed changes to paragraph S.1.6.4.1. Unit Price:</w:t>
      </w:r>
      <w:r>
        <w:t xml:space="preserve">  Paragraph S.1.6.4.1. currently requires </w:t>
      </w:r>
      <w:r w:rsidR="007436F6">
        <w:t>all possible unit prices to be posted or capable of being posted on the dispenser.</w:t>
      </w:r>
      <w:r w:rsidR="002970AF">
        <w:t xml:space="preserve"> </w:t>
      </w:r>
      <w:r w:rsidR="007436F6">
        <w:t xml:space="preserve"> </w:t>
      </w:r>
      <w:r>
        <w:t>In addition to the cash/credit unit prices that have been conventionally offered</w:t>
      </w:r>
      <w:r w:rsidRPr="00C947A1">
        <w:t xml:space="preserve"> </w:t>
      </w:r>
      <w:r w:rsidRPr="00EF264A">
        <w:t>in retail fuel sales</w:t>
      </w:r>
      <w:r>
        <w:t xml:space="preserve">, </w:t>
      </w:r>
      <w:r w:rsidR="0056019A">
        <w:t xml:space="preserve">some </w:t>
      </w:r>
      <w:r w:rsidR="0002289F">
        <w:t>marketing practices</w:t>
      </w:r>
      <w:r>
        <w:t xml:space="preserve"> now offer </w:t>
      </w:r>
      <w:r w:rsidR="007436F6">
        <w:t xml:space="preserve">multiple </w:t>
      </w:r>
      <w:r>
        <w:t xml:space="preserve">different </w:t>
      </w:r>
      <w:r w:rsidR="007436F6">
        <w:t xml:space="preserve">unit prices to customers both pre-delivery and post-delivery, depending on payment method, loyalty programs, services purchased, etc.  Newer dispensers, or </w:t>
      </w:r>
      <w:r w:rsidR="00E2379E">
        <w:t>associated</w:t>
      </w:r>
      <w:r w:rsidR="007436F6">
        <w:t xml:space="preserve"> point-of-sale software, can allow for a large variety of final unit prices, depending on card type, loyalty programs, etc.</w:t>
      </w:r>
      <w:r w:rsidR="002970AF">
        <w:t xml:space="preserve"> </w:t>
      </w:r>
      <w:r w:rsidR="007436F6">
        <w:t xml:space="preserve"> There is no reason to </w:t>
      </w:r>
      <w:r>
        <w:t xml:space="preserve">display or provide </w:t>
      </w:r>
      <w:r w:rsidR="007436F6">
        <w:t xml:space="preserve">unit price information to a customer who may not qualify for a certain discounted unit price that is being offered </w:t>
      </w:r>
      <w:r w:rsidR="0056019A">
        <w:t xml:space="preserve">only </w:t>
      </w:r>
      <w:r w:rsidR="007436F6">
        <w:t xml:space="preserve">to </w:t>
      </w:r>
      <w:r>
        <w:t xml:space="preserve">eligible </w:t>
      </w:r>
      <w:r w:rsidR="007436F6">
        <w:t xml:space="preserve">customers. </w:t>
      </w:r>
    </w:p>
    <w:p w:rsidR="007436F6" w:rsidRDefault="0031609D" w:rsidP="007436F6">
      <w:r w:rsidRPr="00AA69CC">
        <w:t xml:space="preserve">The </w:t>
      </w:r>
      <w:r w:rsidR="00674E77">
        <w:t>C</w:t>
      </w:r>
      <w:r w:rsidR="00674E77" w:rsidRPr="00AA69CC">
        <w:t xml:space="preserve">ommittee </w:t>
      </w:r>
      <w:r w:rsidRPr="00AA69CC">
        <w:t xml:space="preserve">modified </w:t>
      </w:r>
      <w:r w:rsidR="0056019A">
        <w:t xml:space="preserve">the proposal to </w:t>
      </w:r>
      <w:r w:rsidRPr="00E87D92">
        <w:t xml:space="preserve">paragraph S.1.6.4.1. </w:t>
      </w:r>
      <w:r>
        <w:t xml:space="preserve">to </w:t>
      </w:r>
      <w:r w:rsidR="007436F6">
        <w:t xml:space="preserve">ensure that the unit prices for any pre-delivery discounts, such as </w:t>
      </w:r>
      <w:r>
        <w:t xml:space="preserve">those given </w:t>
      </w:r>
      <w:r w:rsidR="007436F6">
        <w:t xml:space="preserve">for the use of cash or debit card, </w:t>
      </w:r>
      <w:r w:rsidR="00E2379E">
        <w:t>would be</w:t>
      </w:r>
      <w:r w:rsidR="007436F6">
        <w:t xml:space="preserve"> posted for every customer to see, but </w:t>
      </w:r>
      <w:r>
        <w:t xml:space="preserve">also </w:t>
      </w:r>
      <w:r w:rsidR="00E2379E">
        <w:t>would</w:t>
      </w:r>
      <w:r>
        <w:t xml:space="preserve"> </w:t>
      </w:r>
      <w:r w:rsidR="007436F6">
        <w:t>allow for unit price discounts that take place only after the product is dispensed.</w:t>
      </w:r>
      <w:r w:rsidRPr="00E87D92">
        <w:t xml:space="preserve">  </w:t>
      </w:r>
      <w:r w:rsidRPr="00AA69CC">
        <w:t xml:space="preserve">The order of requirements for equipment that offers pre-delivery discounts and for currently exempted devices was reworked for clarity.  A subparagraph was added to reference new requirements for systems that offer post-delivery discounts. </w:t>
      </w:r>
      <w:r w:rsidR="007436F6">
        <w:t>Inserting</w:t>
      </w:r>
      <w:r>
        <w:t xml:space="preserve"> the phrase</w:t>
      </w:r>
      <w:r w:rsidR="007436F6">
        <w:t xml:space="preserve"> </w:t>
      </w:r>
      <w:r w:rsidR="007436F6" w:rsidRPr="002970AF">
        <w:rPr>
          <w:b/>
          <w:i/>
          <w:u w:val="single"/>
        </w:rPr>
        <w:t>“through a deliberate action of the purchaser”</w:t>
      </w:r>
      <w:r w:rsidR="007436F6">
        <w:t xml:space="preserve"> </w:t>
      </w:r>
      <w:r w:rsidR="00E2379E">
        <w:t>would allow</w:t>
      </w:r>
      <w:r w:rsidR="007436F6">
        <w:t xml:space="preserve"> for the selection of a unit price through the use of some form of electronic activation, such as a cell phone, or swipe card.</w:t>
      </w:r>
    </w:p>
    <w:p w:rsidR="002970AF" w:rsidRDefault="0031609D" w:rsidP="002970AF">
      <w:r w:rsidRPr="00E2379E">
        <w:rPr>
          <w:b/>
        </w:rPr>
        <w:t>Proposed changes to paragraph S.1.6.5.4. Selection of Unit Price:</w:t>
      </w:r>
      <w:r w:rsidRPr="00A87BB4">
        <w:t xml:space="preserve"> </w:t>
      </w:r>
      <w:r w:rsidR="00C32E88">
        <w:t xml:space="preserve"> </w:t>
      </w:r>
      <w:r>
        <w:t xml:space="preserve">These changes would allow for </w:t>
      </w:r>
      <w:r w:rsidR="002970AF">
        <w:t xml:space="preserve">greater flexibility in </w:t>
      </w:r>
      <w:r w:rsidR="00E2379E">
        <w:t>how</w:t>
      </w:r>
      <w:r w:rsidR="002970AF">
        <w:t xml:space="preserve"> customers can select a unit price</w:t>
      </w:r>
      <w:r w:rsidR="002A42AB">
        <w:t xml:space="preserve"> </w:t>
      </w:r>
      <w:r>
        <w:t xml:space="preserve">and </w:t>
      </w:r>
      <w:r w:rsidR="002A42AB">
        <w:t>accommodate new technology</w:t>
      </w:r>
      <w:r>
        <w:t xml:space="preserve"> and marketing practices</w:t>
      </w:r>
      <w:r w:rsidRPr="00EE2C47">
        <w:t>.</w:t>
      </w:r>
      <w:r>
        <w:t xml:space="preserve"> </w:t>
      </w:r>
      <w:r w:rsidRPr="00302D0D">
        <w:t xml:space="preserve"> </w:t>
      </w:r>
      <w:r>
        <w:t>The c</w:t>
      </w:r>
      <w:r w:rsidRPr="00A72757">
        <w:t>urrent language requires the purchaser to physically make contact with the device to select a unit price</w:t>
      </w:r>
      <w:r>
        <w:t xml:space="preserve">.  The </w:t>
      </w:r>
      <w:r>
        <w:lastRenderedPageBreak/>
        <w:t>proposed modifications w</w:t>
      </w:r>
      <w:r w:rsidR="00E2379E">
        <w:t>ould</w:t>
      </w:r>
      <w:r>
        <w:t xml:space="preserve"> expand the requirement to allow a customer to use </w:t>
      </w:r>
      <w:r w:rsidR="00E2379E">
        <w:t xml:space="preserve">a </w:t>
      </w:r>
      <w:r>
        <w:t xml:space="preserve">personal electronic </w:t>
      </w:r>
      <w:r w:rsidR="00E2379E">
        <w:t>device</w:t>
      </w:r>
      <w:r>
        <w:t xml:space="preserve"> such as a cell phone to select a unit price and w</w:t>
      </w:r>
      <w:r w:rsidR="0056019A">
        <w:t>ould</w:t>
      </w:r>
      <w:r>
        <w:t xml:space="preserve"> also recognize verbal instructions such as those given to a console operator for a particular payment method as acceptable methods for selecting the unit price.  For systems that are only capable of applying a discount after the delivery (e.g., single unit price devices), the expanded requirement w</w:t>
      </w:r>
      <w:r w:rsidR="00E2379E">
        <w:t>ould</w:t>
      </w:r>
      <w:r>
        <w:t xml:space="preserve"> </w:t>
      </w:r>
      <w:r w:rsidRPr="00D172A4">
        <w:t xml:space="preserve">apply retroactively.  </w:t>
      </w:r>
      <w:r>
        <w:t>C</w:t>
      </w:r>
      <w:r w:rsidRPr="00D172A4">
        <w:t xml:space="preserve">hanges to the unit price during delivery </w:t>
      </w:r>
      <w:r>
        <w:t>would still be prohibited</w:t>
      </w:r>
      <w:r w:rsidR="002970AF">
        <w:t xml:space="preserve">.  </w:t>
      </w:r>
    </w:p>
    <w:p w:rsidR="002970AF" w:rsidRDefault="00C30579" w:rsidP="002970AF">
      <w:r w:rsidRPr="00E2379E">
        <w:rPr>
          <w:b/>
        </w:rPr>
        <w:t>Proposed changes to paragraph S.1.6.6. Agreement Between Indications:</w:t>
      </w:r>
      <w:r>
        <w:t xml:space="preserve"> </w:t>
      </w:r>
      <w:r w:rsidR="00C32E88">
        <w:t xml:space="preserve"> </w:t>
      </w:r>
      <w:r>
        <w:t xml:space="preserve">These changes </w:t>
      </w:r>
      <w:r w:rsidR="00E2379E">
        <w:t>w</w:t>
      </w:r>
      <w:r>
        <w:t xml:space="preserve">ould provide </w:t>
      </w:r>
      <w:r w:rsidR="002970AF">
        <w:t>an exemption from the money values agreement requirement when the dispensing system offers discounts after delivery that result in total price indications that differ from that indicated on an auxiliary element.</w:t>
      </w:r>
    </w:p>
    <w:p w:rsidR="002970AF" w:rsidRDefault="002970AF" w:rsidP="002970AF">
      <w:r>
        <w:t>Price discounts c</w:t>
      </w:r>
      <w:r w:rsidR="00E2379E">
        <w:t>ould</w:t>
      </w:r>
      <w:r>
        <w:t xml:space="preserve"> be given through either: </w:t>
      </w:r>
    </w:p>
    <w:p w:rsidR="002970AF" w:rsidRDefault="002970AF" w:rsidP="00B77FD2">
      <w:pPr>
        <w:pStyle w:val="numberedlist"/>
        <w:numPr>
          <w:ilvl w:val="0"/>
          <w:numId w:val="15"/>
        </w:numPr>
      </w:pPr>
      <w:r>
        <w:t>the dispenser’s roll back of the unit price, or</w:t>
      </w:r>
    </w:p>
    <w:p w:rsidR="002970AF" w:rsidRDefault="002970AF" w:rsidP="0091593D">
      <w:pPr>
        <w:pStyle w:val="numberedlist"/>
      </w:pPr>
      <w:r>
        <w:t xml:space="preserve">recalculation of the transaction at the lower unit price that </w:t>
      </w:r>
      <w:r w:rsidR="00E2379E">
        <w:t>would be</w:t>
      </w:r>
      <w:r>
        <w:t xml:space="preserve"> pe</w:t>
      </w:r>
      <w:r w:rsidR="0091593D">
        <w:t xml:space="preserve">rformed by auxiliary equipment </w:t>
      </w:r>
      <w:r>
        <w:t>after, or post, delivery.</w:t>
      </w:r>
    </w:p>
    <w:p w:rsidR="002970AF" w:rsidRDefault="002970AF" w:rsidP="002970AF">
      <w:r>
        <w:t xml:space="preserve">Roll back of unit prices prior to fuel delivery requires </w:t>
      </w:r>
      <w:r w:rsidR="00C30579">
        <w:t xml:space="preserve">exact </w:t>
      </w:r>
      <w:r>
        <w:t xml:space="preserve">agreement of </w:t>
      </w:r>
      <w:r w:rsidR="00C30579">
        <w:t xml:space="preserve">the </w:t>
      </w:r>
      <w:r>
        <w:t xml:space="preserve">total price </w:t>
      </w:r>
      <w:r w:rsidR="00C30579">
        <w:t xml:space="preserve">displayed on </w:t>
      </w:r>
      <w:r>
        <w:t xml:space="preserve">the dispenser and </w:t>
      </w:r>
      <w:r w:rsidR="00C30579">
        <w:t xml:space="preserve">the total price displayed on </w:t>
      </w:r>
      <w:r>
        <w:t>any auxiliary element.</w:t>
      </w:r>
      <w:r w:rsidR="0091593D">
        <w:t xml:space="preserve"> </w:t>
      </w:r>
      <w:r>
        <w:t xml:space="preserve"> </w:t>
      </w:r>
      <w:r w:rsidR="00C30579">
        <w:t xml:space="preserve">When a </w:t>
      </w:r>
      <w:r w:rsidR="0091593D">
        <w:t>post-delivery</w:t>
      </w:r>
      <w:r>
        <w:t xml:space="preserve"> discount</w:t>
      </w:r>
      <w:r w:rsidR="00C30579">
        <w:t xml:space="preserve"> is</w:t>
      </w:r>
      <w:r>
        <w:t xml:space="preserve"> offered</w:t>
      </w:r>
      <w:r w:rsidR="00C30579" w:rsidRPr="00C62956">
        <w:t>, a revised total price reflecting the post-delivery discount w</w:t>
      </w:r>
      <w:r w:rsidR="00E2379E">
        <w:t>ould</w:t>
      </w:r>
      <w:r w:rsidR="00C30579" w:rsidRPr="00C62956">
        <w:t xml:space="preserve"> be shown on the auxiliary display.  </w:t>
      </w:r>
      <w:r w:rsidR="00C30579">
        <w:t>This</w:t>
      </w:r>
      <w:r w:rsidR="0002289F">
        <w:t xml:space="preserve"> </w:t>
      </w:r>
      <w:r>
        <w:t>w</w:t>
      </w:r>
      <w:r w:rsidR="00E2379E">
        <w:t>ould</w:t>
      </w:r>
      <w:r>
        <w:t xml:space="preserve"> result in </w:t>
      </w:r>
      <w:r w:rsidR="00C30579">
        <w:t xml:space="preserve">a total </w:t>
      </w:r>
      <w:r>
        <w:t xml:space="preserve">price displayed on the </w:t>
      </w:r>
      <w:r w:rsidR="00C30579" w:rsidRPr="00C62956">
        <w:t>auxiliary equipment that is different from that shown on the dispenser.</w:t>
      </w:r>
      <w:r w:rsidR="0091593D">
        <w:t xml:space="preserve"> </w:t>
      </w:r>
      <w:r>
        <w:t xml:space="preserve"> </w:t>
      </w:r>
      <w:r w:rsidR="00E2379E">
        <w:t>A change is needed</w:t>
      </w:r>
      <w:r w:rsidR="0056019A">
        <w:t xml:space="preserve"> to</w:t>
      </w:r>
      <w:r w:rsidR="00E2379E">
        <w:t xml:space="preserve"> </w:t>
      </w:r>
      <w:r w:rsidR="002A1B0B">
        <w:t>paragraph</w:t>
      </w:r>
      <w:r w:rsidR="00C30579">
        <w:t xml:space="preserve"> S.1.6.6. as shown in the “Item Under Consideration” to </w:t>
      </w:r>
      <w:r>
        <w:t>recognize this situation</w:t>
      </w:r>
      <w:r w:rsidR="00C30579">
        <w:t xml:space="preserve"> </w:t>
      </w:r>
      <w:r w:rsidR="00C30579" w:rsidRPr="0058161F">
        <w:t>while ensuring that, at a minimum, there is agreement in the total indicated and recorded volume between all the elements in the system</w:t>
      </w:r>
      <w:r>
        <w:t xml:space="preserve">. </w:t>
      </w:r>
    </w:p>
    <w:p w:rsidR="00CE09EC" w:rsidRDefault="00C32E88" w:rsidP="00CE09EC">
      <w:r w:rsidRPr="00E2379E">
        <w:rPr>
          <w:b/>
        </w:rPr>
        <w:t>Proposed changes to S.1.6.7. Recorded Representations and proposed addition of new paragraph S.1.6.8.:</w:t>
      </w:r>
      <w:r>
        <w:t xml:space="preserve">  These changes could help to ensure </w:t>
      </w:r>
      <w:r w:rsidR="00CE09EC">
        <w:t>that fuel dispensers provide receipts with sufficient information to allow customers to fully understan</w:t>
      </w:r>
      <w:r w:rsidR="002A42AB">
        <w:t xml:space="preserve">d any post-delivery discounts and allow </w:t>
      </w:r>
      <w:r w:rsidR="00CE09EC">
        <w:t>the use of electronic as well as printed receipts.</w:t>
      </w:r>
      <w:r>
        <w:t xml:space="preserve">  Proposed new paragraph S.1.6.8., like paragraph S.1.6.7., </w:t>
      </w:r>
      <w:r w:rsidR="00E2379E">
        <w:t>would exempt</w:t>
      </w:r>
      <w:r>
        <w:t xml:space="preserve"> certain types of sales, wh</w:t>
      </w:r>
      <w:r w:rsidR="00E2379E">
        <w:t>ile specifying where a receipt</w:t>
      </w:r>
      <w:r>
        <w:t xml:space="preserve"> must be generated and addressing information that must be recorded in post-delivery discount transactions.  </w:t>
      </w:r>
    </w:p>
    <w:p w:rsidR="00C32E88" w:rsidRPr="00C62956" w:rsidRDefault="00CE09EC" w:rsidP="00C32E88">
      <w:r>
        <w:t xml:space="preserve">Customer confusion can result when </w:t>
      </w:r>
      <w:r w:rsidR="00C32E88">
        <w:t xml:space="preserve">service station consoles apply </w:t>
      </w:r>
      <w:r>
        <w:t xml:space="preserve">post-delivery discounts </w:t>
      </w:r>
      <w:r w:rsidR="00C32E88" w:rsidRPr="00C62956">
        <w:t xml:space="preserve">and display total prices </w:t>
      </w:r>
      <w:r>
        <w:t xml:space="preserve">that are not reflected on the total price shown on dispenser.  The confusion </w:t>
      </w:r>
      <w:r w:rsidR="00E2379E">
        <w:t>could</w:t>
      </w:r>
      <w:r>
        <w:t xml:space="preserve"> be resolved if the dispenser’s printed receipt show</w:t>
      </w:r>
      <w:r w:rsidR="00E2379E">
        <w:t>ed</w:t>
      </w:r>
      <w:r>
        <w:t xml:space="preserve"> </w:t>
      </w:r>
      <w:r w:rsidR="00C32E88" w:rsidRPr="00C62956">
        <w:t xml:space="preserve">the total price, volume, and unit price displayed on the dispenser at the end of the delivery along with an itemization of any additional “post-delivery” discounts that are applied following the delivery.  </w:t>
      </w:r>
      <w:r w:rsidR="00E2379E">
        <w:t>A</w:t>
      </w:r>
      <w:r w:rsidR="00C32E88" w:rsidRPr="00C62956">
        <w:t>n itemization of the post-delivery discounts on the receipt w</w:t>
      </w:r>
      <w:r w:rsidR="00E2379E">
        <w:t>ould</w:t>
      </w:r>
      <w:r w:rsidR="00C32E88" w:rsidRPr="00C62956">
        <w:t xml:space="preserve"> enable the customer to verify that, particularly in the case where multiple discounts (for example, a </w:t>
      </w:r>
      <w:r w:rsidR="00E2379E">
        <w:t>unit price</w:t>
      </w:r>
      <w:r w:rsidR="00C32E88" w:rsidRPr="00C62956">
        <w:t xml:space="preserve"> discount given for the purchase of an item in the convenience store along with a discount for purchasing a certain quantity of fuel) are given, all discounts to which they believe they are entitled have been applied.  Combined with the printing of the information shown on the dispenser, this itemized information w</w:t>
      </w:r>
      <w:r w:rsidR="00E2379E">
        <w:t>ould</w:t>
      </w:r>
      <w:r w:rsidR="00C32E88" w:rsidRPr="00C62956">
        <w:t xml:space="preserve"> allow the customer to reconstruct how the final total sale information, including all applied discounts, was calculated and to better understand and follow the transaction.  Additionally, this information c</w:t>
      </w:r>
      <w:r w:rsidR="00E2379E">
        <w:t>ould</w:t>
      </w:r>
      <w:r w:rsidR="00C32E88" w:rsidRPr="00C62956">
        <w:t xml:space="preserve"> be used by weights and measures officials and service station owners in the case of customer disputes to recreate transactions and ensure that all discounts for which the customer was eligible have been applied.</w:t>
      </w:r>
    </w:p>
    <w:p w:rsidR="00CE09EC" w:rsidRDefault="00C32E88" w:rsidP="00CE09EC">
      <w:r>
        <w:t>Proposed changes to S.1.6.7. also</w:t>
      </w:r>
      <w:r w:rsidR="00CE09EC">
        <w:t xml:space="preserve"> recognize that electronic receipts</w:t>
      </w:r>
      <w:r>
        <w:t xml:space="preserve"> such as th</w:t>
      </w:r>
      <w:r w:rsidR="006436D7">
        <w:t>os</w:t>
      </w:r>
      <w:r>
        <w:t>e</w:t>
      </w:r>
      <w:r w:rsidR="00CE09EC">
        <w:t xml:space="preserve"> delivered to computers or smart phones are making their way into the marketplace.</w:t>
      </w:r>
    </w:p>
    <w:p w:rsidR="00845FA2" w:rsidRDefault="00C32E88" w:rsidP="00845FA2">
      <w:r w:rsidRPr="00E2379E">
        <w:rPr>
          <w:b/>
        </w:rPr>
        <w:t>Proposed changes to UR.3.2. Unit Price and Product Identity:</w:t>
      </w:r>
      <w:r>
        <w:t xml:space="preserve">  These changes would provide </w:t>
      </w:r>
      <w:r w:rsidR="00845FA2">
        <w:t xml:space="preserve">realistic requirements for displaying or posting unit prices </w:t>
      </w:r>
      <w:r w:rsidR="003B7ED3">
        <w:t>i</w:t>
      </w:r>
      <w:r w:rsidR="00845FA2">
        <w:t>n consideration of the discount marketing practices being offered to consumers.</w:t>
      </w:r>
    </w:p>
    <w:p w:rsidR="00845FA2" w:rsidRDefault="0056019A" w:rsidP="00845FA2">
      <w:r>
        <w:t>P</w:t>
      </w:r>
      <w:r w:rsidR="00C32E88">
        <w:t xml:space="preserve">aragraph </w:t>
      </w:r>
      <w:r w:rsidR="00845FA2">
        <w:t>U.R.3.2.</w:t>
      </w:r>
      <w:r w:rsidR="00C32E88">
        <w:t xml:space="preserve"> </w:t>
      </w:r>
      <w:r>
        <w:t xml:space="preserve">currently </w:t>
      </w:r>
      <w:r w:rsidR="00845FA2">
        <w:t>requires all unit prices at which the product is offered for sale to be capable of being posted</w:t>
      </w:r>
      <w:r w:rsidR="00C32E88">
        <w:t xml:space="preserve"> while only making an exception to this requirement for fleet and price contract sales and truck refueling dispensers</w:t>
      </w:r>
      <w:r w:rsidR="00845FA2">
        <w:t>.</w:t>
      </w:r>
      <w:r w:rsidR="006F0048">
        <w:t xml:space="preserve"> </w:t>
      </w:r>
      <w:r w:rsidR="00845FA2">
        <w:t xml:space="preserve"> The growing trend of </w:t>
      </w:r>
      <w:r w:rsidR="006F0048">
        <w:t>post-delivery</w:t>
      </w:r>
      <w:r w:rsidR="00845FA2">
        <w:t xml:space="preserve"> unit pricing in the form of rewards cards, car wash discounts, and </w:t>
      </w:r>
      <w:r w:rsidR="00845FA2">
        <w:lastRenderedPageBreak/>
        <w:t xml:space="preserve">others, makes posting all of these unit prices </w:t>
      </w:r>
      <w:r w:rsidR="006F0048">
        <w:t>impractical</w:t>
      </w:r>
      <w:r w:rsidR="00845FA2">
        <w:t xml:space="preserve">.  Unit price discounts may apply only to certain customers using certain types of credit cards.  </w:t>
      </w:r>
      <w:r>
        <w:t>A r</w:t>
      </w:r>
      <w:r w:rsidR="00845FA2">
        <w:t>equir</w:t>
      </w:r>
      <w:r>
        <w:t>ement to</w:t>
      </w:r>
      <w:r w:rsidR="00845FA2">
        <w:t xml:space="preserve"> post</w:t>
      </w:r>
      <w:r>
        <w:t xml:space="preserve"> all</w:t>
      </w:r>
      <w:r w:rsidR="00845FA2">
        <w:t xml:space="preserve"> of these unit prices is also unrealistic.</w:t>
      </w:r>
    </w:p>
    <w:p w:rsidR="00CE09EC" w:rsidRDefault="00845FA2" w:rsidP="00845FA2">
      <w:r>
        <w:t xml:space="preserve">The amendment </w:t>
      </w:r>
      <w:r w:rsidR="00E2379E">
        <w:t>would ensure</w:t>
      </w:r>
      <w:r>
        <w:t xml:space="preserve"> that </w:t>
      </w:r>
      <w:r w:rsidR="00C32E88">
        <w:t xml:space="preserve">motor-fuel unit prices for </w:t>
      </w:r>
      <w:r>
        <w:t xml:space="preserve">pre-delivery discounts such as cash or debit card </w:t>
      </w:r>
      <w:r w:rsidR="00C32E88">
        <w:t xml:space="preserve">purchases </w:t>
      </w:r>
      <w:r>
        <w:t xml:space="preserve">are displayed on or adjacent to the dispenser.  Any </w:t>
      </w:r>
      <w:r w:rsidR="006F0048">
        <w:t>post-delivery</w:t>
      </w:r>
      <w:r>
        <w:t xml:space="preserve"> discounts such as loyalty cards, car wash purchases, discounts based on volume of purchase, etc., would be exempt from any requirement to display </w:t>
      </w:r>
      <w:r w:rsidR="00163A4B">
        <w:t xml:space="preserve">each of the unit prices </w:t>
      </w:r>
      <w:r>
        <w:t>on the dispenser.</w:t>
      </w:r>
      <w:r w:rsidR="006F0048">
        <w:t xml:space="preserve"> </w:t>
      </w:r>
      <w:r>
        <w:t xml:space="preserve"> After </w:t>
      </w:r>
      <w:r w:rsidR="00163A4B">
        <w:t xml:space="preserve">the </w:t>
      </w:r>
      <w:r>
        <w:t>product is dispensed, the unit price displayed on the pump w</w:t>
      </w:r>
      <w:r w:rsidR="00E2379E">
        <w:t>ould</w:t>
      </w:r>
      <w:r>
        <w:t xml:space="preserve"> automatically revert to the highest unit price offered by the retaile</w:t>
      </w:r>
      <w:r w:rsidR="006F0048">
        <w:t xml:space="preserve">r.  </w:t>
      </w:r>
      <w:r>
        <w:t>This w</w:t>
      </w:r>
      <w:r w:rsidR="00E2379E">
        <w:t>ould</w:t>
      </w:r>
      <w:r>
        <w:t xml:space="preserve"> avoid confusion possibly caused when drivers pull up to a pump and see a unit price to which they are not entitled.</w:t>
      </w:r>
      <w:r w:rsidR="00C32E88">
        <w:t xml:space="preserve"> </w:t>
      </w:r>
      <w:r w:rsidR="00C32E88" w:rsidRPr="00C32E88">
        <w:t xml:space="preserve"> </w:t>
      </w:r>
      <w:r w:rsidR="00C32E88">
        <w:t>Other proposals presented as part of this agenda item w</w:t>
      </w:r>
      <w:r w:rsidR="00E2379E">
        <w:t>ould</w:t>
      </w:r>
      <w:r w:rsidR="00C32E88">
        <w:t xml:space="preserve"> ensure there are sufficient safeguards to provide both the customer and the operator with sufficient information about the transaction.</w:t>
      </w:r>
    </w:p>
    <w:p w:rsidR="00F40B09" w:rsidRDefault="00C32E88" w:rsidP="00DE2C1D">
      <w:r w:rsidRPr="00E2379E">
        <w:rPr>
          <w:b/>
        </w:rPr>
        <w:t>Proposed changes to UR.3.3. Computing Device:</w:t>
      </w:r>
      <w:r>
        <w:t xml:space="preserve">  These changes would</w:t>
      </w:r>
      <w:r w:rsidR="00F40B09">
        <w:t xml:space="preserve"> </w:t>
      </w:r>
      <w:r w:rsidR="00F40B09" w:rsidRPr="00C62956">
        <w:t xml:space="preserve">add a new exemption to the requirement for computing and displaying the total sale price for all unit prices available in a given application for a particular product or grade for applications where a discount is offered following the delivery.  This new exemption (which is in addition to those </w:t>
      </w:r>
      <w:r w:rsidR="00E2379E">
        <w:t>already existing</w:t>
      </w:r>
      <w:r w:rsidR="00F40B09" w:rsidRPr="00C62956">
        <w:t xml:space="preserve"> for fleet and other price contract sales and devices used exclusively </w:t>
      </w:r>
      <w:r w:rsidR="00163A4B">
        <w:t xml:space="preserve">for </w:t>
      </w:r>
      <w:r w:rsidR="00F40B09" w:rsidRPr="00C62956">
        <w:t xml:space="preserve">truck refueling) would only apply in such instances if: </w:t>
      </w:r>
      <w:r w:rsidR="005B4ED6">
        <w:t xml:space="preserve"> </w:t>
      </w:r>
      <w:r w:rsidR="00F40B09" w:rsidRPr="00C62956">
        <w:t xml:space="preserve">(1) the unit price posted on the dispenser and the unit price at which the device is set to compute are the highest unit price for any transaction; and (2) the customer is provided with a printed receipt containing adequate information about the transaction, including an itemization of the discounts, to allow the customer to verify all applicable discounts have been applied.  This information </w:t>
      </w:r>
      <w:r w:rsidR="00E2379E">
        <w:t>would</w:t>
      </w:r>
      <w:r w:rsidR="00F40B09" w:rsidRPr="00C62956">
        <w:t xml:space="preserve"> allow the customer to recreate their transaction, including the application of discounts, using the receipt provided by the dispenser.  The proposed revisions w</w:t>
      </w:r>
      <w:r w:rsidR="00E2379E">
        <w:t>ould</w:t>
      </w:r>
      <w:r w:rsidR="00F40B09" w:rsidRPr="00C62956">
        <w:t xml:space="preserve"> also allow electronic receipts to be provided in lieu of paper receipts</w:t>
      </w:r>
      <w:r w:rsidR="00F40B09">
        <w:t>.</w:t>
      </w:r>
    </w:p>
    <w:p w:rsidR="00F40B09" w:rsidRDefault="00F40B09" w:rsidP="00F40B09">
      <w:r w:rsidRPr="00C62956">
        <w:t xml:space="preserve">The new exemption proposed in paragraph UR.3.3. recognizes that </w:t>
      </w:r>
      <w:r>
        <w:t xml:space="preserve">various </w:t>
      </w:r>
      <w:r w:rsidR="00DE2C1D">
        <w:t xml:space="preserve">methods of pricing fuel are coming to the retail market.  In addition to discounts offered for cash or debit cards, new </w:t>
      </w:r>
      <w:r w:rsidR="00FC1086">
        <w:t>post-delivery</w:t>
      </w:r>
      <w:r w:rsidR="00DE2C1D">
        <w:t xml:space="preserve"> discounts to unit prices are becoming more common.  These include loyalty cards, discounts based upon the type of credit card used, discounts for car washes purchased, etc.  In order for consumers to be confident that they are receiving all the discounts to which they are entitled, it is essential that the dispenser receipt display the original </w:t>
      </w:r>
      <w:r>
        <w:t xml:space="preserve">unit </w:t>
      </w:r>
      <w:r w:rsidR="00DE2C1D">
        <w:t xml:space="preserve">price and </w:t>
      </w:r>
      <w:r w:rsidR="00163A4B">
        <w:t>sub</w:t>
      </w:r>
      <w:r w:rsidR="00DE2C1D">
        <w:t xml:space="preserve">total, the discounts that were applied </w:t>
      </w:r>
      <w:r>
        <w:t xml:space="preserve">to </w:t>
      </w:r>
      <w:r w:rsidR="00DE2C1D">
        <w:t xml:space="preserve">the </w:t>
      </w:r>
      <w:r>
        <w:t xml:space="preserve">original </w:t>
      </w:r>
      <w:r w:rsidR="00DE2C1D">
        <w:t xml:space="preserve">unit price, and the final </w:t>
      </w:r>
      <w:r>
        <w:t xml:space="preserve">total </w:t>
      </w:r>
      <w:r w:rsidR="00DE2C1D">
        <w:t>price that the customer is charged.</w:t>
      </w:r>
    </w:p>
    <w:p w:rsidR="00F40B09" w:rsidRPr="00D90AB7" w:rsidRDefault="00E2379E" w:rsidP="00F40B09">
      <w:pPr>
        <w:rPr>
          <w:rFonts w:eastAsia="Times New Roman" w:cs="Times New Roman"/>
          <w:iCs/>
          <w:snapToGrid w:val="0"/>
        </w:rPr>
      </w:pPr>
      <w:r>
        <w:rPr>
          <w:rFonts w:eastAsia="Times New Roman" w:cs="Times New Roman"/>
          <w:iCs/>
          <w:snapToGrid w:val="0"/>
        </w:rPr>
        <w:t>A</w:t>
      </w:r>
      <w:r w:rsidR="00F40B09" w:rsidRPr="008F0397">
        <w:rPr>
          <w:rFonts w:eastAsia="Times New Roman" w:cs="Times New Roman"/>
          <w:iCs/>
          <w:snapToGrid w:val="0"/>
        </w:rPr>
        <w:t>t the 2012 NCWM Interim Meeting,</w:t>
      </w:r>
      <w:r w:rsidR="00F40B09">
        <w:rPr>
          <w:rFonts w:eastAsia="Times New Roman" w:cs="Times New Roman"/>
          <w:iCs/>
          <w:snapToGrid w:val="0"/>
        </w:rPr>
        <w:t xml:space="preserve"> Ms. Williams, NIST, OWM, suggested </w:t>
      </w:r>
      <w:r w:rsidR="00EB4C4C">
        <w:rPr>
          <w:rFonts w:eastAsia="Times New Roman" w:cs="Times New Roman"/>
          <w:iCs/>
          <w:snapToGrid w:val="0"/>
        </w:rPr>
        <w:t xml:space="preserve">some </w:t>
      </w:r>
      <w:r w:rsidR="00F40B09">
        <w:rPr>
          <w:rFonts w:eastAsia="Times New Roman" w:cs="Times New Roman"/>
          <w:iCs/>
          <w:snapToGrid w:val="0"/>
        </w:rPr>
        <w:t>changes to the language to eliminate some observed gaps and also suggested that the committee consider develop</w:t>
      </w:r>
      <w:r w:rsidR="00EB4C4C">
        <w:rPr>
          <w:rFonts w:eastAsia="Times New Roman" w:cs="Times New Roman"/>
          <w:iCs/>
          <w:snapToGrid w:val="0"/>
        </w:rPr>
        <w:t>ing</w:t>
      </w:r>
      <w:r w:rsidR="00F40B09">
        <w:rPr>
          <w:rFonts w:eastAsia="Times New Roman" w:cs="Times New Roman"/>
          <w:iCs/>
          <w:snapToGrid w:val="0"/>
        </w:rPr>
        <w:t xml:space="preserve"> definitions for some of the terminology being introduced.  </w:t>
      </w:r>
      <w:r w:rsidR="00EB4C4C">
        <w:rPr>
          <w:rFonts w:eastAsia="Times New Roman" w:cs="Times New Roman"/>
          <w:iCs/>
          <w:snapToGrid w:val="0"/>
        </w:rPr>
        <w:t>She</w:t>
      </w:r>
      <w:r w:rsidR="00F40B09">
        <w:rPr>
          <w:rFonts w:eastAsia="Times New Roman" w:cs="Times New Roman"/>
          <w:iCs/>
          <w:snapToGrid w:val="0"/>
        </w:rPr>
        <w:t xml:space="preserve"> encouraged the </w:t>
      </w:r>
      <w:r w:rsidR="008C55B6">
        <w:rPr>
          <w:rFonts w:eastAsia="Times New Roman" w:cs="Times New Roman"/>
          <w:iCs/>
          <w:snapToGrid w:val="0"/>
        </w:rPr>
        <w:t xml:space="preserve">Committee </w:t>
      </w:r>
      <w:r w:rsidR="00F40B09">
        <w:rPr>
          <w:rFonts w:eastAsia="Times New Roman" w:cs="Times New Roman"/>
          <w:iCs/>
          <w:snapToGrid w:val="0"/>
        </w:rPr>
        <w:t xml:space="preserve">to consider grouping Items 330-1 through 330-6 together into a single item, noting that the basis for proposing changes to some paragraphs hinges on related changes proposed to other paragraphs in this series of items.  </w:t>
      </w:r>
      <w:r w:rsidR="00EB4C4C">
        <w:rPr>
          <w:rFonts w:eastAsia="Times New Roman" w:cs="Times New Roman"/>
          <w:iCs/>
          <w:snapToGrid w:val="0"/>
        </w:rPr>
        <w:t>Ms. Williams</w:t>
      </w:r>
      <w:r w:rsidR="00F40B09">
        <w:rPr>
          <w:rFonts w:eastAsia="Times New Roman" w:cs="Times New Roman"/>
          <w:iCs/>
          <w:snapToGrid w:val="0"/>
        </w:rPr>
        <w:t xml:space="preserve"> also noted that</w:t>
      </w:r>
      <w:r w:rsidR="00EB4C4C">
        <w:rPr>
          <w:rFonts w:eastAsia="Times New Roman" w:cs="Times New Roman"/>
          <w:iCs/>
          <w:snapToGrid w:val="0"/>
        </w:rPr>
        <w:t>,</w:t>
      </w:r>
      <w:r w:rsidR="00F40B09">
        <w:rPr>
          <w:rFonts w:eastAsia="Times New Roman" w:cs="Times New Roman"/>
          <w:iCs/>
          <w:snapToGrid w:val="0"/>
        </w:rPr>
        <w:t xml:space="preserve"> in analyzing the proposed changes and their impact on the marketplace, it is critical that the language be compared with actual examples of pricing scenarios and associated receipts to ensure</w:t>
      </w:r>
      <w:r w:rsidR="00EB4C4C">
        <w:rPr>
          <w:rFonts w:eastAsia="Times New Roman" w:cs="Times New Roman"/>
          <w:iCs/>
          <w:snapToGrid w:val="0"/>
        </w:rPr>
        <w:t xml:space="preserve"> that the proposed changes meet</w:t>
      </w:r>
      <w:r w:rsidR="00F40B09">
        <w:rPr>
          <w:rFonts w:eastAsia="Times New Roman" w:cs="Times New Roman"/>
          <w:iCs/>
          <w:snapToGrid w:val="0"/>
        </w:rPr>
        <w:t xml:space="preserve"> the needs of the weights and measures community and the marketplace.  The </w:t>
      </w:r>
      <w:r w:rsidR="00163A4B">
        <w:rPr>
          <w:rFonts w:eastAsia="Times New Roman" w:cs="Times New Roman"/>
          <w:iCs/>
          <w:snapToGrid w:val="0"/>
        </w:rPr>
        <w:t>t</w:t>
      </w:r>
      <w:r w:rsidR="00F40B09">
        <w:rPr>
          <w:rFonts w:eastAsia="Times New Roman" w:cs="Times New Roman"/>
          <w:iCs/>
          <w:snapToGrid w:val="0"/>
        </w:rPr>
        <w:t xml:space="preserve">ask </w:t>
      </w:r>
      <w:r w:rsidR="00163A4B">
        <w:rPr>
          <w:rFonts w:eastAsia="Times New Roman" w:cs="Times New Roman"/>
          <w:iCs/>
          <w:snapToGrid w:val="0"/>
        </w:rPr>
        <w:t>g</w:t>
      </w:r>
      <w:r w:rsidR="00F40B09">
        <w:rPr>
          <w:rFonts w:eastAsia="Times New Roman" w:cs="Times New Roman"/>
          <w:iCs/>
          <w:snapToGrid w:val="0"/>
        </w:rPr>
        <w:t xml:space="preserve">roup had planned to do such an analysis using the numerous examples and receipts that were submitted by its membership.  </w:t>
      </w:r>
      <w:r w:rsidR="00EB4C4C">
        <w:rPr>
          <w:rFonts w:eastAsia="Times New Roman" w:cs="Times New Roman"/>
          <w:iCs/>
          <w:snapToGrid w:val="0"/>
        </w:rPr>
        <w:t>Ms. Williams</w:t>
      </w:r>
      <w:r w:rsidR="00F40B09">
        <w:rPr>
          <w:rFonts w:eastAsia="Times New Roman" w:cs="Times New Roman"/>
          <w:iCs/>
          <w:snapToGrid w:val="0"/>
        </w:rPr>
        <w:t xml:space="preserve"> encourage</w:t>
      </w:r>
      <w:r w:rsidR="00EB4C4C">
        <w:rPr>
          <w:rFonts w:eastAsia="Times New Roman" w:cs="Times New Roman"/>
          <w:iCs/>
          <w:snapToGrid w:val="0"/>
        </w:rPr>
        <w:t>d</w:t>
      </w:r>
      <w:r w:rsidR="00F40B09">
        <w:rPr>
          <w:rFonts w:eastAsia="Times New Roman" w:cs="Times New Roman"/>
          <w:iCs/>
          <w:snapToGrid w:val="0"/>
        </w:rPr>
        <w:t xml:space="preserve"> the group to complete that task and encourage</w:t>
      </w:r>
      <w:r w:rsidR="00EB4C4C">
        <w:rPr>
          <w:rFonts w:eastAsia="Times New Roman" w:cs="Times New Roman"/>
          <w:iCs/>
          <w:snapToGrid w:val="0"/>
        </w:rPr>
        <w:t>d</w:t>
      </w:r>
      <w:r w:rsidR="00F40B09">
        <w:rPr>
          <w:rFonts w:eastAsia="Times New Roman" w:cs="Times New Roman"/>
          <w:iCs/>
          <w:snapToGrid w:val="0"/>
        </w:rPr>
        <w:t xml:space="preserve"> others in the community to do the same.  NIST, </w:t>
      </w:r>
      <w:r w:rsidR="00F40B09" w:rsidRPr="00D90AB7">
        <w:rPr>
          <w:rFonts w:eastAsia="Times New Roman" w:cs="Times New Roman"/>
          <w:iCs/>
          <w:snapToGrid w:val="0"/>
        </w:rPr>
        <w:t xml:space="preserve">OWM offered the following general comments in writing to the </w:t>
      </w:r>
      <w:r w:rsidR="00674E77">
        <w:rPr>
          <w:rFonts w:eastAsia="Times New Roman" w:cs="Times New Roman"/>
          <w:iCs/>
          <w:snapToGrid w:val="0"/>
        </w:rPr>
        <w:t>C</w:t>
      </w:r>
      <w:r w:rsidR="00674E77" w:rsidRPr="00D90AB7">
        <w:rPr>
          <w:rFonts w:eastAsia="Times New Roman" w:cs="Times New Roman"/>
          <w:iCs/>
          <w:snapToGrid w:val="0"/>
        </w:rPr>
        <w:t>ommittee</w:t>
      </w:r>
      <w:r w:rsidR="00F40B09" w:rsidRPr="00D90AB7">
        <w:rPr>
          <w:rFonts w:eastAsia="Times New Roman" w:cs="Times New Roman"/>
          <w:iCs/>
          <w:snapToGrid w:val="0"/>
        </w:rPr>
        <w:t>.</w:t>
      </w:r>
    </w:p>
    <w:p w:rsidR="00F40B09" w:rsidRPr="00C62956" w:rsidRDefault="00F40B09" w:rsidP="00B77FD2">
      <w:pPr>
        <w:pStyle w:val="numberedlist"/>
        <w:numPr>
          <w:ilvl w:val="0"/>
          <w:numId w:val="29"/>
        </w:numPr>
      </w:pPr>
      <w:r w:rsidRPr="00C62956">
        <w:t>Any proposed device specifications should be examined to ensure that equipment currently offering pre-delivery discounts is not precluded from also offering post-delivery discounts.</w:t>
      </w:r>
    </w:p>
    <w:p w:rsidR="00F40B09" w:rsidRPr="00C62956" w:rsidRDefault="00F40B09" w:rsidP="006436D7">
      <w:pPr>
        <w:pStyle w:val="numberedlist"/>
      </w:pPr>
      <w:r w:rsidRPr="00C62956">
        <w:t xml:space="preserve">Care should be taken to ensure </w:t>
      </w:r>
      <w:r w:rsidR="0056019A">
        <w:t xml:space="preserve">that the </w:t>
      </w:r>
      <w:r w:rsidRPr="00C62956">
        <w:t xml:space="preserve">provisions put into place in the 1990s to prevent customer confusion and facilitation of fraud are not circumvented. </w:t>
      </w:r>
    </w:p>
    <w:p w:rsidR="00F40B09" w:rsidRPr="00C62956" w:rsidRDefault="00F40B09" w:rsidP="006436D7">
      <w:pPr>
        <w:pStyle w:val="numberedlist"/>
      </w:pPr>
      <w:r w:rsidRPr="00C62956">
        <w:t>The language should ensure that systems do not frustrate value comparisons prior to the delivery.</w:t>
      </w:r>
    </w:p>
    <w:p w:rsidR="00F40B09" w:rsidRPr="00C62956" w:rsidRDefault="00F40B09" w:rsidP="006436D7">
      <w:pPr>
        <w:pStyle w:val="numberedlist"/>
      </w:pPr>
      <w:r w:rsidRPr="00C62956">
        <w:t xml:space="preserve">Language should be examined and strengthened if necessary to ensure that mathematical computations are based on dispenser indications </w:t>
      </w:r>
      <w:r>
        <w:t>and are mathematically correct.</w:t>
      </w:r>
      <w:r w:rsidRPr="00C62956">
        <w:t xml:space="preserve">  This will</w:t>
      </w:r>
      <w:r>
        <w:t xml:space="preserve"> eliminate</w:t>
      </w:r>
      <w:r w:rsidRPr="00C62956">
        <w:t xml:space="preserve"> rounding errors that occur when determining an inferred volume based on the original total and unit prices (i.e., </w:t>
      </w:r>
      <w:r>
        <w:t xml:space="preserve">not </w:t>
      </w:r>
      <w:r w:rsidRPr="00C62956">
        <w:t>allowing different quantity values between indicated and inferred quantities</w:t>
      </w:r>
      <w:r>
        <w:t xml:space="preserve"> as proposed </w:t>
      </w:r>
      <w:r w:rsidRPr="00C62956">
        <w:t>in paragraph S.1.6.6. Agreement Between Indications).</w:t>
      </w:r>
    </w:p>
    <w:p w:rsidR="00F40B09" w:rsidRPr="00C62956" w:rsidRDefault="00EB4C4C" w:rsidP="006436D7">
      <w:pPr>
        <w:pStyle w:val="numberedlist"/>
      </w:pPr>
      <w:r>
        <w:lastRenderedPageBreak/>
        <w:t>A</w:t>
      </w:r>
      <w:r w:rsidRPr="00C62956">
        <w:t xml:space="preserve">dd a definition(s) in </w:t>
      </w:r>
      <w:r w:rsidRPr="006E6DC2">
        <w:t>NIST Handbook 44</w:t>
      </w:r>
      <w:r w:rsidRPr="00C62956">
        <w:t xml:space="preserve"> such as “pre-delivery,” “post-delivery discounts,” etc</w:t>
      </w:r>
      <w:r>
        <w:t>.</w:t>
      </w:r>
      <w:r w:rsidRPr="00C62956">
        <w:t xml:space="preserve"> </w:t>
      </w:r>
      <w:r>
        <w:t>t</w:t>
      </w:r>
      <w:r w:rsidR="00F40B09" w:rsidRPr="00C62956">
        <w:t>o lend clarity to the terminology used in these proposals and</w:t>
      </w:r>
      <w:r>
        <w:t xml:space="preserve"> to make sure it is understood.</w:t>
      </w:r>
    </w:p>
    <w:p w:rsidR="0041475C" w:rsidRDefault="00F40B09" w:rsidP="008429F9">
      <w:pPr>
        <w:pStyle w:val="numberedlist"/>
        <w:spacing w:before="240"/>
      </w:pPr>
      <w:r w:rsidRPr="00F23727">
        <w:t>Any proposed language should be analyzed to ensure that there are no conflicts with NIST Handbook 130 Weights and Measures Laws and Regulations.</w:t>
      </w:r>
    </w:p>
    <w:p w:rsidR="00F40B09" w:rsidRPr="00F23727" w:rsidRDefault="00F40B09" w:rsidP="00F23727">
      <w:pPr>
        <w:pStyle w:val="numberedlist"/>
        <w:keepNext/>
        <w:numPr>
          <w:ilvl w:val="3"/>
          <w:numId w:val="0"/>
        </w:numPr>
        <w:tabs>
          <w:tab w:val="left" w:pos="1260"/>
        </w:tabs>
        <w:spacing w:before="240"/>
        <w:outlineLvl w:val="3"/>
        <w:rPr>
          <w:rFonts w:eastAsia="Times New Roman" w:cs="Times New Roman"/>
          <w:iCs/>
          <w:snapToGrid w:val="0"/>
        </w:rPr>
      </w:pPr>
      <w:r w:rsidRPr="00F23727">
        <w:rPr>
          <w:rFonts w:eastAsia="Times New Roman" w:cs="Times New Roman"/>
          <w:iCs/>
          <w:snapToGrid w:val="0"/>
        </w:rPr>
        <w:t xml:space="preserve">Mr. Humphreys, Chair of the Task Group on Retail Motor Fuel Dispenser Price Posting and Computer Capability, thanked NIST, OWM for </w:t>
      </w:r>
      <w:r w:rsidR="00EB4C4C">
        <w:rPr>
          <w:rFonts w:eastAsia="Times New Roman" w:cs="Times New Roman"/>
          <w:iCs/>
          <w:snapToGrid w:val="0"/>
        </w:rPr>
        <w:t>the</w:t>
      </w:r>
      <w:r w:rsidRPr="00F23727">
        <w:rPr>
          <w:rFonts w:eastAsia="Times New Roman" w:cs="Times New Roman"/>
          <w:iCs/>
          <w:snapToGrid w:val="0"/>
        </w:rPr>
        <w:t xml:space="preserve"> comments</w:t>
      </w:r>
      <w:r w:rsidR="00EB4C4C">
        <w:rPr>
          <w:rFonts w:eastAsia="Times New Roman" w:cs="Times New Roman"/>
          <w:iCs/>
          <w:snapToGrid w:val="0"/>
        </w:rPr>
        <w:t xml:space="preserve"> and</w:t>
      </w:r>
      <w:r w:rsidRPr="00F23727">
        <w:rPr>
          <w:rFonts w:eastAsia="Times New Roman" w:cs="Times New Roman"/>
          <w:iCs/>
          <w:snapToGrid w:val="0"/>
        </w:rPr>
        <w:t xml:space="preserve"> noted </w:t>
      </w:r>
      <w:r w:rsidR="00EB4C4C">
        <w:rPr>
          <w:rFonts w:eastAsia="Times New Roman" w:cs="Times New Roman"/>
          <w:iCs/>
          <w:snapToGrid w:val="0"/>
        </w:rPr>
        <w:t xml:space="preserve">their recommendations are supported by </w:t>
      </w:r>
      <w:r w:rsidRPr="00F23727">
        <w:rPr>
          <w:rFonts w:eastAsia="Times New Roman" w:cs="Times New Roman"/>
          <w:iCs/>
          <w:snapToGrid w:val="0"/>
        </w:rPr>
        <w:t xml:space="preserve">the </w:t>
      </w:r>
      <w:r w:rsidR="00163A4B">
        <w:rPr>
          <w:rFonts w:eastAsia="Times New Roman" w:cs="Times New Roman"/>
          <w:iCs/>
          <w:snapToGrid w:val="0"/>
        </w:rPr>
        <w:t>t</w:t>
      </w:r>
      <w:r w:rsidRPr="00F23727">
        <w:rPr>
          <w:rFonts w:eastAsia="Times New Roman" w:cs="Times New Roman"/>
          <w:iCs/>
          <w:snapToGrid w:val="0"/>
        </w:rPr>
        <w:t xml:space="preserve">ask </w:t>
      </w:r>
      <w:r w:rsidR="00163A4B">
        <w:rPr>
          <w:rFonts w:eastAsia="Times New Roman" w:cs="Times New Roman"/>
          <w:iCs/>
          <w:snapToGrid w:val="0"/>
        </w:rPr>
        <w:t>g</w:t>
      </w:r>
      <w:r w:rsidRPr="00F23727">
        <w:rPr>
          <w:rFonts w:eastAsia="Times New Roman" w:cs="Times New Roman"/>
          <w:iCs/>
          <w:snapToGrid w:val="0"/>
        </w:rPr>
        <w:t>roup</w:t>
      </w:r>
      <w:r w:rsidR="00EB4C4C">
        <w:rPr>
          <w:rFonts w:eastAsia="Times New Roman" w:cs="Times New Roman"/>
          <w:iCs/>
          <w:snapToGrid w:val="0"/>
        </w:rPr>
        <w:t xml:space="preserve"> based on a poll that was taken.  Mr. Humphreys </w:t>
      </w:r>
      <w:r w:rsidRPr="00F23727">
        <w:rPr>
          <w:rFonts w:eastAsia="Times New Roman" w:cs="Times New Roman"/>
          <w:iCs/>
          <w:snapToGrid w:val="0"/>
        </w:rPr>
        <w:t xml:space="preserve">encouraged the committee to review and accept those changes.  </w:t>
      </w:r>
      <w:r w:rsidR="00EB4C4C">
        <w:rPr>
          <w:rFonts w:eastAsia="Times New Roman" w:cs="Times New Roman"/>
          <w:iCs/>
          <w:snapToGrid w:val="0"/>
        </w:rPr>
        <w:t>He</w:t>
      </w:r>
      <w:r w:rsidRPr="00F23727">
        <w:rPr>
          <w:rFonts w:eastAsia="Times New Roman" w:cs="Times New Roman"/>
          <w:iCs/>
          <w:snapToGrid w:val="0"/>
        </w:rPr>
        <w:t xml:space="preserve"> indicated that he believed it would be reasonable for the </w:t>
      </w:r>
      <w:r w:rsidR="00AC55B7">
        <w:rPr>
          <w:rFonts w:eastAsia="Times New Roman" w:cs="Times New Roman"/>
          <w:iCs/>
          <w:snapToGrid w:val="0"/>
        </w:rPr>
        <w:t>t</w:t>
      </w:r>
      <w:r w:rsidRPr="00F23727">
        <w:rPr>
          <w:rFonts w:eastAsia="Times New Roman" w:cs="Times New Roman"/>
          <w:iCs/>
          <w:snapToGrid w:val="0"/>
        </w:rPr>
        <w:t xml:space="preserve">ask </w:t>
      </w:r>
      <w:r w:rsidR="00AC55B7">
        <w:rPr>
          <w:rFonts w:eastAsia="Times New Roman" w:cs="Times New Roman"/>
          <w:iCs/>
          <w:snapToGrid w:val="0"/>
        </w:rPr>
        <w:t>g</w:t>
      </w:r>
      <w:r w:rsidRPr="00F23727">
        <w:rPr>
          <w:rFonts w:eastAsia="Times New Roman" w:cs="Times New Roman"/>
          <w:iCs/>
          <w:snapToGrid w:val="0"/>
        </w:rPr>
        <w:t>roup to complete a review of the receipts and examples by the July meeting.</w:t>
      </w:r>
    </w:p>
    <w:p w:rsidR="00F40B09" w:rsidRDefault="00F40B09" w:rsidP="00F40B09">
      <w:pPr>
        <w:keepNext/>
        <w:numPr>
          <w:ilvl w:val="3"/>
          <w:numId w:val="0"/>
        </w:numPr>
        <w:tabs>
          <w:tab w:val="left" w:pos="1260"/>
        </w:tabs>
        <w:outlineLvl w:val="3"/>
        <w:rPr>
          <w:rFonts w:eastAsia="Times New Roman" w:cs="Times New Roman"/>
          <w:iCs/>
          <w:snapToGrid w:val="0"/>
        </w:rPr>
      </w:pPr>
      <w:r w:rsidRPr="000D014A">
        <w:rPr>
          <w:rFonts w:eastAsia="Times New Roman" w:cs="Times New Roman"/>
          <w:iCs/>
          <w:snapToGrid w:val="0"/>
        </w:rPr>
        <w:t xml:space="preserve">Mr. </w:t>
      </w:r>
      <w:r w:rsidRPr="00C62956">
        <w:rPr>
          <w:rFonts w:eastAsia="Times New Roman" w:cs="Times New Roman"/>
          <w:iCs/>
          <w:snapToGrid w:val="0"/>
        </w:rPr>
        <w:t>Eichberg</w:t>
      </w:r>
      <w:r w:rsidRPr="000D014A">
        <w:rPr>
          <w:rFonts w:eastAsia="Times New Roman" w:cs="Times New Roman"/>
          <w:iCs/>
          <w:snapToGrid w:val="0"/>
        </w:rPr>
        <w:t xml:space="preserve">er, National Association of Convenience Stores </w:t>
      </w:r>
      <w:r w:rsidRPr="006D756D">
        <w:rPr>
          <w:rFonts w:eastAsia="Times New Roman" w:cs="Times New Roman"/>
          <w:iCs/>
          <w:snapToGrid w:val="0"/>
        </w:rPr>
        <w:t>(NACS)</w:t>
      </w:r>
      <w:r w:rsidRPr="000D014A">
        <w:rPr>
          <w:rFonts w:eastAsia="Times New Roman" w:cs="Times New Roman"/>
          <w:iCs/>
          <w:snapToGrid w:val="0"/>
        </w:rPr>
        <w:t xml:space="preserve">, emphasized the importance of adopting language that </w:t>
      </w:r>
      <w:r w:rsidR="00EB4C4C">
        <w:rPr>
          <w:rFonts w:eastAsia="Times New Roman" w:cs="Times New Roman"/>
          <w:iCs/>
          <w:snapToGrid w:val="0"/>
        </w:rPr>
        <w:t>won</w:t>
      </w:r>
      <w:r w:rsidRPr="000D014A">
        <w:rPr>
          <w:rFonts w:eastAsia="Times New Roman" w:cs="Times New Roman"/>
          <w:iCs/>
          <w:snapToGrid w:val="0"/>
        </w:rPr>
        <w:t>’t inhibit a retailer from offering a discount.  Mr. Eichberger commented that the proposed language provides a good balance while giving the retailer the flexibility to offer a discount.  He didn’t believe NACS members would have a problem w</w:t>
      </w:r>
      <w:r>
        <w:rPr>
          <w:rFonts w:eastAsia="Times New Roman" w:cs="Times New Roman"/>
          <w:iCs/>
          <w:snapToGrid w:val="0"/>
        </w:rPr>
        <w:t xml:space="preserve">ith the changes offered by NIST, </w:t>
      </w:r>
      <w:r w:rsidRPr="000D014A">
        <w:rPr>
          <w:rFonts w:eastAsia="Times New Roman" w:cs="Times New Roman"/>
          <w:iCs/>
          <w:snapToGrid w:val="0"/>
        </w:rPr>
        <w:t xml:space="preserve">OWM and also supported consolidating the items.  Mr. Columbus, </w:t>
      </w:r>
      <w:r>
        <w:rPr>
          <w:rFonts w:eastAsia="Times New Roman" w:cs="Times New Roman"/>
          <w:iCs/>
          <w:snapToGrid w:val="0"/>
        </w:rPr>
        <w:t xml:space="preserve">Steptoe and Johnson, LLP, </w:t>
      </w:r>
      <w:r w:rsidRPr="001B7738">
        <w:rPr>
          <w:rFonts w:eastAsia="Times New Roman" w:cs="Times New Roman"/>
          <w:iCs/>
          <w:snapToGrid w:val="0"/>
        </w:rPr>
        <w:t xml:space="preserve">representing SIGMA, a fuel marketers association, also spoke in support of the proposed changes.  Mr. Johnson, Gilbarco, Inc., spoke in support of the </w:t>
      </w:r>
      <w:r w:rsidR="00EB4C4C">
        <w:rPr>
          <w:rFonts w:eastAsia="Times New Roman" w:cs="Times New Roman"/>
          <w:iCs/>
          <w:snapToGrid w:val="0"/>
        </w:rPr>
        <w:t xml:space="preserve">recommendations </w:t>
      </w:r>
      <w:r w:rsidRPr="001B7738">
        <w:rPr>
          <w:rFonts w:eastAsia="Times New Roman" w:cs="Times New Roman"/>
          <w:iCs/>
          <w:snapToGrid w:val="0"/>
        </w:rPr>
        <w:t xml:space="preserve">by NIST, OWM.  Mr. Johnson </w:t>
      </w:r>
      <w:r w:rsidR="00EB4C4C">
        <w:rPr>
          <w:rFonts w:eastAsia="Times New Roman" w:cs="Times New Roman"/>
          <w:iCs/>
          <w:snapToGrid w:val="0"/>
        </w:rPr>
        <w:t xml:space="preserve">questioned </w:t>
      </w:r>
      <w:r w:rsidRPr="001B7738">
        <w:rPr>
          <w:rFonts w:eastAsia="Times New Roman" w:cs="Times New Roman"/>
          <w:iCs/>
          <w:snapToGrid w:val="0"/>
        </w:rPr>
        <w:t xml:space="preserve">the reference in paragraph UR.3.2. to the display of the unit price between transactions and suggested that the Task Group </w:t>
      </w:r>
      <w:r w:rsidR="00EB4C4C">
        <w:rPr>
          <w:rFonts w:eastAsia="Times New Roman" w:cs="Times New Roman"/>
          <w:iCs/>
          <w:snapToGrid w:val="0"/>
        </w:rPr>
        <w:t xml:space="preserve">may need </w:t>
      </w:r>
      <w:r w:rsidRPr="001B7738">
        <w:rPr>
          <w:rFonts w:eastAsia="Times New Roman" w:cs="Times New Roman"/>
          <w:iCs/>
          <w:snapToGrid w:val="0"/>
        </w:rPr>
        <w:t xml:space="preserve">to clarify how the time limit requirements would be applied and interpreted for various types of transactions.  Ms. Butcher, NIST Technical Advisor, suggested considering other </w:t>
      </w:r>
      <w:r w:rsidR="00C12B80">
        <w:rPr>
          <w:rFonts w:eastAsia="Times New Roman" w:cs="Times New Roman"/>
          <w:iCs/>
          <w:snapToGrid w:val="0"/>
        </w:rPr>
        <w:t>Liquid Measuring Devices (</w:t>
      </w:r>
      <w:r w:rsidRPr="001B7738">
        <w:rPr>
          <w:rFonts w:eastAsia="Times New Roman" w:cs="Times New Roman"/>
          <w:iCs/>
          <w:snapToGrid w:val="0"/>
        </w:rPr>
        <w:t>LMD</w:t>
      </w:r>
      <w:r w:rsidR="00C12B80">
        <w:rPr>
          <w:rFonts w:eastAsia="Times New Roman" w:cs="Times New Roman"/>
          <w:iCs/>
          <w:snapToGrid w:val="0"/>
        </w:rPr>
        <w:t>)</w:t>
      </w:r>
      <w:r w:rsidRPr="001B7738">
        <w:rPr>
          <w:rFonts w:eastAsia="Times New Roman" w:cs="Times New Roman"/>
          <w:iCs/>
          <w:snapToGrid w:val="0"/>
        </w:rPr>
        <w:t xml:space="preserve"> Code</w:t>
      </w:r>
      <w:r w:rsidRPr="000D014A">
        <w:rPr>
          <w:rFonts w:eastAsia="Times New Roman" w:cs="Times New Roman"/>
          <w:iCs/>
          <w:snapToGrid w:val="0"/>
        </w:rPr>
        <w:t xml:space="preserve"> paragraphs with similar references and mirroring them to clarify when a transaction is considered completed and to ensure that the customer has adequate time to observe the transaction information.  Mr. Saunders, </w:t>
      </w:r>
      <w:r w:rsidRPr="00F40B09">
        <w:rPr>
          <w:rFonts w:eastAsia="Times New Roman" w:cs="Times New Roman"/>
          <w:iCs/>
          <w:snapToGrid w:val="0"/>
        </w:rPr>
        <w:t>Virginia Department of Agriculture and Consumer Services</w:t>
      </w:r>
      <w:r w:rsidRPr="000D014A">
        <w:rPr>
          <w:rFonts w:eastAsia="Times New Roman" w:cs="Times New Roman"/>
          <w:iCs/>
          <w:snapToGrid w:val="0"/>
        </w:rPr>
        <w:t xml:space="preserve">, also expressed a concern about the time limit, citing customer complaints in instances where the information is not displayed long enough for the customer to observe the final details of the transaction.  Others in the audience, including Mr. Carroll, </w:t>
      </w:r>
      <w:r w:rsidRPr="00F40B09">
        <w:rPr>
          <w:rFonts w:eastAsia="Times New Roman" w:cs="Times New Roman"/>
          <w:iCs/>
          <w:snapToGrid w:val="0"/>
        </w:rPr>
        <w:t>Massachusetts Division of Standards</w:t>
      </w:r>
      <w:r w:rsidRPr="000D014A">
        <w:rPr>
          <w:rFonts w:eastAsia="Times New Roman" w:cs="Times New Roman"/>
          <w:iCs/>
          <w:snapToGrid w:val="0"/>
        </w:rPr>
        <w:t xml:space="preserve">, and Mr. Andersen, </w:t>
      </w:r>
      <w:r>
        <w:rPr>
          <w:rFonts w:eastAsia="Times New Roman" w:cs="Times New Roman"/>
          <w:iCs/>
          <w:snapToGrid w:val="0"/>
        </w:rPr>
        <w:t>r</w:t>
      </w:r>
      <w:r w:rsidRPr="000D014A">
        <w:rPr>
          <w:rFonts w:eastAsia="Times New Roman" w:cs="Times New Roman"/>
          <w:iCs/>
          <w:snapToGrid w:val="0"/>
        </w:rPr>
        <w:t>etired</w:t>
      </w:r>
      <w:r>
        <w:rPr>
          <w:rFonts w:eastAsia="Times New Roman" w:cs="Times New Roman"/>
          <w:iCs/>
          <w:snapToGrid w:val="0"/>
        </w:rPr>
        <w:t xml:space="preserve"> member</w:t>
      </w:r>
      <w:r w:rsidRPr="000D014A">
        <w:rPr>
          <w:rFonts w:eastAsia="Times New Roman" w:cs="Times New Roman"/>
          <w:iCs/>
          <w:snapToGrid w:val="0"/>
        </w:rPr>
        <w:t xml:space="preserve">, agreed that further examination by the </w:t>
      </w:r>
      <w:r w:rsidR="00AC55B7">
        <w:rPr>
          <w:rFonts w:eastAsia="Times New Roman" w:cs="Times New Roman"/>
          <w:iCs/>
          <w:snapToGrid w:val="0"/>
        </w:rPr>
        <w:t>t</w:t>
      </w:r>
      <w:r w:rsidRPr="000D014A">
        <w:rPr>
          <w:rFonts w:eastAsia="Times New Roman" w:cs="Times New Roman"/>
          <w:iCs/>
          <w:snapToGrid w:val="0"/>
        </w:rPr>
        <w:t xml:space="preserve">ask </w:t>
      </w:r>
      <w:r w:rsidR="00AC55B7">
        <w:rPr>
          <w:rFonts w:eastAsia="Times New Roman" w:cs="Times New Roman"/>
          <w:iCs/>
          <w:snapToGrid w:val="0"/>
        </w:rPr>
        <w:t>g</w:t>
      </w:r>
      <w:r w:rsidRPr="000D014A">
        <w:rPr>
          <w:rFonts w:eastAsia="Times New Roman" w:cs="Times New Roman"/>
          <w:iCs/>
          <w:snapToGrid w:val="0"/>
        </w:rPr>
        <w:t xml:space="preserve">roup of these references </w:t>
      </w:r>
      <w:r w:rsidR="00EB4C4C">
        <w:rPr>
          <w:rFonts w:eastAsia="Times New Roman" w:cs="Times New Roman"/>
          <w:iCs/>
          <w:snapToGrid w:val="0"/>
        </w:rPr>
        <w:t>is</w:t>
      </w:r>
      <w:r w:rsidRPr="000D014A">
        <w:rPr>
          <w:rFonts w:eastAsia="Times New Roman" w:cs="Times New Roman"/>
          <w:iCs/>
          <w:snapToGrid w:val="0"/>
        </w:rPr>
        <w:t xml:space="preserve"> warranted to ensure that the language is correct.  Mr. Eichberger offered to research existing marketing practices relative to this point and report back to the </w:t>
      </w:r>
      <w:r w:rsidR="00AC55B7">
        <w:rPr>
          <w:rFonts w:eastAsia="Times New Roman" w:cs="Times New Roman"/>
          <w:iCs/>
          <w:snapToGrid w:val="0"/>
        </w:rPr>
        <w:t>t</w:t>
      </w:r>
      <w:r w:rsidRPr="000D014A">
        <w:rPr>
          <w:rFonts w:eastAsia="Times New Roman" w:cs="Times New Roman"/>
          <w:iCs/>
          <w:snapToGrid w:val="0"/>
        </w:rPr>
        <w:t xml:space="preserve">ask </w:t>
      </w:r>
      <w:r w:rsidR="00AC55B7">
        <w:rPr>
          <w:rFonts w:eastAsia="Times New Roman" w:cs="Times New Roman"/>
          <w:iCs/>
          <w:snapToGrid w:val="0"/>
        </w:rPr>
        <w:t>g</w:t>
      </w:r>
      <w:r w:rsidRPr="000D014A">
        <w:rPr>
          <w:rFonts w:eastAsia="Times New Roman" w:cs="Times New Roman"/>
          <w:iCs/>
          <w:snapToGrid w:val="0"/>
        </w:rPr>
        <w:t>roup.</w:t>
      </w:r>
      <w:r>
        <w:rPr>
          <w:rFonts w:eastAsia="Times New Roman" w:cs="Times New Roman"/>
          <w:iCs/>
          <w:snapToGrid w:val="0"/>
        </w:rPr>
        <w:t xml:space="preserve">  In response to Mr. Johnson’s and Mr. Sander’s questions, the </w:t>
      </w:r>
      <w:r w:rsidR="00187C84">
        <w:rPr>
          <w:rFonts w:eastAsia="Times New Roman" w:cs="Times New Roman"/>
          <w:iCs/>
          <w:snapToGrid w:val="0"/>
        </w:rPr>
        <w:t xml:space="preserve">Committee </w:t>
      </w:r>
      <w:r>
        <w:rPr>
          <w:rFonts w:eastAsia="Times New Roman" w:cs="Times New Roman"/>
          <w:iCs/>
          <w:snapToGrid w:val="0"/>
        </w:rPr>
        <w:t>modified paragraph UR.3.2.(a) to include a generally accepted point at which a transaction is considered complete relative to termination of the delivery and settlement of payment.</w:t>
      </w:r>
    </w:p>
    <w:p w:rsidR="00F40B09" w:rsidRDefault="00F40B09" w:rsidP="00F40B09">
      <w:pPr>
        <w:keepNext/>
        <w:numPr>
          <w:ilvl w:val="3"/>
          <w:numId w:val="0"/>
        </w:numPr>
        <w:tabs>
          <w:tab w:val="left" w:pos="1260"/>
        </w:tabs>
        <w:outlineLvl w:val="3"/>
        <w:rPr>
          <w:rFonts w:cs="Times New Roman"/>
        </w:rPr>
      </w:pPr>
      <w:r>
        <w:rPr>
          <w:rFonts w:eastAsia="Times New Roman" w:cs="Times New Roman"/>
          <w:iCs/>
          <w:snapToGrid w:val="0"/>
        </w:rPr>
        <w:t xml:space="preserve">The </w:t>
      </w:r>
      <w:r w:rsidR="00187C84">
        <w:rPr>
          <w:rFonts w:eastAsia="Times New Roman" w:cs="Times New Roman"/>
          <w:iCs/>
          <w:snapToGrid w:val="0"/>
        </w:rPr>
        <w:t>C</w:t>
      </w:r>
      <w:r w:rsidR="00187C84" w:rsidRPr="004B0B68">
        <w:rPr>
          <w:rFonts w:eastAsia="Times New Roman" w:cs="Times New Roman"/>
          <w:iCs/>
          <w:snapToGrid w:val="0"/>
        </w:rPr>
        <w:t xml:space="preserve">ommittee </w:t>
      </w:r>
      <w:r w:rsidRPr="004B0B68">
        <w:rPr>
          <w:rFonts w:eastAsia="Times New Roman" w:cs="Times New Roman"/>
          <w:iCs/>
          <w:snapToGrid w:val="0"/>
        </w:rPr>
        <w:t xml:space="preserve">agreed that Agenda Items 330-1 through 330-6 need to be consolidated into a single agenda item.  </w:t>
      </w:r>
      <w:r>
        <w:rPr>
          <w:rFonts w:eastAsia="Times New Roman" w:cs="Times New Roman"/>
          <w:iCs/>
          <w:snapToGrid w:val="0"/>
        </w:rPr>
        <w:t xml:space="preserve">After hearing support during the Open Hearings for the recommendations of the </w:t>
      </w:r>
      <w:r w:rsidR="007D51E4">
        <w:rPr>
          <w:rFonts w:eastAsia="Times New Roman" w:cs="Times New Roman"/>
          <w:iCs/>
          <w:snapToGrid w:val="0"/>
        </w:rPr>
        <w:t>Task Group on Retail Motor Fuel Dispenser Price Posting and Computer Capability</w:t>
      </w:r>
      <w:r>
        <w:rPr>
          <w:rFonts w:eastAsia="Times New Roman" w:cs="Times New Roman"/>
          <w:iCs/>
          <w:snapToGrid w:val="0"/>
        </w:rPr>
        <w:t xml:space="preserve"> as well as the additiona</w:t>
      </w:r>
      <w:r w:rsidR="007D51E4">
        <w:rPr>
          <w:rFonts w:eastAsia="Times New Roman" w:cs="Times New Roman"/>
          <w:iCs/>
          <w:snapToGrid w:val="0"/>
        </w:rPr>
        <w:t xml:space="preserve">l changes proposed by NIST, </w:t>
      </w:r>
      <w:r>
        <w:rPr>
          <w:rFonts w:eastAsia="Times New Roman" w:cs="Times New Roman"/>
          <w:iCs/>
          <w:snapToGrid w:val="0"/>
        </w:rPr>
        <w:t xml:space="preserve">OWM, the </w:t>
      </w:r>
      <w:r w:rsidR="00187C84">
        <w:rPr>
          <w:rFonts w:eastAsia="Times New Roman" w:cs="Times New Roman"/>
          <w:iCs/>
          <w:snapToGrid w:val="0"/>
        </w:rPr>
        <w:t>C</w:t>
      </w:r>
      <w:r w:rsidR="00187C84" w:rsidRPr="004B0B68">
        <w:rPr>
          <w:rFonts w:eastAsia="Times New Roman" w:cs="Times New Roman"/>
          <w:iCs/>
          <w:snapToGrid w:val="0"/>
        </w:rPr>
        <w:t xml:space="preserve">ommittee </w:t>
      </w:r>
      <w:r>
        <w:rPr>
          <w:rFonts w:eastAsia="Times New Roman" w:cs="Times New Roman"/>
          <w:iCs/>
          <w:snapToGrid w:val="0"/>
        </w:rPr>
        <w:t xml:space="preserve">agreed to the modified proposals as shown in the “Item Under Consideration” above.  The </w:t>
      </w:r>
      <w:r w:rsidR="00187C84">
        <w:rPr>
          <w:rFonts w:eastAsia="Times New Roman" w:cs="Times New Roman"/>
          <w:iCs/>
          <w:snapToGrid w:val="0"/>
        </w:rPr>
        <w:t xml:space="preserve">Committee </w:t>
      </w:r>
      <w:r>
        <w:rPr>
          <w:rFonts w:eastAsia="Times New Roman" w:cs="Times New Roman"/>
          <w:iCs/>
          <w:snapToGrid w:val="0"/>
        </w:rPr>
        <w:t xml:space="preserve">recognized the importance of assessing the proposed language against receipts and scenarios that are being encountered in the field to ensure that the proposed changes are appropriate.  The </w:t>
      </w:r>
      <w:r w:rsidR="00187C84">
        <w:rPr>
          <w:rFonts w:eastAsia="Times New Roman" w:cs="Times New Roman"/>
          <w:iCs/>
          <w:snapToGrid w:val="0"/>
        </w:rPr>
        <w:t xml:space="preserve">Committee </w:t>
      </w:r>
      <w:r>
        <w:rPr>
          <w:rFonts w:eastAsia="Times New Roman" w:cs="Times New Roman"/>
          <w:iCs/>
          <w:snapToGrid w:val="0"/>
        </w:rPr>
        <w:t>ask</w:t>
      </w:r>
      <w:r w:rsidR="00EB4C4C">
        <w:rPr>
          <w:rFonts w:eastAsia="Times New Roman" w:cs="Times New Roman"/>
          <w:iCs/>
          <w:snapToGrid w:val="0"/>
        </w:rPr>
        <w:t>ed</w:t>
      </w:r>
      <w:r>
        <w:rPr>
          <w:rFonts w:eastAsia="Times New Roman" w:cs="Times New Roman"/>
          <w:iCs/>
          <w:snapToGrid w:val="0"/>
        </w:rPr>
        <w:t xml:space="preserve"> that the </w:t>
      </w:r>
      <w:r w:rsidR="00AC55B7">
        <w:rPr>
          <w:rFonts w:cs="Times New Roman"/>
        </w:rPr>
        <w:t>t</w:t>
      </w:r>
      <w:r w:rsidRPr="004B0B68">
        <w:rPr>
          <w:rFonts w:cs="Times New Roman"/>
        </w:rPr>
        <w:t xml:space="preserve">ask </w:t>
      </w:r>
      <w:r w:rsidR="00AC55B7">
        <w:rPr>
          <w:rFonts w:cs="Times New Roman"/>
        </w:rPr>
        <w:t>g</w:t>
      </w:r>
      <w:r w:rsidRPr="004B0B68">
        <w:rPr>
          <w:rFonts w:cs="Times New Roman"/>
        </w:rPr>
        <w:t>roup</w:t>
      </w:r>
      <w:r>
        <w:rPr>
          <w:rFonts w:cs="Times New Roman"/>
        </w:rPr>
        <w:t>:</w:t>
      </w:r>
      <w:r w:rsidR="00D727C8">
        <w:rPr>
          <w:rFonts w:cs="Times New Roman"/>
        </w:rPr>
        <w:t xml:space="preserve"> </w:t>
      </w:r>
      <w:r>
        <w:rPr>
          <w:rFonts w:cs="Times New Roman"/>
        </w:rPr>
        <w:t xml:space="preserve"> (1)</w:t>
      </w:r>
      <w:r w:rsidRPr="004B0B68">
        <w:rPr>
          <w:rFonts w:cs="Times New Roman"/>
        </w:rPr>
        <w:t xml:space="preserve"> compare </w:t>
      </w:r>
      <w:r>
        <w:rPr>
          <w:rFonts w:cs="Times New Roman"/>
        </w:rPr>
        <w:t xml:space="preserve">the examples of </w:t>
      </w:r>
      <w:r w:rsidRPr="004B0B68">
        <w:rPr>
          <w:rFonts w:cs="Times New Roman"/>
        </w:rPr>
        <w:t xml:space="preserve">receipts and scenarios that were submitted </w:t>
      </w:r>
      <w:r>
        <w:rPr>
          <w:rFonts w:cs="Times New Roman"/>
        </w:rPr>
        <w:t xml:space="preserve">to the </w:t>
      </w:r>
      <w:r w:rsidR="00AC55B7">
        <w:rPr>
          <w:rFonts w:cs="Times New Roman"/>
        </w:rPr>
        <w:t>t</w:t>
      </w:r>
      <w:r>
        <w:rPr>
          <w:rFonts w:cs="Times New Roman"/>
        </w:rPr>
        <w:t xml:space="preserve">ask </w:t>
      </w:r>
      <w:r w:rsidR="00AC55B7">
        <w:rPr>
          <w:rFonts w:cs="Times New Roman"/>
        </w:rPr>
        <w:t>g</w:t>
      </w:r>
      <w:r>
        <w:rPr>
          <w:rFonts w:cs="Times New Roman"/>
        </w:rPr>
        <w:t xml:space="preserve">roup </w:t>
      </w:r>
      <w:r w:rsidRPr="004B0B68">
        <w:rPr>
          <w:rFonts w:cs="Times New Roman"/>
        </w:rPr>
        <w:t>to ensure that the proposed language provides for clear and understandable transactions</w:t>
      </w:r>
      <w:r>
        <w:rPr>
          <w:rFonts w:cs="Times New Roman"/>
        </w:rPr>
        <w:t>; and (2) address the questions raised about the application of the requirements relative to the unit price display following a delivery</w:t>
      </w:r>
      <w:r w:rsidR="007D51E4">
        <w:rPr>
          <w:rFonts w:cs="Times New Roman"/>
        </w:rPr>
        <w:t>.</w:t>
      </w:r>
      <w:r w:rsidRPr="004B0B68">
        <w:rPr>
          <w:rFonts w:cs="Times New Roman"/>
        </w:rPr>
        <w:t xml:space="preserve"> </w:t>
      </w:r>
      <w:r>
        <w:rPr>
          <w:rFonts w:cs="Times New Roman"/>
        </w:rPr>
        <w:t xml:space="preserve"> Additionally, the </w:t>
      </w:r>
      <w:r w:rsidR="00187C84">
        <w:rPr>
          <w:rFonts w:cs="Times New Roman"/>
        </w:rPr>
        <w:t xml:space="preserve">Committee </w:t>
      </w:r>
      <w:r>
        <w:rPr>
          <w:rFonts w:cs="Times New Roman"/>
        </w:rPr>
        <w:t>ask</w:t>
      </w:r>
      <w:r w:rsidR="00EB4C4C">
        <w:rPr>
          <w:rFonts w:cs="Times New Roman"/>
        </w:rPr>
        <w:t>ed</w:t>
      </w:r>
      <w:r>
        <w:rPr>
          <w:rFonts w:cs="Times New Roman"/>
        </w:rPr>
        <w:t xml:space="preserve"> that the </w:t>
      </w:r>
      <w:r w:rsidR="00EB4C4C">
        <w:rPr>
          <w:rFonts w:cs="Times New Roman"/>
        </w:rPr>
        <w:t>r</w:t>
      </w:r>
      <w:r>
        <w:rPr>
          <w:rFonts w:cs="Times New Roman"/>
        </w:rPr>
        <w:t xml:space="preserve">egional </w:t>
      </w:r>
      <w:r w:rsidR="00EB4C4C">
        <w:rPr>
          <w:rFonts w:cs="Times New Roman"/>
        </w:rPr>
        <w:t>w</w:t>
      </w:r>
      <w:r>
        <w:rPr>
          <w:rFonts w:cs="Times New Roman"/>
        </w:rPr>
        <w:t xml:space="preserve">eights and </w:t>
      </w:r>
      <w:r w:rsidR="00EB4C4C">
        <w:rPr>
          <w:rFonts w:cs="Times New Roman"/>
        </w:rPr>
        <w:t>m</w:t>
      </w:r>
      <w:r>
        <w:rPr>
          <w:rFonts w:cs="Times New Roman"/>
        </w:rPr>
        <w:t xml:space="preserve">easures </w:t>
      </w:r>
      <w:r w:rsidR="00EB4C4C">
        <w:rPr>
          <w:rFonts w:cs="Times New Roman"/>
        </w:rPr>
        <w:t>a</w:t>
      </w:r>
      <w:r>
        <w:rPr>
          <w:rFonts w:cs="Times New Roman"/>
        </w:rPr>
        <w:t xml:space="preserve">ssociations, </w:t>
      </w:r>
      <w:r w:rsidR="00EB4C4C">
        <w:rPr>
          <w:rFonts w:cs="Times New Roman"/>
        </w:rPr>
        <w:t>regulatory</w:t>
      </w:r>
      <w:r>
        <w:rPr>
          <w:rFonts w:cs="Times New Roman"/>
        </w:rPr>
        <w:t xml:space="preserve"> officials, manufacturers, and device owners evaluate the proposed changes as they pertain to existing marketing practices.</w:t>
      </w:r>
      <w:r w:rsidR="00EB4C4C">
        <w:rPr>
          <w:rFonts w:cs="Times New Roman"/>
        </w:rPr>
        <w:t xml:space="preserve">  </w:t>
      </w:r>
      <w:r w:rsidR="00EB4C4C" w:rsidRPr="006273B2">
        <w:rPr>
          <w:rFonts w:cs="Times New Roman"/>
        </w:rPr>
        <w:t>The 20</w:t>
      </w:r>
      <w:r w:rsidR="00EB4C4C">
        <w:rPr>
          <w:rFonts w:cs="Times New Roman"/>
        </w:rPr>
        <w:t>12</w:t>
      </w:r>
      <w:r w:rsidR="00EB4C4C" w:rsidRPr="006273B2">
        <w:rPr>
          <w:rFonts w:cs="Times New Roman"/>
        </w:rPr>
        <w:t xml:space="preserve"> </w:t>
      </w:r>
      <w:r w:rsidR="00EB4C4C">
        <w:rPr>
          <w:rFonts w:cs="Times New Roman"/>
        </w:rPr>
        <w:t>S&amp;T</w:t>
      </w:r>
      <w:r w:rsidR="00EB4C4C" w:rsidRPr="006273B2">
        <w:rPr>
          <w:rFonts w:cs="Times New Roman"/>
        </w:rPr>
        <w:t xml:space="preserve"> Committee designated this item as a Voting Item.</w:t>
      </w:r>
    </w:p>
    <w:p w:rsidR="00F8223C" w:rsidRPr="00A15903" w:rsidRDefault="00F8223C" w:rsidP="00F8223C">
      <w:r w:rsidRPr="00A15903">
        <w:t xml:space="preserve">During </w:t>
      </w:r>
      <w:r w:rsidR="00762BCA">
        <w:t>Open Hearings</w:t>
      </w:r>
      <w:r w:rsidR="00A15903" w:rsidRPr="00B77FD2">
        <w:t xml:space="preserve"> at the 2012 NCWM Annual Meeting</w:t>
      </w:r>
      <w:r w:rsidR="00717EB5">
        <w:t xml:space="preserve">, the </w:t>
      </w:r>
      <w:r w:rsidR="00674E77">
        <w:t>C</w:t>
      </w:r>
      <w:r w:rsidR="00674E77" w:rsidRPr="00A15903">
        <w:t xml:space="preserve">ommittee </w:t>
      </w:r>
      <w:r w:rsidRPr="00A15903">
        <w:t>heard suggestions to establish an effective date for the requirements, with suggestions of 2</w:t>
      </w:r>
      <w:r w:rsidR="00717EB5">
        <w:t>014 or 2015 as possibilities.  However, t</w:t>
      </w:r>
      <w:r w:rsidRPr="00A15903">
        <w:t xml:space="preserve">he </w:t>
      </w:r>
      <w:r w:rsidR="00674E77">
        <w:t>C</w:t>
      </w:r>
      <w:r w:rsidR="00674E77" w:rsidRPr="00A15903">
        <w:t xml:space="preserve">ommittee </w:t>
      </w:r>
      <w:r w:rsidRPr="00A15903">
        <w:t>saw no merit to establ</w:t>
      </w:r>
      <w:r w:rsidR="00717EB5">
        <w:t xml:space="preserve">ishing an effective date.  The </w:t>
      </w:r>
      <w:r w:rsidR="00674E77">
        <w:t>C</w:t>
      </w:r>
      <w:r w:rsidR="00674E77" w:rsidRPr="00A15903">
        <w:t xml:space="preserve">ommittee </w:t>
      </w:r>
      <w:r w:rsidRPr="00A15903">
        <w:t xml:space="preserve">noted that the current requirements in </w:t>
      </w:r>
      <w:r w:rsidR="00674E77">
        <w:t xml:space="preserve">NIST </w:t>
      </w:r>
      <w:r w:rsidRPr="00A15903">
        <w:t>Handbook 44 do not permit systems to offer post-delivery discounts.  The changes proposed by the Task Group would establish the option for a system to be used to offer post-delivery discounts, provided the system meets certain requirements to provide the customer with information about how the discounts are applied.  Th</w:t>
      </w:r>
      <w:r w:rsidR="00717EB5">
        <w:t xml:space="preserve">e </w:t>
      </w:r>
      <w:r w:rsidR="00187C84">
        <w:t>C</w:t>
      </w:r>
      <w:r w:rsidR="00187C84" w:rsidRPr="00A15903">
        <w:t xml:space="preserve">ommittee </w:t>
      </w:r>
      <w:r w:rsidRPr="00A15903">
        <w:t>recognized that the criteria outlined by the Task Group includes important provisions that should be in place in order to take advantage of the option to offer post-delivery discounts and maintained that these are essential for all systems where post-delivery discounts are to take place.  However, the proposed changes are permissive; thus, an effective date is unnecessary.  A system is not required to meet the new requirement unless the device owner decides to offer post-delivery discounts.</w:t>
      </w:r>
    </w:p>
    <w:p w:rsidR="00F8223C" w:rsidRPr="00B77FD2" w:rsidRDefault="00F8223C" w:rsidP="00F8223C">
      <w:r w:rsidRPr="00A15903">
        <w:lastRenderedPageBreak/>
        <w:t xml:space="preserve">The </w:t>
      </w:r>
      <w:r w:rsidR="00674E77">
        <w:t>C</w:t>
      </w:r>
      <w:r w:rsidR="00674E77" w:rsidRPr="00A15903">
        <w:t xml:space="preserve">ommittee </w:t>
      </w:r>
      <w:r w:rsidRPr="00A15903">
        <w:t xml:space="preserve">considered suggested clarifications to the language offered by </w:t>
      </w:r>
      <w:r w:rsidR="00674E77">
        <w:t xml:space="preserve">NIST, </w:t>
      </w:r>
      <w:r w:rsidRPr="00A15903">
        <w:t xml:space="preserve">OWM. </w:t>
      </w:r>
      <w:r w:rsidR="00D727C8">
        <w:t xml:space="preserve"> </w:t>
      </w:r>
      <w:r w:rsidR="00785F7E">
        <w:t xml:space="preserve">NIST, </w:t>
      </w:r>
      <w:r w:rsidRPr="00A15903">
        <w:t xml:space="preserve">OWM suggested changes to paragraph S.1.6.7. to require clear identification of transaction information on the receipt.  Additionally, </w:t>
      </w:r>
      <w:r w:rsidR="00674E77">
        <w:t xml:space="preserve">NIST, </w:t>
      </w:r>
      <w:r w:rsidRPr="00A15903">
        <w:t xml:space="preserve">OWM suggested changes to S.1.6.8. that would require information related to the fuel transaction to be grouped together and to clearly designate the required information on the receipt, with the goal of assisting the customer in interpreting the transaction information.  </w:t>
      </w:r>
      <w:r w:rsidR="00674E77">
        <w:t xml:space="preserve">NIST, </w:t>
      </w:r>
      <w:r w:rsidRPr="00A15903">
        <w:t>OWM also provided examples of possible receipt formats that could be incorporated into guidance documents such as NCWM</w:t>
      </w:r>
      <w:r w:rsidR="00717EB5">
        <w:t xml:space="preserve"> Publication 14.  However, the </w:t>
      </w:r>
      <w:r w:rsidR="00D727C8">
        <w:t>C</w:t>
      </w:r>
      <w:r w:rsidR="00D727C8" w:rsidRPr="00A15903">
        <w:t xml:space="preserve">ommittee </w:t>
      </w:r>
      <w:r w:rsidRPr="00A15903">
        <w:t>agreed that the proposed language is adequately clear as proposed and noted that any deficiencies that might be discovered in the language as it is implemented, can be identified and addressed in the future.</w:t>
      </w:r>
    </w:p>
    <w:p w:rsidR="00DF627C" w:rsidRPr="00B77FD2" w:rsidRDefault="00717EB5" w:rsidP="00F8223C">
      <w:r>
        <w:t xml:space="preserve">The </w:t>
      </w:r>
      <w:r w:rsidR="00674E77">
        <w:t>C</w:t>
      </w:r>
      <w:r w:rsidR="00674E77" w:rsidRPr="00B77FD2">
        <w:t xml:space="preserve">ommittee </w:t>
      </w:r>
      <w:r w:rsidR="00DF627C" w:rsidRPr="00B77FD2">
        <w:t>originally considered and proposed for voting in its 2012 Interim Report the following proposed changes to UR.3.2.:</w:t>
      </w:r>
    </w:p>
    <w:p w:rsidR="00DF627C" w:rsidRPr="00B77FD2" w:rsidRDefault="00DF627C" w:rsidP="006E6DC2">
      <w:pPr>
        <w:pStyle w:val="I-Normal-bold"/>
        <w:tabs>
          <w:tab w:val="left" w:pos="1080"/>
        </w:tabs>
      </w:pPr>
      <w:r w:rsidRPr="00B77FD2">
        <w:t>UR.3.2</w:t>
      </w:r>
      <w:r w:rsidR="00D727C8" w:rsidRPr="00B77FD2">
        <w:t>.</w:t>
      </w:r>
      <w:r w:rsidR="00D727C8">
        <w:tab/>
      </w:r>
      <w:r w:rsidRPr="00B77FD2">
        <w:t>Unit Price and Product Identity.</w:t>
      </w:r>
    </w:p>
    <w:p w:rsidR="00DF627C" w:rsidRPr="00B77FD2" w:rsidRDefault="00DF627C" w:rsidP="00DF627C">
      <w:pPr>
        <w:pStyle w:val="I-Normal1indent"/>
        <w:ind w:left="1080" w:hanging="360"/>
      </w:pPr>
      <w:r w:rsidRPr="00B77FD2">
        <w:t>(a)</w:t>
      </w:r>
      <w:r w:rsidRPr="00B77FD2">
        <w:tab/>
      </w:r>
      <w:r w:rsidRPr="00B77FD2">
        <w:rPr>
          <w:b/>
          <w:strike/>
        </w:rPr>
        <w:t>The following information</w:t>
      </w:r>
      <w:r w:rsidRPr="00B77FD2">
        <w:t xml:space="preserve"> </w:t>
      </w:r>
      <w:r w:rsidRPr="00B77FD2">
        <w:rPr>
          <w:b/>
          <w:u w:val="single"/>
        </w:rPr>
        <w:t>In the case of a computing type or money-operated type dispenser, the final unit price that includes any pre-delivery discounts and at which the device or system is set to compute</w:t>
      </w:r>
      <w:r w:rsidRPr="00B77FD2">
        <w:t xml:space="preserve"> shall be conspicuously displayed or posted on the face of a retail dispenser used in direct sale</w:t>
      </w:r>
      <w:r w:rsidRPr="00B77FD2">
        <w:rPr>
          <w:b/>
          <w:strike/>
          <w:u w:val="single"/>
        </w:rPr>
        <w:t>:</w:t>
      </w:r>
      <w:r w:rsidRPr="00B77FD2">
        <w:rPr>
          <w:b/>
          <w:u w:val="single"/>
        </w:rPr>
        <w:t>. At the completion of a transaction, the displayed unit price shall revert to the highest unit price available.  Additionally, any discounted prices may be posted on or adjacent to the dispenser.  The completion of a transaction is defined as the time the delivery has been terminated and payment has been settled.  The payment may be automatic if the delivery is to a pre-paid amount.  If the sale is prepaid, the delivery is considered terminated after the “handle” is in the off position or after the nozzle has been returned to a designed hanging position.</w:t>
      </w:r>
      <w:r w:rsidRPr="00B77FD2">
        <w:t xml:space="preserve">  </w:t>
      </w:r>
    </w:p>
    <w:p w:rsidR="00DF627C" w:rsidRPr="00B77FD2" w:rsidRDefault="00DF627C" w:rsidP="006E6DC2">
      <w:pPr>
        <w:pStyle w:val="I-Normal2indent"/>
        <w:ind w:left="1440" w:hanging="360"/>
        <w:rPr>
          <w:b/>
          <w:strike/>
        </w:rPr>
      </w:pPr>
      <w:r w:rsidRPr="00B77FD2">
        <w:rPr>
          <w:b/>
          <w:strike/>
        </w:rPr>
        <w:t>(1)</w:t>
      </w:r>
      <w:r w:rsidRPr="00B77FD2">
        <w:rPr>
          <w:b/>
        </w:rPr>
        <w:tab/>
      </w:r>
      <w:r w:rsidRPr="00B77FD2">
        <w:rPr>
          <w:b/>
          <w:strike/>
        </w:rPr>
        <w:t>except for dispensers used exclusively for fleet sales, other price contract sales, and truck refueling (e.g., truck stop dispensers used only to refuel trucks), all of the unit prices at which the product is offered for sale; and</w:t>
      </w:r>
    </w:p>
    <w:p w:rsidR="00DF627C" w:rsidRPr="00B77FD2" w:rsidRDefault="00DF627C" w:rsidP="006E6DC2">
      <w:pPr>
        <w:pStyle w:val="I-Normal2indent"/>
        <w:ind w:left="1440" w:hanging="360"/>
        <w:rPr>
          <w:b/>
          <w:strike/>
        </w:rPr>
      </w:pPr>
      <w:r w:rsidRPr="00B77FD2">
        <w:rPr>
          <w:b/>
          <w:strike/>
        </w:rPr>
        <w:t>(2)</w:t>
      </w:r>
      <w:r w:rsidRPr="00B77FD2">
        <w:rPr>
          <w:b/>
        </w:rPr>
        <w:tab/>
      </w:r>
      <w:r w:rsidRPr="00B77FD2">
        <w:rPr>
          <w:b/>
          <w:strike/>
        </w:rPr>
        <w:t>in the case of a computing type or money-operated type, the unit price at which the dispenser is set to compute.</w:t>
      </w:r>
    </w:p>
    <w:p w:rsidR="00DF627C" w:rsidRPr="00B77FD2" w:rsidRDefault="00DF627C" w:rsidP="00DF627C">
      <w:pPr>
        <w:pStyle w:val="I-Normalreg"/>
        <w:rPr>
          <w:b/>
          <w:strike/>
        </w:rPr>
      </w:pPr>
      <w:r w:rsidRPr="00B77FD2">
        <w:rPr>
          <w:b/>
          <w:strike/>
        </w:rPr>
        <w:t>Provided that the dispenser complies with S.1.6.4.1. Display of Unit Price, it is not necessary that all the unit prices for all grades, brands, blends, or mixtures be simultaneously displayed or posted.</w:t>
      </w:r>
    </w:p>
    <w:p w:rsidR="00DF627C" w:rsidRPr="00B77FD2" w:rsidRDefault="00DF627C" w:rsidP="00DF627C">
      <w:pPr>
        <w:pStyle w:val="I-Normalreg"/>
        <w:rPr>
          <w:b/>
          <w:u w:val="single"/>
        </w:rPr>
      </w:pPr>
      <w:r w:rsidRPr="00B77FD2">
        <w:rPr>
          <w:b/>
          <w:u w:val="single"/>
        </w:rPr>
        <w:t xml:space="preserve">Note: </w:t>
      </w:r>
      <w:r w:rsidR="007D41F2">
        <w:rPr>
          <w:b/>
          <w:u w:val="single"/>
        </w:rPr>
        <w:t xml:space="preserve"> </w:t>
      </w:r>
      <w:r w:rsidRPr="00B77FD2">
        <w:rPr>
          <w:b/>
          <w:u w:val="single"/>
        </w:rPr>
        <w:t>Dispensers used exclusively for fleet sales, or other price contract sales, and truck refueling (e.g., truck stop dispensers used only to refuel trucks), are exempt from paragraph U.R.3.2.(a).</w:t>
      </w:r>
    </w:p>
    <w:p w:rsidR="00DF627C" w:rsidRPr="00B77FD2" w:rsidRDefault="00DF627C" w:rsidP="00DF627C">
      <w:pPr>
        <w:pStyle w:val="I-Normal1indent"/>
        <w:ind w:left="1080" w:hanging="360"/>
      </w:pPr>
      <w:r w:rsidRPr="00B77FD2">
        <w:t>(b)</w:t>
      </w:r>
      <w:r w:rsidRPr="00B77FD2">
        <w:tab/>
        <w:t>The following information shall be conspicuously displayed or posted on each side of a retail dispenser used in direct sale:</w:t>
      </w:r>
    </w:p>
    <w:p w:rsidR="00DF627C" w:rsidRPr="00B77FD2" w:rsidRDefault="00DF627C" w:rsidP="006E6DC2">
      <w:pPr>
        <w:pStyle w:val="I-Normal2indent"/>
        <w:ind w:left="1440" w:hanging="360"/>
      </w:pPr>
      <w:r w:rsidRPr="00B77FD2">
        <w:t>(1)</w:t>
      </w:r>
      <w:r w:rsidRPr="00B77FD2">
        <w:tab/>
        <w:t>the identity of the product in descriptive commercial terms; and</w:t>
      </w:r>
    </w:p>
    <w:p w:rsidR="00DF627C" w:rsidRPr="00B77FD2" w:rsidRDefault="00DF627C" w:rsidP="006E6DC2">
      <w:pPr>
        <w:pStyle w:val="I-Normal2indent"/>
        <w:spacing w:after="60"/>
        <w:ind w:left="1440" w:hanging="360"/>
      </w:pPr>
      <w:r w:rsidRPr="00B77FD2">
        <w:t>(2)</w:t>
      </w:r>
      <w:r w:rsidRPr="00B77FD2">
        <w:tab/>
        <w:t>the identity of the grade, brand, blend, or mixture that a multi-product dispenser is set to deliver.</w:t>
      </w:r>
    </w:p>
    <w:p w:rsidR="00DF627C" w:rsidRDefault="00DF627C" w:rsidP="00DF627C">
      <w:pPr>
        <w:pStyle w:val="I-Normalreg"/>
      </w:pPr>
      <w:r w:rsidRPr="00B77FD2">
        <w:t xml:space="preserve">(Amended 1972, 1983, 1987, 1989, 1992, </w:t>
      </w:r>
      <w:r w:rsidRPr="00B77FD2">
        <w:rPr>
          <w:b/>
          <w:strike/>
        </w:rPr>
        <w:t>and</w:t>
      </w:r>
      <w:r w:rsidRPr="00B77FD2">
        <w:t xml:space="preserve"> 1993</w:t>
      </w:r>
      <w:r w:rsidRPr="00B77FD2">
        <w:rPr>
          <w:b/>
          <w:u w:val="single"/>
        </w:rPr>
        <w:t>, and 2012</w:t>
      </w:r>
      <w:r w:rsidRPr="00B77FD2">
        <w:t>)</w:t>
      </w:r>
    </w:p>
    <w:p w:rsidR="00F8223C" w:rsidRPr="00F81098" w:rsidRDefault="00DF627C" w:rsidP="00F8223C">
      <w:pPr>
        <w:rPr>
          <w:szCs w:val="20"/>
        </w:rPr>
      </w:pPr>
      <w:r w:rsidRPr="00B77FD2">
        <w:t>However, during the 2012 Annual Meeting, t</w:t>
      </w:r>
      <w:r w:rsidR="00717EB5">
        <w:t xml:space="preserve">he </w:t>
      </w:r>
      <w:r w:rsidR="00674E77">
        <w:t>C</w:t>
      </w:r>
      <w:r w:rsidR="00674E77" w:rsidRPr="00A15903">
        <w:t xml:space="preserve">ommittee </w:t>
      </w:r>
      <w:r w:rsidR="00F8223C" w:rsidRPr="00A15903">
        <w:t xml:space="preserve">was made aware of a potential negative financial impact on device owners as a result of </w:t>
      </w:r>
      <w:r w:rsidR="00A15903" w:rsidRPr="00B77FD2">
        <w:t>the</w:t>
      </w:r>
      <w:r w:rsidR="00F8223C" w:rsidRPr="00A15903">
        <w:t xml:space="preserve"> proposed changes to UR.3.2. to require a reversion of the unit price to the highest unit price available.  Even with a phase in period or grace period, older equipment may never be able to comply, including equipment that doesn’t participate in post-delivery discounting.  Consequently, t</w:t>
      </w:r>
      <w:r w:rsidR="00717EB5">
        <w:rPr>
          <w:szCs w:val="20"/>
        </w:rPr>
        <w:t xml:space="preserve">he </w:t>
      </w:r>
      <w:r w:rsidR="00187C84">
        <w:rPr>
          <w:szCs w:val="20"/>
        </w:rPr>
        <w:t>C</w:t>
      </w:r>
      <w:r w:rsidR="00187C84" w:rsidRPr="00A15903">
        <w:rPr>
          <w:szCs w:val="20"/>
        </w:rPr>
        <w:t xml:space="preserve">ommittee </w:t>
      </w:r>
      <w:r w:rsidR="00F8223C" w:rsidRPr="00A15903">
        <w:rPr>
          <w:szCs w:val="20"/>
        </w:rPr>
        <w:t>recommend</w:t>
      </w:r>
      <w:r w:rsidR="00A15903" w:rsidRPr="00B77FD2">
        <w:rPr>
          <w:szCs w:val="20"/>
        </w:rPr>
        <w:t>ed</w:t>
      </w:r>
      <w:r w:rsidR="00F8223C" w:rsidRPr="00A15903">
        <w:rPr>
          <w:szCs w:val="20"/>
        </w:rPr>
        <w:t xml:space="preserve"> the changes to paragraph UR.3.2. </w:t>
      </w:r>
      <w:r w:rsidR="00A15903" w:rsidRPr="00B77FD2">
        <w:rPr>
          <w:szCs w:val="20"/>
        </w:rPr>
        <w:t>as shown in</w:t>
      </w:r>
      <w:r w:rsidR="00F8223C" w:rsidRPr="00A15903">
        <w:rPr>
          <w:szCs w:val="20"/>
        </w:rPr>
        <w:t xml:space="preserve"> t</w:t>
      </w:r>
      <w:r w:rsidR="00A15903" w:rsidRPr="00B77FD2">
        <w:rPr>
          <w:szCs w:val="20"/>
        </w:rPr>
        <w:t>he “Item Under Consideration.”  T</w:t>
      </w:r>
      <w:r w:rsidR="00F8223C" w:rsidRPr="00A15903">
        <w:t xml:space="preserve">he remaining proposals in the “Item Under Consideration” </w:t>
      </w:r>
      <w:r w:rsidR="00A15903" w:rsidRPr="00B77FD2">
        <w:t>were unchanged from</w:t>
      </w:r>
      <w:r w:rsidR="00717EB5">
        <w:t xml:space="preserve"> the </w:t>
      </w:r>
      <w:r w:rsidR="00674E77">
        <w:t>C</w:t>
      </w:r>
      <w:r w:rsidR="00674E77" w:rsidRPr="00A15903">
        <w:t xml:space="preserve">ommittee’s </w:t>
      </w:r>
      <w:r w:rsidR="00F8223C" w:rsidRPr="00A15903">
        <w:t>original proposal in the 2012 NCWM Publication 16.</w:t>
      </w:r>
    </w:p>
    <w:p w:rsidR="007D51E4" w:rsidRDefault="007D51E4" w:rsidP="007D41F2">
      <w:pPr>
        <w:pStyle w:val="ItemHeading"/>
        <w:ind w:left="0" w:firstLine="0"/>
      </w:pPr>
      <w:bookmarkStart w:id="23" w:name="_Toc334183625"/>
      <w:r>
        <w:lastRenderedPageBreak/>
        <w:t>330-2</w:t>
      </w:r>
      <w:r>
        <w:tab/>
        <w:t>V</w:t>
      </w:r>
      <w:r>
        <w:tab/>
        <w:t xml:space="preserve">S.1.6.5.4. </w:t>
      </w:r>
      <w:r w:rsidR="001D7785">
        <w:t xml:space="preserve"> </w:t>
      </w:r>
      <w:r>
        <w:t>Selection of Unit Price</w:t>
      </w:r>
      <w:bookmarkEnd w:id="23"/>
    </w:p>
    <w:p w:rsidR="007D51E4" w:rsidRDefault="007D51E4" w:rsidP="009D4995">
      <w:r w:rsidRPr="00206B57">
        <w:t>This item was consolidated with Item 330-</w:t>
      </w:r>
      <w:r>
        <w:t xml:space="preserve">1 as a result of action by the </w:t>
      </w:r>
      <w:r w:rsidR="006D5117">
        <w:t>C</w:t>
      </w:r>
      <w:r w:rsidR="006D5117" w:rsidRPr="00206B57">
        <w:t xml:space="preserve">ommittee </w:t>
      </w:r>
      <w:r w:rsidRPr="00206B57">
        <w:t>at the 2012 Interim Meeting.</w:t>
      </w:r>
    </w:p>
    <w:p w:rsidR="007D51E4" w:rsidRDefault="007D51E4">
      <w:pPr>
        <w:pStyle w:val="ItemHeading"/>
      </w:pPr>
      <w:bookmarkStart w:id="24" w:name="_Toc334183626"/>
      <w:r>
        <w:t>330-3</w:t>
      </w:r>
      <w:r>
        <w:tab/>
        <w:t>V</w:t>
      </w:r>
      <w:r>
        <w:tab/>
        <w:t>S.1.6.6.</w:t>
      </w:r>
      <w:r w:rsidR="001D7785">
        <w:t xml:space="preserve"> </w:t>
      </w:r>
      <w:r>
        <w:t xml:space="preserve"> Agreement Between Indications</w:t>
      </w:r>
      <w:bookmarkEnd w:id="24"/>
    </w:p>
    <w:p w:rsidR="007D51E4" w:rsidRDefault="007D51E4" w:rsidP="007D51E4">
      <w:r w:rsidRPr="00206B57">
        <w:t>This item was consolidated with Item 330-</w:t>
      </w:r>
      <w:r>
        <w:t xml:space="preserve">1 as a result of action by the </w:t>
      </w:r>
      <w:r w:rsidR="006D5117">
        <w:t>C</w:t>
      </w:r>
      <w:r w:rsidR="006D5117" w:rsidRPr="00206B57">
        <w:t xml:space="preserve">ommittee </w:t>
      </w:r>
      <w:r w:rsidRPr="00206B57">
        <w:t>at the 2012 Interim Meeting.</w:t>
      </w:r>
    </w:p>
    <w:p w:rsidR="007D51E4" w:rsidRDefault="007D51E4">
      <w:pPr>
        <w:pStyle w:val="ItemHeading"/>
      </w:pPr>
      <w:bookmarkStart w:id="25" w:name="_Toc334183627"/>
      <w:r>
        <w:t>330-4</w:t>
      </w:r>
      <w:r>
        <w:tab/>
        <w:t>V</w:t>
      </w:r>
      <w:r>
        <w:tab/>
        <w:t>S.1.6.7.</w:t>
      </w:r>
      <w:r w:rsidR="001D7785">
        <w:t xml:space="preserve"> </w:t>
      </w:r>
      <w:r>
        <w:t xml:space="preserve"> Recorded Representations</w:t>
      </w:r>
      <w:bookmarkEnd w:id="25"/>
    </w:p>
    <w:p w:rsidR="007D51E4" w:rsidRDefault="007D51E4" w:rsidP="009D4995">
      <w:r w:rsidRPr="00206B57">
        <w:t>This item was consolidated with Item 330-</w:t>
      </w:r>
      <w:r>
        <w:t xml:space="preserve">1 as a result of action by the </w:t>
      </w:r>
      <w:r w:rsidR="006D5117">
        <w:t>C</w:t>
      </w:r>
      <w:r w:rsidR="006D5117" w:rsidRPr="00206B57">
        <w:t xml:space="preserve">ommittee </w:t>
      </w:r>
      <w:r w:rsidRPr="00206B57">
        <w:t>at the 2012 Interim Meeting.</w:t>
      </w:r>
    </w:p>
    <w:p w:rsidR="007D51E4" w:rsidRDefault="007D51E4">
      <w:pPr>
        <w:pStyle w:val="ItemHeading"/>
      </w:pPr>
      <w:bookmarkStart w:id="26" w:name="_Toc334183628"/>
      <w:r>
        <w:t>330-5</w:t>
      </w:r>
      <w:r>
        <w:tab/>
        <w:t>V</w:t>
      </w:r>
      <w:r>
        <w:tab/>
        <w:t xml:space="preserve">UR.3.2. </w:t>
      </w:r>
      <w:r w:rsidR="001D7785">
        <w:t xml:space="preserve"> </w:t>
      </w:r>
      <w:r>
        <w:t>Unit Price and Product Identity</w:t>
      </w:r>
      <w:bookmarkEnd w:id="26"/>
    </w:p>
    <w:p w:rsidR="007D51E4" w:rsidRDefault="007D51E4" w:rsidP="009D4995">
      <w:r w:rsidRPr="00206B57">
        <w:t>This item was consolidated with Item 330-</w:t>
      </w:r>
      <w:r>
        <w:t xml:space="preserve">1 as a result of action by the </w:t>
      </w:r>
      <w:r w:rsidR="006D5117">
        <w:t>C</w:t>
      </w:r>
      <w:r w:rsidR="006D5117" w:rsidRPr="00206B57">
        <w:t xml:space="preserve">ommittee </w:t>
      </w:r>
      <w:r w:rsidRPr="00206B57">
        <w:t>at the 2012 Interim Meeting.</w:t>
      </w:r>
    </w:p>
    <w:p w:rsidR="007D51E4" w:rsidRDefault="007D51E4">
      <w:pPr>
        <w:pStyle w:val="ItemHeading"/>
      </w:pPr>
      <w:bookmarkStart w:id="27" w:name="_Toc334183629"/>
      <w:r>
        <w:t>330-6</w:t>
      </w:r>
      <w:r>
        <w:tab/>
        <w:t>V</w:t>
      </w:r>
      <w:r>
        <w:tab/>
        <w:t xml:space="preserve">UR.3.3. </w:t>
      </w:r>
      <w:r w:rsidR="001D7785">
        <w:t xml:space="preserve"> </w:t>
      </w:r>
      <w:r>
        <w:t>Computing Device</w:t>
      </w:r>
      <w:bookmarkEnd w:id="27"/>
    </w:p>
    <w:p w:rsidR="007D51E4" w:rsidRDefault="007D51E4" w:rsidP="009D4995">
      <w:r w:rsidRPr="00206B57">
        <w:t>This item was consolidated with Item 330-</w:t>
      </w:r>
      <w:r>
        <w:t xml:space="preserve">1 as a result of action by the </w:t>
      </w:r>
      <w:r w:rsidR="006D5117">
        <w:t>C</w:t>
      </w:r>
      <w:r w:rsidR="006D5117" w:rsidRPr="00206B57">
        <w:t xml:space="preserve">ommittee </w:t>
      </w:r>
      <w:r w:rsidRPr="00206B57">
        <w:t>at the 2012 Interim Meeting.</w:t>
      </w:r>
    </w:p>
    <w:p w:rsidR="00E16DDA" w:rsidRDefault="00E16DDA">
      <w:pPr>
        <w:pStyle w:val="ItemHeading"/>
      </w:pPr>
      <w:bookmarkStart w:id="28" w:name="_Toc334183630"/>
      <w:r>
        <w:t>330-7</w:t>
      </w:r>
      <w:r>
        <w:tab/>
      </w:r>
      <w:r w:rsidR="00AC27BA">
        <w:t>W</w:t>
      </w:r>
      <w:r w:rsidR="00AC27BA">
        <w:tab/>
      </w:r>
      <w:r>
        <w:t>UR.3.X.  Nozzle Color for Retail Motor Fuel Dispensers</w:t>
      </w:r>
      <w:bookmarkEnd w:id="28"/>
    </w:p>
    <w:p w:rsidR="002D176D" w:rsidRDefault="002D176D" w:rsidP="002D176D">
      <w:pPr>
        <w:ind w:left="14" w:hanging="14"/>
        <w:jc w:val="center"/>
      </w:pPr>
      <w:r w:rsidRPr="000C335C">
        <w:rPr>
          <w:szCs w:val="20"/>
          <w:lang w:val="en-CA"/>
        </w:rPr>
        <w:t xml:space="preserve">(This item was </w:t>
      </w:r>
      <w:r>
        <w:rPr>
          <w:szCs w:val="20"/>
          <w:lang w:val="en-CA"/>
        </w:rPr>
        <w:t>withdrawn</w:t>
      </w:r>
      <w:r w:rsidRPr="000C335C">
        <w:rPr>
          <w:szCs w:val="20"/>
          <w:lang w:val="en-CA"/>
        </w:rPr>
        <w:t>.)</w:t>
      </w:r>
    </w:p>
    <w:p w:rsidR="00674E77" w:rsidRDefault="00E16DDA" w:rsidP="006E6DC2">
      <w:pPr>
        <w:pStyle w:val="BoldHeading"/>
        <w:spacing w:after="0"/>
      </w:pPr>
      <w:r>
        <w:t xml:space="preserve">Source: </w:t>
      </w:r>
      <w:r>
        <w:tab/>
      </w:r>
      <w:r>
        <w:tab/>
      </w:r>
    </w:p>
    <w:p w:rsidR="00E16DDA" w:rsidRPr="006E6DC2" w:rsidRDefault="00E16DDA" w:rsidP="00B77FD2">
      <w:pPr>
        <w:pStyle w:val="BoldHeading"/>
        <w:rPr>
          <w:b w:val="0"/>
        </w:rPr>
      </w:pPr>
      <w:r w:rsidRPr="006E6DC2">
        <w:rPr>
          <w:b w:val="0"/>
        </w:rPr>
        <w:t>Missouri Department of Agriculture</w:t>
      </w:r>
      <w:r w:rsidR="002A42AB" w:rsidRPr="006E6DC2">
        <w:rPr>
          <w:b w:val="0"/>
        </w:rPr>
        <w:t xml:space="preserve"> (2012)</w:t>
      </w:r>
    </w:p>
    <w:p w:rsidR="00E16DDA" w:rsidRDefault="00E16DDA" w:rsidP="006E6DC2">
      <w:pPr>
        <w:pStyle w:val="BoldHeading"/>
        <w:spacing w:after="0"/>
      </w:pPr>
      <w:r>
        <w:t xml:space="preserve">Purpose: </w:t>
      </w:r>
      <w:r>
        <w:tab/>
      </w:r>
    </w:p>
    <w:p w:rsidR="00E16DDA" w:rsidRDefault="002A42AB" w:rsidP="00E16DDA">
      <w:r>
        <w:t>Prevent accidental mis</w:t>
      </w:r>
      <w:r w:rsidR="00AC27BA">
        <w:t>-</w:t>
      </w:r>
      <w:r>
        <w:t>fueling by establishing</w:t>
      </w:r>
      <w:r w:rsidR="00E16DDA">
        <w:t xml:space="preserve"> uniform fuel dispenser nozzle colors for product recognition. </w:t>
      </w:r>
    </w:p>
    <w:p w:rsidR="00E16DDA" w:rsidRDefault="00E16DDA" w:rsidP="006E6DC2">
      <w:pPr>
        <w:pStyle w:val="BoldHeading"/>
        <w:spacing w:after="0"/>
      </w:pPr>
      <w:r>
        <w:t xml:space="preserve">Item Under Consideration: </w:t>
      </w:r>
    </w:p>
    <w:p w:rsidR="00E16DDA" w:rsidRDefault="00D67AE8" w:rsidP="00E16DDA">
      <w:r>
        <w:t xml:space="preserve">The </w:t>
      </w:r>
      <w:r w:rsidR="001D7785">
        <w:t xml:space="preserve">Committee </w:t>
      </w:r>
      <w:r>
        <w:t xml:space="preserve">considered a proposal to add </w:t>
      </w:r>
      <w:r w:rsidR="00E16DDA">
        <w:t xml:space="preserve">the following paragraph to </w:t>
      </w:r>
      <w:r w:rsidR="00E16DDA" w:rsidRPr="006E6DC2">
        <w:t>NIST Handbook 44</w:t>
      </w:r>
      <w:r w:rsidR="006E6DC2">
        <w:t>,</w:t>
      </w:r>
      <w:r w:rsidR="00E16DDA">
        <w:t xml:space="preserve"> Liquid Measuring Devices Code:</w:t>
      </w:r>
    </w:p>
    <w:p w:rsidR="00E16DDA" w:rsidRPr="00E16DDA" w:rsidRDefault="00E16DDA" w:rsidP="006E6DC2">
      <w:pPr>
        <w:pStyle w:val="I-Normalreg"/>
        <w:tabs>
          <w:tab w:val="left" w:pos="1260"/>
        </w:tabs>
        <w:rPr>
          <w:b/>
          <w:u w:val="single"/>
        </w:rPr>
      </w:pPr>
      <w:r w:rsidRPr="00E16DDA">
        <w:rPr>
          <w:b/>
          <w:u w:val="single"/>
        </w:rPr>
        <w:t>UR.3.X</w:t>
      </w:r>
      <w:r w:rsidR="006D5117" w:rsidRPr="00E16DDA">
        <w:rPr>
          <w:b/>
          <w:u w:val="single"/>
        </w:rPr>
        <w:t>.</w:t>
      </w:r>
      <w:r w:rsidR="006D5117">
        <w:rPr>
          <w:b/>
          <w:u w:val="single"/>
        </w:rPr>
        <w:tab/>
      </w:r>
      <w:r w:rsidRPr="00E16DDA">
        <w:rPr>
          <w:b/>
          <w:u w:val="single"/>
        </w:rPr>
        <w:t>Nozzle Color for Retail Motor Fuel Dispensers.</w:t>
      </w:r>
    </w:p>
    <w:p w:rsidR="00E16DDA" w:rsidRPr="00E16DDA" w:rsidRDefault="00E16DDA" w:rsidP="006E6DC2">
      <w:pPr>
        <w:pStyle w:val="I-LetterAIndent1"/>
        <w:ind w:left="1080"/>
        <w:rPr>
          <w:b/>
          <w:u w:val="single"/>
        </w:rPr>
      </w:pPr>
      <w:r w:rsidRPr="00E16DDA">
        <w:rPr>
          <w:b/>
          <w:u w:val="single"/>
        </w:rPr>
        <w:t>(a</w:t>
      </w:r>
      <w:r w:rsidR="006D5117" w:rsidRPr="00E16DDA">
        <w:rPr>
          <w:b/>
          <w:u w:val="single"/>
        </w:rPr>
        <w:t>)</w:t>
      </w:r>
      <w:r w:rsidR="006D5117">
        <w:rPr>
          <w:b/>
        </w:rPr>
        <w:tab/>
      </w:r>
      <w:r w:rsidRPr="00E16DDA">
        <w:rPr>
          <w:b/>
          <w:u w:val="single"/>
        </w:rPr>
        <w:t>Diesel fuel nozzles shall be green in color and shall be used only for diesel fuel, and</w:t>
      </w:r>
    </w:p>
    <w:p w:rsidR="004629CC" w:rsidRDefault="00E16DDA" w:rsidP="006E6DC2">
      <w:pPr>
        <w:pStyle w:val="I-LetterAIndent1"/>
        <w:ind w:left="1080"/>
        <w:rPr>
          <w:b/>
        </w:rPr>
      </w:pPr>
      <w:r w:rsidRPr="00E16DDA">
        <w:rPr>
          <w:b/>
          <w:u w:val="single"/>
        </w:rPr>
        <w:t>(b</w:t>
      </w:r>
      <w:r w:rsidR="006D5117" w:rsidRPr="00E16DDA">
        <w:rPr>
          <w:b/>
          <w:u w:val="single"/>
        </w:rPr>
        <w:t>)</w:t>
      </w:r>
      <w:r w:rsidR="006D5117">
        <w:rPr>
          <w:b/>
        </w:rPr>
        <w:tab/>
      </w:r>
      <w:r w:rsidRPr="00E16DDA">
        <w:rPr>
          <w:b/>
          <w:u w:val="single"/>
        </w:rPr>
        <w:t>E85 fuel nozzles shall be yellow in color and shall be used only for E85.</w:t>
      </w:r>
    </w:p>
    <w:p w:rsidR="00E16DDA" w:rsidRDefault="00E16DDA" w:rsidP="00E16DDA">
      <w:pPr>
        <w:pStyle w:val="BoldHeading"/>
      </w:pPr>
      <w:r>
        <w:t>Background/Discussion:</w:t>
      </w:r>
    </w:p>
    <w:p w:rsidR="00E16DDA" w:rsidRDefault="00E16DDA" w:rsidP="00E16DDA">
      <w:r>
        <w:t xml:space="preserve">Missouri Weights and Measures </w:t>
      </w:r>
      <w:r w:rsidR="0056019A">
        <w:t xml:space="preserve">Division </w:t>
      </w:r>
      <w:r>
        <w:t>receive numerous complaints each year related to the accidental mis</w:t>
      </w:r>
      <w:r w:rsidR="00D67AE8">
        <w:t>-</w:t>
      </w:r>
      <w:r>
        <w:t xml:space="preserve">fueling of vehicles.  Information received from many other states indicates the same problem exists nationwide. </w:t>
      </w:r>
    </w:p>
    <w:p w:rsidR="00E16DDA" w:rsidRDefault="00E16DDA" w:rsidP="00E16DDA">
      <w:r>
        <w:t xml:space="preserve">If uniform colors were established for nozzles or nozzle covers, the same colors could be used for fill connections on storage tanks.  If color codes were consistent for both fill openings and dispensing nozzles there would likely be far less contamination of fuel in storage tanks and damage to vehicles.  </w:t>
      </w:r>
    </w:p>
    <w:p w:rsidR="00E16DDA" w:rsidRDefault="00D67AE8" w:rsidP="00E16DDA">
      <w:r>
        <w:t xml:space="preserve">The submitter also noted that some </w:t>
      </w:r>
      <w:r w:rsidR="00E16DDA">
        <w:t xml:space="preserve">diesel auto manufacturers now require a minimum of 23.63 mm (0.930 in) outside diameter for nozzle spout size.  This diameter </w:t>
      </w:r>
      <w:r w:rsidR="00EB4C4C">
        <w:t>wa</w:t>
      </w:r>
      <w:r w:rsidR="00E16DDA">
        <w:t>s a common size for all fuels prior to the introduction of unleaded gasoline.</w:t>
      </w:r>
    </w:p>
    <w:p w:rsidR="00E16DDA" w:rsidRDefault="00E16DDA" w:rsidP="00E16DDA">
      <w:r>
        <w:lastRenderedPageBreak/>
        <w:t xml:space="preserve">The proposal </w:t>
      </w:r>
      <w:r w:rsidR="00D67AE8">
        <w:t xml:space="preserve">would establish </w:t>
      </w:r>
      <w:r>
        <w:t>uniform fuel nozzle colors for product recognition on retail motor fuel dispensers to prevent accidental mis</w:t>
      </w:r>
      <w:r w:rsidR="00D67AE8">
        <w:t>-</w:t>
      </w:r>
      <w:r>
        <w:t>fueling of passenger vehicles.  The proposal would require yellow colored nozzle covers for E-85 and mid-level ethanol blends for flex-fuel vehicles and restrict the color yellow from use to identify other products.  The proposal would also require green colored nozzle covers for diesel fuel and mid-level blends of diesel fuel and restrict the color green from use to identify other products.  In the future</w:t>
      </w:r>
      <w:r w:rsidR="00EB4C4C">
        <w:t>,</w:t>
      </w:r>
      <w:r>
        <w:t xml:space="preserve"> consideration could be given to establishing color codes for other products (</w:t>
      </w:r>
      <w:r w:rsidR="007D41F2">
        <w:t xml:space="preserve">e.g., </w:t>
      </w:r>
      <w:r>
        <w:t>gasoline, kerosene)</w:t>
      </w:r>
    </w:p>
    <w:p w:rsidR="00D67AE8" w:rsidRDefault="00D67AE8" w:rsidP="00E16DDA">
      <w:r w:rsidRPr="00D67AE8">
        <w:t xml:space="preserve">At the 2011 </w:t>
      </w:r>
      <w:r w:rsidR="00EB4C4C">
        <w:t xml:space="preserve">CWMA and NEWMA Interim </w:t>
      </w:r>
      <w:r w:rsidRPr="00D67AE8">
        <w:t xml:space="preserve">Meetings </w:t>
      </w:r>
      <w:r w:rsidR="0056019A">
        <w:t xml:space="preserve">and </w:t>
      </w:r>
      <w:r w:rsidRPr="00D67AE8">
        <w:t xml:space="preserve">the </w:t>
      </w:r>
      <w:r w:rsidR="00EB4C4C">
        <w:t xml:space="preserve">2011 </w:t>
      </w:r>
      <w:r w:rsidRPr="00D67AE8">
        <w:t xml:space="preserve">SWMA </w:t>
      </w:r>
      <w:r w:rsidR="00EB4C4C">
        <w:t xml:space="preserve">Annual Meeting, the associations </w:t>
      </w:r>
      <w:r w:rsidR="00EB4C4C" w:rsidRPr="006273B2">
        <w:rPr>
          <w:rFonts w:cs="Times New Roman"/>
        </w:rPr>
        <w:t>fo</w:t>
      </w:r>
      <w:r w:rsidR="00EB4C4C">
        <w:rPr>
          <w:rFonts w:cs="Times New Roman"/>
        </w:rPr>
        <w:t>rwarded the item to NCWM, recommending it as a Developing</w:t>
      </w:r>
      <w:r w:rsidR="00EB4C4C" w:rsidRPr="006273B2">
        <w:rPr>
          <w:rFonts w:cs="Times New Roman"/>
        </w:rPr>
        <w:t xml:space="preserve"> Item</w:t>
      </w:r>
      <w:r w:rsidRPr="00D67AE8">
        <w:t>.  During the CWMA meeting, a number of regulatory officials support</w:t>
      </w:r>
      <w:r w:rsidR="00EB4C4C">
        <w:t>ed</w:t>
      </w:r>
      <w:r w:rsidRPr="00D67AE8">
        <w:t xml:space="preserve"> for this item to promote uniformity.  There was discussion at that meeting about over-regulating and whether the consumer would be aware of and pay attention to this color coding system.  Industry </w:t>
      </w:r>
      <w:r w:rsidR="00EB4C4C">
        <w:t xml:space="preserve">members </w:t>
      </w:r>
      <w:r w:rsidRPr="00D67AE8">
        <w:t xml:space="preserve">suggested that more lead time is needed on this requirement to allow for consumer education, and time to defray the costs associated with this change.  </w:t>
      </w:r>
      <w:r w:rsidR="00EB4C4C">
        <w:t>Others</w:t>
      </w:r>
      <w:r w:rsidRPr="00D67AE8">
        <w:t xml:space="preserve"> express</w:t>
      </w:r>
      <w:r w:rsidR="00EB4C4C">
        <w:t>ed concern</w:t>
      </w:r>
      <w:r w:rsidRPr="00D67AE8">
        <w:t xml:space="preserve"> that this requirement would adversely affect certain brands.  At the NEWMA meeting, many members noted they have received complaints on this issue and would </w:t>
      </w:r>
      <w:r w:rsidR="00EB4C4C">
        <w:t xml:space="preserve">support a standard to </w:t>
      </w:r>
      <w:r w:rsidRPr="00D67AE8">
        <w:t xml:space="preserve">help the consumer more readily </w:t>
      </w:r>
      <w:r w:rsidR="00EB4C4C">
        <w:t xml:space="preserve">identify </w:t>
      </w:r>
      <w:r w:rsidRPr="00D67AE8">
        <w:t>diesel is being selected.  SWMA is amenable to considering a proposal to address the issue of mis-fueling; however, SWMA does not believe the proposal is complete a</w:t>
      </w:r>
      <w:r w:rsidR="000F7EF8">
        <w:t>s written and expressed concern</w:t>
      </w:r>
      <w:r w:rsidRPr="00D67AE8">
        <w:t xml:space="preserve"> that the proposal may not completely address the problems that lead to mis-fueling.  In particular, they believe that nozzle size requirements should be considered.</w:t>
      </w:r>
    </w:p>
    <w:p w:rsidR="00E16DDA" w:rsidRDefault="00E16DDA" w:rsidP="00E16DDA">
      <w:r>
        <w:t xml:space="preserve">At 2011 </w:t>
      </w:r>
      <w:r w:rsidR="000F7EF8">
        <w:t xml:space="preserve">WWMA Annual Meeting, there was no </w:t>
      </w:r>
      <w:r>
        <w:t xml:space="preserve">testimony </w:t>
      </w:r>
      <w:r w:rsidR="00D67AE8">
        <w:t xml:space="preserve">in </w:t>
      </w:r>
      <w:r w:rsidR="002A42AB">
        <w:t>support</w:t>
      </w:r>
      <w:r w:rsidR="00D67AE8">
        <w:t xml:space="preserve"> of</w:t>
      </w:r>
      <w:r w:rsidR="00877869">
        <w:t xml:space="preserve"> </w:t>
      </w:r>
      <w:r>
        <w:t xml:space="preserve">the proposal.  </w:t>
      </w:r>
      <w:r w:rsidR="00D67AE8">
        <w:t xml:space="preserve">WWMA </w:t>
      </w:r>
      <w:r>
        <w:t>noted that the proposal doesn’t prevent accidental mis</w:t>
      </w:r>
      <w:r w:rsidR="00D67AE8">
        <w:t>-</w:t>
      </w:r>
      <w:r>
        <w:t xml:space="preserve">fueling and the potential number of colors for different grades and types of fuel products could be more confusing to customers.  </w:t>
      </w:r>
      <w:r w:rsidR="00D67AE8">
        <w:t xml:space="preserve">WWMA noted that a </w:t>
      </w:r>
      <w:r>
        <w:t>similar proposal was submitted to N</w:t>
      </w:r>
      <w:r w:rsidR="0075709B">
        <w:t xml:space="preserve">CWM in 2002 and was ultimately </w:t>
      </w:r>
      <w:r w:rsidR="000F7EF8">
        <w:t>w</w:t>
      </w:r>
      <w:r>
        <w:t xml:space="preserve">ithdrawn </w:t>
      </w:r>
      <w:r w:rsidR="002A42AB">
        <w:t xml:space="preserve">in 2003 </w:t>
      </w:r>
      <w:r w:rsidR="0015610D">
        <w:t xml:space="preserve">due to lack of support.  WWMA </w:t>
      </w:r>
      <w:r w:rsidR="000F7EF8" w:rsidRPr="006273B2">
        <w:rPr>
          <w:rFonts w:cs="Times New Roman"/>
        </w:rPr>
        <w:t>did not forward the item to NCWM</w:t>
      </w:r>
      <w:r w:rsidR="000F7EF8">
        <w:rPr>
          <w:rFonts w:cs="Times New Roman"/>
        </w:rPr>
        <w:t xml:space="preserve"> </w:t>
      </w:r>
      <w:r>
        <w:t>since no new justification was provided.</w:t>
      </w:r>
    </w:p>
    <w:p w:rsidR="00D67AE8" w:rsidRPr="00C62956" w:rsidRDefault="00D67AE8" w:rsidP="00D67AE8">
      <w:pPr>
        <w:rPr>
          <w:rFonts w:cs="Times New Roman"/>
        </w:rPr>
      </w:pPr>
      <w:r w:rsidRPr="00F243AE">
        <w:rPr>
          <w:rFonts w:cs="Times New Roman"/>
        </w:rPr>
        <w:t xml:space="preserve">At </w:t>
      </w:r>
      <w:r>
        <w:rPr>
          <w:rFonts w:cs="Times New Roman"/>
        </w:rPr>
        <w:t xml:space="preserve">the </w:t>
      </w:r>
      <w:r w:rsidRPr="00F243AE">
        <w:rPr>
          <w:rFonts w:cs="Times New Roman"/>
        </w:rPr>
        <w:t xml:space="preserve">2012 NCWM Interim Meeting, </w:t>
      </w:r>
      <w:r w:rsidRPr="00C62956">
        <w:rPr>
          <w:rFonts w:cs="Times New Roman"/>
        </w:rPr>
        <w:t xml:space="preserve">Mr. Hayes, </w:t>
      </w:r>
      <w:r w:rsidRPr="00D67AE8">
        <w:rPr>
          <w:rFonts w:cs="Times New Roman"/>
        </w:rPr>
        <w:t>Missouri Department of Agriculture</w:t>
      </w:r>
      <w:r w:rsidRPr="00C62956">
        <w:rPr>
          <w:rFonts w:cs="Times New Roman"/>
        </w:rPr>
        <w:t xml:space="preserve">, spoke in support of the proposal and provided an amended version for the </w:t>
      </w:r>
      <w:r w:rsidR="001D7785">
        <w:rPr>
          <w:rFonts w:cs="Times New Roman"/>
        </w:rPr>
        <w:t>C</w:t>
      </w:r>
      <w:r w:rsidR="001D7785" w:rsidRPr="00C62956">
        <w:rPr>
          <w:rFonts w:cs="Times New Roman"/>
        </w:rPr>
        <w:t xml:space="preserve">ommittee </w:t>
      </w:r>
      <w:r w:rsidRPr="00C62956">
        <w:rPr>
          <w:rFonts w:cs="Times New Roman"/>
        </w:rPr>
        <w:t xml:space="preserve">to consider that would also reference nozzle size.  Mr. Hayes noted that their jurisdiction handles numerous complaints and suggested that larger nozzle sizes may provide </w:t>
      </w:r>
      <w:r w:rsidR="000F7EF8">
        <w:rPr>
          <w:rFonts w:cs="Times New Roman"/>
        </w:rPr>
        <w:t xml:space="preserve">additional protections against </w:t>
      </w:r>
      <w:r w:rsidRPr="00C62956">
        <w:rPr>
          <w:rFonts w:cs="Times New Roman"/>
        </w:rPr>
        <w:t>mis</w:t>
      </w:r>
      <w:r>
        <w:rPr>
          <w:rFonts w:cs="Times New Roman"/>
        </w:rPr>
        <w:t>-</w:t>
      </w:r>
      <w:r w:rsidRPr="00C62956">
        <w:rPr>
          <w:rFonts w:cs="Times New Roman"/>
        </w:rPr>
        <w:t>fueling.  Mr. Columbus, NACS and SIGMA, opposed the proposal, citing concerns about the impact on companies that have invested significant costs in branding and station design and questioning whether the change would be effective in preventing mis</w:t>
      </w:r>
      <w:r>
        <w:rPr>
          <w:rFonts w:cs="Times New Roman"/>
        </w:rPr>
        <w:t>-</w:t>
      </w:r>
      <w:r w:rsidRPr="00C62956">
        <w:rPr>
          <w:rFonts w:cs="Times New Roman"/>
        </w:rPr>
        <w:t>fueling.  NIST</w:t>
      </w:r>
      <w:r>
        <w:rPr>
          <w:rFonts w:cs="Times New Roman"/>
        </w:rPr>
        <w:t>,</w:t>
      </w:r>
      <w:r w:rsidRPr="00C62956">
        <w:rPr>
          <w:rFonts w:cs="Times New Roman"/>
        </w:rPr>
        <w:t xml:space="preserve"> OWM pointed out that, as noted by the WWMA, a similar propo</w:t>
      </w:r>
      <w:r>
        <w:rPr>
          <w:rFonts w:cs="Times New Roman"/>
        </w:rPr>
        <w:t xml:space="preserve">sal had been considered by the </w:t>
      </w:r>
      <w:r w:rsidR="005B4ED6">
        <w:rPr>
          <w:rFonts w:cs="Times New Roman"/>
        </w:rPr>
        <w:t>C</w:t>
      </w:r>
      <w:r w:rsidR="005B4ED6" w:rsidRPr="00C62956">
        <w:rPr>
          <w:rFonts w:cs="Times New Roman"/>
        </w:rPr>
        <w:t xml:space="preserve">ommittee </w:t>
      </w:r>
      <w:r w:rsidRPr="00C62956">
        <w:rPr>
          <w:rFonts w:cs="Times New Roman"/>
        </w:rPr>
        <w:t xml:space="preserve">in the past and suggested that the </w:t>
      </w:r>
      <w:r w:rsidR="00187C84">
        <w:rPr>
          <w:rFonts w:cs="Times New Roman"/>
        </w:rPr>
        <w:t>C</w:t>
      </w:r>
      <w:r w:rsidR="00187C84" w:rsidRPr="00C62956">
        <w:rPr>
          <w:rFonts w:cs="Times New Roman"/>
        </w:rPr>
        <w:t xml:space="preserve">ommittee </w:t>
      </w:r>
      <w:r w:rsidRPr="00C62956">
        <w:rPr>
          <w:rFonts w:cs="Times New Roman"/>
        </w:rPr>
        <w:t>revisit those discussions to determine whether or not changes or new factors would warrant reconsider</w:t>
      </w:r>
      <w:r>
        <w:rPr>
          <w:rFonts w:cs="Times New Roman"/>
        </w:rPr>
        <w:t>ation of</w:t>
      </w:r>
      <w:r w:rsidRPr="00C62956">
        <w:rPr>
          <w:rFonts w:cs="Times New Roman"/>
        </w:rPr>
        <w:t xml:space="preserve"> the issue.</w:t>
      </w:r>
      <w:r>
        <w:rPr>
          <w:rFonts w:cs="Times New Roman"/>
        </w:rPr>
        <w:t xml:space="preserve">  NIST, </w:t>
      </w:r>
      <w:r w:rsidRPr="00C62956">
        <w:rPr>
          <w:rFonts w:cs="Times New Roman"/>
        </w:rPr>
        <w:t>OWM also noted</w:t>
      </w:r>
      <w:r>
        <w:rPr>
          <w:rFonts w:cs="Times New Roman"/>
        </w:rPr>
        <w:t xml:space="preserve"> that the </w:t>
      </w:r>
      <w:r w:rsidR="0002210F">
        <w:rPr>
          <w:rFonts w:cs="Times New Roman"/>
        </w:rPr>
        <w:t>C</w:t>
      </w:r>
      <w:r w:rsidR="0002210F" w:rsidRPr="00C62956">
        <w:rPr>
          <w:rFonts w:cs="Times New Roman"/>
        </w:rPr>
        <w:t xml:space="preserve">ommittee </w:t>
      </w:r>
      <w:r w:rsidRPr="00C62956">
        <w:rPr>
          <w:rFonts w:cs="Times New Roman"/>
        </w:rPr>
        <w:t xml:space="preserve">should give careful consideration to whether </w:t>
      </w:r>
      <w:r>
        <w:rPr>
          <w:rFonts w:cs="Times New Roman"/>
        </w:rPr>
        <w:t>this proposal would be</w:t>
      </w:r>
      <w:r w:rsidRPr="00C62956">
        <w:rPr>
          <w:rFonts w:cs="Times New Roman"/>
        </w:rPr>
        <w:t xml:space="preserve"> overly restrictive with regard to businesses that have established color schemes associated with their brands, particularly given comments that indicate that color alone may not be effective in preventing mis</w:t>
      </w:r>
      <w:r>
        <w:rPr>
          <w:rFonts w:cs="Times New Roman"/>
        </w:rPr>
        <w:t>-</w:t>
      </w:r>
      <w:r w:rsidR="00C7223D">
        <w:rPr>
          <w:rFonts w:cs="Times New Roman"/>
        </w:rPr>
        <w:t xml:space="preserve">fueling.  NIST, </w:t>
      </w:r>
      <w:r w:rsidRPr="00C62956">
        <w:rPr>
          <w:rFonts w:cs="Times New Roman"/>
        </w:rPr>
        <w:t xml:space="preserve">OWM noted that </w:t>
      </w:r>
      <w:r w:rsidRPr="006E6DC2">
        <w:rPr>
          <w:rFonts w:cs="Times New Roman"/>
        </w:rPr>
        <w:t>NIST Handbook 44</w:t>
      </w:r>
      <w:r w:rsidRPr="00C62956">
        <w:rPr>
          <w:rFonts w:cs="Times New Roman"/>
        </w:rPr>
        <w:t xml:space="preserve"> presently includes identity requirements and that amendments to that paragraph to require additional markings on the nozzle as to the product identity might offer a more reasonable alternative for clarifying product identity.</w:t>
      </w:r>
    </w:p>
    <w:p w:rsidR="00D67AE8" w:rsidRDefault="00D67AE8" w:rsidP="006E6DC2">
      <w:pPr>
        <w:spacing w:after="200"/>
        <w:rPr>
          <w:rFonts w:cs="Times New Roman"/>
        </w:rPr>
      </w:pPr>
      <w:r w:rsidRPr="00C62956">
        <w:rPr>
          <w:rFonts w:cs="Times New Roman"/>
        </w:rPr>
        <w:t xml:space="preserve">The </w:t>
      </w:r>
      <w:r w:rsidR="0002210F">
        <w:rPr>
          <w:rFonts w:cs="Times New Roman"/>
        </w:rPr>
        <w:t>C</w:t>
      </w:r>
      <w:r w:rsidR="0002210F" w:rsidRPr="00C62956">
        <w:rPr>
          <w:rFonts w:cs="Times New Roman"/>
        </w:rPr>
        <w:t xml:space="preserve">ommittee </w:t>
      </w:r>
      <w:r w:rsidRPr="00C62956">
        <w:rPr>
          <w:rFonts w:cs="Times New Roman"/>
        </w:rPr>
        <w:t>considered the comments from Open Hearings</w:t>
      </w:r>
      <w:r w:rsidR="00370B7B">
        <w:rPr>
          <w:rFonts w:cs="Times New Roman"/>
        </w:rPr>
        <w:t xml:space="preserve"> at the Interim Meeting</w:t>
      </w:r>
      <w:r w:rsidRPr="00C62956">
        <w:rPr>
          <w:rFonts w:cs="Times New Roman"/>
        </w:rPr>
        <w:t xml:space="preserve"> suggest</w:t>
      </w:r>
      <w:r>
        <w:rPr>
          <w:rFonts w:cs="Times New Roman"/>
        </w:rPr>
        <w:t>ing</w:t>
      </w:r>
      <w:r w:rsidRPr="00C62956">
        <w:rPr>
          <w:rFonts w:cs="Times New Roman"/>
        </w:rPr>
        <w:t xml:space="preserve"> that color coding of nozzles would</w:t>
      </w:r>
      <w:r>
        <w:rPr>
          <w:rFonts w:cs="Times New Roman"/>
        </w:rPr>
        <w:t xml:space="preserve"> </w:t>
      </w:r>
      <w:r w:rsidRPr="00C62956">
        <w:rPr>
          <w:rFonts w:cs="Times New Roman"/>
        </w:rPr>
        <w:t>n</w:t>
      </w:r>
      <w:r>
        <w:rPr>
          <w:rFonts w:cs="Times New Roman"/>
        </w:rPr>
        <w:t>o</w:t>
      </w:r>
      <w:r w:rsidRPr="00C62956">
        <w:rPr>
          <w:rFonts w:cs="Times New Roman"/>
        </w:rPr>
        <w:t>t prevent accidental mis-fueling.  T</w:t>
      </w:r>
      <w:r w:rsidRPr="00F243AE">
        <w:rPr>
          <w:rFonts w:cs="Times New Roman"/>
        </w:rPr>
        <w:t xml:space="preserve">he </w:t>
      </w:r>
      <w:r w:rsidR="0002210F">
        <w:rPr>
          <w:rFonts w:cs="Times New Roman"/>
        </w:rPr>
        <w:t>C</w:t>
      </w:r>
      <w:r w:rsidR="0002210F" w:rsidRPr="00F243AE">
        <w:rPr>
          <w:rFonts w:cs="Times New Roman"/>
        </w:rPr>
        <w:t xml:space="preserve">ommittee </w:t>
      </w:r>
      <w:r w:rsidRPr="00F243AE">
        <w:rPr>
          <w:rFonts w:cs="Times New Roman"/>
        </w:rPr>
        <w:t xml:space="preserve">considered additional amendments </w:t>
      </w:r>
      <w:r w:rsidRPr="00C62956">
        <w:rPr>
          <w:rFonts w:cs="Times New Roman"/>
        </w:rPr>
        <w:t>that were proposed during the Open Hearings</w:t>
      </w:r>
      <w:r w:rsidRPr="00F243AE">
        <w:rPr>
          <w:rFonts w:cs="Times New Roman"/>
        </w:rPr>
        <w:t xml:space="preserve"> to incorporate nozzle size requirements</w:t>
      </w:r>
      <w:r w:rsidRPr="00C62956">
        <w:rPr>
          <w:rFonts w:cs="Times New Roman"/>
        </w:rPr>
        <w:t xml:space="preserve"> into the proposal</w:t>
      </w:r>
      <w:r w:rsidRPr="00F243AE">
        <w:rPr>
          <w:rFonts w:cs="Times New Roman"/>
        </w:rPr>
        <w:t xml:space="preserve">.  </w:t>
      </w:r>
      <w:r w:rsidR="000F7EF8">
        <w:rPr>
          <w:rFonts w:cs="Times New Roman"/>
        </w:rPr>
        <w:t>T</w:t>
      </w:r>
      <w:r w:rsidRPr="00F243AE">
        <w:rPr>
          <w:rFonts w:cs="Times New Roman"/>
        </w:rPr>
        <w:t xml:space="preserve">he </w:t>
      </w:r>
      <w:r w:rsidR="0002210F">
        <w:rPr>
          <w:rFonts w:cs="Times New Roman"/>
        </w:rPr>
        <w:t>C</w:t>
      </w:r>
      <w:r w:rsidR="0002210F" w:rsidRPr="00F243AE">
        <w:rPr>
          <w:rFonts w:cs="Times New Roman"/>
        </w:rPr>
        <w:t xml:space="preserve">ommittee </w:t>
      </w:r>
      <w:r>
        <w:rPr>
          <w:rFonts w:cs="Times New Roman"/>
        </w:rPr>
        <w:t>concluded</w:t>
      </w:r>
      <w:r w:rsidRPr="00F243AE">
        <w:rPr>
          <w:rFonts w:cs="Times New Roman"/>
        </w:rPr>
        <w:t xml:space="preserve"> that requiring either</w:t>
      </w:r>
      <w:r w:rsidR="003B01FA">
        <w:rPr>
          <w:rFonts w:cs="Times New Roman"/>
        </w:rPr>
        <w:t>:</w:t>
      </w:r>
      <w:r w:rsidRPr="00F243AE">
        <w:rPr>
          <w:rFonts w:cs="Times New Roman"/>
        </w:rPr>
        <w:t xml:space="preserve"> </w:t>
      </w:r>
      <w:r w:rsidR="005B4ED6">
        <w:rPr>
          <w:rFonts w:cs="Times New Roman"/>
        </w:rPr>
        <w:t xml:space="preserve"> </w:t>
      </w:r>
      <w:r w:rsidRPr="00F243AE">
        <w:rPr>
          <w:rFonts w:cs="Times New Roman"/>
        </w:rPr>
        <w:t>1) color coding of nozzles</w:t>
      </w:r>
      <w:r w:rsidR="005B4ED6">
        <w:rPr>
          <w:rFonts w:cs="Times New Roman"/>
        </w:rPr>
        <w:t>;</w:t>
      </w:r>
      <w:r w:rsidR="005B4ED6" w:rsidRPr="00F243AE">
        <w:rPr>
          <w:rFonts w:cs="Times New Roman"/>
        </w:rPr>
        <w:t xml:space="preserve"> </w:t>
      </w:r>
      <w:r w:rsidRPr="00F243AE">
        <w:rPr>
          <w:rFonts w:cs="Times New Roman"/>
        </w:rPr>
        <w:t xml:space="preserve">or 2) nozzles of different sizes for different products offered for sale, wouldn’t prevent accidental mis-fueling.  Additionally, the </w:t>
      </w:r>
      <w:r w:rsidR="0002210F">
        <w:rPr>
          <w:rFonts w:cs="Times New Roman"/>
        </w:rPr>
        <w:t>C</w:t>
      </w:r>
      <w:r w:rsidR="0002210F" w:rsidRPr="00F243AE">
        <w:rPr>
          <w:rFonts w:cs="Times New Roman"/>
        </w:rPr>
        <w:t xml:space="preserve">ommittee </w:t>
      </w:r>
      <w:r w:rsidRPr="00F243AE">
        <w:rPr>
          <w:rFonts w:cs="Times New Roman"/>
        </w:rPr>
        <w:t>ha</w:t>
      </w:r>
      <w:r w:rsidR="000F7EF8">
        <w:rPr>
          <w:rFonts w:cs="Times New Roman"/>
        </w:rPr>
        <w:t>d</w:t>
      </w:r>
      <w:r w:rsidRPr="00F243AE">
        <w:rPr>
          <w:rFonts w:cs="Times New Roman"/>
        </w:rPr>
        <w:t xml:space="preserve"> concerns that size requirements could negatively impact consumers whose diesel-fueled vehicles may not accommodate nozzles with larger diameters.  </w:t>
      </w:r>
      <w:r w:rsidR="003B01FA">
        <w:rPr>
          <w:rFonts w:cs="Times New Roman"/>
        </w:rPr>
        <w:t>Consequently, the</w:t>
      </w:r>
      <w:r w:rsidR="000F7EF8" w:rsidRPr="006273B2">
        <w:rPr>
          <w:rFonts w:cs="Times New Roman"/>
        </w:rPr>
        <w:t xml:space="preserve"> </w:t>
      </w:r>
      <w:r w:rsidR="0002210F">
        <w:rPr>
          <w:rFonts w:cs="Times New Roman"/>
        </w:rPr>
        <w:t>C</w:t>
      </w:r>
      <w:r w:rsidR="0002210F" w:rsidRPr="006273B2">
        <w:rPr>
          <w:rFonts w:cs="Times New Roman"/>
        </w:rPr>
        <w:t xml:space="preserve">ommittee </w:t>
      </w:r>
      <w:r w:rsidR="000F7EF8" w:rsidRPr="006273B2">
        <w:rPr>
          <w:rFonts w:cs="Times New Roman"/>
        </w:rPr>
        <w:t xml:space="preserve">designated this item as </w:t>
      </w:r>
      <w:r w:rsidR="000F7EF8">
        <w:rPr>
          <w:rFonts w:cs="Times New Roman"/>
        </w:rPr>
        <w:t xml:space="preserve">a </w:t>
      </w:r>
      <w:r w:rsidR="000F7EF8" w:rsidRPr="006273B2">
        <w:rPr>
          <w:rFonts w:cs="Times New Roman"/>
        </w:rPr>
        <w:t>Withdrawn</w:t>
      </w:r>
      <w:r w:rsidR="000F7EF8">
        <w:rPr>
          <w:rFonts w:cs="Times New Roman"/>
        </w:rPr>
        <w:t xml:space="preserve"> Item.</w:t>
      </w:r>
    </w:p>
    <w:p w:rsidR="00CC6FE0" w:rsidRDefault="00CC6FE0" w:rsidP="00334A07">
      <w:pPr>
        <w:pStyle w:val="Heading1"/>
        <w:spacing w:after="0"/>
      </w:pPr>
      <w:bookmarkStart w:id="29" w:name="_Toc334183631"/>
      <w:r>
        <w:lastRenderedPageBreak/>
        <w:t>331</w:t>
      </w:r>
      <w:r>
        <w:tab/>
        <w:t>VEHICLE-TANK METERS</w:t>
      </w:r>
      <w:bookmarkEnd w:id="29"/>
    </w:p>
    <w:p w:rsidR="00CC6FE0" w:rsidRPr="00877869" w:rsidRDefault="00CC6FE0" w:rsidP="00334A07">
      <w:pPr>
        <w:pStyle w:val="ItemHeading"/>
      </w:pPr>
      <w:bookmarkStart w:id="30" w:name="_Toc334183632"/>
      <w:r w:rsidRPr="00877869">
        <w:t>331-1</w:t>
      </w:r>
      <w:r w:rsidRPr="00877869">
        <w:tab/>
      </w:r>
      <w:r w:rsidRPr="00877869">
        <w:tab/>
      </w:r>
      <w:r w:rsidR="00C7223D">
        <w:t>I</w:t>
      </w:r>
      <w:r w:rsidR="00C7223D">
        <w:tab/>
      </w:r>
      <w:r w:rsidRPr="00877869">
        <w:t xml:space="preserve">T.4. </w:t>
      </w:r>
      <w:r w:rsidR="00877869">
        <w:t>Product Depletion Test</w:t>
      </w:r>
      <w:bookmarkEnd w:id="30"/>
    </w:p>
    <w:p w:rsidR="00CC6FE0" w:rsidRDefault="00CC6FE0" w:rsidP="00334A07">
      <w:pPr>
        <w:pStyle w:val="BoldHeading"/>
        <w:keepNext/>
        <w:spacing w:after="0"/>
      </w:pPr>
      <w:r>
        <w:t xml:space="preserve">Source:  </w:t>
      </w:r>
    </w:p>
    <w:p w:rsidR="00CC6FE0" w:rsidRDefault="00CC6FE0" w:rsidP="00334A07">
      <w:pPr>
        <w:keepNext/>
      </w:pPr>
      <w:r>
        <w:t>Northeast</w:t>
      </w:r>
      <w:r w:rsidR="00DC18A7">
        <w:t>ern</w:t>
      </w:r>
      <w:r>
        <w:t xml:space="preserve"> We</w:t>
      </w:r>
      <w:r w:rsidR="00DC18A7">
        <w:t xml:space="preserve">ights and Measures Association </w:t>
      </w:r>
      <w:r>
        <w:t>(200</w:t>
      </w:r>
      <w:r w:rsidR="00334A07">
        <w:t xml:space="preserve">9 – Developing Items Part 3.31. </w:t>
      </w:r>
      <w:r>
        <w:t xml:space="preserve">Vehicle-Tank </w:t>
      </w:r>
      <w:r w:rsidR="00674785">
        <w:t>Meters</w:t>
      </w:r>
      <w:r w:rsidR="00334A07">
        <w:t xml:space="preserve">, </w:t>
      </w:r>
      <w:r w:rsidR="00674785">
        <w:t>Item </w:t>
      </w:r>
      <w:r>
        <w:t>1.)</w:t>
      </w:r>
    </w:p>
    <w:p w:rsidR="00CC6FE0" w:rsidRDefault="00CC6FE0" w:rsidP="006E6DC2">
      <w:pPr>
        <w:pStyle w:val="BoldHeading"/>
        <w:spacing w:after="0"/>
      </w:pPr>
      <w:r>
        <w:t xml:space="preserve">Purpose:  </w:t>
      </w:r>
    </w:p>
    <w:p w:rsidR="00CC6FE0" w:rsidRDefault="000F7EF8" w:rsidP="00CC6FE0">
      <w:r>
        <w:t>E</w:t>
      </w:r>
      <w:r w:rsidR="00CC6FE0">
        <w:t xml:space="preserve">nable more consistent application of the tolerances </w:t>
      </w:r>
      <w:r>
        <w:t>between older and newer meters</w:t>
      </w:r>
      <w:r w:rsidR="00CC6FE0">
        <w:t xml:space="preserve"> and address an unintentional gap</w:t>
      </w:r>
      <w:r>
        <w:t xml:space="preserve"> that</w:t>
      </w:r>
      <w:r w:rsidR="00CC6FE0">
        <w:t xml:space="preserve"> allows an unreasonably large tolerance for smaller meters.</w:t>
      </w:r>
    </w:p>
    <w:p w:rsidR="00CC6FE0" w:rsidRDefault="00CC6FE0" w:rsidP="006E6DC2">
      <w:pPr>
        <w:pStyle w:val="BoldHeading"/>
        <w:spacing w:after="0"/>
      </w:pPr>
      <w:r>
        <w:t xml:space="preserve">Item </w:t>
      </w:r>
      <w:r w:rsidR="00DC18A7">
        <w:t>U</w:t>
      </w:r>
      <w:r>
        <w:t xml:space="preserve">nder Consideration:  </w:t>
      </w:r>
    </w:p>
    <w:p w:rsidR="00CC6FE0" w:rsidRDefault="000F7EF8" w:rsidP="009D4995">
      <w:r>
        <w:t xml:space="preserve">Amend </w:t>
      </w:r>
      <w:r w:rsidRPr="006E6DC2">
        <w:t>NIST Handbook 44</w:t>
      </w:r>
      <w:r w:rsidR="004C031A">
        <w:t>,</w:t>
      </w:r>
      <w:r>
        <w:t xml:space="preserve"> </w:t>
      </w:r>
      <w:r w:rsidR="00334A07">
        <w:t xml:space="preserve">Section 3.31. </w:t>
      </w:r>
      <w:r>
        <w:t>Vehicle</w:t>
      </w:r>
      <w:r w:rsidR="00334A07">
        <w:t>-</w:t>
      </w:r>
      <w:r>
        <w:t xml:space="preserve">Tank Meter </w:t>
      </w:r>
      <w:r w:rsidR="00C7223D">
        <w:t>Code paragraph T.4. and the accompanying Table</w:t>
      </w:r>
      <w:r w:rsidR="00334A07">
        <w:t> </w:t>
      </w:r>
      <w:r w:rsidR="00C7223D">
        <w:t>T.4</w:t>
      </w:r>
      <w:r w:rsidR="00334A07">
        <w:t>.</w:t>
      </w:r>
      <w:r>
        <w:t xml:space="preserve"> as follows:</w:t>
      </w:r>
      <w:r w:rsidR="00C7223D">
        <w:t xml:space="preserve">  Note that this option was identified as “Option 2” in the </w:t>
      </w:r>
      <w:r w:rsidR="00674785">
        <w:t xml:space="preserve">Committee’s </w:t>
      </w:r>
      <w:r w:rsidR="00C7223D">
        <w:t xml:space="preserve">2011 Final Report and </w:t>
      </w:r>
      <w:r w:rsidR="004C031A">
        <w:t>2012 </w:t>
      </w:r>
      <w:r w:rsidR="00C7223D">
        <w:t>Interim Agenda.</w:t>
      </w:r>
    </w:p>
    <w:p w:rsidR="00CD58C1" w:rsidRPr="00CD58C1" w:rsidRDefault="00CD58C1" w:rsidP="006E6DC2">
      <w:pPr>
        <w:pStyle w:val="I-Normalreg"/>
        <w:tabs>
          <w:tab w:val="left" w:pos="900"/>
        </w:tabs>
      </w:pPr>
      <w:r w:rsidRPr="00CD58C1">
        <w:rPr>
          <w:b/>
        </w:rPr>
        <w:t>T.4.</w:t>
      </w:r>
      <w:r w:rsidRPr="00CD58C1">
        <w:rPr>
          <w:b/>
        </w:rPr>
        <w:tab/>
        <w:t>Product Depletion Test.</w:t>
      </w:r>
      <w:r w:rsidRPr="00CD58C1">
        <w:t xml:space="preserve"> – The difference between the test result for any normal test and the product depletion test shall not exceed </w:t>
      </w:r>
      <w:r w:rsidR="000D6294" w:rsidRPr="003F6B16">
        <w:rPr>
          <w:b/>
          <w:strike/>
        </w:rPr>
        <w:t>tolerance</w:t>
      </w:r>
      <w:r w:rsidR="000D6294" w:rsidRPr="009D4995">
        <w:rPr>
          <w:b/>
          <w:strike/>
        </w:rPr>
        <w:t xml:space="preserve"> shown in Table T.4.</w:t>
      </w:r>
      <w:r w:rsidR="000D6294">
        <w:rPr>
          <w:b/>
        </w:rPr>
        <w:t xml:space="preserve"> </w:t>
      </w:r>
      <w:r w:rsidRPr="00CD58C1">
        <w:rPr>
          <w:b/>
          <w:u w:val="single"/>
        </w:rPr>
        <w:t>0.</w:t>
      </w:r>
      <w:r w:rsidR="00674785" w:rsidRPr="00CD58C1">
        <w:rPr>
          <w:b/>
          <w:u w:val="single"/>
        </w:rPr>
        <w:t>5</w:t>
      </w:r>
      <w:r w:rsidR="00674785">
        <w:rPr>
          <w:b/>
          <w:u w:val="single"/>
        </w:rPr>
        <w:t> </w:t>
      </w:r>
      <w:r w:rsidRPr="00CD58C1">
        <w:rPr>
          <w:b/>
          <w:u w:val="single"/>
        </w:rPr>
        <w:t xml:space="preserve">% percent of the volume delivered in one minute at the maximum flow rate marked on the meter for meters rated higher than </w:t>
      </w:r>
      <w:r w:rsidR="00674785" w:rsidRPr="00CD58C1">
        <w:rPr>
          <w:b/>
          <w:u w:val="single"/>
        </w:rPr>
        <w:t>380</w:t>
      </w:r>
      <w:r w:rsidR="00674785">
        <w:rPr>
          <w:b/>
          <w:u w:val="single"/>
        </w:rPr>
        <w:t> </w:t>
      </w:r>
      <w:r w:rsidRPr="00CD58C1">
        <w:rPr>
          <w:b/>
          <w:u w:val="single"/>
        </w:rPr>
        <w:t>Lpm (</w:t>
      </w:r>
      <w:r w:rsidR="00674785" w:rsidRPr="00CD58C1">
        <w:rPr>
          <w:b/>
          <w:u w:val="single"/>
        </w:rPr>
        <w:t>100</w:t>
      </w:r>
      <w:r w:rsidR="00674785">
        <w:rPr>
          <w:b/>
          <w:u w:val="single"/>
        </w:rPr>
        <w:t> </w:t>
      </w:r>
      <w:r w:rsidRPr="00CD58C1">
        <w:rPr>
          <w:b/>
          <w:u w:val="single"/>
        </w:rPr>
        <w:t>gpm) or 0.</w:t>
      </w:r>
      <w:r w:rsidR="00674785" w:rsidRPr="00CD58C1">
        <w:rPr>
          <w:b/>
          <w:u w:val="single"/>
        </w:rPr>
        <w:t>6</w:t>
      </w:r>
      <w:r w:rsidR="00674785">
        <w:rPr>
          <w:b/>
          <w:u w:val="single"/>
        </w:rPr>
        <w:t> </w:t>
      </w:r>
      <w:r w:rsidRPr="00CD58C1">
        <w:rPr>
          <w:b/>
          <w:u w:val="single"/>
        </w:rPr>
        <w:t>% percent of the volume delivered in one minute at the maximum flow rate marked on the meter for meters rat</w:t>
      </w:r>
      <w:r w:rsidR="000D6294">
        <w:rPr>
          <w:b/>
          <w:u w:val="single"/>
        </w:rPr>
        <w:t xml:space="preserve">ed </w:t>
      </w:r>
      <w:r w:rsidR="00674785">
        <w:rPr>
          <w:b/>
          <w:u w:val="single"/>
        </w:rPr>
        <w:t>380 </w:t>
      </w:r>
      <w:r w:rsidR="000D6294">
        <w:rPr>
          <w:b/>
          <w:u w:val="single"/>
        </w:rPr>
        <w:t>Lpm (</w:t>
      </w:r>
      <w:r w:rsidR="00674785">
        <w:rPr>
          <w:b/>
          <w:u w:val="single"/>
        </w:rPr>
        <w:t>100 </w:t>
      </w:r>
      <w:r w:rsidR="000D6294">
        <w:rPr>
          <w:b/>
          <w:u w:val="single"/>
        </w:rPr>
        <w:t>gpm) or lower.</w:t>
      </w:r>
      <w:r w:rsidRPr="00CD58C1">
        <w:t xml:space="preserve">  Test drafts shall be of the same size and run at approximately the same flow rate.</w:t>
      </w:r>
    </w:p>
    <w:p w:rsidR="00290C90" w:rsidRDefault="00C7223D" w:rsidP="004629CC">
      <w:pPr>
        <w:pStyle w:val="I-Normalreg"/>
      </w:pPr>
      <w:r>
        <w:rPr>
          <w:b/>
        </w:rPr>
        <w:t>[</w:t>
      </w:r>
      <w:r w:rsidR="003F6B16" w:rsidRPr="003F6B16">
        <w:rPr>
          <w:b/>
        </w:rPr>
        <w:t>Note:</w:t>
      </w:r>
      <w:r w:rsidR="003F6B16">
        <w:t xml:space="preserve"> </w:t>
      </w:r>
      <w:r w:rsidR="00674785">
        <w:t xml:space="preserve"> </w:t>
      </w:r>
      <w:r w:rsidR="00CD58C1" w:rsidRPr="00CD58C1">
        <w:t>The result of the product depletion test may fall outside of the applicable test tol</w:t>
      </w:r>
      <w:r w:rsidR="003F6B16">
        <w:t>erance as specified in Table 1.</w:t>
      </w:r>
      <w:r>
        <w:t>]</w:t>
      </w:r>
    </w:p>
    <w:p w:rsidR="00C7223D" w:rsidRDefault="00C7223D" w:rsidP="009D4995">
      <w:r>
        <w:t>Delete current Table T.4.</w:t>
      </w:r>
    </w:p>
    <w:tbl>
      <w:tblPr>
        <w:tblStyle w:val="TableGrid"/>
        <w:tblW w:w="0" w:type="auto"/>
        <w:tblInd w:w="360" w:type="dxa"/>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5148"/>
        <w:gridCol w:w="4068"/>
      </w:tblGrid>
      <w:tr w:rsidR="00CD58C1" w:rsidTr="00A92962">
        <w:tc>
          <w:tcPr>
            <w:tcW w:w="9216" w:type="dxa"/>
            <w:gridSpan w:val="2"/>
            <w:vAlign w:val="center"/>
          </w:tcPr>
          <w:p w:rsidR="00CD58C1" w:rsidRPr="00CD58C1" w:rsidRDefault="00CD58C1" w:rsidP="00A92962">
            <w:pPr>
              <w:pStyle w:val="TableHeading"/>
              <w:spacing w:after="0"/>
              <w:rPr>
                <w:strike/>
              </w:rPr>
            </w:pPr>
            <w:r w:rsidRPr="00CD58C1">
              <w:rPr>
                <w:strike/>
              </w:rPr>
              <w:t>Table T.4.</w:t>
            </w:r>
          </w:p>
          <w:p w:rsidR="00CD58C1" w:rsidRDefault="00CD58C1" w:rsidP="00A92962">
            <w:pPr>
              <w:pStyle w:val="TableHeading"/>
              <w:spacing w:after="0"/>
            </w:pPr>
            <w:r w:rsidRPr="00CD58C1">
              <w:rPr>
                <w:strike/>
              </w:rPr>
              <w:t>Tolerances for Vehicle-Tank Meters on Product Depletion Tests, Except Milk Meters</w:t>
            </w:r>
          </w:p>
        </w:tc>
      </w:tr>
      <w:tr w:rsidR="00CD58C1" w:rsidTr="00A92962">
        <w:tc>
          <w:tcPr>
            <w:tcW w:w="5148" w:type="dxa"/>
            <w:vAlign w:val="center"/>
          </w:tcPr>
          <w:p w:rsidR="00CD58C1" w:rsidRPr="00CD58C1" w:rsidRDefault="00CD58C1" w:rsidP="00A92962">
            <w:pPr>
              <w:pStyle w:val="TableText"/>
              <w:spacing w:after="0"/>
              <w:jc w:val="center"/>
              <w:rPr>
                <w:b/>
                <w:strike/>
              </w:rPr>
            </w:pPr>
            <w:r w:rsidRPr="00CD58C1">
              <w:rPr>
                <w:b/>
                <w:strike/>
              </w:rPr>
              <w:t>Meters Size</w:t>
            </w:r>
          </w:p>
        </w:tc>
        <w:tc>
          <w:tcPr>
            <w:tcW w:w="4068" w:type="dxa"/>
            <w:vAlign w:val="center"/>
          </w:tcPr>
          <w:p w:rsidR="00CD58C1" w:rsidRPr="00CD58C1" w:rsidRDefault="00CD58C1" w:rsidP="00A92962">
            <w:pPr>
              <w:pStyle w:val="TableText"/>
              <w:spacing w:after="0"/>
              <w:jc w:val="center"/>
              <w:rPr>
                <w:b/>
                <w:strike/>
              </w:rPr>
            </w:pPr>
            <w:r w:rsidRPr="00CD58C1">
              <w:rPr>
                <w:b/>
                <w:strike/>
              </w:rPr>
              <w:t>Maintenance and Acceptance Tolerances</w:t>
            </w:r>
          </w:p>
        </w:tc>
      </w:tr>
      <w:tr w:rsidR="00CD58C1" w:rsidTr="00A92962">
        <w:tc>
          <w:tcPr>
            <w:tcW w:w="5148" w:type="dxa"/>
            <w:vAlign w:val="center"/>
          </w:tcPr>
          <w:p w:rsidR="00CD58C1" w:rsidRPr="00CD58C1" w:rsidRDefault="00CD58C1" w:rsidP="00A92962">
            <w:pPr>
              <w:pStyle w:val="TableText"/>
              <w:spacing w:after="0"/>
              <w:jc w:val="center"/>
              <w:rPr>
                <w:b/>
                <w:strike/>
              </w:rPr>
            </w:pPr>
            <w:r w:rsidRPr="00CD58C1">
              <w:rPr>
                <w:b/>
                <w:strike/>
              </w:rPr>
              <w:t>Up to, but not including, 50 mm (2 in)</w:t>
            </w:r>
          </w:p>
        </w:tc>
        <w:tc>
          <w:tcPr>
            <w:tcW w:w="4068" w:type="dxa"/>
            <w:vAlign w:val="center"/>
          </w:tcPr>
          <w:p w:rsidR="00CD58C1" w:rsidRPr="00CD58C1" w:rsidRDefault="00CD58C1" w:rsidP="00A92962">
            <w:pPr>
              <w:pStyle w:val="TableText"/>
              <w:spacing w:after="0"/>
              <w:jc w:val="center"/>
              <w:rPr>
                <w:b/>
                <w:strike/>
              </w:rPr>
            </w:pPr>
            <w:r w:rsidRPr="00CD58C1">
              <w:rPr>
                <w:b/>
                <w:strike/>
              </w:rPr>
              <w:t>1.70 L (104 in</w:t>
            </w:r>
            <w:r w:rsidRPr="00CD58C1">
              <w:rPr>
                <w:b/>
                <w:strike/>
                <w:vertAlign w:val="superscript"/>
              </w:rPr>
              <w:t>3</w:t>
            </w:r>
            <w:r w:rsidRPr="00CD58C1">
              <w:rPr>
                <w:b/>
                <w:strike/>
              </w:rPr>
              <w:t>)</w:t>
            </w:r>
            <w:r w:rsidRPr="00CD58C1">
              <w:rPr>
                <w:b/>
                <w:strike/>
                <w:vertAlign w:val="superscript"/>
              </w:rPr>
              <w:t>1</w:t>
            </w:r>
          </w:p>
        </w:tc>
      </w:tr>
      <w:tr w:rsidR="00CD58C1" w:rsidTr="00A92962">
        <w:tc>
          <w:tcPr>
            <w:tcW w:w="5148" w:type="dxa"/>
            <w:vAlign w:val="center"/>
          </w:tcPr>
          <w:p w:rsidR="00CD58C1" w:rsidRPr="00CD58C1" w:rsidRDefault="00CD58C1" w:rsidP="00A92962">
            <w:pPr>
              <w:pStyle w:val="TableText"/>
              <w:spacing w:after="0"/>
              <w:jc w:val="center"/>
              <w:rPr>
                <w:b/>
                <w:strike/>
              </w:rPr>
            </w:pPr>
            <w:r w:rsidRPr="00CD58C1">
              <w:rPr>
                <w:b/>
                <w:strike/>
              </w:rPr>
              <w:t>From 50 mm (2 in) up to, but not including, 75 mm (3 in)</w:t>
            </w:r>
          </w:p>
        </w:tc>
        <w:tc>
          <w:tcPr>
            <w:tcW w:w="4068" w:type="dxa"/>
            <w:vAlign w:val="center"/>
          </w:tcPr>
          <w:p w:rsidR="00CD58C1" w:rsidRPr="00CD58C1" w:rsidRDefault="00CD58C1" w:rsidP="00A92962">
            <w:pPr>
              <w:pStyle w:val="TableText"/>
              <w:spacing w:after="0"/>
              <w:jc w:val="center"/>
              <w:rPr>
                <w:b/>
                <w:strike/>
              </w:rPr>
            </w:pPr>
            <w:r w:rsidRPr="00CD58C1">
              <w:rPr>
                <w:b/>
                <w:strike/>
              </w:rPr>
              <w:t>2.25 L (137 in</w:t>
            </w:r>
            <w:r w:rsidRPr="00CD58C1">
              <w:rPr>
                <w:b/>
                <w:strike/>
                <w:vertAlign w:val="superscript"/>
              </w:rPr>
              <w:t>3</w:t>
            </w:r>
            <w:r w:rsidRPr="00CD58C1">
              <w:rPr>
                <w:b/>
                <w:strike/>
              </w:rPr>
              <w:t>)</w:t>
            </w:r>
            <w:r w:rsidRPr="00CD58C1">
              <w:rPr>
                <w:b/>
                <w:strike/>
                <w:vertAlign w:val="superscript"/>
              </w:rPr>
              <w:t>1</w:t>
            </w:r>
          </w:p>
        </w:tc>
      </w:tr>
      <w:tr w:rsidR="00CD58C1" w:rsidTr="00A92962">
        <w:tc>
          <w:tcPr>
            <w:tcW w:w="5148" w:type="dxa"/>
            <w:vAlign w:val="center"/>
          </w:tcPr>
          <w:p w:rsidR="00CD58C1" w:rsidRPr="00CD58C1" w:rsidRDefault="00CD58C1" w:rsidP="00A92962">
            <w:pPr>
              <w:pStyle w:val="TableText"/>
              <w:spacing w:after="0"/>
              <w:jc w:val="center"/>
              <w:rPr>
                <w:b/>
                <w:strike/>
              </w:rPr>
            </w:pPr>
            <w:r w:rsidRPr="00CD58C1">
              <w:rPr>
                <w:b/>
                <w:strike/>
              </w:rPr>
              <w:t>75 mm (3 in) or larger</w:t>
            </w:r>
          </w:p>
        </w:tc>
        <w:tc>
          <w:tcPr>
            <w:tcW w:w="4068" w:type="dxa"/>
            <w:vAlign w:val="center"/>
          </w:tcPr>
          <w:p w:rsidR="00CD58C1" w:rsidRPr="00CD58C1" w:rsidRDefault="00CD58C1" w:rsidP="00A92962">
            <w:pPr>
              <w:pStyle w:val="TableText"/>
              <w:spacing w:after="0"/>
              <w:jc w:val="center"/>
              <w:rPr>
                <w:b/>
                <w:strike/>
              </w:rPr>
            </w:pPr>
            <w:r w:rsidRPr="00CD58C1">
              <w:rPr>
                <w:b/>
                <w:strike/>
              </w:rPr>
              <w:t>3.75 L (229 in</w:t>
            </w:r>
            <w:r w:rsidRPr="00CD58C1">
              <w:rPr>
                <w:b/>
                <w:strike/>
                <w:vertAlign w:val="superscript"/>
              </w:rPr>
              <w:t>3</w:t>
            </w:r>
            <w:r w:rsidRPr="00CD58C1">
              <w:rPr>
                <w:b/>
                <w:strike/>
              </w:rPr>
              <w:t>)</w:t>
            </w:r>
            <w:r w:rsidRPr="00CD58C1">
              <w:rPr>
                <w:b/>
                <w:strike/>
                <w:vertAlign w:val="superscript"/>
              </w:rPr>
              <w:t>1</w:t>
            </w:r>
          </w:p>
        </w:tc>
      </w:tr>
      <w:tr w:rsidR="00CD58C1" w:rsidTr="00A92962">
        <w:tc>
          <w:tcPr>
            <w:tcW w:w="9216" w:type="dxa"/>
            <w:gridSpan w:val="2"/>
            <w:vAlign w:val="center"/>
          </w:tcPr>
          <w:p w:rsidR="00CD58C1" w:rsidRPr="00CD58C1" w:rsidRDefault="00CD58C1" w:rsidP="00A92962">
            <w:pPr>
              <w:pStyle w:val="TableText"/>
              <w:spacing w:after="0"/>
              <w:jc w:val="center"/>
              <w:rPr>
                <w:b/>
                <w:strike/>
              </w:rPr>
            </w:pPr>
            <w:r w:rsidRPr="00CD58C1">
              <w:rPr>
                <w:b/>
                <w:strike/>
              </w:rPr>
              <w:t>Based on a test volume of at least the amount specified in N.3. Test Drafts.</w:t>
            </w:r>
          </w:p>
        </w:tc>
      </w:tr>
    </w:tbl>
    <w:p w:rsidR="003F6B16" w:rsidRDefault="003F6B16" w:rsidP="00A92962">
      <w:pPr>
        <w:pStyle w:val="BoldHeading"/>
        <w:spacing w:before="240" w:after="0"/>
      </w:pPr>
      <w:r>
        <w:t xml:space="preserve">Background/Discussion:  </w:t>
      </w:r>
    </w:p>
    <w:p w:rsidR="003F6B16" w:rsidRDefault="003F6B16" w:rsidP="003F6B16">
      <w:r>
        <w:t xml:space="preserve">This item was submitted to NEWMA at its 2008 Interim Meeting </w:t>
      </w:r>
      <w:r w:rsidR="007E7E62">
        <w:t xml:space="preserve">to propose </w:t>
      </w:r>
      <w:r>
        <w:t xml:space="preserve">an alternative to </w:t>
      </w:r>
      <w:r w:rsidR="000F7EF8">
        <w:t>existing</w:t>
      </w:r>
      <w:r w:rsidR="007E7E62" w:rsidRPr="00C62956">
        <w:t xml:space="preserve"> </w:t>
      </w:r>
      <w:r w:rsidR="000F7EF8">
        <w:t xml:space="preserve">product depletion test </w:t>
      </w:r>
      <w:r w:rsidR="007E7E62" w:rsidRPr="00C62956">
        <w:t xml:space="preserve">tolerances </w:t>
      </w:r>
      <w:r w:rsidR="000F7EF8">
        <w:t xml:space="preserve">which </w:t>
      </w:r>
      <w:r w:rsidR="007E7E62" w:rsidRPr="00C62956">
        <w:t>are based on the size of the meter</w:t>
      </w:r>
      <w:r w:rsidR="007E7E62">
        <w:t>.  T</w:t>
      </w:r>
      <w:r w:rsidR="007E7E62" w:rsidRPr="00C62956">
        <w:t xml:space="preserve">he alternatives presented by the original submitter propose basing tolerances on a percentage of maximum flow rate rather than meter size. </w:t>
      </w:r>
      <w:r w:rsidR="007E7E62">
        <w:t xml:space="preserve"> </w:t>
      </w:r>
      <w:r w:rsidR="007E7E62" w:rsidRPr="00C62956">
        <w:t>The submitter noted that, while a nonretroactive marking requirement added in 2008 eliminates difficulties in determining meter size for newer metering systems, inspectors are still faced with difficulties consistently determining meter size for older systems, and th</w:t>
      </w:r>
      <w:r w:rsidR="000F7EF8">
        <w:t>o</w:t>
      </w:r>
      <w:r w:rsidR="007E7E62" w:rsidRPr="00C62956">
        <w:t>se systems will likely remain in service for many years.  Additionally, the submitter noted that the original proposal to base tolerance</w:t>
      </w:r>
      <w:r w:rsidR="007E7E62">
        <w:t>s</w:t>
      </w:r>
      <w:r w:rsidR="007E7E62" w:rsidRPr="00C62956">
        <w:t xml:space="preserve"> on meter size did not consider the possibility of smaller meters (e.g., down to </w:t>
      </w:r>
      <w:r w:rsidR="002329D4" w:rsidRPr="00C62956">
        <w:t>¼</w:t>
      </w:r>
      <w:r w:rsidR="002329D4">
        <w:t> </w:t>
      </w:r>
      <w:r w:rsidR="007E7E62" w:rsidRPr="00C62956">
        <w:t>in</w:t>
      </w:r>
      <w:r w:rsidR="007E7E62">
        <w:t>ch diameter</w:t>
      </w:r>
      <w:r w:rsidR="007E7E62" w:rsidRPr="00C62956">
        <w:t>) being mounted on vehicles.  Applying current tolerance</w:t>
      </w:r>
      <w:r w:rsidR="007E7E62">
        <w:t>s</w:t>
      </w:r>
      <w:r w:rsidR="007E7E62" w:rsidRPr="00C62956">
        <w:t xml:space="preserve"> to these smaller meters based on meter size would result in a 22.</w:t>
      </w:r>
      <w:r w:rsidR="002329D4" w:rsidRPr="00C62956">
        <w:t>5</w:t>
      </w:r>
      <w:r w:rsidR="002329D4">
        <w:t> </w:t>
      </w:r>
      <w:r w:rsidR="007E7E62" w:rsidRPr="00C62956">
        <w:t xml:space="preserve">% relative error for one minute of flow during a product depletion test.  Even a slightly larger, </w:t>
      </w:r>
      <w:r w:rsidR="002329D4">
        <w:t>one</w:t>
      </w:r>
      <w:r w:rsidR="007E7E62" w:rsidRPr="00C62956">
        <w:t>-inch meter would have a relative error of 2.</w:t>
      </w:r>
      <w:r w:rsidR="002329D4" w:rsidRPr="00C62956">
        <w:t>25</w:t>
      </w:r>
      <w:r w:rsidR="002329D4">
        <w:t> </w:t>
      </w:r>
      <w:r w:rsidR="007E7E62" w:rsidRPr="00C62956">
        <w:t xml:space="preserve">%.  These tolerances seem inappropriately large.  While the submitter noted that </w:t>
      </w:r>
      <w:r w:rsidR="002329D4">
        <w:t>two</w:t>
      </w:r>
      <w:r w:rsidR="007E7E62" w:rsidRPr="00C62956">
        <w:t>-</w:t>
      </w:r>
      <w:r w:rsidR="002329D4">
        <w:t xml:space="preserve">inch meters </w:t>
      </w:r>
      <w:r w:rsidR="007E7E62" w:rsidRPr="00C62956">
        <w:t xml:space="preserve">and </w:t>
      </w:r>
      <w:r w:rsidR="002329D4">
        <w:t>three</w:t>
      </w:r>
      <w:r w:rsidR="007E7E62" w:rsidRPr="00C62956">
        <w:t>-inch meters are expected to comprise the largest number of vehicle-mounted meters, the current tolerances based on meter size provide an inappropriately large tolerance for smaller meters.</w:t>
      </w:r>
      <w:r w:rsidR="007E7E62">
        <w:t xml:space="preserve">  </w:t>
      </w:r>
    </w:p>
    <w:p w:rsidR="00935C1B" w:rsidRDefault="00935C1B" w:rsidP="00935C1B">
      <w:r>
        <w:lastRenderedPageBreak/>
        <w:t xml:space="preserve">The </w:t>
      </w:r>
      <w:r w:rsidR="00187C84">
        <w:t>C</w:t>
      </w:r>
      <w:r w:rsidR="00187C84" w:rsidRPr="00C62956">
        <w:t xml:space="preserve">ommittee </w:t>
      </w:r>
      <w:r w:rsidRPr="00C62956">
        <w:t xml:space="preserve">has agreed with the concept of basing the product depletion test tolerances on the marked maximum flow rate of the meter rather than on the marked meter size and has considered several proposals for modifying the tolerances since this item was introduced in 2008.  Details of these proposals and associated </w:t>
      </w:r>
      <w:r>
        <w:t xml:space="preserve">discussion can be found in the </w:t>
      </w:r>
      <w:r w:rsidR="00187C84">
        <w:t>C</w:t>
      </w:r>
      <w:r w:rsidR="00187C84" w:rsidRPr="00C62956">
        <w:t xml:space="preserve">ommittee’s </w:t>
      </w:r>
      <w:r w:rsidRPr="00C62956">
        <w:t>2009</w:t>
      </w:r>
      <w:r w:rsidR="002329D4">
        <w:t xml:space="preserve"> to </w:t>
      </w:r>
      <w:r w:rsidRPr="00C62956">
        <w:t xml:space="preserve">2011 </w:t>
      </w:r>
      <w:r w:rsidR="0002210F">
        <w:t>F</w:t>
      </w:r>
      <w:r w:rsidR="0002210F" w:rsidRPr="00C62956">
        <w:t xml:space="preserve">inal </w:t>
      </w:r>
      <w:r w:rsidR="0002210F">
        <w:t>R</w:t>
      </w:r>
      <w:r w:rsidR="0002210F" w:rsidRPr="00C62956">
        <w:t>eports</w:t>
      </w:r>
      <w:r w:rsidR="00334A07">
        <w:t xml:space="preserve"> (The Final Reports of the 94</w:t>
      </w:r>
      <w:r w:rsidR="00334A07" w:rsidRPr="00334A07">
        <w:rPr>
          <w:vertAlign w:val="superscript"/>
        </w:rPr>
        <w:t>th</w:t>
      </w:r>
      <w:r w:rsidR="00334A07">
        <w:t>, 95</w:t>
      </w:r>
      <w:r w:rsidR="00334A07" w:rsidRPr="00334A07">
        <w:rPr>
          <w:vertAlign w:val="superscript"/>
        </w:rPr>
        <w:t>th</w:t>
      </w:r>
      <w:r w:rsidR="00334A07">
        <w:t>, 96</w:t>
      </w:r>
      <w:r w:rsidR="00334A07" w:rsidRPr="00334A07">
        <w:rPr>
          <w:vertAlign w:val="superscript"/>
        </w:rPr>
        <w:t>th</w:t>
      </w:r>
      <w:r w:rsidR="00334A07">
        <w:t>, and 97</w:t>
      </w:r>
      <w:r w:rsidR="00334A07" w:rsidRPr="00334A07">
        <w:rPr>
          <w:vertAlign w:val="superscript"/>
        </w:rPr>
        <w:t>th</w:t>
      </w:r>
      <w:r w:rsidR="00334A07">
        <w:t xml:space="preserve"> NCWM)</w:t>
      </w:r>
      <w:r w:rsidRPr="00C62956">
        <w:t>.  While recognizing that one goal of the original proposal was to reduce what the submitter considered an unreasonably large tol</w:t>
      </w:r>
      <w:r>
        <w:t xml:space="preserve">erance for smaller meters, the </w:t>
      </w:r>
      <w:r w:rsidR="00187C84">
        <w:t>C</w:t>
      </w:r>
      <w:r w:rsidR="00187C84" w:rsidRPr="00C62956">
        <w:t xml:space="preserve">ommittee </w:t>
      </w:r>
      <w:r w:rsidRPr="00C62956">
        <w:t xml:space="preserve">expressed concern about the impact </w:t>
      </w:r>
      <w:r>
        <w:t xml:space="preserve">the proposal would have </w:t>
      </w:r>
      <w:r w:rsidRPr="00C62956">
        <w:t xml:space="preserve">on these meters based on comments from </w:t>
      </w:r>
      <w:r w:rsidR="00C12B80">
        <w:t>Meter Manufacturers Association (</w:t>
      </w:r>
      <w:r>
        <w:t>MMA</w:t>
      </w:r>
      <w:r w:rsidR="00C12B80">
        <w:t>)</w:t>
      </w:r>
      <w:r w:rsidRPr="00C62956">
        <w:t>, including comments during the 2011 NCWM Annual Meeting.</w:t>
      </w:r>
    </w:p>
    <w:p w:rsidR="003F6B16" w:rsidRDefault="00FB6329" w:rsidP="003F6B16">
      <w:r w:rsidRPr="001039E7">
        <w:t>From 2009 to 2011, t</w:t>
      </w:r>
      <w:r>
        <w:t xml:space="preserve">he </w:t>
      </w:r>
      <w:r w:rsidR="00187C84">
        <w:t>C</w:t>
      </w:r>
      <w:r w:rsidR="00187C84" w:rsidRPr="001039E7">
        <w:t xml:space="preserve">ommittee </w:t>
      </w:r>
      <w:r w:rsidRPr="001039E7">
        <w:t xml:space="preserve">repeatedly requested data to support or oppose the proposals under consideration with little success.  </w:t>
      </w:r>
      <w:r w:rsidRPr="00A67CAE">
        <w:t xml:space="preserve">At the 2011 </w:t>
      </w:r>
      <w:r w:rsidR="000F7EF8">
        <w:t xml:space="preserve">NCWM </w:t>
      </w:r>
      <w:r w:rsidRPr="00A67CAE">
        <w:t xml:space="preserve">Annual Meeting, the </w:t>
      </w:r>
      <w:r w:rsidR="00187C84">
        <w:t>C</w:t>
      </w:r>
      <w:r w:rsidR="00187C84" w:rsidRPr="00A67CAE">
        <w:t xml:space="preserve">ommittee </w:t>
      </w:r>
      <w:r w:rsidRPr="00A67CAE">
        <w:t xml:space="preserve">reiterated its need for data to evaluate the impact of any proposed tolerances changes.  </w:t>
      </w:r>
      <w:r w:rsidRPr="001039E7">
        <w:t xml:space="preserve">Following the meeting, </w:t>
      </w:r>
      <w:r w:rsidRPr="00A67CAE">
        <w:t>NIST Technical Advisor, Ms. Butcher</w:t>
      </w:r>
      <w:r>
        <w:t xml:space="preserve"> </w:t>
      </w:r>
      <w:r w:rsidRPr="001039E7">
        <w:t xml:space="preserve">distributed a request </w:t>
      </w:r>
      <w:r w:rsidRPr="00A67CAE">
        <w:t xml:space="preserve">on </w:t>
      </w:r>
      <w:r w:rsidR="0056019A">
        <w:t>the NIST, OWM</w:t>
      </w:r>
      <w:r w:rsidRPr="00A67CAE">
        <w:t xml:space="preserve"> Director’s list serve </w:t>
      </w:r>
      <w:r w:rsidR="0056019A">
        <w:t>on behalf of the c</w:t>
      </w:r>
      <w:r w:rsidR="0056019A" w:rsidRPr="001039E7">
        <w:t xml:space="preserve">ommittee </w:t>
      </w:r>
      <w:r w:rsidRPr="001039E7">
        <w:t xml:space="preserve">asking weights and measures </w:t>
      </w:r>
      <w:r w:rsidRPr="00A67CAE">
        <w:t>jurisdictions to submit data.</w:t>
      </w:r>
    </w:p>
    <w:p w:rsidR="00935C1B" w:rsidRDefault="00935C1B" w:rsidP="00CC168F">
      <w:r w:rsidRPr="00C62956">
        <w:t xml:space="preserve">At their </w:t>
      </w:r>
      <w:r w:rsidR="00AC55B7">
        <w:t>f</w:t>
      </w:r>
      <w:r w:rsidRPr="00C62956">
        <w:t>all 2011 Meetings, CWMA, SWMA, and WWMA en</w:t>
      </w:r>
      <w:r w:rsidR="000F7EF8">
        <w:t xml:space="preserve">couraged the collection of data.  Since </w:t>
      </w:r>
      <w:r w:rsidRPr="00C62956">
        <w:t xml:space="preserve">work continues on this issue, </w:t>
      </w:r>
      <w:r w:rsidR="000F7EF8">
        <w:t xml:space="preserve">all three associations </w:t>
      </w:r>
      <w:r w:rsidR="000F7EF8" w:rsidRPr="006273B2">
        <w:rPr>
          <w:rFonts w:cs="Times New Roman"/>
        </w:rPr>
        <w:t>recommended that the item be a Developing Item</w:t>
      </w:r>
      <w:r w:rsidR="000F7EF8">
        <w:rPr>
          <w:rFonts w:cs="Times New Roman"/>
        </w:rPr>
        <w:t xml:space="preserve"> </w:t>
      </w:r>
      <w:r w:rsidRPr="00C62956">
        <w:t xml:space="preserve">until data has been submitted and analyzed.  SWMA also noted that there does not appear to be a clear preference for either of the two options presented in NCWM S&amp;T Committee’s 2011 Final Report; the SWMA heard that a third proposal may be under development by </w:t>
      </w:r>
      <w:r>
        <w:t xml:space="preserve">the </w:t>
      </w:r>
      <w:r w:rsidRPr="00C62956">
        <w:t>MMA.</w:t>
      </w:r>
    </w:p>
    <w:p w:rsidR="00CC168F" w:rsidRDefault="00CC168F" w:rsidP="00CC168F">
      <w:r>
        <w:t>At the 2011 NEWMA Interim Meeting, it was suggested that th</w:t>
      </w:r>
      <w:r w:rsidR="00877869">
        <w:t>ere</w:t>
      </w:r>
      <w:r>
        <w:t xml:space="preserve"> is not a lot of product depletion testing in the field.  If the truck only has one tank, it makes t</w:t>
      </w:r>
      <w:r w:rsidR="00877869">
        <w:t>he</w:t>
      </w:r>
      <w:r>
        <w:t xml:space="preserve"> logistics of testing very difficult.  </w:t>
      </w:r>
      <w:r w:rsidR="00935C1B">
        <w:t xml:space="preserve">NEWMA also noted that variations in product </w:t>
      </w:r>
      <w:r>
        <w:t xml:space="preserve">flow </w:t>
      </w:r>
      <w:r w:rsidR="00935C1B">
        <w:t xml:space="preserve">rate and </w:t>
      </w:r>
      <w:r>
        <w:t>cling</w:t>
      </w:r>
      <w:r w:rsidR="0056019A">
        <w:t>ing of product</w:t>
      </w:r>
      <w:r>
        <w:t xml:space="preserve"> </w:t>
      </w:r>
      <w:r w:rsidR="00935C1B">
        <w:t xml:space="preserve">will also </w:t>
      </w:r>
      <w:r w:rsidR="009D4995">
        <w:t>skew</w:t>
      </w:r>
      <w:r>
        <w:t xml:space="preserve"> test results.  Members believe it is much easier to ascertain product flow information from the ID plate rather than determine actual meter size with piping variations.</w:t>
      </w:r>
      <w:r w:rsidR="0083510E">
        <w:t xml:space="preserve"> </w:t>
      </w:r>
      <w:r>
        <w:t xml:space="preserve"> NEWMA encourage</w:t>
      </w:r>
      <w:r w:rsidR="000F7EF8">
        <w:t>d</w:t>
      </w:r>
      <w:r>
        <w:t xml:space="preserve"> jurisdictions to forward any data to the S&amp;T</w:t>
      </w:r>
      <w:r w:rsidR="0083510E">
        <w:t xml:space="preserve"> Committee NIST Technical A</w:t>
      </w:r>
      <w:r>
        <w:t xml:space="preserve">dvisor.  </w:t>
      </w:r>
    </w:p>
    <w:p w:rsidR="004629CC" w:rsidRDefault="00FB6329" w:rsidP="00B77FD2">
      <w:pPr>
        <w:rPr>
          <w:rFonts w:cs="Times New Roman"/>
        </w:rPr>
      </w:pPr>
      <w:r w:rsidRPr="00C62956">
        <w:t xml:space="preserve">At the 2012 NCWM Interim Meeting, the </w:t>
      </w:r>
      <w:r>
        <w:t>committee</w:t>
      </w:r>
      <w:r w:rsidRPr="00044A06">
        <w:t xml:space="preserve"> reiterated its position</w:t>
      </w:r>
      <w:r w:rsidRPr="00044A06">
        <w:rPr>
          <w:rFonts w:cs="Times New Roman"/>
        </w:rPr>
        <w:t xml:space="preserve"> that tolerances for the product depletion test o</w:t>
      </w:r>
      <w:r>
        <w:rPr>
          <w:rFonts w:cs="Times New Roman"/>
        </w:rPr>
        <w:t xml:space="preserve">f a </w:t>
      </w:r>
      <w:r w:rsidR="00BC4969">
        <w:rPr>
          <w:rFonts w:cs="Times New Roman"/>
        </w:rPr>
        <w:t>vehicle tank meter</w:t>
      </w:r>
      <w:r>
        <w:rPr>
          <w:rFonts w:cs="Times New Roman"/>
        </w:rPr>
        <w:t xml:space="preserve"> should be based on the marked maximum flow r</w:t>
      </w:r>
      <w:r w:rsidRPr="00044A06">
        <w:rPr>
          <w:rFonts w:cs="Times New Roman"/>
        </w:rPr>
        <w:t xml:space="preserve">ate of the meter rather than meter size.  The </w:t>
      </w:r>
      <w:r w:rsidR="0002210F">
        <w:rPr>
          <w:rFonts w:cs="Times New Roman"/>
        </w:rPr>
        <w:t>Committee</w:t>
      </w:r>
      <w:r w:rsidR="0002210F" w:rsidRPr="00044A06">
        <w:rPr>
          <w:rFonts w:cs="Times New Roman"/>
        </w:rPr>
        <w:t xml:space="preserve"> </w:t>
      </w:r>
      <w:r w:rsidRPr="00044A06">
        <w:rPr>
          <w:rFonts w:cs="Times New Roman"/>
        </w:rPr>
        <w:t xml:space="preserve">considered the three options for modifying </w:t>
      </w:r>
      <w:r w:rsidRPr="00A92962">
        <w:rPr>
          <w:rFonts w:cs="Times New Roman"/>
        </w:rPr>
        <w:t>NIST Handbook 44</w:t>
      </w:r>
      <w:r w:rsidRPr="00044A06">
        <w:rPr>
          <w:rFonts w:cs="Times New Roman"/>
        </w:rPr>
        <w:t xml:space="preserve">, including two options presented in its </w:t>
      </w:r>
      <w:r w:rsidR="000F7EF8">
        <w:rPr>
          <w:rFonts w:cs="Times New Roman"/>
        </w:rPr>
        <w:t xml:space="preserve">2011 </w:t>
      </w:r>
      <w:r w:rsidRPr="00044A06">
        <w:rPr>
          <w:rFonts w:cs="Times New Roman"/>
        </w:rPr>
        <w:t>Interim Agenda and a third option submitted by the MMA prior to the meeting.  A summary of the three options is outlined</w:t>
      </w:r>
      <w:r>
        <w:rPr>
          <w:rFonts w:cs="Times New Roman"/>
        </w:rPr>
        <w:t xml:space="preserve"> in the following table.  A second table illustrating</w:t>
      </w:r>
      <w:r w:rsidRPr="00044A06">
        <w:rPr>
          <w:rFonts w:cs="Times New Roman"/>
        </w:rPr>
        <w:t xml:space="preserve"> examples of tolerances for common meter sizes and maximum flow rates</w:t>
      </w:r>
      <w:r>
        <w:rPr>
          <w:rFonts w:cs="Times New Roman"/>
        </w:rPr>
        <w:t xml:space="preserve"> is also included.</w:t>
      </w:r>
    </w:p>
    <w:tbl>
      <w:tblPr>
        <w:tblStyle w:val="TableGrid"/>
        <w:tblW w:w="0" w:type="auto"/>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1098"/>
        <w:gridCol w:w="4680"/>
        <w:gridCol w:w="3798"/>
      </w:tblGrid>
      <w:tr w:rsidR="00FB6329" w:rsidTr="00A92962">
        <w:tc>
          <w:tcPr>
            <w:tcW w:w="9576" w:type="dxa"/>
            <w:gridSpan w:val="3"/>
          </w:tcPr>
          <w:p w:rsidR="00FB6329" w:rsidRDefault="00FB6329" w:rsidP="009D4995">
            <w:pPr>
              <w:pStyle w:val="TableHeading"/>
            </w:pPr>
            <w:r>
              <w:t>Summary of Product Depletion Tolerance Options Considered</w:t>
            </w:r>
          </w:p>
        </w:tc>
      </w:tr>
      <w:tr w:rsidR="00FB6329" w:rsidTr="00A92962">
        <w:tc>
          <w:tcPr>
            <w:tcW w:w="1098" w:type="dxa"/>
          </w:tcPr>
          <w:p w:rsidR="00FB6329" w:rsidRDefault="00FB6329" w:rsidP="00A92962">
            <w:pPr>
              <w:pStyle w:val="TableText"/>
              <w:spacing w:after="0"/>
            </w:pPr>
          </w:p>
        </w:tc>
        <w:tc>
          <w:tcPr>
            <w:tcW w:w="4680" w:type="dxa"/>
          </w:tcPr>
          <w:p w:rsidR="00FB6329" w:rsidRDefault="00FB6329" w:rsidP="00A92962">
            <w:pPr>
              <w:pStyle w:val="TableColumnHeadings"/>
              <w:spacing w:after="0"/>
              <w:rPr>
                <w:b w:val="0"/>
              </w:rPr>
            </w:pPr>
            <w:r>
              <w:t>Marked Maximum Flow Rate or Meter Size</w:t>
            </w:r>
          </w:p>
        </w:tc>
        <w:tc>
          <w:tcPr>
            <w:tcW w:w="3798" w:type="dxa"/>
          </w:tcPr>
          <w:p w:rsidR="00417CA5" w:rsidRDefault="00FB6329" w:rsidP="00A92962">
            <w:pPr>
              <w:pStyle w:val="TableColumnHeadings"/>
              <w:spacing w:after="0"/>
            </w:pPr>
            <w:r>
              <w:t xml:space="preserve">Tolerance </w:t>
            </w:r>
          </w:p>
          <w:p w:rsidR="00FB6329" w:rsidRDefault="00FB6329" w:rsidP="00A92962">
            <w:pPr>
              <w:pStyle w:val="TableColumnHeadings"/>
              <w:spacing w:after="0"/>
            </w:pPr>
            <w:r>
              <w:t>(% of Marked Max Flow Rate)</w:t>
            </w:r>
          </w:p>
        </w:tc>
      </w:tr>
      <w:tr w:rsidR="00FB6329" w:rsidTr="00A92962">
        <w:tc>
          <w:tcPr>
            <w:tcW w:w="1098" w:type="dxa"/>
          </w:tcPr>
          <w:p w:rsidR="00FB6329" w:rsidRPr="009D4995" w:rsidRDefault="00FB6329" w:rsidP="00A92962">
            <w:pPr>
              <w:pStyle w:val="TableText"/>
              <w:spacing w:after="0"/>
              <w:rPr>
                <w:b/>
              </w:rPr>
            </w:pPr>
            <w:r w:rsidRPr="009D4995">
              <w:rPr>
                <w:b/>
              </w:rPr>
              <w:t>Current</w:t>
            </w:r>
          </w:p>
        </w:tc>
        <w:tc>
          <w:tcPr>
            <w:tcW w:w="4680" w:type="dxa"/>
          </w:tcPr>
          <w:p w:rsidR="00FB6329" w:rsidRDefault="00FB6329" w:rsidP="00A92962">
            <w:pPr>
              <w:pStyle w:val="TableText"/>
              <w:spacing w:after="0"/>
              <w:rPr>
                <w:b/>
              </w:rPr>
            </w:pPr>
            <w:r w:rsidRPr="009356E5">
              <w:t>Up to but not including 2</w:t>
            </w:r>
            <w:r w:rsidR="00A92962">
              <w:t> </w:t>
            </w:r>
            <w:r w:rsidR="00AD57BE">
              <w:t>in</w:t>
            </w:r>
          </w:p>
        </w:tc>
        <w:tc>
          <w:tcPr>
            <w:tcW w:w="3798" w:type="dxa"/>
          </w:tcPr>
          <w:p w:rsidR="00FB6329" w:rsidRDefault="00FB6329" w:rsidP="00A92962">
            <w:pPr>
              <w:pStyle w:val="TableText"/>
              <w:spacing w:after="0"/>
              <w:jc w:val="center"/>
              <w:rPr>
                <w:b/>
              </w:rPr>
            </w:pPr>
            <w:r w:rsidRPr="00F33931">
              <w:t>104 in</w:t>
            </w:r>
            <w:r w:rsidRPr="009D4995">
              <w:rPr>
                <w:vertAlign w:val="superscript"/>
              </w:rPr>
              <w:t>3</w:t>
            </w:r>
          </w:p>
        </w:tc>
      </w:tr>
      <w:tr w:rsidR="00FB6329" w:rsidTr="00A92962">
        <w:tc>
          <w:tcPr>
            <w:tcW w:w="1098" w:type="dxa"/>
          </w:tcPr>
          <w:p w:rsidR="00FB6329" w:rsidRPr="009D4995" w:rsidRDefault="00FB6329" w:rsidP="00A92962">
            <w:pPr>
              <w:pStyle w:val="TableText"/>
              <w:spacing w:after="0"/>
              <w:rPr>
                <w:b/>
              </w:rPr>
            </w:pPr>
          </w:p>
        </w:tc>
        <w:tc>
          <w:tcPr>
            <w:tcW w:w="4680" w:type="dxa"/>
          </w:tcPr>
          <w:p w:rsidR="00FB6329" w:rsidRDefault="00FB6329" w:rsidP="00A92962">
            <w:pPr>
              <w:pStyle w:val="TableText"/>
              <w:spacing w:after="0"/>
              <w:rPr>
                <w:b/>
              </w:rPr>
            </w:pPr>
            <w:r w:rsidRPr="009356E5">
              <w:t>2</w:t>
            </w:r>
            <w:r w:rsidR="00A92962">
              <w:t> </w:t>
            </w:r>
            <w:r w:rsidR="00AD57BE">
              <w:t>in</w:t>
            </w:r>
            <w:r w:rsidRPr="009356E5">
              <w:t xml:space="preserve"> up to but not including 3</w:t>
            </w:r>
            <w:r w:rsidR="00A92962">
              <w:t> </w:t>
            </w:r>
            <w:r w:rsidR="00AD57BE">
              <w:t>in</w:t>
            </w:r>
          </w:p>
        </w:tc>
        <w:tc>
          <w:tcPr>
            <w:tcW w:w="3798" w:type="dxa"/>
          </w:tcPr>
          <w:p w:rsidR="00FB6329" w:rsidRDefault="00FB6329" w:rsidP="00A92962">
            <w:pPr>
              <w:pStyle w:val="TableText"/>
              <w:spacing w:after="0"/>
              <w:jc w:val="center"/>
              <w:rPr>
                <w:b/>
              </w:rPr>
            </w:pPr>
            <w:r w:rsidRPr="00F33931">
              <w:t>137 in</w:t>
            </w:r>
            <w:r w:rsidR="00417CA5" w:rsidRPr="00C62956">
              <w:rPr>
                <w:vertAlign w:val="superscript"/>
              </w:rPr>
              <w:t>3</w:t>
            </w:r>
          </w:p>
        </w:tc>
      </w:tr>
      <w:tr w:rsidR="00FB6329" w:rsidTr="00A92962">
        <w:tc>
          <w:tcPr>
            <w:tcW w:w="1098" w:type="dxa"/>
          </w:tcPr>
          <w:p w:rsidR="00FB6329" w:rsidRPr="009D4995" w:rsidRDefault="00FB6329" w:rsidP="00A92962">
            <w:pPr>
              <w:pStyle w:val="TableText"/>
              <w:spacing w:after="0"/>
              <w:rPr>
                <w:b/>
              </w:rPr>
            </w:pPr>
          </w:p>
        </w:tc>
        <w:tc>
          <w:tcPr>
            <w:tcW w:w="4680" w:type="dxa"/>
          </w:tcPr>
          <w:p w:rsidR="00FB6329" w:rsidRDefault="00FB6329" w:rsidP="00A92962">
            <w:pPr>
              <w:pStyle w:val="TableText"/>
              <w:spacing w:after="0"/>
              <w:rPr>
                <w:b/>
              </w:rPr>
            </w:pPr>
            <w:r w:rsidRPr="009356E5">
              <w:t>3</w:t>
            </w:r>
            <w:r w:rsidR="00A92962">
              <w:t> </w:t>
            </w:r>
            <w:r w:rsidR="00AD57BE">
              <w:t>in</w:t>
            </w:r>
            <w:r w:rsidRPr="009356E5">
              <w:t xml:space="preserve"> and larger</w:t>
            </w:r>
          </w:p>
        </w:tc>
        <w:tc>
          <w:tcPr>
            <w:tcW w:w="3798" w:type="dxa"/>
          </w:tcPr>
          <w:p w:rsidR="00FB6329" w:rsidRDefault="00FB6329" w:rsidP="00A92962">
            <w:pPr>
              <w:pStyle w:val="TableText"/>
              <w:spacing w:after="0"/>
              <w:jc w:val="center"/>
              <w:rPr>
                <w:b/>
              </w:rPr>
            </w:pPr>
            <w:r w:rsidRPr="00F33931">
              <w:t>229 in</w:t>
            </w:r>
            <w:r w:rsidR="00417CA5" w:rsidRPr="00C62956">
              <w:rPr>
                <w:vertAlign w:val="superscript"/>
              </w:rPr>
              <w:t>3</w:t>
            </w:r>
          </w:p>
        </w:tc>
      </w:tr>
      <w:tr w:rsidR="00FB6329" w:rsidTr="00A92962">
        <w:tc>
          <w:tcPr>
            <w:tcW w:w="1098" w:type="dxa"/>
          </w:tcPr>
          <w:p w:rsidR="00FB6329" w:rsidRPr="009D4995" w:rsidRDefault="00FB6329" w:rsidP="00811C3A">
            <w:pPr>
              <w:pStyle w:val="TableText"/>
              <w:spacing w:after="0"/>
              <w:rPr>
                <w:b/>
              </w:rPr>
            </w:pPr>
            <w:r w:rsidRPr="009D4995">
              <w:rPr>
                <w:b/>
              </w:rPr>
              <w:t>Option 1:</w:t>
            </w:r>
          </w:p>
        </w:tc>
        <w:tc>
          <w:tcPr>
            <w:tcW w:w="4680" w:type="dxa"/>
          </w:tcPr>
          <w:p w:rsidR="00FB6329" w:rsidRDefault="00FB6329" w:rsidP="00811C3A">
            <w:pPr>
              <w:pStyle w:val="TableText"/>
              <w:spacing w:after="0"/>
              <w:rPr>
                <w:b/>
              </w:rPr>
            </w:pPr>
            <w:r w:rsidRPr="009356E5">
              <w:t>All Maximum Flow Rates</w:t>
            </w:r>
          </w:p>
        </w:tc>
        <w:tc>
          <w:tcPr>
            <w:tcW w:w="3798" w:type="dxa"/>
          </w:tcPr>
          <w:p w:rsidR="00FB6329" w:rsidRDefault="00FB6329" w:rsidP="00811C3A">
            <w:pPr>
              <w:pStyle w:val="TableText"/>
              <w:spacing w:after="0"/>
              <w:jc w:val="center"/>
              <w:rPr>
                <w:b/>
              </w:rPr>
            </w:pPr>
            <w:r w:rsidRPr="00F33931">
              <w:t>0.5</w:t>
            </w:r>
            <w:r w:rsidR="00AC55B7">
              <w:t xml:space="preserve"> </w:t>
            </w:r>
            <w:r w:rsidRPr="00F33931">
              <w:t>%</w:t>
            </w:r>
          </w:p>
        </w:tc>
      </w:tr>
      <w:tr w:rsidR="00FB6329" w:rsidTr="00A92962">
        <w:tc>
          <w:tcPr>
            <w:tcW w:w="1098" w:type="dxa"/>
          </w:tcPr>
          <w:p w:rsidR="00FB6329" w:rsidRPr="009D4995" w:rsidRDefault="00FB6329" w:rsidP="00811C3A">
            <w:pPr>
              <w:pStyle w:val="TableText"/>
              <w:spacing w:after="0"/>
              <w:rPr>
                <w:b/>
              </w:rPr>
            </w:pPr>
            <w:r w:rsidRPr="009D4995">
              <w:rPr>
                <w:b/>
              </w:rPr>
              <w:t>Option 2:</w:t>
            </w:r>
          </w:p>
        </w:tc>
        <w:tc>
          <w:tcPr>
            <w:tcW w:w="4680" w:type="dxa"/>
          </w:tcPr>
          <w:p w:rsidR="00FB6329" w:rsidRDefault="00FB6329" w:rsidP="00811C3A">
            <w:pPr>
              <w:pStyle w:val="TableText"/>
              <w:spacing w:after="0"/>
              <w:rPr>
                <w:b/>
              </w:rPr>
            </w:pPr>
            <w:r w:rsidRPr="009356E5">
              <w:t>Marked Max ≤ 100 gpm</w:t>
            </w:r>
          </w:p>
        </w:tc>
        <w:tc>
          <w:tcPr>
            <w:tcW w:w="3798" w:type="dxa"/>
          </w:tcPr>
          <w:p w:rsidR="00FB6329" w:rsidRDefault="00FB6329" w:rsidP="00811C3A">
            <w:pPr>
              <w:pStyle w:val="TableText"/>
              <w:spacing w:after="0"/>
              <w:jc w:val="center"/>
              <w:rPr>
                <w:b/>
              </w:rPr>
            </w:pPr>
            <w:r w:rsidRPr="00F33931">
              <w:t>0.6</w:t>
            </w:r>
            <w:r w:rsidR="00AC55B7">
              <w:t xml:space="preserve"> </w:t>
            </w:r>
            <w:r w:rsidRPr="00F33931">
              <w:t>%</w:t>
            </w:r>
          </w:p>
        </w:tc>
      </w:tr>
      <w:tr w:rsidR="00FB6329" w:rsidTr="00A92962">
        <w:tc>
          <w:tcPr>
            <w:tcW w:w="1098" w:type="dxa"/>
          </w:tcPr>
          <w:p w:rsidR="00FB6329" w:rsidRPr="009D4995" w:rsidRDefault="00FB6329" w:rsidP="00811C3A">
            <w:pPr>
              <w:pStyle w:val="TableText"/>
              <w:spacing w:after="0"/>
              <w:rPr>
                <w:b/>
              </w:rPr>
            </w:pPr>
          </w:p>
        </w:tc>
        <w:tc>
          <w:tcPr>
            <w:tcW w:w="4680" w:type="dxa"/>
          </w:tcPr>
          <w:p w:rsidR="00FB6329" w:rsidRDefault="00FB6329" w:rsidP="00811C3A">
            <w:pPr>
              <w:pStyle w:val="TableText"/>
              <w:spacing w:after="0"/>
              <w:rPr>
                <w:b/>
              </w:rPr>
            </w:pPr>
            <w:r w:rsidRPr="009356E5">
              <w:t>Marked Max &gt; 100 gpm</w:t>
            </w:r>
          </w:p>
        </w:tc>
        <w:tc>
          <w:tcPr>
            <w:tcW w:w="3798" w:type="dxa"/>
          </w:tcPr>
          <w:p w:rsidR="00FB6329" w:rsidRDefault="00FB6329" w:rsidP="00811C3A">
            <w:pPr>
              <w:pStyle w:val="TableText"/>
              <w:spacing w:after="0"/>
              <w:jc w:val="center"/>
              <w:rPr>
                <w:b/>
              </w:rPr>
            </w:pPr>
            <w:r w:rsidRPr="00F33931">
              <w:t>0.5</w:t>
            </w:r>
            <w:r w:rsidR="00AC55B7">
              <w:t xml:space="preserve"> </w:t>
            </w:r>
            <w:r w:rsidRPr="00F33931">
              <w:t>%</w:t>
            </w:r>
          </w:p>
        </w:tc>
      </w:tr>
      <w:tr w:rsidR="00FB6329" w:rsidTr="00A92962">
        <w:tc>
          <w:tcPr>
            <w:tcW w:w="1098" w:type="dxa"/>
          </w:tcPr>
          <w:p w:rsidR="00FB6329" w:rsidRPr="009D4995" w:rsidRDefault="00FB6329" w:rsidP="00811C3A">
            <w:pPr>
              <w:pStyle w:val="TableText"/>
              <w:spacing w:after="0"/>
              <w:rPr>
                <w:b/>
              </w:rPr>
            </w:pPr>
            <w:r w:rsidRPr="009D4995">
              <w:rPr>
                <w:b/>
              </w:rPr>
              <w:t>Option 3:</w:t>
            </w:r>
          </w:p>
        </w:tc>
        <w:tc>
          <w:tcPr>
            <w:tcW w:w="4680" w:type="dxa"/>
          </w:tcPr>
          <w:p w:rsidR="00FB6329" w:rsidRDefault="00FB6329" w:rsidP="00811C3A">
            <w:pPr>
              <w:pStyle w:val="TableText"/>
              <w:spacing w:after="0"/>
              <w:rPr>
                <w:b/>
              </w:rPr>
            </w:pPr>
            <w:r w:rsidRPr="009356E5">
              <w:t>Marked Max ≤ 60 gpm</w:t>
            </w:r>
          </w:p>
        </w:tc>
        <w:tc>
          <w:tcPr>
            <w:tcW w:w="3798" w:type="dxa"/>
          </w:tcPr>
          <w:p w:rsidR="00FB6329" w:rsidRDefault="00FB6329" w:rsidP="00811C3A">
            <w:pPr>
              <w:pStyle w:val="TableText"/>
              <w:spacing w:after="0"/>
              <w:jc w:val="center"/>
              <w:rPr>
                <w:b/>
              </w:rPr>
            </w:pPr>
            <w:r w:rsidRPr="00F33931">
              <w:t>0.8</w:t>
            </w:r>
            <w:r w:rsidR="00AC55B7">
              <w:t xml:space="preserve"> </w:t>
            </w:r>
            <w:r w:rsidRPr="00F33931">
              <w:t>%</w:t>
            </w:r>
          </w:p>
        </w:tc>
      </w:tr>
      <w:tr w:rsidR="00FB6329" w:rsidTr="00A92962">
        <w:tc>
          <w:tcPr>
            <w:tcW w:w="1098" w:type="dxa"/>
          </w:tcPr>
          <w:p w:rsidR="00FB6329" w:rsidRDefault="00FB6329" w:rsidP="00811C3A">
            <w:pPr>
              <w:pStyle w:val="TableText"/>
              <w:spacing w:after="0"/>
            </w:pPr>
          </w:p>
        </w:tc>
        <w:tc>
          <w:tcPr>
            <w:tcW w:w="4680" w:type="dxa"/>
          </w:tcPr>
          <w:p w:rsidR="00FB6329" w:rsidRDefault="00FB6329" w:rsidP="00811C3A">
            <w:pPr>
              <w:pStyle w:val="TableText"/>
              <w:spacing w:after="0"/>
              <w:rPr>
                <w:b/>
              </w:rPr>
            </w:pPr>
            <w:r w:rsidRPr="009356E5">
              <w:t>Marked Max &gt; 60 gpm up to and including 100 gpm</w:t>
            </w:r>
          </w:p>
        </w:tc>
        <w:tc>
          <w:tcPr>
            <w:tcW w:w="3798" w:type="dxa"/>
          </w:tcPr>
          <w:p w:rsidR="00FB6329" w:rsidRDefault="00FB6329" w:rsidP="00811C3A">
            <w:pPr>
              <w:pStyle w:val="TableText"/>
              <w:spacing w:after="0"/>
              <w:jc w:val="center"/>
              <w:rPr>
                <w:b/>
              </w:rPr>
            </w:pPr>
            <w:r w:rsidRPr="00F33931">
              <w:t>0.6</w:t>
            </w:r>
            <w:r w:rsidR="00AC55B7">
              <w:t xml:space="preserve"> </w:t>
            </w:r>
            <w:r w:rsidRPr="00F33931">
              <w:t>%</w:t>
            </w:r>
          </w:p>
        </w:tc>
      </w:tr>
      <w:tr w:rsidR="00FB6329" w:rsidTr="00A92962">
        <w:trPr>
          <w:trHeight w:val="202"/>
        </w:trPr>
        <w:tc>
          <w:tcPr>
            <w:tcW w:w="1098" w:type="dxa"/>
          </w:tcPr>
          <w:p w:rsidR="00FB6329" w:rsidRDefault="00FB6329" w:rsidP="00811C3A">
            <w:pPr>
              <w:pStyle w:val="TableText"/>
              <w:spacing w:after="0"/>
            </w:pPr>
          </w:p>
        </w:tc>
        <w:tc>
          <w:tcPr>
            <w:tcW w:w="4680" w:type="dxa"/>
          </w:tcPr>
          <w:p w:rsidR="00FB6329" w:rsidRDefault="00FB6329" w:rsidP="00811C3A">
            <w:pPr>
              <w:pStyle w:val="TableText"/>
              <w:spacing w:after="0"/>
              <w:rPr>
                <w:b/>
              </w:rPr>
            </w:pPr>
            <w:r w:rsidRPr="009356E5">
              <w:t>Marked Max &gt; 100 gpm</w:t>
            </w:r>
          </w:p>
        </w:tc>
        <w:tc>
          <w:tcPr>
            <w:tcW w:w="3798" w:type="dxa"/>
          </w:tcPr>
          <w:p w:rsidR="00FB6329" w:rsidRDefault="00FB6329" w:rsidP="00811C3A">
            <w:pPr>
              <w:pStyle w:val="TableText"/>
              <w:spacing w:after="0"/>
              <w:jc w:val="center"/>
              <w:rPr>
                <w:b/>
              </w:rPr>
            </w:pPr>
            <w:r w:rsidRPr="00F33931">
              <w:t>0.5</w:t>
            </w:r>
            <w:r w:rsidR="00AC55B7">
              <w:t xml:space="preserve"> </w:t>
            </w:r>
            <w:r w:rsidRPr="00F33931">
              <w:t>%</w:t>
            </w:r>
          </w:p>
        </w:tc>
      </w:tr>
    </w:tbl>
    <w:p w:rsidR="00FB6329" w:rsidRDefault="00FB6329" w:rsidP="00FB6329">
      <w:pPr>
        <w:rPr>
          <w:rFonts w:cs="Times New Roman"/>
        </w:rPr>
      </w:pPr>
    </w:p>
    <w:tbl>
      <w:tblPr>
        <w:tblStyle w:val="TableGrid"/>
        <w:tblW w:w="0" w:type="auto"/>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1596"/>
        <w:gridCol w:w="1596"/>
        <w:gridCol w:w="1596"/>
        <w:gridCol w:w="1596"/>
        <w:gridCol w:w="1596"/>
        <w:gridCol w:w="1596"/>
      </w:tblGrid>
      <w:tr w:rsidR="00417CA5" w:rsidTr="00811C3A">
        <w:tc>
          <w:tcPr>
            <w:tcW w:w="9576" w:type="dxa"/>
            <w:gridSpan w:val="6"/>
          </w:tcPr>
          <w:p w:rsidR="00417CA5" w:rsidRDefault="00417CA5" w:rsidP="00811C3A">
            <w:pPr>
              <w:pStyle w:val="TableHeading"/>
              <w:spacing w:after="0"/>
            </w:pPr>
            <w:r>
              <w:lastRenderedPageBreak/>
              <w:t>Examples of Product Depletion Tolerance Options for Different Meter Sizes/Flow Rates</w:t>
            </w:r>
          </w:p>
        </w:tc>
      </w:tr>
      <w:tr w:rsidR="00417CA5" w:rsidTr="00811C3A">
        <w:tc>
          <w:tcPr>
            <w:tcW w:w="1596" w:type="dxa"/>
          </w:tcPr>
          <w:p w:rsidR="00417CA5" w:rsidRDefault="00417CA5" w:rsidP="00811C3A">
            <w:pPr>
              <w:pStyle w:val="TableColumnHeadings"/>
              <w:spacing w:after="0"/>
            </w:pPr>
            <w:r>
              <w:t>Size</w:t>
            </w:r>
          </w:p>
          <w:p w:rsidR="009352AD" w:rsidRDefault="009352AD" w:rsidP="00811C3A">
            <w:pPr>
              <w:pStyle w:val="TableColumnHeadings"/>
              <w:spacing w:after="0"/>
            </w:pPr>
            <w:r>
              <w:t>(inches)</w:t>
            </w:r>
          </w:p>
        </w:tc>
        <w:tc>
          <w:tcPr>
            <w:tcW w:w="1596" w:type="dxa"/>
          </w:tcPr>
          <w:p w:rsidR="00417CA5" w:rsidRDefault="00417CA5" w:rsidP="00811C3A">
            <w:pPr>
              <w:pStyle w:val="TableColumnHeadings"/>
              <w:spacing w:after="0"/>
              <w:rPr>
                <w:b w:val="0"/>
              </w:rPr>
            </w:pPr>
            <w:r>
              <w:t>Marked Maximum Flow Rate (gpm)</w:t>
            </w:r>
          </w:p>
        </w:tc>
        <w:tc>
          <w:tcPr>
            <w:tcW w:w="1596" w:type="dxa"/>
          </w:tcPr>
          <w:p w:rsidR="00417CA5" w:rsidRDefault="00417CA5" w:rsidP="00811C3A">
            <w:pPr>
              <w:pStyle w:val="TableColumnHeadings"/>
              <w:spacing w:after="0"/>
            </w:pPr>
            <w:r>
              <w:t>Current Tolerance</w:t>
            </w:r>
          </w:p>
        </w:tc>
        <w:tc>
          <w:tcPr>
            <w:tcW w:w="1596" w:type="dxa"/>
          </w:tcPr>
          <w:p w:rsidR="00417CA5" w:rsidRDefault="00417CA5" w:rsidP="00811C3A">
            <w:pPr>
              <w:pStyle w:val="TableColumnHeadings"/>
              <w:spacing w:after="0"/>
            </w:pPr>
            <w:r>
              <w:t xml:space="preserve">Option 1 </w:t>
            </w:r>
          </w:p>
          <w:p w:rsidR="00417CA5" w:rsidRDefault="00417CA5" w:rsidP="00811C3A">
            <w:pPr>
              <w:pStyle w:val="TableColumnHeadings"/>
              <w:spacing w:after="0"/>
            </w:pPr>
            <w:r>
              <w:t>(0.5</w:t>
            </w:r>
            <w:r w:rsidR="00AC55B7">
              <w:t xml:space="preserve"> </w:t>
            </w:r>
            <w:r>
              <w:t>% max)</w:t>
            </w:r>
          </w:p>
        </w:tc>
        <w:tc>
          <w:tcPr>
            <w:tcW w:w="1596" w:type="dxa"/>
          </w:tcPr>
          <w:p w:rsidR="00417CA5" w:rsidRDefault="00417CA5" w:rsidP="00811C3A">
            <w:pPr>
              <w:pStyle w:val="TableColumnHeadings"/>
              <w:spacing w:after="0"/>
            </w:pPr>
            <w:r>
              <w:t xml:space="preserve">Option 2 </w:t>
            </w:r>
          </w:p>
          <w:p w:rsidR="00417CA5" w:rsidRDefault="00417CA5" w:rsidP="00811C3A">
            <w:pPr>
              <w:pStyle w:val="TableColumnHeadings"/>
              <w:spacing w:after="0"/>
            </w:pPr>
            <w:r>
              <w:t>(0.6</w:t>
            </w:r>
            <w:r w:rsidR="00AC55B7">
              <w:t xml:space="preserve"> </w:t>
            </w:r>
            <w:r>
              <w:t>% max) (0.5</w:t>
            </w:r>
            <w:r w:rsidR="00AC55B7">
              <w:t xml:space="preserve"> </w:t>
            </w:r>
            <w:r>
              <w:t>% max)</w:t>
            </w:r>
          </w:p>
        </w:tc>
        <w:tc>
          <w:tcPr>
            <w:tcW w:w="1596" w:type="dxa"/>
          </w:tcPr>
          <w:p w:rsidR="00417CA5" w:rsidRDefault="00417CA5" w:rsidP="00811C3A">
            <w:pPr>
              <w:pStyle w:val="TableColumnHeadings"/>
              <w:spacing w:after="0"/>
            </w:pPr>
            <w:r>
              <w:t xml:space="preserve">Option 3 </w:t>
            </w:r>
          </w:p>
          <w:p w:rsidR="00417CA5" w:rsidRDefault="00417CA5" w:rsidP="00811C3A">
            <w:pPr>
              <w:pStyle w:val="TableColumnHeadings"/>
              <w:spacing w:after="0"/>
            </w:pPr>
            <w:r>
              <w:t>(0.8</w:t>
            </w:r>
            <w:r w:rsidR="00AC55B7">
              <w:t xml:space="preserve"> </w:t>
            </w:r>
            <w:r>
              <w:t>% max) (0.6</w:t>
            </w:r>
            <w:r w:rsidR="00AC55B7">
              <w:t xml:space="preserve"> </w:t>
            </w:r>
            <w:r>
              <w:t>% max) (0.5</w:t>
            </w:r>
            <w:r w:rsidR="00AC55B7">
              <w:t xml:space="preserve"> </w:t>
            </w:r>
            <w:r>
              <w:t>% max)</w:t>
            </w:r>
          </w:p>
        </w:tc>
      </w:tr>
      <w:tr w:rsidR="00417CA5" w:rsidTr="00811C3A">
        <w:tc>
          <w:tcPr>
            <w:tcW w:w="1596" w:type="dxa"/>
          </w:tcPr>
          <w:p w:rsidR="00417CA5" w:rsidRDefault="00417CA5" w:rsidP="00811C3A">
            <w:pPr>
              <w:pStyle w:val="TableText"/>
              <w:spacing w:after="0"/>
              <w:jc w:val="center"/>
            </w:pPr>
            <w:r w:rsidRPr="00212900">
              <w:t>1</w:t>
            </w:r>
            <w:r w:rsidR="009352AD">
              <w:rPr>
                <w:rFonts w:cs="Times New Roman"/>
              </w:rPr>
              <w:t>½</w:t>
            </w:r>
          </w:p>
        </w:tc>
        <w:tc>
          <w:tcPr>
            <w:tcW w:w="1596" w:type="dxa"/>
          </w:tcPr>
          <w:p w:rsidR="00417CA5" w:rsidRDefault="00417CA5" w:rsidP="00811C3A">
            <w:pPr>
              <w:pStyle w:val="TableText"/>
              <w:spacing w:after="0"/>
              <w:jc w:val="center"/>
              <w:rPr>
                <w:b/>
              </w:rPr>
            </w:pPr>
            <w:r w:rsidRPr="00212900">
              <w:t>60 gpm</w:t>
            </w:r>
          </w:p>
        </w:tc>
        <w:tc>
          <w:tcPr>
            <w:tcW w:w="1596" w:type="dxa"/>
          </w:tcPr>
          <w:p w:rsidR="00417CA5" w:rsidRDefault="00417CA5" w:rsidP="00811C3A">
            <w:pPr>
              <w:pStyle w:val="TableText"/>
              <w:spacing w:after="0"/>
              <w:jc w:val="center"/>
              <w:rPr>
                <w:b/>
              </w:rPr>
            </w:pPr>
            <w:r w:rsidRPr="00212900">
              <w:t>104 in</w:t>
            </w:r>
            <w:r w:rsidRPr="00C62956">
              <w:rPr>
                <w:vertAlign w:val="superscript"/>
              </w:rPr>
              <w:t>3</w:t>
            </w:r>
          </w:p>
        </w:tc>
        <w:tc>
          <w:tcPr>
            <w:tcW w:w="1596" w:type="dxa"/>
          </w:tcPr>
          <w:p w:rsidR="00417CA5" w:rsidRDefault="00417CA5" w:rsidP="00811C3A">
            <w:pPr>
              <w:pStyle w:val="TableText"/>
              <w:spacing w:after="0"/>
              <w:jc w:val="center"/>
              <w:rPr>
                <w:b/>
              </w:rPr>
            </w:pPr>
            <w:r w:rsidRPr="00212900">
              <w:t>69 in</w:t>
            </w:r>
            <w:r w:rsidRPr="00C62956">
              <w:rPr>
                <w:vertAlign w:val="superscript"/>
              </w:rPr>
              <w:t>3</w:t>
            </w:r>
          </w:p>
        </w:tc>
        <w:tc>
          <w:tcPr>
            <w:tcW w:w="1596" w:type="dxa"/>
          </w:tcPr>
          <w:p w:rsidR="00417CA5" w:rsidRDefault="00417CA5" w:rsidP="00811C3A">
            <w:pPr>
              <w:pStyle w:val="TableText"/>
              <w:spacing w:after="0"/>
              <w:jc w:val="center"/>
              <w:rPr>
                <w:b/>
              </w:rPr>
            </w:pPr>
            <w:r w:rsidRPr="00212900">
              <w:t>83 in</w:t>
            </w:r>
            <w:r w:rsidRPr="00C62956">
              <w:rPr>
                <w:vertAlign w:val="superscript"/>
              </w:rPr>
              <w:t>3</w:t>
            </w:r>
          </w:p>
        </w:tc>
        <w:tc>
          <w:tcPr>
            <w:tcW w:w="1596" w:type="dxa"/>
          </w:tcPr>
          <w:p w:rsidR="00417CA5" w:rsidRDefault="00417CA5" w:rsidP="00811C3A">
            <w:pPr>
              <w:pStyle w:val="TableText"/>
              <w:spacing w:after="0"/>
              <w:jc w:val="center"/>
              <w:rPr>
                <w:b/>
              </w:rPr>
            </w:pPr>
            <w:r w:rsidRPr="00212900">
              <w:t>111 in</w:t>
            </w:r>
            <w:r w:rsidRPr="00C62956">
              <w:rPr>
                <w:vertAlign w:val="superscript"/>
              </w:rPr>
              <w:t>3</w:t>
            </w:r>
          </w:p>
        </w:tc>
      </w:tr>
      <w:tr w:rsidR="00417CA5" w:rsidTr="00811C3A">
        <w:tc>
          <w:tcPr>
            <w:tcW w:w="1596" w:type="dxa"/>
          </w:tcPr>
          <w:p w:rsidR="00417CA5" w:rsidRDefault="00417CA5" w:rsidP="00811C3A">
            <w:pPr>
              <w:pStyle w:val="TableText"/>
              <w:spacing w:after="0"/>
              <w:jc w:val="center"/>
            </w:pPr>
            <w:r w:rsidRPr="00212900">
              <w:t>2</w:t>
            </w:r>
          </w:p>
        </w:tc>
        <w:tc>
          <w:tcPr>
            <w:tcW w:w="1596" w:type="dxa"/>
          </w:tcPr>
          <w:p w:rsidR="00417CA5" w:rsidRDefault="00417CA5" w:rsidP="00811C3A">
            <w:pPr>
              <w:pStyle w:val="TableText"/>
              <w:spacing w:after="0"/>
              <w:jc w:val="center"/>
              <w:rPr>
                <w:b/>
              </w:rPr>
            </w:pPr>
            <w:r w:rsidRPr="00212900">
              <w:t>100 gpm</w:t>
            </w:r>
          </w:p>
        </w:tc>
        <w:tc>
          <w:tcPr>
            <w:tcW w:w="1596" w:type="dxa"/>
          </w:tcPr>
          <w:p w:rsidR="00417CA5" w:rsidRDefault="00417CA5" w:rsidP="00811C3A">
            <w:pPr>
              <w:pStyle w:val="TableText"/>
              <w:spacing w:after="0"/>
              <w:jc w:val="center"/>
              <w:rPr>
                <w:b/>
              </w:rPr>
            </w:pPr>
            <w:r w:rsidRPr="00212900">
              <w:t>137 in</w:t>
            </w:r>
            <w:r w:rsidRPr="00C62956">
              <w:rPr>
                <w:vertAlign w:val="superscript"/>
              </w:rPr>
              <w:t>3</w:t>
            </w:r>
          </w:p>
        </w:tc>
        <w:tc>
          <w:tcPr>
            <w:tcW w:w="1596" w:type="dxa"/>
          </w:tcPr>
          <w:p w:rsidR="00417CA5" w:rsidRDefault="00417CA5" w:rsidP="00811C3A">
            <w:pPr>
              <w:pStyle w:val="TableText"/>
              <w:spacing w:after="0"/>
              <w:jc w:val="center"/>
              <w:rPr>
                <w:b/>
              </w:rPr>
            </w:pPr>
            <w:r w:rsidRPr="00212900">
              <w:t>115 in</w:t>
            </w:r>
            <w:r w:rsidRPr="00C62956">
              <w:rPr>
                <w:vertAlign w:val="superscript"/>
              </w:rPr>
              <w:t>3</w:t>
            </w:r>
          </w:p>
        </w:tc>
        <w:tc>
          <w:tcPr>
            <w:tcW w:w="1596" w:type="dxa"/>
          </w:tcPr>
          <w:p w:rsidR="00417CA5" w:rsidRDefault="00417CA5" w:rsidP="00811C3A">
            <w:pPr>
              <w:pStyle w:val="TableText"/>
              <w:spacing w:after="0"/>
              <w:jc w:val="center"/>
              <w:rPr>
                <w:b/>
              </w:rPr>
            </w:pPr>
            <w:r w:rsidRPr="00212900">
              <w:t>139 in</w:t>
            </w:r>
            <w:r w:rsidRPr="00C62956">
              <w:rPr>
                <w:vertAlign w:val="superscript"/>
              </w:rPr>
              <w:t>3</w:t>
            </w:r>
          </w:p>
        </w:tc>
        <w:tc>
          <w:tcPr>
            <w:tcW w:w="1596" w:type="dxa"/>
          </w:tcPr>
          <w:p w:rsidR="00417CA5" w:rsidRDefault="00417CA5" w:rsidP="00811C3A">
            <w:pPr>
              <w:pStyle w:val="TableText"/>
              <w:spacing w:after="0"/>
              <w:jc w:val="center"/>
              <w:rPr>
                <w:b/>
              </w:rPr>
            </w:pPr>
            <w:r w:rsidRPr="00212900">
              <w:t>139 in</w:t>
            </w:r>
            <w:r w:rsidRPr="00C62956">
              <w:rPr>
                <w:vertAlign w:val="superscript"/>
              </w:rPr>
              <w:t>3</w:t>
            </w:r>
          </w:p>
        </w:tc>
      </w:tr>
      <w:tr w:rsidR="00417CA5" w:rsidTr="00811C3A">
        <w:tc>
          <w:tcPr>
            <w:tcW w:w="1596" w:type="dxa"/>
          </w:tcPr>
          <w:p w:rsidR="00417CA5" w:rsidRDefault="00417CA5" w:rsidP="00811C3A">
            <w:pPr>
              <w:pStyle w:val="TableText"/>
              <w:spacing w:after="0"/>
              <w:jc w:val="center"/>
            </w:pPr>
            <w:r w:rsidRPr="00212900">
              <w:t>2</w:t>
            </w:r>
          </w:p>
        </w:tc>
        <w:tc>
          <w:tcPr>
            <w:tcW w:w="1596" w:type="dxa"/>
          </w:tcPr>
          <w:p w:rsidR="00417CA5" w:rsidRDefault="00417CA5" w:rsidP="00811C3A">
            <w:pPr>
              <w:pStyle w:val="TableText"/>
              <w:spacing w:after="0"/>
              <w:jc w:val="center"/>
              <w:rPr>
                <w:b/>
              </w:rPr>
            </w:pPr>
            <w:r w:rsidRPr="00212900">
              <w:t>150 gpm</w:t>
            </w:r>
          </w:p>
        </w:tc>
        <w:tc>
          <w:tcPr>
            <w:tcW w:w="1596" w:type="dxa"/>
          </w:tcPr>
          <w:p w:rsidR="00417CA5" w:rsidRDefault="00417CA5" w:rsidP="00811C3A">
            <w:pPr>
              <w:pStyle w:val="TableText"/>
              <w:spacing w:after="0"/>
              <w:jc w:val="center"/>
              <w:rPr>
                <w:b/>
              </w:rPr>
            </w:pPr>
            <w:r w:rsidRPr="00212900">
              <w:t>137 in</w:t>
            </w:r>
            <w:r w:rsidRPr="00C62956">
              <w:rPr>
                <w:vertAlign w:val="superscript"/>
              </w:rPr>
              <w:t>3</w:t>
            </w:r>
          </w:p>
        </w:tc>
        <w:tc>
          <w:tcPr>
            <w:tcW w:w="1596" w:type="dxa"/>
          </w:tcPr>
          <w:p w:rsidR="00417CA5" w:rsidRDefault="00417CA5" w:rsidP="00811C3A">
            <w:pPr>
              <w:pStyle w:val="TableText"/>
              <w:spacing w:after="0"/>
              <w:jc w:val="center"/>
              <w:rPr>
                <w:b/>
              </w:rPr>
            </w:pPr>
            <w:r w:rsidRPr="00212900">
              <w:t>173 in</w:t>
            </w:r>
            <w:r w:rsidRPr="00C62956">
              <w:rPr>
                <w:vertAlign w:val="superscript"/>
              </w:rPr>
              <w:t>3</w:t>
            </w:r>
          </w:p>
        </w:tc>
        <w:tc>
          <w:tcPr>
            <w:tcW w:w="1596" w:type="dxa"/>
          </w:tcPr>
          <w:p w:rsidR="00417CA5" w:rsidRDefault="00417CA5" w:rsidP="00811C3A">
            <w:pPr>
              <w:pStyle w:val="TableText"/>
              <w:spacing w:after="0"/>
              <w:jc w:val="center"/>
              <w:rPr>
                <w:b/>
              </w:rPr>
            </w:pPr>
            <w:r w:rsidRPr="00212900">
              <w:t>173 in</w:t>
            </w:r>
            <w:r w:rsidRPr="00C62956">
              <w:rPr>
                <w:vertAlign w:val="superscript"/>
              </w:rPr>
              <w:t>3</w:t>
            </w:r>
          </w:p>
        </w:tc>
        <w:tc>
          <w:tcPr>
            <w:tcW w:w="1596" w:type="dxa"/>
          </w:tcPr>
          <w:p w:rsidR="00417CA5" w:rsidRDefault="00417CA5" w:rsidP="00811C3A">
            <w:pPr>
              <w:pStyle w:val="TableText"/>
              <w:spacing w:after="0"/>
              <w:jc w:val="center"/>
              <w:rPr>
                <w:b/>
              </w:rPr>
            </w:pPr>
            <w:r w:rsidRPr="00212900">
              <w:t>173 in</w:t>
            </w:r>
            <w:r w:rsidRPr="00C62956">
              <w:rPr>
                <w:vertAlign w:val="superscript"/>
              </w:rPr>
              <w:t>3</w:t>
            </w:r>
          </w:p>
        </w:tc>
      </w:tr>
      <w:tr w:rsidR="00417CA5" w:rsidTr="00811C3A">
        <w:tc>
          <w:tcPr>
            <w:tcW w:w="1596" w:type="dxa"/>
          </w:tcPr>
          <w:p w:rsidR="00417CA5" w:rsidRDefault="00417CA5" w:rsidP="00811C3A">
            <w:pPr>
              <w:pStyle w:val="TableText"/>
              <w:spacing w:after="0"/>
              <w:jc w:val="center"/>
            </w:pPr>
            <w:r w:rsidRPr="00212900">
              <w:t>3</w:t>
            </w:r>
          </w:p>
        </w:tc>
        <w:tc>
          <w:tcPr>
            <w:tcW w:w="1596" w:type="dxa"/>
          </w:tcPr>
          <w:p w:rsidR="00417CA5" w:rsidRDefault="00417CA5" w:rsidP="00811C3A">
            <w:pPr>
              <w:pStyle w:val="TableText"/>
              <w:spacing w:after="0"/>
              <w:jc w:val="center"/>
              <w:rPr>
                <w:b/>
              </w:rPr>
            </w:pPr>
            <w:r w:rsidRPr="00212900">
              <w:t>150 gpm</w:t>
            </w:r>
          </w:p>
        </w:tc>
        <w:tc>
          <w:tcPr>
            <w:tcW w:w="1596" w:type="dxa"/>
          </w:tcPr>
          <w:p w:rsidR="00417CA5" w:rsidRDefault="00417CA5" w:rsidP="00811C3A">
            <w:pPr>
              <w:pStyle w:val="TableText"/>
              <w:spacing w:after="0"/>
              <w:jc w:val="center"/>
              <w:rPr>
                <w:b/>
              </w:rPr>
            </w:pPr>
            <w:r w:rsidRPr="00212900">
              <w:t>229 in</w:t>
            </w:r>
            <w:r w:rsidRPr="00C62956">
              <w:rPr>
                <w:vertAlign w:val="superscript"/>
              </w:rPr>
              <w:t>3</w:t>
            </w:r>
          </w:p>
        </w:tc>
        <w:tc>
          <w:tcPr>
            <w:tcW w:w="1596" w:type="dxa"/>
          </w:tcPr>
          <w:p w:rsidR="00417CA5" w:rsidRDefault="00417CA5" w:rsidP="00811C3A">
            <w:pPr>
              <w:pStyle w:val="TableText"/>
              <w:spacing w:after="0"/>
              <w:jc w:val="center"/>
              <w:rPr>
                <w:b/>
              </w:rPr>
            </w:pPr>
            <w:r w:rsidRPr="00212900">
              <w:t>173 in</w:t>
            </w:r>
            <w:r w:rsidRPr="00C62956">
              <w:rPr>
                <w:vertAlign w:val="superscript"/>
              </w:rPr>
              <w:t>3</w:t>
            </w:r>
          </w:p>
        </w:tc>
        <w:tc>
          <w:tcPr>
            <w:tcW w:w="1596" w:type="dxa"/>
          </w:tcPr>
          <w:p w:rsidR="00417CA5" w:rsidRDefault="00417CA5" w:rsidP="00811C3A">
            <w:pPr>
              <w:pStyle w:val="TableText"/>
              <w:spacing w:after="0"/>
              <w:jc w:val="center"/>
              <w:rPr>
                <w:b/>
              </w:rPr>
            </w:pPr>
            <w:r w:rsidRPr="00212900">
              <w:t>173 in</w:t>
            </w:r>
            <w:r w:rsidRPr="00C62956">
              <w:rPr>
                <w:vertAlign w:val="superscript"/>
              </w:rPr>
              <w:t>3</w:t>
            </w:r>
          </w:p>
        </w:tc>
        <w:tc>
          <w:tcPr>
            <w:tcW w:w="1596" w:type="dxa"/>
          </w:tcPr>
          <w:p w:rsidR="00417CA5" w:rsidRDefault="00417CA5" w:rsidP="00811C3A">
            <w:pPr>
              <w:pStyle w:val="TableText"/>
              <w:spacing w:after="0"/>
              <w:jc w:val="center"/>
              <w:rPr>
                <w:b/>
              </w:rPr>
            </w:pPr>
            <w:r w:rsidRPr="00212900">
              <w:t>173 in</w:t>
            </w:r>
            <w:r w:rsidRPr="00C62956">
              <w:rPr>
                <w:vertAlign w:val="superscript"/>
              </w:rPr>
              <w:t>3</w:t>
            </w:r>
          </w:p>
        </w:tc>
      </w:tr>
      <w:tr w:rsidR="00417CA5" w:rsidTr="00811C3A">
        <w:tc>
          <w:tcPr>
            <w:tcW w:w="1596" w:type="dxa"/>
          </w:tcPr>
          <w:p w:rsidR="00417CA5" w:rsidRDefault="00417CA5" w:rsidP="00811C3A">
            <w:pPr>
              <w:pStyle w:val="TableText"/>
              <w:spacing w:after="0"/>
              <w:jc w:val="center"/>
            </w:pPr>
            <w:r w:rsidRPr="00212900">
              <w:t>3</w:t>
            </w:r>
          </w:p>
        </w:tc>
        <w:tc>
          <w:tcPr>
            <w:tcW w:w="1596" w:type="dxa"/>
          </w:tcPr>
          <w:p w:rsidR="00417CA5" w:rsidRDefault="00417CA5" w:rsidP="00811C3A">
            <w:pPr>
              <w:pStyle w:val="TableText"/>
              <w:spacing w:after="0"/>
              <w:jc w:val="center"/>
              <w:rPr>
                <w:b/>
              </w:rPr>
            </w:pPr>
            <w:r w:rsidRPr="00212900">
              <w:t>200 gpm</w:t>
            </w:r>
          </w:p>
        </w:tc>
        <w:tc>
          <w:tcPr>
            <w:tcW w:w="1596" w:type="dxa"/>
          </w:tcPr>
          <w:p w:rsidR="00417CA5" w:rsidRDefault="00417CA5" w:rsidP="00811C3A">
            <w:pPr>
              <w:pStyle w:val="TableText"/>
              <w:spacing w:after="0"/>
              <w:jc w:val="center"/>
              <w:rPr>
                <w:b/>
              </w:rPr>
            </w:pPr>
            <w:r w:rsidRPr="00212900">
              <w:t>229 in</w:t>
            </w:r>
            <w:r w:rsidRPr="00C62956">
              <w:rPr>
                <w:vertAlign w:val="superscript"/>
              </w:rPr>
              <w:t>3</w:t>
            </w:r>
          </w:p>
        </w:tc>
        <w:tc>
          <w:tcPr>
            <w:tcW w:w="1596" w:type="dxa"/>
          </w:tcPr>
          <w:p w:rsidR="00417CA5" w:rsidRDefault="00417CA5" w:rsidP="00811C3A">
            <w:pPr>
              <w:pStyle w:val="TableText"/>
              <w:spacing w:after="0"/>
              <w:jc w:val="center"/>
              <w:rPr>
                <w:b/>
              </w:rPr>
            </w:pPr>
            <w:r w:rsidRPr="00212900">
              <w:t>231 in</w:t>
            </w:r>
            <w:r w:rsidRPr="00C62956">
              <w:rPr>
                <w:vertAlign w:val="superscript"/>
              </w:rPr>
              <w:t>3</w:t>
            </w:r>
          </w:p>
        </w:tc>
        <w:tc>
          <w:tcPr>
            <w:tcW w:w="1596" w:type="dxa"/>
          </w:tcPr>
          <w:p w:rsidR="00417CA5" w:rsidRDefault="00417CA5" w:rsidP="00811C3A">
            <w:pPr>
              <w:pStyle w:val="TableText"/>
              <w:spacing w:after="0"/>
              <w:jc w:val="center"/>
              <w:rPr>
                <w:b/>
              </w:rPr>
            </w:pPr>
            <w:r w:rsidRPr="00212900">
              <w:t>231 in</w:t>
            </w:r>
            <w:r w:rsidRPr="00C62956">
              <w:rPr>
                <w:vertAlign w:val="superscript"/>
              </w:rPr>
              <w:t>3</w:t>
            </w:r>
          </w:p>
        </w:tc>
        <w:tc>
          <w:tcPr>
            <w:tcW w:w="1596" w:type="dxa"/>
          </w:tcPr>
          <w:p w:rsidR="00417CA5" w:rsidRDefault="00417CA5" w:rsidP="00811C3A">
            <w:pPr>
              <w:pStyle w:val="TableText"/>
              <w:spacing w:after="0"/>
              <w:jc w:val="center"/>
              <w:rPr>
                <w:b/>
              </w:rPr>
            </w:pPr>
            <w:r w:rsidRPr="00212900">
              <w:t>231 in</w:t>
            </w:r>
            <w:r w:rsidRPr="00C62956">
              <w:rPr>
                <w:vertAlign w:val="superscript"/>
              </w:rPr>
              <w:t>3</w:t>
            </w:r>
          </w:p>
        </w:tc>
      </w:tr>
      <w:tr w:rsidR="00417CA5" w:rsidTr="00811C3A">
        <w:tc>
          <w:tcPr>
            <w:tcW w:w="1596" w:type="dxa"/>
          </w:tcPr>
          <w:p w:rsidR="00417CA5" w:rsidRDefault="00417CA5" w:rsidP="00811C3A">
            <w:pPr>
              <w:pStyle w:val="TableText"/>
              <w:spacing w:after="0"/>
              <w:jc w:val="center"/>
            </w:pPr>
            <w:r w:rsidRPr="00212900">
              <w:t>3</w:t>
            </w:r>
          </w:p>
        </w:tc>
        <w:tc>
          <w:tcPr>
            <w:tcW w:w="1596" w:type="dxa"/>
          </w:tcPr>
          <w:p w:rsidR="00417CA5" w:rsidRDefault="00417CA5" w:rsidP="00811C3A">
            <w:pPr>
              <w:pStyle w:val="TableText"/>
              <w:spacing w:after="0"/>
              <w:jc w:val="center"/>
              <w:rPr>
                <w:b/>
              </w:rPr>
            </w:pPr>
            <w:r w:rsidRPr="00212900">
              <w:t>300 gpm</w:t>
            </w:r>
          </w:p>
        </w:tc>
        <w:tc>
          <w:tcPr>
            <w:tcW w:w="1596" w:type="dxa"/>
          </w:tcPr>
          <w:p w:rsidR="00417CA5" w:rsidRDefault="00417CA5" w:rsidP="00811C3A">
            <w:pPr>
              <w:pStyle w:val="TableText"/>
              <w:spacing w:after="0"/>
              <w:jc w:val="center"/>
              <w:rPr>
                <w:b/>
              </w:rPr>
            </w:pPr>
            <w:r w:rsidRPr="00212900">
              <w:t>229 in</w:t>
            </w:r>
            <w:r w:rsidRPr="00C62956">
              <w:rPr>
                <w:vertAlign w:val="superscript"/>
              </w:rPr>
              <w:t>3</w:t>
            </w:r>
          </w:p>
        </w:tc>
        <w:tc>
          <w:tcPr>
            <w:tcW w:w="1596" w:type="dxa"/>
          </w:tcPr>
          <w:p w:rsidR="00417CA5" w:rsidRDefault="00417CA5" w:rsidP="00811C3A">
            <w:pPr>
              <w:pStyle w:val="TableText"/>
              <w:spacing w:after="0"/>
              <w:jc w:val="center"/>
              <w:rPr>
                <w:b/>
              </w:rPr>
            </w:pPr>
            <w:r w:rsidRPr="00212900">
              <w:t>346 in</w:t>
            </w:r>
            <w:r w:rsidRPr="00C62956">
              <w:rPr>
                <w:vertAlign w:val="superscript"/>
              </w:rPr>
              <w:t>3</w:t>
            </w:r>
          </w:p>
        </w:tc>
        <w:tc>
          <w:tcPr>
            <w:tcW w:w="1596" w:type="dxa"/>
          </w:tcPr>
          <w:p w:rsidR="00417CA5" w:rsidRDefault="00417CA5" w:rsidP="00811C3A">
            <w:pPr>
              <w:pStyle w:val="TableText"/>
              <w:spacing w:after="0"/>
              <w:jc w:val="center"/>
              <w:rPr>
                <w:b/>
              </w:rPr>
            </w:pPr>
            <w:r w:rsidRPr="00212900">
              <w:t>346 in</w:t>
            </w:r>
            <w:r w:rsidRPr="00C62956">
              <w:rPr>
                <w:vertAlign w:val="superscript"/>
              </w:rPr>
              <w:t>3</w:t>
            </w:r>
          </w:p>
        </w:tc>
        <w:tc>
          <w:tcPr>
            <w:tcW w:w="1596" w:type="dxa"/>
          </w:tcPr>
          <w:p w:rsidR="00417CA5" w:rsidRDefault="00417CA5" w:rsidP="00811C3A">
            <w:pPr>
              <w:pStyle w:val="TableText"/>
              <w:spacing w:after="0"/>
              <w:jc w:val="center"/>
              <w:rPr>
                <w:b/>
              </w:rPr>
            </w:pPr>
            <w:r w:rsidRPr="00212900">
              <w:t>346 in</w:t>
            </w:r>
            <w:r w:rsidRPr="00C62956">
              <w:rPr>
                <w:vertAlign w:val="superscript"/>
              </w:rPr>
              <w:t>3</w:t>
            </w:r>
          </w:p>
        </w:tc>
      </w:tr>
      <w:tr w:rsidR="00417CA5" w:rsidTr="00811C3A">
        <w:tc>
          <w:tcPr>
            <w:tcW w:w="1596" w:type="dxa"/>
          </w:tcPr>
          <w:p w:rsidR="00417CA5" w:rsidRDefault="00417CA5" w:rsidP="00811C3A">
            <w:pPr>
              <w:pStyle w:val="TableText"/>
              <w:spacing w:after="0"/>
              <w:jc w:val="center"/>
            </w:pPr>
            <w:r w:rsidRPr="00212900">
              <w:t>3</w:t>
            </w:r>
          </w:p>
        </w:tc>
        <w:tc>
          <w:tcPr>
            <w:tcW w:w="1596" w:type="dxa"/>
          </w:tcPr>
          <w:p w:rsidR="00417CA5" w:rsidRDefault="00417CA5" w:rsidP="00811C3A">
            <w:pPr>
              <w:pStyle w:val="TableText"/>
              <w:spacing w:after="0"/>
              <w:jc w:val="center"/>
              <w:rPr>
                <w:b/>
              </w:rPr>
            </w:pPr>
            <w:r w:rsidRPr="00212900">
              <w:t>350 gpm</w:t>
            </w:r>
          </w:p>
        </w:tc>
        <w:tc>
          <w:tcPr>
            <w:tcW w:w="1596" w:type="dxa"/>
          </w:tcPr>
          <w:p w:rsidR="00417CA5" w:rsidRDefault="00417CA5" w:rsidP="00811C3A">
            <w:pPr>
              <w:pStyle w:val="TableText"/>
              <w:spacing w:after="0"/>
              <w:jc w:val="center"/>
              <w:rPr>
                <w:b/>
              </w:rPr>
            </w:pPr>
            <w:r w:rsidRPr="00212900">
              <w:t>229 in</w:t>
            </w:r>
            <w:r w:rsidRPr="00C62956">
              <w:rPr>
                <w:vertAlign w:val="superscript"/>
              </w:rPr>
              <w:t>3</w:t>
            </w:r>
          </w:p>
        </w:tc>
        <w:tc>
          <w:tcPr>
            <w:tcW w:w="1596" w:type="dxa"/>
          </w:tcPr>
          <w:p w:rsidR="00417CA5" w:rsidRDefault="00417CA5" w:rsidP="00811C3A">
            <w:pPr>
              <w:pStyle w:val="TableText"/>
              <w:spacing w:after="0"/>
              <w:jc w:val="center"/>
              <w:rPr>
                <w:b/>
              </w:rPr>
            </w:pPr>
            <w:r w:rsidRPr="00212900">
              <w:t>404 in</w:t>
            </w:r>
            <w:r w:rsidRPr="00C62956">
              <w:rPr>
                <w:vertAlign w:val="superscript"/>
              </w:rPr>
              <w:t>3</w:t>
            </w:r>
          </w:p>
        </w:tc>
        <w:tc>
          <w:tcPr>
            <w:tcW w:w="1596" w:type="dxa"/>
          </w:tcPr>
          <w:p w:rsidR="00417CA5" w:rsidRDefault="00417CA5" w:rsidP="00811C3A">
            <w:pPr>
              <w:pStyle w:val="TableText"/>
              <w:spacing w:after="0"/>
              <w:jc w:val="center"/>
              <w:rPr>
                <w:b/>
              </w:rPr>
            </w:pPr>
            <w:r w:rsidRPr="00212900">
              <w:t>404 in</w:t>
            </w:r>
            <w:r w:rsidRPr="00C62956">
              <w:rPr>
                <w:vertAlign w:val="superscript"/>
              </w:rPr>
              <w:t>3</w:t>
            </w:r>
          </w:p>
        </w:tc>
        <w:tc>
          <w:tcPr>
            <w:tcW w:w="1596" w:type="dxa"/>
          </w:tcPr>
          <w:p w:rsidR="00417CA5" w:rsidRDefault="00417CA5" w:rsidP="00811C3A">
            <w:pPr>
              <w:pStyle w:val="TableText"/>
              <w:spacing w:after="0"/>
              <w:jc w:val="center"/>
              <w:rPr>
                <w:b/>
              </w:rPr>
            </w:pPr>
            <w:r w:rsidRPr="00212900">
              <w:t>404 in</w:t>
            </w:r>
            <w:r w:rsidRPr="00C62956">
              <w:rPr>
                <w:vertAlign w:val="superscript"/>
              </w:rPr>
              <w:t>3</w:t>
            </w:r>
          </w:p>
        </w:tc>
      </w:tr>
    </w:tbl>
    <w:p w:rsidR="00FB6329" w:rsidRDefault="00AC55B7" w:rsidP="00811C3A">
      <w:pPr>
        <w:spacing w:before="240"/>
        <w:rPr>
          <w:rFonts w:cs="Times New Roman"/>
        </w:rPr>
      </w:pPr>
      <w:r>
        <w:rPr>
          <w:rFonts w:cs="Times New Roman"/>
        </w:rPr>
        <w:t>At</w:t>
      </w:r>
      <w:r w:rsidR="000F7EF8">
        <w:rPr>
          <w:rFonts w:cs="Times New Roman"/>
        </w:rPr>
        <w:t xml:space="preserve"> </w:t>
      </w:r>
      <w:r w:rsidR="00FB6329">
        <w:rPr>
          <w:rFonts w:cs="Times New Roman"/>
        </w:rPr>
        <w:t xml:space="preserve">the 2012 </w:t>
      </w:r>
      <w:r w:rsidR="000F7EF8">
        <w:rPr>
          <w:rFonts w:cs="Times New Roman"/>
        </w:rPr>
        <w:t xml:space="preserve">NCWM </w:t>
      </w:r>
      <w:r w:rsidR="00FB6329">
        <w:rPr>
          <w:rFonts w:cs="Times New Roman"/>
        </w:rPr>
        <w:t>Interim Meeting</w:t>
      </w:r>
      <w:r>
        <w:rPr>
          <w:rFonts w:cs="Times New Roman"/>
        </w:rPr>
        <w:t xml:space="preserve"> Open Hearings</w:t>
      </w:r>
      <w:r w:rsidR="00FB6329">
        <w:rPr>
          <w:rFonts w:cs="Times New Roman"/>
        </w:rPr>
        <w:t>, members of the MMA</w:t>
      </w:r>
      <w:r w:rsidR="000F7EF8">
        <w:rPr>
          <w:rFonts w:cs="Times New Roman"/>
        </w:rPr>
        <w:t xml:space="preserve"> supported Option 3</w:t>
      </w:r>
      <w:r w:rsidR="00FB6329">
        <w:rPr>
          <w:rFonts w:cs="Times New Roman"/>
        </w:rPr>
        <w:t>.  Mr. Andersen</w:t>
      </w:r>
      <w:r w:rsidR="000F7EF8">
        <w:rPr>
          <w:rFonts w:cs="Times New Roman"/>
        </w:rPr>
        <w:t xml:space="preserve">, who originally proposed the item in 2008, </w:t>
      </w:r>
      <w:r w:rsidR="00FB6329">
        <w:rPr>
          <w:rFonts w:cs="Times New Roman"/>
        </w:rPr>
        <w:t xml:space="preserve">pointed out that the tolerances in </w:t>
      </w:r>
      <w:r w:rsidR="00142BAF">
        <w:rPr>
          <w:rFonts w:cs="Times New Roman"/>
        </w:rPr>
        <w:t xml:space="preserve">Option </w:t>
      </w:r>
      <w:r w:rsidR="00FB6329">
        <w:rPr>
          <w:rFonts w:cs="Times New Roman"/>
        </w:rPr>
        <w:t>1 were the same as those that apply prior to modifying the tolerance to be based on meter size.</w:t>
      </w:r>
    </w:p>
    <w:p w:rsidR="00FB6329" w:rsidRDefault="00FB6329" w:rsidP="00142BAF">
      <w:pPr>
        <w:rPr>
          <w:rFonts w:cs="Times New Roman"/>
        </w:rPr>
      </w:pPr>
      <w:r>
        <w:rPr>
          <w:rFonts w:cs="Times New Roman"/>
        </w:rPr>
        <w:t xml:space="preserve">Ms. Butcher, NIST Technical Advisor, reported that the </w:t>
      </w:r>
      <w:r w:rsidR="00187C84">
        <w:rPr>
          <w:rFonts w:cs="Times New Roman"/>
        </w:rPr>
        <w:t xml:space="preserve">Committee </w:t>
      </w:r>
      <w:r>
        <w:rPr>
          <w:rFonts w:cs="Times New Roman"/>
        </w:rPr>
        <w:t xml:space="preserve">received product depletion test data from nine state and county weights and measures jurisdictions.  </w:t>
      </w:r>
      <w:r w:rsidR="000F7EF8">
        <w:rPr>
          <w:rFonts w:cs="Times New Roman"/>
        </w:rPr>
        <w:t xml:space="preserve">She </w:t>
      </w:r>
      <w:r>
        <w:rPr>
          <w:rFonts w:cs="Times New Roman"/>
        </w:rPr>
        <w:t xml:space="preserve">brought a copy of the raw data for examination by the </w:t>
      </w:r>
      <w:r w:rsidR="0002210F">
        <w:rPr>
          <w:rFonts w:cs="Times New Roman"/>
        </w:rPr>
        <w:t xml:space="preserve">Committee </w:t>
      </w:r>
      <w:r>
        <w:rPr>
          <w:rFonts w:cs="Times New Roman"/>
        </w:rPr>
        <w:t xml:space="preserve">during its work sessions and also distributed a summary to the </w:t>
      </w:r>
      <w:r w:rsidR="0002210F">
        <w:rPr>
          <w:rFonts w:cs="Times New Roman"/>
        </w:rPr>
        <w:t xml:space="preserve">Committee </w:t>
      </w:r>
      <w:r>
        <w:rPr>
          <w:rFonts w:cs="Times New Roman"/>
        </w:rPr>
        <w:t>as shown in the following two tables.  She explained how the data was analyzed and noted that assumptions were made about meter size in some instances where meter size and/or maximum flow rate were not both provided.  The first table summarizes for each jurisdiction the number of meters on which the product depletion test was conducted along with a comparison of the number that failed the current and proposed tolerances; the data includes both total meters for each option along with a breakdown of meters in three different flow rate categories.  The second table provides a summary showing these totals for all jurisdictions combined.</w:t>
      </w:r>
    </w:p>
    <w:tbl>
      <w:tblPr>
        <w:tblStyle w:val="TableGrid"/>
        <w:tblW w:w="0" w:type="auto"/>
        <w:tblBorders>
          <w:top w:val="double" w:sz="4" w:space="0" w:color="auto"/>
          <w:left w:val="double" w:sz="4" w:space="0" w:color="auto"/>
          <w:bottom w:val="double" w:sz="4" w:space="0" w:color="auto"/>
          <w:right w:val="doub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1728"/>
        <w:gridCol w:w="900"/>
        <w:gridCol w:w="1530"/>
        <w:gridCol w:w="1314"/>
        <w:gridCol w:w="1368"/>
        <w:gridCol w:w="1368"/>
        <w:gridCol w:w="1368"/>
      </w:tblGrid>
      <w:tr w:rsidR="00417CA5" w:rsidTr="00811C3A">
        <w:trPr>
          <w:tblHeader/>
        </w:trPr>
        <w:tc>
          <w:tcPr>
            <w:tcW w:w="9576" w:type="dxa"/>
            <w:gridSpan w:val="7"/>
            <w:tcBorders>
              <w:top w:val="double" w:sz="4" w:space="0" w:color="auto"/>
              <w:bottom w:val="double" w:sz="4" w:space="0" w:color="auto"/>
            </w:tcBorders>
          </w:tcPr>
          <w:p w:rsidR="00417CA5" w:rsidRDefault="00417CA5" w:rsidP="00811C3A">
            <w:pPr>
              <w:pStyle w:val="TableHeading"/>
              <w:spacing w:after="0"/>
            </w:pPr>
            <w:r>
              <w:t xml:space="preserve">Summary of Product Depletion Test Data Submitted by State and County Weights and Measures Jurisdictions </w:t>
            </w:r>
            <w:r w:rsidR="002329D4">
              <w:t>as of January 1, 2012</w:t>
            </w:r>
          </w:p>
        </w:tc>
      </w:tr>
      <w:tr w:rsidR="00417CA5" w:rsidTr="00811C3A">
        <w:trPr>
          <w:tblHeader/>
        </w:trPr>
        <w:tc>
          <w:tcPr>
            <w:tcW w:w="1728" w:type="dxa"/>
            <w:tcBorders>
              <w:top w:val="double" w:sz="4" w:space="0" w:color="auto"/>
            </w:tcBorders>
          </w:tcPr>
          <w:p w:rsidR="00417CA5" w:rsidRDefault="00417CA5" w:rsidP="00811C3A">
            <w:pPr>
              <w:pStyle w:val="TableColumnHeadings"/>
              <w:spacing w:after="0"/>
            </w:pPr>
          </w:p>
        </w:tc>
        <w:tc>
          <w:tcPr>
            <w:tcW w:w="900" w:type="dxa"/>
            <w:tcBorders>
              <w:top w:val="double" w:sz="4" w:space="0" w:color="auto"/>
            </w:tcBorders>
          </w:tcPr>
          <w:p w:rsidR="00417CA5" w:rsidRDefault="00417CA5" w:rsidP="00811C3A">
            <w:pPr>
              <w:pStyle w:val="TableColumnHeadings"/>
              <w:spacing w:after="0"/>
              <w:rPr>
                <w:b w:val="0"/>
              </w:rPr>
            </w:pPr>
            <w:r>
              <w:t>Total Meters</w:t>
            </w:r>
          </w:p>
        </w:tc>
        <w:tc>
          <w:tcPr>
            <w:tcW w:w="1530" w:type="dxa"/>
            <w:tcBorders>
              <w:top w:val="double" w:sz="4" w:space="0" w:color="auto"/>
            </w:tcBorders>
          </w:tcPr>
          <w:p w:rsidR="00417CA5" w:rsidRDefault="00417CA5" w:rsidP="00811C3A">
            <w:pPr>
              <w:pStyle w:val="TableColumnHeadings"/>
              <w:spacing w:after="0"/>
            </w:pPr>
            <w:r>
              <w:t>Failed Current Tolerance</w:t>
            </w:r>
          </w:p>
        </w:tc>
        <w:tc>
          <w:tcPr>
            <w:tcW w:w="1314" w:type="dxa"/>
            <w:tcBorders>
              <w:top w:val="double" w:sz="4" w:space="0" w:color="auto"/>
            </w:tcBorders>
          </w:tcPr>
          <w:p w:rsidR="00417CA5" w:rsidRDefault="00417CA5" w:rsidP="00811C3A">
            <w:pPr>
              <w:pStyle w:val="TableColumnHeadings"/>
              <w:spacing w:after="0"/>
            </w:pPr>
            <w:r>
              <w:t>Failed Option 1</w:t>
            </w:r>
          </w:p>
        </w:tc>
        <w:tc>
          <w:tcPr>
            <w:tcW w:w="1368" w:type="dxa"/>
            <w:tcBorders>
              <w:top w:val="double" w:sz="4" w:space="0" w:color="auto"/>
            </w:tcBorders>
          </w:tcPr>
          <w:p w:rsidR="00417CA5" w:rsidRDefault="00417CA5" w:rsidP="00811C3A">
            <w:pPr>
              <w:pStyle w:val="TableColumnHeadings"/>
              <w:spacing w:after="0"/>
            </w:pPr>
            <w:r>
              <w:t>Failed Option 2</w:t>
            </w:r>
          </w:p>
        </w:tc>
        <w:tc>
          <w:tcPr>
            <w:tcW w:w="1368" w:type="dxa"/>
            <w:tcBorders>
              <w:top w:val="double" w:sz="4" w:space="0" w:color="auto"/>
            </w:tcBorders>
          </w:tcPr>
          <w:p w:rsidR="0092056C" w:rsidRDefault="00417CA5" w:rsidP="00811C3A">
            <w:pPr>
              <w:pStyle w:val="TableColumnHeadings"/>
              <w:spacing w:after="0"/>
            </w:pPr>
            <w:r>
              <w:t xml:space="preserve">Failed </w:t>
            </w:r>
          </w:p>
          <w:p w:rsidR="00417CA5" w:rsidRDefault="00417CA5" w:rsidP="00811C3A">
            <w:pPr>
              <w:pStyle w:val="TableColumnHeadings"/>
              <w:spacing w:after="0"/>
            </w:pPr>
            <w:r>
              <w:t>MMA</w:t>
            </w:r>
          </w:p>
        </w:tc>
        <w:tc>
          <w:tcPr>
            <w:tcW w:w="1368" w:type="dxa"/>
            <w:tcBorders>
              <w:top w:val="double" w:sz="4" w:space="0" w:color="auto"/>
            </w:tcBorders>
          </w:tcPr>
          <w:p w:rsidR="0092056C" w:rsidRDefault="00417CA5" w:rsidP="00811C3A">
            <w:pPr>
              <w:pStyle w:val="TableColumnHeadings"/>
              <w:spacing w:after="0"/>
            </w:pPr>
            <w:r>
              <w:t xml:space="preserve">Marked </w:t>
            </w:r>
          </w:p>
          <w:p w:rsidR="00417CA5" w:rsidRDefault="00417CA5" w:rsidP="00811C3A">
            <w:pPr>
              <w:pStyle w:val="TableColumnHeadings"/>
              <w:spacing w:after="0"/>
            </w:pPr>
            <w:r>
              <w:t>Max</w:t>
            </w:r>
          </w:p>
        </w:tc>
      </w:tr>
      <w:tr w:rsidR="00417CA5" w:rsidTr="00811C3A">
        <w:tc>
          <w:tcPr>
            <w:tcW w:w="1728" w:type="dxa"/>
          </w:tcPr>
          <w:p w:rsidR="00417CA5" w:rsidRDefault="00417CA5" w:rsidP="00811C3A">
            <w:pPr>
              <w:pStyle w:val="TableColumnHeadings"/>
              <w:spacing w:after="0"/>
            </w:pPr>
            <w:r w:rsidRPr="00BD04B1">
              <w:t>Jurisdiction #1</w:t>
            </w:r>
          </w:p>
        </w:tc>
        <w:tc>
          <w:tcPr>
            <w:tcW w:w="900" w:type="dxa"/>
          </w:tcPr>
          <w:p w:rsidR="00417CA5" w:rsidRDefault="00417CA5" w:rsidP="00811C3A">
            <w:pPr>
              <w:pStyle w:val="TableText"/>
              <w:spacing w:after="0"/>
              <w:jc w:val="center"/>
              <w:rPr>
                <w:b/>
              </w:rPr>
            </w:pPr>
            <w:r w:rsidRPr="00BD04B1">
              <w:t>67</w:t>
            </w:r>
          </w:p>
        </w:tc>
        <w:tc>
          <w:tcPr>
            <w:tcW w:w="1530" w:type="dxa"/>
          </w:tcPr>
          <w:p w:rsidR="00417CA5" w:rsidRDefault="00417CA5" w:rsidP="00811C3A">
            <w:pPr>
              <w:pStyle w:val="TableText"/>
              <w:spacing w:after="0"/>
              <w:jc w:val="center"/>
              <w:rPr>
                <w:b/>
              </w:rPr>
            </w:pPr>
            <w:r w:rsidRPr="00BD04B1">
              <w:t>0</w:t>
            </w:r>
          </w:p>
        </w:tc>
        <w:tc>
          <w:tcPr>
            <w:tcW w:w="1314" w:type="dxa"/>
          </w:tcPr>
          <w:p w:rsidR="00417CA5" w:rsidRDefault="00417CA5" w:rsidP="00811C3A">
            <w:pPr>
              <w:pStyle w:val="TableText"/>
              <w:spacing w:after="0"/>
              <w:jc w:val="center"/>
              <w:rPr>
                <w:b/>
              </w:rPr>
            </w:pPr>
            <w:r w:rsidRPr="00BD04B1">
              <w:t>2</w:t>
            </w:r>
          </w:p>
        </w:tc>
        <w:tc>
          <w:tcPr>
            <w:tcW w:w="1368" w:type="dxa"/>
          </w:tcPr>
          <w:p w:rsidR="00417CA5" w:rsidRDefault="00417CA5" w:rsidP="00811C3A">
            <w:pPr>
              <w:pStyle w:val="TableText"/>
              <w:spacing w:after="0"/>
              <w:jc w:val="center"/>
              <w:rPr>
                <w:b/>
              </w:rPr>
            </w:pPr>
            <w:r w:rsidRPr="00BD04B1">
              <w:t>1</w:t>
            </w:r>
          </w:p>
        </w:tc>
        <w:tc>
          <w:tcPr>
            <w:tcW w:w="1368" w:type="dxa"/>
          </w:tcPr>
          <w:p w:rsidR="00417CA5" w:rsidRDefault="00417CA5" w:rsidP="00811C3A">
            <w:pPr>
              <w:pStyle w:val="TableText"/>
              <w:spacing w:after="0"/>
              <w:jc w:val="center"/>
              <w:rPr>
                <w:b/>
              </w:rPr>
            </w:pPr>
            <w:r w:rsidRPr="00BD04B1">
              <w:t>1</w:t>
            </w:r>
          </w:p>
        </w:tc>
        <w:tc>
          <w:tcPr>
            <w:tcW w:w="1368" w:type="dxa"/>
            <w:vAlign w:val="center"/>
          </w:tcPr>
          <w:p w:rsidR="00417CA5" w:rsidRDefault="00417CA5" w:rsidP="00811C3A">
            <w:pPr>
              <w:pStyle w:val="TableText"/>
              <w:spacing w:after="0"/>
              <w:ind w:right="166"/>
              <w:jc w:val="right"/>
              <w:rPr>
                <w:b/>
              </w:rPr>
            </w:pPr>
            <w:r w:rsidRPr="00BD04B1">
              <w:t>---</w:t>
            </w:r>
          </w:p>
        </w:tc>
      </w:tr>
      <w:tr w:rsidR="00417CA5" w:rsidTr="00811C3A">
        <w:tc>
          <w:tcPr>
            <w:tcW w:w="1728" w:type="dxa"/>
          </w:tcPr>
          <w:p w:rsidR="00417CA5" w:rsidRDefault="00417CA5" w:rsidP="00811C3A">
            <w:pPr>
              <w:pStyle w:val="TableText"/>
              <w:spacing w:after="0"/>
              <w:jc w:val="center"/>
            </w:pPr>
          </w:p>
        </w:tc>
        <w:tc>
          <w:tcPr>
            <w:tcW w:w="900" w:type="dxa"/>
          </w:tcPr>
          <w:p w:rsidR="00417CA5" w:rsidRDefault="00417CA5" w:rsidP="00811C3A">
            <w:pPr>
              <w:pStyle w:val="TableText"/>
              <w:spacing w:after="0"/>
              <w:jc w:val="center"/>
              <w:rPr>
                <w:b/>
              </w:rPr>
            </w:pPr>
            <w:r w:rsidRPr="00BD04B1">
              <w:t>1</w:t>
            </w:r>
          </w:p>
        </w:tc>
        <w:tc>
          <w:tcPr>
            <w:tcW w:w="1530" w:type="dxa"/>
          </w:tcPr>
          <w:p w:rsidR="00417CA5" w:rsidRDefault="00417CA5" w:rsidP="00811C3A">
            <w:pPr>
              <w:pStyle w:val="TableText"/>
              <w:spacing w:after="0"/>
              <w:jc w:val="center"/>
              <w:rPr>
                <w:b/>
              </w:rPr>
            </w:pPr>
            <w:r w:rsidRPr="00BD04B1">
              <w:t>0</w:t>
            </w:r>
          </w:p>
        </w:tc>
        <w:tc>
          <w:tcPr>
            <w:tcW w:w="1314" w:type="dxa"/>
          </w:tcPr>
          <w:p w:rsidR="00417CA5" w:rsidRDefault="00417CA5" w:rsidP="00811C3A">
            <w:pPr>
              <w:pStyle w:val="TableText"/>
              <w:spacing w:after="0"/>
              <w:jc w:val="center"/>
              <w:rPr>
                <w:b/>
              </w:rPr>
            </w:pPr>
            <w:r w:rsidRPr="00BD04B1">
              <w:t>1</w:t>
            </w:r>
          </w:p>
        </w:tc>
        <w:tc>
          <w:tcPr>
            <w:tcW w:w="1368" w:type="dxa"/>
          </w:tcPr>
          <w:p w:rsidR="00417CA5" w:rsidRDefault="00417CA5" w:rsidP="00811C3A">
            <w:pPr>
              <w:pStyle w:val="TableText"/>
              <w:spacing w:after="0"/>
              <w:jc w:val="center"/>
              <w:rPr>
                <w:b/>
              </w:rPr>
            </w:pPr>
            <w:r w:rsidRPr="00BD04B1">
              <w:t>1</w:t>
            </w:r>
          </w:p>
        </w:tc>
        <w:tc>
          <w:tcPr>
            <w:tcW w:w="1368" w:type="dxa"/>
          </w:tcPr>
          <w:p w:rsidR="00417CA5" w:rsidRDefault="00417CA5" w:rsidP="00811C3A">
            <w:pPr>
              <w:pStyle w:val="TableText"/>
              <w:spacing w:after="0"/>
              <w:jc w:val="center"/>
              <w:rPr>
                <w:b/>
              </w:rPr>
            </w:pPr>
            <w:r w:rsidRPr="00BD04B1">
              <w:t>1</w:t>
            </w:r>
          </w:p>
        </w:tc>
        <w:tc>
          <w:tcPr>
            <w:tcW w:w="1368" w:type="dxa"/>
            <w:vAlign w:val="center"/>
          </w:tcPr>
          <w:p w:rsidR="00417CA5" w:rsidRDefault="00417CA5" w:rsidP="00811C3A">
            <w:pPr>
              <w:pStyle w:val="TableText"/>
              <w:spacing w:after="0"/>
              <w:ind w:right="166"/>
              <w:jc w:val="right"/>
              <w:rPr>
                <w:b/>
              </w:rPr>
            </w:pPr>
            <w:r w:rsidRPr="00BD04B1">
              <w:t>60 gpm</w:t>
            </w:r>
          </w:p>
        </w:tc>
      </w:tr>
      <w:tr w:rsidR="00417CA5" w:rsidTr="00811C3A">
        <w:tc>
          <w:tcPr>
            <w:tcW w:w="1728" w:type="dxa"/>
          </w:tcPr>
          <w:p w:rsidR="00417CA5" w:rsidRDefault="00417CA5" w:rsidP="00811C3A">
            <w:pPr>
              <w:pStyle w:val="TableText"/>
              <w:spacing w:after="0"/>
              <w:jc w:val="center"/>
            </w:pPr>
          </w:p>
        </w:tc>
        <w:tc>
          <w:tcPr>
            <w:tcW w:w="900" w:type="dxa"/>
          </w:tcPr>
          <w:p w:rsidR="00417CA5" w:rsidRDefault="00417CA5" w:rsidP="00811C3A">
            <w:pPr>
              <w:pStyle w:val="TableText"/>
              <w:spacing w:after="0"/>
              <w:jc w:val="center"/>
              <w:rPr>
                <w:b/>
              </w:rPr>
            </w:pPr>
            <w:r w:rsidRPr="00BD04B1">
              <w:t>53</w:t>
            </w:r>
          </w:p>
        </w:tc>
        <w:tc>
          <w:tcPr>
            <w:tcW w:w="1530" w:type="dxa"/>
          </w:tcPr>
          <w:p w:rsidR="00417CA5" w:rsidRDefault="00417CA5" w:rsidP="00811C3A">
            <w:pPr>
              <w:pStyle w:val="TableText"/>
              <w:spacing w:after="0"/>
              <w:jc w:val="center"/>
              <w:rPr>
                <w:b/>
              </w:rPr>
            </w:pPr>
            <w:r w:rsidRPr="00BD04B1">
              <w:t>0</w:t>
            </w:r>
          </w:p>
        </w:tc>
        <w:tc>
          <w:tcPr>
            <w:tcW w:w="1314" w:type="dxa"/>
          </w:tcPr>
          <w:p w:rsidR="00417CA5" w:rsidRDefault="00417CA5" w:rsidP="00811C3A">
            <w:pPr>
              <w:pStyle w:val="TableText"/>
              <w:spacing w:after="0"/>
              <w:jc w:val="center"/>
              <w:rPr>
                <w:b/>
              </w:rPr>
            </w:pPr>
            <w:r w:rsidRPr="00BD04B1">
              <w:t>1</w:t>
            </w:r>
          </w:p>
        </w:tc>
        <w:tc>
          <w:tcPr>
            <w:tcW w:w="1368" w:type="dxa"/>
          </w:tcPr>
          <w:p w:rsidR="00417CA5" w:rsidRDefault="00417CA5" w:rsidP="00811C3A">
            <w:pPr>
              <w:pStyle w:val="TableText"/>
              <w:spacing w:after="0"/>
              <w:jc w:val="center"/>
              <w:rPr>
                <w:b/>
              </w:rPr>
            </w:pPr>
            <w:r w:rsidRPr="00BD04B1">
              <w:t>0</w:t>
            </w:r>
          </w:p>
        </w:tc>
        <w:tc>
          <w:tcPr>
            <w:tcW w:w="1368" w:type="dxa"/>
          </w:tcPr>
          <w:p w:rsidR="00417CA5" w:rsidRDefault="00417CA5" w:rsidP="00811C3A">
            <w:pPr>
              <w:pStyle w:val="TableText"/>
              <w:spacing w:after="0"/>
              <w:jc w:val="center"/>
              <w:rPr>
                <w:b/>
              </w:rPr>
            </w:pPr>
            <w:r w:rsidRPr="00BD04B1">
              <w:t>0</w:t>
            </w:r>
          </w:p>
        </w:tc>
        <w:tc>
          <w:tcPr>
            <w:tcW w:w="1368" w:type="dxa"/>
            <w:vAlign w:val="center"/>
          </w:tcPr>
          <w:p w:rsidR="00417CA5" w:rsidRDefault="00417CA5" w:rsidP="00811C3A">
            <w:pPr>
              <w:pStyle w:val="TableText"/>
              <w:spacing w:after="0"/>
              <w:ind w:right="166"/>
              <w:jc w:val="right"/>
              <w:rPr>
                <w:b/>
              </w:rPr>
            </w:pPr>
            <w:r w:rsidRPr="00BD04B1">
              <w:t>100 gpm</w:t>
            </w:r>
          </w:p>
        </w:tc>
      </w:tr>
      <w:tr w:rsidR="00417CA5" w:rsidTr="00811C3A">
        <w:tc>
          <w:tcPr>
            <w:tcW w:w="1728" w:type="dxa"/>
          </w:tcPr>
          <w:p w:rsidR="00417CA5" w:rsidRDefault="00417CA5" w:rsidP="00811C3A">
            <w:pPr>
              <w:pStyle w:val="TableText"/>
              <w:spacing w:after="0"/>
              <w:jc w:val="center"/>
            </w:pPr>
          </w:p>
        </w:tc>
        <w:tc>
          <w:tcPr>
            <w:tcW w:w="900" w:type="dxa"/>
          </w:tcPr>
          <w:p w:rsidR="00417CA5" w:rsidRDefault="00417CA5" w:rsidP="00811C3A">
            <w:pPr>
              <w:pStyle w:val="TableText"/>
              <w:spacing w:after="0"/>
              <w:jc w:val="center"/>
              <w:rPr>
                <w:b/>
              </w:rPr>
            </w:pPr>
            <w:r w:rsidRPr="00BD04B1">
              <w:t>12</w:t>
            </w:r>
          </w:p>
        </w:tc>
        <w:tc>
          <w:tcPr>
            <w:tcW w:w="1530" w:type="dxa"/>
          </w:tcPr>
          <w:p w:rsidR="00417CA5" w:rsidRDefault="00417CA5" w:rsidP="00811C3A">
            <w:pPr>
              <w:pStyle w:val="TableText"/>
              <w:spacing w:after="0"/>
              <w:jc w:val="center"/>
              <w:rPr>
                <w:b/>
              </w:rPr>
            </w:pPr>
            <w:r w:rsidRPr="00BD04B1">
              <w:t>0</w:t>
            </w:r>
          </w:p>
        </w:tc>
        <w:tc>
          <w:tcPr>
            <w:tcW w:w="1314" w:type="dxa"/>
          </w:tcPr>
          <w:p w:rsidR="00417CA5" w:rsidRDefault="00417CA5" w:rsidP="00811C3A">
            <w:pPr>
              <w:pStyle w:val="TableText"/>
              <w:spacing w:after="0"/>
              <w:jc w:val="center"/>
              <w:rPr>
                <w:b/>
              </w:rPr>
            </w:pPr>
            <w:r w:rsidRPr="00BD04B1">
              <w:t>0</w:t>
            </w:r>
          </w:p>
        </w:tc>
        <w:tc>
          <w:tcPr>
            <w:tcW w:w="1368" w:type="dxa"/>
          </w:tcPr>
          <w:p w:rsidR="00417CA5" w:rsidRDefault="00417CA5" w:rsidP="00811C3A">
            <w:pPr>
              <w:pStyle w:val="TableText"/>
              <w:spacing w:after="0"/>
              <w:jc w:val="center"/>
              <w:rPr>
                <w:b/>
              </w:rPr>
            </w:pPr>
            <w:r w:rsidRPr="00BD04B1">
              <w:t>0</w:t>
            </w:r>
          </w:p>
        </w:tc>
        <w:tc>
          <w:tcPr>
            <w:tcW w:w="1368" w:type="dxa"/>
          </w:tcPr>
          <w:p w:rsidR="00417CA5" w:rsidRDefault="00417CA5" w:rsidP="00811C3A">
            <w:pPr>
              <w:pStyle w:val="TableText"/>
              <w:spacing w:after="0"/>
              <w:jc w:val="center"/>
              <w:rPr>
                <w:b/>
              </w:rPr>
            </w:pPr>
            <w:r w:rsidRPr="00BD04B1">
              <w:t>0</w:t>
            </w:r>
          </w:p>
        </w:tc>
        <w:tc>
          <w:tcPr>
            <w:tcW w:w="1368" w:type="dxa"/>
            <w:vAlign w:val="center"/>
          </w:tcPr>
          <w:p w:rsidR="00417CA5" w:rsidRDefault="009352AD" w:rsidP="00811C3A">
            <w:pPr>
              <w:pStyle w:val="TableText"/>
              <w:spacing w:after="0"/>
              <w:ind w:right="166"/>
              <w:jc w:val="right"/>
              <w:rPr>
                <w:b/>
              </w:rPr>
            </w:pPr>
            <w:r>
              <w:rPr>
                <w:rFonts w:cs="Times New Roman"/>
              </w:rPr>
              <w:t>&gt;</w:t>
            </w:r>
            <w:r>
              <w:t> </w:t>
            </w:r>
            <w:r w:rsidR="00417CA5" w:rsidRPr="00BD04B1">
              <w:t>100 gpm</w:t>
            </w:r>
          </w:p>
        </w:tc>
      </w:tr>
      <w:tr w:rsidR="00417CA5" w:rsidTr="00811C3A">
        <w:tc>
          <w:tcPr>
            <w:tcW w:w="1728" w:type="dxa"/>
          </w:tcPr>
          <w:p w:rsidR="00417CA5" w:rsidRDefault="00417CA5" w:rsidP="00811C3A">
            <w:pPr>
              <w:pStyle w:val="TableText"/>
              <w:spacing w:after="0"/>
              <w:jc w:val="center"/>
            </w:pPr>
          </w:p>
        </w:tc>
        <w:tc>
          <w:tcPr>
            <w:tcW w:w="900" w:type="dxa"/>
          </w:tcPr>
          <w:p w:rsidR="00417CA5" w:rsidRDefault="00417CA5" w:rsidP="00811C3A">
            <w:pPr>
              <w:pStyle w:val="TableText"/>
              <w:spacing w:after="0"/>
              <w:jc w:val="center"/>
              <w:rPr>
                <w:b/>
              </w:rPr>
            </w:pPr>
            <w:r w:rsidRPr="00BD04B1">
              <w:t>1</w:t>
            </w:r>
          </w:p>
        </w:tc>
        <w:tc>
          <w:tcPr>
            <w:tcW w:w="1530" w:type="dxa"/>
          </w:tcPr>
          <w:p w:rsidR="00417CA5" w:rsidRDefault="00417CA5" w:rsidP="00811C3A">
            <w:pPr>
              <w:pStyle w:val="TableText"/>
              <w:spacing w:after="0"/>
              <w:jc w:val="center"/>
              <w:rPr>
                <w:b/>
              </w:rPr>
            </w:pPr>
            <w:r w:rsidRPr="00BD04B1">
              <w:t>0</w:t>
            </w:r>
          </w:p>
        </w:tc>
        <w:tc>
          <w:tcPr>
            <w:tcW w:w="1314" w:type="dxa"/>
          </w:tcPr>
          <w:p w:rsidR="00417CA5" w:rsidRDefault="00417CA5" w:rsidP="00811C3A">
            <w:pPr>
              <w:pStyle w:val="TableText"/>
              <w:spacing w:after="0"/>
              <w:jc w:val="center"/>
              <w:rPr>
                <w:b/>
              </w:rPr>
            </w:pPr>
            <w:r w:rsidRPr="00BD04B1">
              <w:t>0</w:t>
            </w:r>
          </w:p>
        </w:tc>
        <w:tc>
          <w:tcPr>
            <w:tcW w:w="1368" w:type="dxa"/>
          </w:tcPr>
          <w:p w:rsidR="00417CA5" w:rsidRDefault="00417CA5" w:rsidP="00811C3A">
            <w:pPr>
              <w:pStyle w:val="TableText"/>
              <w:spacing w:after="0"/>
              <w:jc w:val="center"/>
              <w:rPr>
                <w:b/>
              </w:rPr>
            </w:pPr>
            <w:r w:rsidRPr="00BD04B1">
              <w:t>0</w:t>
            </w:r>
          </w:p>
        </w:tc>
        <w:tc>
          <w:tcPr>
            <w:tcW w:w="1368" w:type="dxa"/>
          </w:tcPr>
          <w:p w:rsidR="00417CA5" w:rsidRDefault="00417CA5" w:rsidP="00811C3A">
            <w:pPr>
              <w:pStyle w:val="TableText"/>
              <w:spacing w:after="0"/>
              <w:jc w:val="center"/>
              <w:rPr>
                <w:b/>
              </w:rPr>
            </w:pPr>
            <w:r w:rsidRPr="00BD04B1">
              <w:t>0</w:t>
            </w:r>
          </w:p>
        </w:tc>
        <w:tc>
          <w:tcPr>
            <w:tcW w:w="1368" w:type="dxa"/>
            <w:vAlign w:val="center"/>
          </w:tcPr>
          <w:p w:rsidR="00417CA5" w:rsidRDefault="00417CA5" w:rsidP="00811C3A">
            <w:pPr>
              <w:pStyle w:val="TableText"/>
              <w:spacing w:after="0"/>
              <w:ind w:right="166"/>
              <w:jc w:val="right"/>
              <w:rPr>
                <w:b/>
              </w:rPr>
            </w:pPr>
            <w:r w:rsidRPr="00BD04B1">
              <w:t>??</w:t>
            </w:r>
          </w:p>
        </w:tc>
      </w:tr>
      <w:tr w:rsidR="00417CA5" w:rsidTr="00811C3A">
        <w:tc>
          <w:tcPr>
            <w:tcW w:w="1728" w:type="dxa"/>
            <w:shd w:val="clear" w:color="auto" w:fill="BFBFBF" w:themeFill="background1" w:themeFillShade="BF"/>
          </w:tcPr>
          <w:p w:rsidR="00417CA5" w:rsidRDefault="00417CA5" w:rsidP="00811C3A">
            <w:pPr>
              <w:pStyle w:val="TableText"/>
              <w:spacing w:after="0"/>
              <w:jc w:val="center"/>
            </w:pPr>
          </w:p>
        </w:tc>
        <w:tc>
          <w:tcPr>
            <w:tcW w:w="900" w:type="dxa"/>
            <w:shd w:val="clear" w:color="auto" w:fill="BFBFBF" w:themeFill="background1" w:themeFillShade="BF"/>
          </w:tcPr>
          <w:p w:rsidR="00417CA5" w:rsidRDefault="00417CA5" w:rsidP="00811C3A">
            <w:pPr>
              <w:pStyle w:val="TableText"/>
              <w:spacing w:after="0"/>
              <w:jc w:val="center"/>
            </w:pPr>
          </w:p>
        </w:tc>
        <w:tc>
          <w:tcPr>
            <w:tcW w:w="1530" w:type="dxa"/>
            <w:shd w:val="clear" w:color="auto" w:fill="BFBFBF" w:themeFill="background1" w:themeFillShade="BF"/>
          </w:tcPr>
          <w:p w:rsidR="00417CA5" w:rsidRDefault="00417CA5" w:rsidP="00811C3A">
            <w:pPr>
              <w:pStyle w:val="TableText"/>
              <w:spacing w:after="0"/>
              <w:jc w:val="center"/>
            </w:pPr>
          </w:p>
        </w:tc>
        <w:tc>
          <w:tcPr>
            <w:tcW w:w="1314"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vAlign w:val="center"/>
          </w:tcPr>
          <w:p w:rsidR="00417CA5" w:rsidRDefault="00417CA5" w:rsidP="00811C3A">
            <w:pPr>
              <w:pStyle w:val="TableText"/>
              <w:spacing w:after="0"/>
              <w:ind w:right="166"/>
              <w:jc w:val="right"/>
            </w:pPr>
          </w:p>
        </w:tc>
      </w:tr>
      <w:tr w:rsidR="00417CA5" w:rsidTr="00811C3A">
        <w:tc>
          <w:tcPr>
            <w:tcW w:w="1728" w:type="dxa"/>
          </w:tcPr>
          <w:p w:rsidR="00417CA5" w:rsidRDefault="00417CA5" w:rsidP="00811C3A">
            <w:pPr>
              <w:pStyle w:val="TableColumnHeadings"/>
              <w:spacing w:after="0"/>
            </w:pPr>
            <w:r>
              <w:t>Jurisdiction #2</w:t>
            </w:r>
          </w:p>
        </w:tc>
        <w:tc>
          <w:tcPr>
            <w:tcW w:w="900" w:type="dxa"/>
          </w:tcPr>
          <w:p w:rsidR="00417CA5" w:rsidRDefault="00417CA5" w:rsidP="00811C3A">
            <w:pPr>
              <w:pStyle w:val="TableText"/>
              <w:spacing w:after="0"/>
              <w:jc w:val="center"/>
              <w:rPr>
                <w:b/>
              </w:rPr>
            </w:pPr>
            <w:r>
              <w:t>9</w:t>
            </w:r>
          </w:p>
        </w:tc>
        <w:tc>
          <w:tcPr>
            <w:tcW w:w="1530" w:type="dxa"/>
          </w:tcPr>
          <w:p w:rsidR="00417CA5" w:rsidRDefault="00417CA5" w:rsidP="00811C3A">
            <w:pPr>
              <w:pStyle w:val="TableText"/>
              <w:spacing w:after="0"/>
              <w:jc w:val="center"/>
              <w:rPr>
                <w:b/>
              </w:rPr>
            </w:pPr>
            <w:r>
              <w:t>0</w:t>
            </w:r>
          </w:p>
        </w:tc>
        <w:tc>
          <w:tcPr>
            <w:tcW w:w="1314" w:type="dxa"/>
          </w:tcPr>
          <w:p w:rsidR="00417CA5" w:rsidRDefault="00417CA5" w:rsidP="00811C3A">
            <w:pPr>
              <w:pStyle w:val="TableText"/>
              <w:spacing w:after="0"/>
              <w:jc w:val="center"/>
              <w:rPr>
                <w:b/>
              </w:rPr>
            </w:pPr>
            <w:r>
              <w:t>0</w:t>
            </w:r>
          </w:p>
        </w:tc>
        <w:tc>
          <w:tcPr>
            <w:tcW w:w="1368" w:type="dxa"/>
          </w:tcPr>
          <w:p w:rsidR="00417CA5" w:rsidRDefault="00417CA5" w:rsidP="00811C3A">
            <w:pPr>
              <w:pStyle w:val="TableText"/>
              <w:spacing w:after="0"/>
              <w:jc w:val="center"/>
              <w:rPr>
                <w:b/>
              </w:rPr>
            </w:pPr>
            <w:r>
              <w:t>0</w:t>
            </w:r>
          </w:p>
        </w:tc>
        <w:tc>
          <w:tcPr>
            <w:tcW w:w="1368" w:type="dxa"/>
          </w:tcPr>
          <w:p w:rsidR="00417CA5" w:rsidRDefault="00417CA5" w:rsidP="00811C3A">
            <w:pPr>
              <w:pStyle w:val="TableText"/>
              <w:spacing w:after="0"/>
              <w:jc w:val="center"/>
              <w:rPr>
                <w:b/>
              </w:rPr>
            </w:pPr>
            <w:r>
              <w:t>0</w:t>
            </w:r>
          </w:p>
        </w:tc>
        <w:tc>
          <w:tcPr>
            <w:tcW w:w="1368" w:type="dxa"/>
            <w:vAlign w:val="center"/>
          </w:tcPr>
          <w:p w:rsidR="00417CA5" w:rsidRDefault="00417CA5" w:rsidP="00811C3A">
            <w:pPr>
              <w:pStyle w:val="TableText"/>
              <w:spacing w:after="0"/>
              <w:ind w:right="166"/>
              <w:jc w:val="right"/>
              <w:rPr>
                <w:b/>
              </w:rPr>
            </w:pPr>
            <w:r>
              <w:t>No Data</w:t>
            </w:r>
          </w:p>
        </w:tc>
      </w:tr>
      <w:tr w:rsidR="00417CA5" w:rsidTr="00811C3A">
        <w:tc>
          <w:tcPr>
            <w:tcW w:w="1728" w:type="dxa"/>
            <w:shd w:val="clear" w:color="auto" w:fill="BFBFBF" w:themeFill="background1" w:themeFillShade="BF"/>
          </w:tcPr>
          <w:p w:rsidR="00417CA5" w:rsidRDefault="00417CA5" w:rsidP="00811C3A">
            <w:pPr>
              <w:pStyle w:val="TableText"/>
              <w:spacing w:after="0"/>
              <w:jc w:val="center"/>
            </w:pPr>
          </w:p>
        </w:tc>
        <w:tc>
          <w:tcPr>
            <w:tcW w:w="900" w:type="dxa"/>
            <w:shd w:val="clear" w:color="auto" w:fill="BFBFBF" w:themeFill="background1" w:themeFillShade="BF"/>
          </w:tcPr>
          <w:p w:rsidR="00417CA5" w:rsidRDefault="00417CA5" w:rsidP="00811C3A">
            <w:pPr>
              <w:pStyle w:val="TableText"/>
              <w:spacing w:after="0"/>
              <w:jc w:val="center"/>
            </w:pPr>
          </w:p>
        </w:tc>
        <w:tc>
          <w:tcPr>
            <w:tcW w:w="1530" w:type="dxa"/>
            <w:shd w:val="clear" w:color="auto" w:fill="BFBFBF" w:themeFill="background1" w:themeFillShade="BF"/>
          </w:tcPr>
          <w:p w:rsidR="00417CA5" w:rsidRDefault="00417CA5" w:rsidP="00811C3A">
            <w:pPr>
              <w:pStyle w:val="TableText"/>
              <w:spacing w:after="0"/>
              <w:jc w:val="center"/>
            </w:pPr>
          </w:p>
        </w:tc>
        <w:tc>
          <w:tcPr>
            <w:tcW w:w="1314"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vAlign w:val="center"/>
          </w:tcPr>
          <w:p w:rsidR="00417CA5" w:rsidRDefault="00417CA5" w:rsidP="00811C3A">
            <w:pPr>
              <w:pStyle w:val="TableText"/>
              <w:spacing w:after="0"/>
              <w:ind w:right="166"/>
              <w:jc w:val="right"/>
            </w:pPr>
          </w:p>
        </w:tc>
      </w:tr>
      <w:tr w:rsidR="00417CA5" w:rsidTr="00811C3A">
        <w:tc>
          <w:tcPr>
            <w:tcW w:w="1728" w:type="dxa"/>
          </w:tcPr>
          <w:p w:rsidR="00417CA5" w:rsidRDefault="00417CA5" w:rsidP="00811C3A">
            <w:pPr>
              <w:pStyle w:val="TableText"/>
              <w:spacing w:after="0"/>
              <w:jc w:val="center"/>
            </w:pPr>
            <w:r w:rsidRPr="007E587E">
              <w:rPr>
                <w:b/>
              </w:rPr>
              <w:t>Jurisdiction #3</w:t>
            </w:r>
          </w:p>
        </w:tc>
        <w:tc>
          <w:tcPr>
            <w:tcW w:w="900" w:type="dxa"/>
          </w:tcPr>
          <w:p w:rsidR="00417CA5" w:rsidRDefault="00417CA5" w:rsidP="00811C3A">
            <w:pPr>
              <w:pStyle w:val="TableText"/>
              <w:spacing w:after="0"/>
              <w:jc w:val="center"/>
              <w:rPr>
                <w:b/>
              </w:rPr>
            </w:pPr>
            <w:r w:rsidRPr="00EC059B">
              <w:t>288</w:t>
            </w:r>
          </w:p>
        </w:tc>
        <w:tc>
          <w:tcPr>
            <w:tcW w:w="1530" w:type="dxa"/>
          </w:tcPr>
          <w:p w:rsidR="00417CA5" w:rsidRDefault="00417CA5" w:rsidP="00811C3A">
            <w:pPr>
              <w:pStyle w:val="TableText"/>
              <w:spacing w:after="0"/>
              <w:jc w:val="center"/>
              <w:rPr>
                <w:b/>
              </w:rPr>
            </w:pPr>
            <w:r>
              <w:t>21</w:t>
            </w:r>
          </w:p>
        </w:tc>
        <w:tc>
          <w:tcPr>
            <w:tcW w:w="1314" w:type="dxa"/>
          </w:tcPr>
          <w:p w:rsidR="00417CA5" w:rsidRDefault="00417CA5" w:rsidP="00811C3A">
            <w:pPr>
              <w:pStyle w:val="TableText"/>
              <w:spacing w:after="0"/>
              <w:jc w:val="center"/>
              <w:rPr>
                <w:b/>
              </w:rPr>
            </w:pPr>
            <w:r>
              <w:t>33</w:t>
            </w:r>
          </w:p>
        </w:tc>
        <w:tc>
          <w:tcPr>
            <w:tcW w:w="1368" w:type="dxa"/>
          </w:tcPr>
          <w:p w:rsidR="00417CA5" w:rsidRDefault="00417CA5" w:rsidP="00811C3A">
            <w:pPr>
              <w:pStyle w:val="TableText"/>
              <w:spacing w:after="0"/>
              <w:jc w:val="center"/>
              <w:rPr>
                <w:b/>
              </w:rPr>
            </w:pPr>
            <w:r>
              <w:t>22</w:t>
            </w:r>
          </w:p>
        </w:tc>
        <w:tc>
          <w:tcPr>
            <w:tcW w:w="1368" w:type="dxa"/>
          </w:tcPr>
          <w:p w:rsidR="00417CA5" w:rsidRDefault="00417CA5" w:rsidP="00811C3A">
            <w:pPr>
              <w:pStyle w:val="TableText"/>
              <w:spacing w:after="0"/>
              <w:jc w:val="center"/>
              <w:rPr>
                <w:b/>
              </w:rPr>
            </w:pPr>
            <w:r>
              <w:t>20</w:t>
            </w:r>
          </w:p>
        </w:tc>
        <w:tc>
          <w:tcPr>
            <w:tcW w:w="1368" w:type="dxa"/>
            <w:vAlign w:val="center"/>
          </w:tcPr>
          <w:p w:rsidR="00417CA5" w:rsidRDefault="00417CA5" w:rsidP="00811C3A">
            <w:pPr>
              <w:pStyle w:val="TableText"/>
              <w:spacing w:after="0"/>
              <w:ind w:right="166"/>
              <w:jc w:val="right"/>
              <w:rPr>
                <w:b/>
              </w:rPr>
            </w:pPr>
            <w:r>
              <w:t>---</w:t>
            </w:r>
          </w:p>
        </w:tc>
      </w:tr>
      <w:tr w:rsidR="00417CA5" w:rsidTr="00811C3A">
        <w:tc>
          <w:tcPr>
            <w:tcW w:w="1728" w:type="dxa"/>
          </w:tcPr>
          <w:p w:rsidR="00417CA5" w:rsidRDefault="00417CA5" w:rsidP="00811C3A">
            <w:pPr>
              <w:pStyle w:val="TableText"/>
              <w:spacing w:after="0"/>
              <w:jc w:val="center"/>
            </w:pPr>
          </w:p>
        </w:tc>
        <w:tc>
          <w:tcPr>
            <w:tcW w:w="900" w:type="dxa"/>
          </w:tcPr>
          <w:p w:rsidR="00417CA5" w:rsidRDefault="00417CA5" w:rsidP="00811C3A">
            <w:pPr>
              <w:pStyle w:val="TableText"/>
              <w:spacing w:after="0"/>
              <w:jc w:val="center"/>
              <w:rPr>
                <w:b/>
              </w:rPr>
            </w:pPr>
            <w:r>
              <w:t>28</w:t>
            </w:r>
          </w:p>
        </w:tc>
        <w:tc>
          <w:tcPr>
            <w:tcW w:w="1530" w:type="dxa"/>
          </w:tcPr>
          <w:p w:rsidR="00417CA5" w:rsidRDefault="00417CA5" w:rsidP="00811C3A">
            <w:pPr>
              <w:pStyle w:val="TableText"/>
              <w:spacing w:after="0"/>
              <w:jc w:val="center"/>
              <w:rPr>
                <w:b/>
              </w:rPr>
            </w:pPr>
            <w:r>
              <w:t>1</w:t>
            </w:r>
          </w:p>
        </w:tc>
        <w:tc>
          <w:tcPr>
            <w:tcW w:w="1314" w:type="dxa"/>
          </w:tcPr>
          <w:p w:rsidR="00417CA5" w:rsidRDefault="00417CA5" w:rsidP="00811C3A">
            <w:pPr>
              <w:pStyle w:val="TableText"/>
              <w:spacing w:after="0"/>
              <w:jc w:val="center"/>
              <w:rPr>
                <w:b/>
              </w:rPr>
            </w:pPr>
            <w:r>
              <w:t>5</w:t>
            </w:r>
          </w:p>
        </w:tc>
        <w:tc>
          <w:tcPr>
            <w:tcW w:w="1368" w:type="dxa"/>
          </w:tcPr>
          <w:p w:rsidR="00417CA5" w:rsidRDefault="00417CA5" w:rsidP="00811C3A">
            <w:pPr>
              <w:pStyle w:val="TableText"/>
              <w:spacing w:after="0"/>
              <w:jc w:val="center"/>
              <w:rPr>
                <w:b/>
              </w:rPr>
            </w:pPr>
            <w:r>
              <w:t>3</w:t>
            </w:r>
          </w:p>
        </w:tc>
        <w:tc>
          <w:tcPr>
            <w:tcW w:w="1368" w:type="dxa"/>
          </w:tcPr>
          <w:p w:rsidR="00417CA5" w:rsidRDefault="00417CA5" w:rsidP="00811C3A">
            <w:pPr>
              <w:pStyle w:val="TableText"/>
              <w:spacing w:after="0"/>
              <w:jc w:val="center"/>
              <w:rPr>
                <w:b/>
              </w:rPr>
            </w:pPr>
            <w:r>
              <w:t>1</w:t>
            </w:r>
          </w:p>
        </w:tc>
        <w:tc>
          <w:tcPr>
            <w:tcW w:w="1368" w:type="dxa"/>
            <w:vAlign w:val="center"/>
          </w:tcPr>
          <w:p w:rsidR="00417CA5" w:rsidRDefault="00417CA5" w:rsidP="00811C3A">
            <w:pPr>
              <w:pStyle w:val="TableText"/>
              <w:spacing w:after="0"/>
              <w:ind w:right="166"/>
              <w:jc w:val="right"/>
              <w:rPr>
                <w:b/>
              </w:rPr>
            </w:pPr>
            <w:r w:rsidRPr="00206B57">
              <w:t>60 gpm</w:t>
            </w:r>
          </w:p>
        </w:tc>
      </w:tr>
      <w:tr w:rsidR="00417CA5" w:rsidTr="00811C3A">
        <w:tc>
          <w:tcPr>
            <w:tcW w:w="1728" w:type="dxa"/>
          </w:tcPr>
          <w:p w:rsidR="00417CA5" w:rsidRDefault="00417CA5" w:rsidP="00811C3A">
            <w:pPr>
              <w:pStyle w:val="TableText"/>
              <w:spacing w:after="0"/>
              <w:jc w:val="center"/>
            </w:pPr>
          </w:p>
        </w:tc>
        <w:tc>
          <w:tcPr>
            <w:tcW w:w="900" w:type="dxa"/>
          </w:tcPr>
          <w:p w:rsidR="00417CA5" w:rsidRDefault="00417CA5" w:rsidP="00811C3A">
            <w:pPr>
              <w:pStyle w:val="TableText"/>
              <w:spacing w:after="0"/>
              <w:jc w:val="center"/>
              <w:rPr>
                <w:b/>
              </w:rPr>
            </w:pPr>
            <w:r>
              <w:t>228</w:t>
            </w:r>
          </w:p>
        </w:tc>
        <w:tc>
          <w:tcPr>
            <w:tcW w:w="1530" w:type="dxa"/>
          </w:tcPr>
          <w:p w:rsidR="00417CA5" w:rsidRDefault="00417CA5" w:rsidP="00811C3A">
            <w:pPr>
              <w:pStyle w:val="TableText"/>
              <w:spacing w:after="0"/>
              <w:jc w:val="center"/>
              <w:rPr>
                <w:b/>
              </w:rPr>
            </w:pPr>
            <w:r>
              <w:t>17</w:t>
            </w:r>
          </w:p>
        </w:tc>
        <w:tc>
          <w:tcPr>
            <w:tcW w:w="1314" w:type="dxa"/>
          </w:tcPr>
          <w:p w:rsidR="00417CA5" w:rsidRDefault="00417CA5" w:rsidP="00811C3A">
            <w:pPr>
              <w:pStyle w:val="TableText"/>
              <w:spacing w:after="0"/>
              <w:jc w:val="center"/>
              <w:rPr>
                <w:b/>
              </w:rPr>
            </w:pPr>
            <w:r>
              <w:t>25</w:t>
            </w:r>
          </w:p>
        </w:tc>
        <w:tc>
          <w:tcPr>
            <w:tcW w:w="1368" w:type="dxa"/>
          </w:tcPr>
          <w:p w:rsidR="00417CA5" w:rsidRDefault="00417CA5" w:rsidP="00811C3A">
            <w:pPr>
              <w:pStyle w:val="TableText"/>
              <w:spacing w:after="0"/>
              <w:jc w:val="center"/>
              <w:rPr>
                <w:b/>
              </w:rPr>
            </w:pPr>
            <w:r>
              <w:t>16</w:t>
            </w:r>
          </w:p>
        </w:tc>
        <w:tc>
          <w:tcPr>
            <w:tcW w:w="1368" w:type="dxa"/>
          </w:tcPr>
          <w:p w:rsidR="00417CA5" w:rsidRDefault="00417CA5" w:rsidP="00811C3A">
            <w:pPr>
              <w:pStyle w:val="TableText"/>
              <w:spacing w:after="0"/>
              <w:jc w:val="center"/>
              <w:rPr>
                <w:b/>
              </w:rPr>
            </w:pPr>
            <w:r>
              <w:t>16</w:t>
            </w:r>
          </w:p>
        </w:tc>
        <w:tc>
          <w:tcPr>
            <w:tcW w:w="1368" w:type="dxa"/>
            <w:vAlign w:val="center"/>
          </w:tcPr>
          <w:p w:rsidR="00417CA5" w:rsidRDefault="00417CA5" w:rsidP="00811C3A">
            <w:pPr>
              <w:pStyle w:val="TableText"/>
              <w:spacing w:after="0"/>
              <w:ind w:right="166"/>
              <w:jc w:val="right"/>
              <w:rPr>
                <w:b/>
              </w:rPr>
            </w:pPr>
            <w:r w:rsidRPr="00206B57">
              <w:t>100 gpm</w:t>
            </w:r>
          </w:p>
        </w:tc>
      </w:tr>
      <w:tr w:rsidR="00417CA5" w:rsidTr="00811C3A">
        <w:tc>
          <w:tcPr>
            <w:tcW w:w="1728" w:type="dxa"/>
          </w:tcPr>
          <w:p w:rsidR="00417CA5" w:rsidRDefault="00417CA5" w:rsidP="00811C3A">
            <w:pPr>
              <w:pStyle w:val="TableText"/>
              <w:spacing w:after="0"/>
              <w:jc w:val="center"/>
            </w:pPr>
          </w:p>
        </w:tc>
        <w:tc>
          <w:tcPr>
            <w:tcW w:w="900" w:type="dxa"/>
          </w:tcPr>
          <w:p w:rsidR="00417CA5" w:rsidRDefault="00417CA5" w:rsidP="00811C3A">
            <w:pPr>
              <w:pStyle w:val="TableText"/>
              <w:spacing w:after="0"/>
              <w:jc w:val="center"/>
              <w:rPr>
                <w:b/>
              </w:rPr>
            </w:pPr>
            <w:r>
              <w:t>32</w:t>
            </w:r>
          </w:p>
        </w:tc>
        <w:tc>
          <w:tcPr>
            <w:tcW w:w="1530" w:type="dxa"/>
          </w:tcPr>
          <w:p w:rsidR="00417CA5" w:rsidRDefault="00417CA5" w:rsidP="00811C3A">
            <w:pPr>
              <w:pStyle w:val="TableText"/>
              <w:spacing w:after="0"/>
              <w:jc w:val="center"/>
              <w:rPr>
                <w:b/>
              </w:rPr>
            </w:pPr>
            <w:r>
              <w:t>3</w:t>
            </w:r>
          </w:p>
        </w:tc>
        <w:tc>
          <w:tcPr>
            <w:tcW w:w="1314" w:type="dxa"/>
          </w:tcPr>
          <w:p w:rsidR="00417CA5" w:rsidRDefault="00417CA5" w:rsidP="00811C3A">
            <w:pPr>
              <w:pStyle w:val="TableText"/>
              <w:spacing w:after="0"/>
              <w:jc w:val="center"/>
              <w:rPr>
                <w:b/>
              </w:rPr>
            </w:pPr>
            <w:r>
              <w:t>3</w:t>
            </w:r>
          </w:p>
        </w:tc>
        <w:tc>
          <w:tcPr>
            <w:tcW w:w="1368" w:type="dxa"/>
          </w:tcPr>
          <w:p w:rsidR="00417CA5" w:rsidRDefault="00417CA5" w:rsidP="00811C3A">
            <w:pPr>
              <w:pStyle w:val="TableText"/>
              <w:spacing w:after="0"/>
              <w:jc w:val="center"/>
              <w:rPr>
                <w:b/>
              </w:rPr>
            </w:pPr>
            <w:r>
              <w:t>3</w:t>
            </w:r>
          </w:p>
        </w:tc>
        <w:tc>
          <w:tcPr>
            <w:tcW w:w="1368" w:type="dxa"/>
          </w:tcPr>
          <w:p w:rsidR="00417CA5" w:rsidRDefault="00417CA5" w:rsidP="00811C3A">
            <w:pPr>
              <w:pStyle w:val="TableText"/>
              <w:spacing w:after="0"/>
              <w:jc w:val="center"/>
              <w:rPr>
                <w:b/>
              </w:rPr>
            </w:pPr>
            <w:r>
              <w:t>3</w:t>
            </w:r>
          </w:p>
        </w:tc>
        <w:tc>
          <w:tcPr>
            <w:tcW w:w="1368" w:type="dxa"/>
            <w:vAlign w:val="center"/>
          </w:tcPr>
          <w:p w:rsidR="00417CA5" w:rsidRDefault="009352AD" w:rsidP="00811C3A">
            <w:pPr>
              <w:pStyle w:val="TableText"/>
              <w:spacing w:after="0"/>
              <w:ind w:right="166"/>
              <w:jc w:val="right"/>
              <w:rPr>
                <w:b/>
              </w:rPr>
            </w:pPr>
            <w:r>
              <w:rPr>
                <w:rFonts w:cs="Times New Roman"/>
              </w:rPr>
              <w:t>&gt;</w:t>
            </w:r>
            <w:r>
              <w:t> </w:t>
            </w:r>
            <w:r w:rsidR="00417CA5" w:rsidRPr="00206B57">
              <w:t>100 gpm</w:t>
            </w:r>
          </w:p>
        </w:tc>
      </w:tr>
      <w:tr w:rsidR="00417CA5" w:rsidTr="00811C3A">
        <w:tc>
          <w:tcPr>
            <w:tcW w:w="1728" w:type="dxa"/>
            <w:shd w:val="clear" w:color="auto" w:fill="BFBFBF" w:themeFill="background1" w:themeFillShade="BF"/>
          </w:tcPr>
          <w:p w:rsidR="00417CA5" w:rsidRDefault="00417CA5" w:rsidP="00811C3A">
            <w:pPr>
              <w:pStyle w:val="TableText"/>
              <w:spacing w:after="0"/>
              <w:jc w:val="center"/>
            </w:pPr>
          </w:p>
        </w:tc>
        <w:tc>
          <w:tcPr>
            <w:tcW w:w="900" w:type="dxa"/>
            <w:shd w:val="clear" w:color="auto" w:fill="BFBFBF" w:themeFill="background1" w:themeFillShade="BF"/>
          </w:tcPr>
          <w:p w:rsidR="00417CA5" w:rsidRDefault="00417CA5" w:rsidP="00811C3A">
            <w:pPr>
              <w:pStyle w:val="TableText"/>
              <w:spacing w:after="0"/>
              <w:jc w:val="center"/>
            </w:pPr>
          </w:p>
        </w:tc>
        <w:tc>
          <w:tcPr>
            <w:tcW w:w="1530" w:type="dxa"/>
            <w:shd w:val="clear" w:color="auto" w:fill="BFBFBF" w:themeFill="background1" w:themeFillShade="BF"/>
          </w:tcPr>
          <w:p w:rsidR="00417CA5" w:rsidRDefault="00417CA5" w:rsidP="00811C3A">
            <w:pPr>
              <w:pStyle w:val="TableText"/>
              <w:spacing w:after="0"/>
              <w:jc w:val="center"/>
            </w:pPr>
          </w:p>
        </w:tc>
        <w:tc>
          <w:tcPr>
            <w:tcW w:w="1314"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vAlign w:val="center"/>
          </w:tcPr>
          <w:p w:rsidR="00417CA5" w:rsidRDefault="00417CA5" w:rsidP="00811C3A">
            <w:pPr>
              <w:pStyle w:val="TableText"/>
              <w:spacing w:after="0"/>
              <w:ind w:right="166"/>
              <w:jc w:val="right"/>
            </w:pPr>
          </w:p>
        </w:tc>
      </w:tr>
      <w:tr w:rsidR="0092056C" w:rsidTr="00811C3A">
        <w:tc>
          <w:tcPr>
            <w:tcW w:w="1728" w:type="dxa"/>
          </w:tcPr>
          <w:p w:rsidR="0092056C" w:rsidRDefault="0092056C" w:rsidP="00811C3A">
            <w:pPr>
              <w:pStyle w:val="TableText"/>
              <w:spacing w:after="0"/>
              <w:jc w:val="center"/>
            </w:pPr>
            <w:r w:rsidRPr="007E587E">
              <w:rPr>
                <w:b/>
              </w:rPr>
              <w:lastRenderedPageBreak/>
              <w:t>Jurisdiction #4</w:t>
            </w:r>
          </w:p>
        </w:tc>
        <w:tc>
          <w:tcPr>
            <w:tcW w:w="900" w:type="dxa"/>
          </w:tcPr>
          <w:p w:rsidR="0092056C" w:rsidRDefault="0092056C" w:rsidP="00811C3A">
            <w:pPr>
              <w:pStyle w:val="TableText"/>
              <w:spacing w:after="0"/>
              <w:jc w:val="center"/>
              <w:rPr>
                <w:b/>
              </w:rPr>
            </w:pPr>
            <w:r>
              <w:t>196</w:t>
            </w:r>
          </w:p>
        </w:tc>
        <w:tc>
          <w:tcPr>
            <w:tcW w:w="1530" w:type="dxa"/>
          </w:tcPr>
          <w:p w:rsidR="0092056C" w:rsidRDefault="0092056C" w:rsidP="00811C3A">
            <w:pPr>
              <w:pStyle w:val="TableText"/>
              <w:spacing w:after="0"/>
              <w:jc w:val="center"/>
              <w:rPr>
                <w:b/>
              </w:rPr>
            </w:pPr>
            <w:r>
              <w:t>7</w:t>
            </w:r>
          </w:p>
        </w:tc>
        <w:tc>
          <w:tcPr>
            <w:tcW w:w="1314" w:type="dxa"/>
          </w:tcPr>
          <w:p w:rsidR="0092056C" w:rsidRDefault="0092056C" w:rsidP="00811C3A">
            <w:pPr>
              <w:pStyle w:val="TableText"/>
              <w:spacing w:after="0"/>
              <w:jc w:val="center"/>
              <w:rPr>
                <w:b/>
              </w:rPr>
            </w:pPr>
            <w:r>
              <w:t>18</w:t>
            </w:r>
          </w:p>
        </w:tc>
        <w:tc>
          <w:tcPr>
            <w:tcW w:w="1368" w:type="dxa"/>
          </w:tcPr>
          <w:p w:rsidR="0092056C" w:rsidRDefault="0092056C" w:rsidP="00811C3A">
            <w:pPr>
              <w:pStyle w:val="TableText"/>
              <w:spacing w:after="0"/>
              <w:jc w:val="center"/>
              <w:rPr>
                <w:b/>
              </w:rPr>
            </w:pPr>
            <w:r>
              <w:t>9</w:t>
            </w:r>
          </w:p>
        </w:tc>
        <w:tc>
          <w:tcPr>
            <w:tcW w:w="1368" w:type="dxa"/>
          </w:tcPr>
          <w:p w:rsidR="0092056C" w:rsidRDefault="0092056C" w:rsidP="00811C3A">
            <w:pPr>
              <w:pStyle w:val="TableText"/>
              <w:spacing w:after="0"/>
              <w:jc w:val="center"/>
              <w:rPr>
                <w:b/>
              </w:rPr>
            </w:pPr>
            <w:r>
              <w:t>6</w:t>
            </w:r>
          </w:p>
        </w:tc>
        <w:tc>
          <w:tcPr>
            <w:tcW w:w="1368" w:type="dxa"/>
            <w:vAlign w:val="center"/>
          </w:tcPr>
          <w:p w:rsidR="0092056C" w:rsidRDefault="0092056C" w:rsidP="00811C3A">
            <w:pPr>
              <w:pStyle w:val="TableText"/>
              <w:spacing w:after="0"/>
              <w:ind w:right="166"/>
              <w:jc w:val="right"/>
              <w:rPr>
                <w:b/>
              </w:rPr>
            </w:pPr>
            <w:r>
              <w:t>---</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14</w:t>
            </w:r>
          </w:p>
        </w:tc>
        <w:tc>
          <w:tcPr>
            <w:tcW w:w="1530" w:type="dxa"/>
          </w:tcPr>
          <w:p w:rsidR="0092056C" w:rsidRDefault="0092056C" w:rsidP="00811C3A">
            <w:pPr>
              <w:pStyle w:val="TableText"/>
              <w:spacing w:after="0"/>
              <w:jc w:val="center"/>
              <w:rPr>
                <w:b/>
              </w:rPr>
            </w:pPr>
            <w:r>
              <w:t>0</w:t>
            </w:r>
          </w:p>
        </w:tc>
        <w:tc>
          <w:tcPr>
            <w:tcW w:w="1314" w:type="dxa"/>
          </w:tcPr>
          <w:p w:rsidR="0092056C" w:rsidRDefault="0092056C" w:rsidP="00811C3A">
            <w:pPr>
              <w:pStyle w:val="TableText"/>
              <w:spacing w:after="0"/>
              <w:jc w:val="center"/>
              <w:rPr>
                <w:b/>
              </w:rPr>
            </w:pPr>
            <w:r>
              <w:t>3</w:t>
            </w:r>
          </w:p>
        </w:tc>
        <w:tc>
          <w:tcPr>
            <w:tcW w:w="1368" w:type="dxa"/>
          </w:tcPr>
          <w:p w:rsidR="0092056C" w:rsidRDefault="0092056C" w:rsidP="00811C3A">
            <w:pPr>
              <w:pStyle w:val="TableText"/>
              <w:spacing w:after="0"/>
              <w:jc w:val="center"/>
              <w:rPr>
                <w:b/>
              </w:rPr>
            </w:pPr>
            <w:r>
              <w:t>3</w:t>
            </w:r>
          </w:p>
        </w:tc>
        <w:tc>
          <w:tcPr>
            <w:tcW w:w="1368" w:type="dxa"/>
          </w:tcPr>
          <w:p w:rsidR="0092056C" w:rsidRDefault="0092056C" w:rsidP="00811C3A">
            <w:pPr>
              <w:pStyle w:val="TableText"/>
              <w:spacing w:after="0"/>
              <w:jc w:val="center"/>
              <w:rPr>
                <w:b/>
              </w:rPr>
            </w:pPr>
            <w:r>
              <w:t>0</w:t>
            </w:r>
          </w:p>
        </w:tc>
        <w:tc>
          <w:tcPr>
            <w:tcW w:w="1368" w:type="dxa"/>
            <w:vAlign w:val="center"/>
          </w:tcPr>
          <w:p w:rsidR="0092056C" w:rsidRDefault="0092056C" w:rsidP="00811C3A">
            <w:pPr>
              <w:pStyle w:val="TableText"/>
              <w:spacing w:after="0"/>
              <w:ind w:right="166"/>
              <w:jc w:val="right"/>
              <w:rPr>
                <w:b/>
              </w:rPr>
            </w:pPr>
            <w:r w:rsidRPr="00206B57">
              <w:t>60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153</w:t>
            </w:r>
          </w:p>
        </w:tc>
        <w:tc>
          <w:tcPr>
            <w:tcW w:w="1530" w:type="dxa"/>
          </w:tcPr>
          <w:p w:rsidR="0092056C" w:rsidRDefault="0092056C" w:rsidP="00811C3A">
            <w:pPr>
              <w:pStyle w:val="TableText"/>
              <w:spacing w:after="0"/>
              <w:jc w:val="center"/>
              <w:rPr>
                <w:b/>
              </w:rPr>
            </w:pPr>
            <w:r>
              <w:t>5</w:t>
            </w:r>
          </w:p>
        </w:tc>
        <w:tc>
          <w:tcPr>
            <w:tcW w:w="1314" w:type="dxa"/>
          </w:tcPr>
          <w:p w:rsidR="0092056C" w:rsidRDefault="0092056C" w:rsidP="00811C3A">
            <w:pPr>
              <w:pStyle w:val="TableText"/>
              <w:spacing w:after="0"/>
              <w:jc w:val="center"/>
              <w:rPr>
                <w:b/>
              </w:rPr>
            </w:pPr>
            <w:r>
              <w:t>14</w:t>
            </w:r>
          </w:p>
        </w:tc>
        <w:tc>
          <w:tcPr>
            <w:tcW w:w="1368" w:type="dxa"/>
          </w:tcPr>
          <w:p w:rsidR="0092056C" w:rsidRDefault="0092056C" w:rsidP="00811C3A">
            <w:pPr>
              <w:pStyle w:val="TableText"/>
              <w:spacing w:after="0"/>
              <w:jc w:val="center"/>
              <w:rPr>
                <w:b/>
              </w:rPr>
            </w:pPr>
            <w:r>
              <w:t>5</w:t>
            </w:r>
          </w:p>
        </w:tc>
        <w:tc>
          <w:tcPr>
            <w:tcW w:w="1368" w:type="dxa"/>
          </w:tcPr>
          <w:p w:rsidR="0092056C" w:rsidRDefault="0092056C" w:rsidP="00811C3A">
            <w:pPr>
              <w:pStyle w:val="TableText"/>
              <w:spacing w:after="0"/>
              <w:jc w:val="center"/>
              <w:rPr>
                <w:b/>
              </w:rPr>
            </w:pPr>
            <w:r>
              <w:t>5</w:t>
            </w:r>
          </w:p>
        </w:tc>
        <w:tc>
          <w:tcPr>
            <w:tcW w:w="1368" w:type="dxa"/>
            <w:vAlign w:val="center"/>
          </w:tcPr>
          <w:p w:rsidR="0092056C" w:rsidRDefault="0092056C" w:rsidP="00811C3A">
            <w:pPr>
              <w:pStyle w:val="TableText"/>
              <w:spacing w:after="0"/>
              <w:ind w:right="166"/>
              <w:jc w:val="right"/>
              <w:rPr>
                <w:b/>
              </w:rPr>
            </w:pPr>
            <w:r w:rsidRPr="00206B57">
              <w:t>100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29</w:t>
            </w:r>
          </w:p>
        </w:tc>
        <w:tc>
          <w:tcPr>
            <w:tcW w:w="1530" w:type="dxa"/>
          </w:tcPr>
          <w:p w:rsidR="0092056C" w:rsidRDefault="0092056C" w:rsidP="00811C3A">
            <w:pPr>
              <w:pStyle w:val="TableText"/>
              <w:spacing w:after="0"/>
              <w:jc w:val="center"/>
              <w:rPr>
                <w:b/>
              </w:rPr>
            </w:pPr>
            <w:r>
              <w:t>2</w:t>
            </w:r>
          </w:p>
        </w:tc>
        <w:tc>
          <w:tcPr>
            <w:tcW w:w="1314" w:type="dxa"/>
          </w:tcPr>
          <w:p w:rsidR="0092056C" w:rsidRDefault="0092056C" w:rsidP="00811C3A">
            <w:pPr>
              <w:pStyle w:val="TableText"/>
              <w:spacing w:after="0"/>
              <w:jc w:val="center"/>
              <w:rPr>
                <w:b/>
              </w:rPr>
            </w:pPr>
            <w:r>
              <w:t>1</w:t>
            </w:r>
          </w:p>
        </w:tc>
        <w:tc>
          <w:tcPr>
            <w:tcW w:w="1368" w:type="dxa"/>
          </w:tcPr>
          <w:p w:rsidR="0092056C" w:rsidRDefault="0092056C" w:rsidP="00811C3A">
            <w:pPr>
              <w:pStyle w:val="TableText"/>
              <w:spacing w:after="0"/>
              <w:jc w:val="center"/>
              <w:rPr>
                <w:b/>
              </w:rPr>
            </w:pPr>
            <w:r>
              <w:t>1</w:t>
            </w:r>
          </w:p>
        </w:tc>
        <w:tc>
          <w:tcPr>
            <w:tcW w:w="1368" w:type="dxa"/>
          </w:tcPr>
          <w:p w:rsidR="0092056C" w:rsidRDefault="0092056C" w:rsidP="00811C3A">
            <w:pPr>
              <w:pStyle w:val="TableText"/>
              <w:spacing w:after="0"/>
              <w:jc w:val="center"/>
              <w:rPr>
                <w:b/>
              </w:rPr>
            </w:pPr>
            <w:r>
              <w:t>1</w:t>
            </w:r>
          </w:p>
        </w:tc>
        <w:tc>
          <w:tcPr>
            <w:tcW w:w="1368" w:type="dxa"/>
            <w:vAlign w:val="center"/>
          </w:tcPr>
          <w:p w:rsidR="0092056C" w:rsidRDefault="009352AD" w:rsidP="00811C3A">
            <w:pPr>
              <w:pStyle w:val="TableText"/>
              <w:spacing w:after="0"/>
              <w:ind w:right="166"/>
              <w:jc w:val="right"/>
              <w:rPr>
                <w:b/>
              </w:rPr>
            </w:pPr>
            <w:r>
              <w:rPr>
                <w:rFonts w:cs="Times New Roman"/>
              </w:rPr>
              <w:t>&gt;</w:t>
            </w:r>
            <w:r>
              <w:t> </w:t>
            </w:r>
            <w:r w:rsidR="0092056C" w:rsidRPr="00206B57">
              <w:t>100 gpm</w:t>
            </w:r>
          </w:p>
        </w:tc>
      </w:tr>
      <w:tr w:rsidR="00417CA5" w:rsidTr="00811C3A">
        <w:tc>
          <w:tcPr>
            <w:tcW w:w="1728" w:type="dxa"/>
            <w:shd w:val="clear" w:color="auto" w:fill="BFBFBF" w:themeFill="background1" w:themeFillShade="BF"/>
          </w:tcPr>
          <w:p w:rsidR="00417CA5" w:rsidRDefault="00417CA5" w:rsidP="00811C3A">
            <w:pPr>
              <w:pStyle w:val="TableText"/>
              <w:spacing w:after="0"/>
              <w:jc w:val="center"/>
            </w:pPr>
          </w:p>
        </w:tc>
        <w:tc>
          <w:tcPr>
            <w:tcW w:w="900" w:type="dxa"/>
            <w:shd w:val="clear" w:color="auto" w:fill="BFBFBF" w:themeFill="background1" w:themeFillShade="BF"/>
          </w:tcPr>
          <w:p w:rsidR="00417CA5" w:rsidRDefault="00417CA5" w:rsidP="00811C3A">
            <w:pPr>
              <w:pStyle w:val="TableText"/>
              <w:spacing w:after="0"/>
              <w:jc w:val="center"/>
            </w:pPr>
          </w:p>
        </w:tc>
        <w:tc>
          <w:tcPr>
            <w:tcW w:w="1530" w:type="dxa"/>
            <w:shd w:val="clear" w:color="auto" w:fill="BFBFBF" w:themeFill="background1" w:themeFillShade="BF"/>
          </w:tcPr>
          <w:p w:rsidR="00417CA5" w:rsidRDefault="00417CA5" w:rsidP="00811C3A">
            <w:pPr>
              <w:pStyle w:val="TableText"/>
              <w:spacing w:after="0"/>
              <w:jc w:val="center"/>
            </w:pPr>
          </w:p>
        </w:tc>
        <w:tc>
          <w:tcPr>
            <w:tcW w:w="1314"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vAlign w:val="center"/>
          </w:tcPr>
          <w:p w:rsidR="00417CA5" w:rsidRDefault="00417CA5" w:rsidP="00811C3A">
            <w:pPr>
              <w:pStyle w:val="TableText"/>
              <w:spacing w:after="0"/>
              <w:ind w:right="166"/>
              <w:jc w:val="right"/>
            </w:pPr>
          </w:p>
        </w:tc>
      </w:tr>
      <w:tr w:rsidR="0092056C" w:rsidTr="00811C3A">
        <w:tc>
          <w:tcPr>
            <w:tcW w:w="1728" w:type="dxa"/>
          </w:tcPr>
          <w:p w:rsidR="0092056C" w:rsidRDefault="0092056C" w:rsidP="00811C3A">
            <w:pPr>
              <w:pStyle w:val="TableText"/>
              <w:spacing w:after="0"/>
              <w:jc w:val="center"/>
            </w:pPr>
            <w:r w:rsidRPr="007E587E">
              <w:rPr>
                <w:b/>
              </w:rPr>
              <w:t>Jurisdiction #5</w:t>
            </w:r>
          </w:p>
        </w:tc>
        <w:tc>
          <w:tcPr>
            <w:tcW w:w="900" w:type="dxa"/>
          </w:tcPr>
          <w:p w:rsidR="0092056C" w:rsidRDefault="0092056C" w:rsidP="00811C3A">
            <w:pPr>
              <w:pStyle w:val="TableText"/>
              <w:spacing w:after="0"/>
              <w:jc w:val="center"/>
              <w:rPr>
                <w:b/>
              </w:rPr>
            </w:pPr>
            <w:r>
              <w:t>134</w:t>
            </w:r>
          </w:p>
        </w:tc>
        <w:tc>
          <w:tcPr>
            <w:tcW w:w="1530" w:type="dxa"/>
          </w:tcPr>
          <w:p w:rsidR="0092056C" w:rsidRDefault="0092056C" w:rsidP="00811C3A">
            <w:pPr>
              <w:pStyle w:val="TableText"/>
              <w:spacing w:after="0"/>
              <w:jc w:val="center"/>
              <w:rPr>
                <w:b/>
              </w:rPr>
            </w:pPr>
            <w:r>
              <w:t>7</w:t>
            </w:r>
          </w:p>
        </w:tc>
        <w:tc>
          <w:tcPr>
            <w:tcW w:w="1314" w:type="dxa"/>
          </w:tcPr>
          <w:p w:rsidR="0092056C" w:rsidRDefault="0092056C" w:rsidP="00811C3A">
            <w:pPr>
              <w:pStyle w:val="TableText"/>
              <w:spacing w:after="0"/>
              <w:jc w:val="center"/>
              <w:rPr>
                <w:b/>
              </w:rPr>
            </w:pPr>
            <w:r>
              <w:t>12</w:t>
            </w:r>
          </w:p>
        </w:tc>
        <w:tc>
          <w:tcPr>
            <w:tcW w:w="1368" w:type="dxa"/>
          </w:tcPr>
          <w:p w:rsidR="0092056C" w:rsidRDefault="0092056C" w:rsidP="00811C3A">
            <w:pPr>
              <w:pStyle w:val="TableText"/>
              <w:spacing w:after="0"/>
              <w:jc w:val="center"/>
              <w:rPr>
                <w:b/>
              </w:rPr>
            </w:pPr>
            <w:r>
              <w:t>7</w:t>
            </w:r>
          </w:p>
        </w:tc>
        <w:tc>
          <w:tcPr>
            <w:tcW w:w="1368" w:type="dxa"/>
          </w:tcPr>
          <w:p w:rsidR="0092056C" w:rsidRDefault="0092056C" w:rsidP="00811C3A">
            <w:pPr>
              <w:pStyle w:val="TableText"/>
              <w:spacing w:after="0"/>
              <w:jc w:val="center"/>
              <w:rPr>
                <w:b/>
              </w:rPr>
            </w:pPr>
            <w:r>
              <w:t>7</w:t>
            </w:r>
          </w:p>
        </w:tc>
        <w:tc>
          <w:tcPr>
            <w:tcW w:w="1368" w:type="dxa"/>
            <w:vAlign w:val="center"/>
          </w:tcPr>
          <w:p w:rsidR="0092056C" w:rsidRDefault="0092056C" w:rsidP="00811C3A">
            <w:pPr>
              <w:pStyle w:val="TableText"/>
              <w:spacing w:after="0"/>
              <w:ind w:right="166"/>
              <w:jc w:val="right"/>
              <w:rPr>
                <w:b/>
              </w:rPr>
            </w:pPr>
            <w:r>
              <w:t>---</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10</w:t>
            </w:r>
          </w:p>
        </w:tc>
        <w:tc>
          <w:tcPr>
            <w:tcW w:w="1530" w:type="dxa"/>
          </w:tcPr>
          <w:p w:rsidR="0092056C" w:rsidRDefault="0092056C" w:rsidP="00811C3A">
            <w:pPr>
              <w:pStyle w:val="TableText"/>
              <w:spacing w:after="0"/>
              <w:jc w:val="center"/>
              <w:rPr>
                <w:b/>
              </w:rPr>
            </w:pPr>
            <w:r>
              <w:t>2</w:t>
            </w:r>
          </w:p>
        </w:tc>
        <w:tc>
          <w:tcPr>
            <w:tcW w:w="1314" w:type="dxa"/>
          </w:tcPr>
          <w:p w:rsidR="0092056C" w:rsidRDefault="0092056C" w:rsidP="00811C3A">
            <w:pPr>
              <w:pStyle w:val="TableText"/>
              <w:spacing w:after="0"/>
              <w:jc w:val="center"/>
              <w:rPr>
                <w:b/>
              </w:rPr>
            </w:pPr>
            <w:r>
              <w:t>3</w:t>
            </w:r>
          </w:p>
        </w:tc>
        <w:tc>
          <w:tcPr>
            <w:tcW w:w="1368" w:type="dxa"/>
          </w:tcPr>
          <w:p w:rsidR="0092056C" w:rsidRDefault="0092056C" w:rsidP="00811C3A">
            <w:pPr>
              <w:pStyle w:val="TableText"/>
              <w:spacing w:after="0"/>
              <w:jc w:val="center"/>
              <w:rPr>
                <w:b/>
              </w:rPr>
            </w:pPr>
            <w:r>
              <w:t>2</w:t>
            </w:r>
          </w:p>
        </w:tc>
        <w:tc>
          <w:tcPr>
            <w:tcW w:w="1368" w:type="dxa"/>
          </w:tcPr>
          <w:p w:rsidR="0092056C" w:rsidRDefault="0092056C" w:rsidP="00811C3A">
            <w:pPr>
              <w:pStyle w:val="TableText"/>
              <w:spacing w:after="0"/>
              <w:jc w:val="center"/>
              <w:rPr>
                <w:b/>
              </w:rPr>
            </w:pPr>
            <w:r>
              <w:t>2</w:t>
            </w:r>
          </w:p>
        </w:tc>
        <w:tc>
          <w:tcPr>
            <w:tcW w:w="1368" w:type="dxa"/>
            <w:vAlign w:val="center"/>
          </w:tcPr>
          <w:p w:rsidR="0092056C" w:rsidRDefault="0092056C" w:rsidP="00811C3A">
            <w:pPr>
              <w:pStyle w:val="TableText"/>
              <w:spacing w:after="0"/>
              <w:ind w:right="166"/>
              <w:jc w:val="right"/>
              <w:rPr>
                <w:b/>
              </w:rPr>
            </w:pPr>
            <w:r w:rsidRPr="00206B57">
              <w:t>60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72</w:t>
            </w:r>
          </w:p>
        </w:tc>
        <w:tc>
          <w:tcPr>
            <w:tcW w:w="1530" w:type="dxa"/>
          </w:tcPr>
          <w:p w:rsidR="0092056C" w:rsidRDefault="0092056C" w:rsidP="00811C3A">
            <w:pPr>
              <w:pStyle w:val="TableText"/>
              <w:spacing w:after="0"/>
              <w:jc w:val="center"/>
              <w:rPr>
                <w:b/>
              </w:rPr>
            </w:pPr>
            <w:r>
              <w:t>4</w:t>
            </w:r>
          </w:p>
        </w:tc>
        <w:tc>
          <w:tcPr>
            <w:tcW w:w="1314" w:type="dxa"/>
          </w:tcPr>
          <w:p w:rsidR="0092056C" w:rsidRDefault="0092056C" w:rsidP="00811C3A">
            <w:pPr>
              <w:pStyle w:val="TableText"/>
              <w:spacing w:after="0"/>
              <w:jc w:val="center"/>
              <w:rPr>
                <w:b/>
              </w:rPr>
            </w:pPr>
            <w:r>
              <w:t>8</w:t>
            </w:r>
          </w:p>
        </w:tc>
        <w:tc>
          <w:tcPr>
            <w:tcW w:w="1368" w:type="dxa"/>
          </w:tcPr>
          <w:p w:rsidR="0092056C" w:rsidRDefault="0092056C" w:rsidP="00811C3A">
            <w:pPr>
              <w:pStyle w:val="TableText"/>
              <w:spacing w:after="0"/>
              <w:jc w:val="center"/>
              <w:rPr>
                <w:b/>
              </w:rPr>
            </w:pPr>
            <w:r>
              <w:t>4</w:t>
            </w:r>
          </w:p>
        </w:tc>
        <w:tc>
          <w:tcPr>
            <w:tcW w:w="1368" w:type="dxa"/>
          </w:tcPr>
          <w:p w:rsidR="0092056C" w:rsidRDefault="0092056C" w:rsidP="00811C3A">
            <w:pPr>
              <w:pStyle w:val="TableText"/>
              <w:spacing w:after="0"/>
              <w:jc w:val="center"/>
              <w:rPr>
                <w:b/>
              </w:rPr>
            </w:pPr>
            <w:r>
              <w:t>4</w:t>
            </w:r>
          </w:p>
        </w:tc>
        <w:tc>
          <w:tcPr>
            <w:tcW w:w="1368" w:type="dxa"/>
            <w:vAlign w:val="center"/>
          </w:tcPr>
          <w:p w:rsidR="0092056C" w:rsidRDefault="0092056C" w:rsidP="00811C3A">
            <w:pPr>
              <w:pStyle w:val="TableText"/>
              <w:spacing w:after="0"/>
              <w:ind w:right="166"/>
              <w:jc w:val="right"/>
              <w:rPr>
                <w:b/>
              </w:rPr>
            </w:pPr>
            <w:r w:rsidRPr="00206B57">
              <w:t>100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52</w:t>
            </w:r>
          </w:p>
        </w:tc>
        <w:tc>
          <w:tcPr>
            <w:tcW w:w="1530" w:type="dxa"/>
          </w:tcPr>
          <w:p w:rsidR="0092056C" w:rsidRDefault="0092056C" w:rsidP="00811C3A">
            <w:pPr>
              <w:pStyle w:val="TableText"/>
              <w:spacing w:after="0"/>
              <w:jc w:val="center"/>
              <w:rPr>
                <w:b/>
              </w:rPr>
            </w:pPr>
            <w:r>
              <w:t>1</w:t>
            </w:r>
          </w:p>
        </w:tc>
        <w:tc>
          <w:tcPr>
            <w:tcW w:w="1314" w:type="dxa"/>
          </w:tcPr>
          <w:p w:rsidR="0092056C" w:rsidRDefault="0092056C" w:rsidP="00811C3A">
            <w:pPr>
              <w:pStyle w:val="TableText"/>
              <w:spacing w:after="0"/>
              <w:jc w:val="center"/>
              <w:rPr>
                <w:b/>
              </w:rPr>
            </w:pPr>
            <w:r>
              <w:t>1</w:t>
            </w:r>
          </w:p>
        </w:tc>
        <w:tc>
          <w:tcPr>
            <w:tcW w:w="1368" w:type="dxa"/>
          </w:tcPr>
          <w:p w:rsidR="0092056C" w:rsidRDefault="0092056C" w:rsidP="00811C3A">
            <w:pPr>
              <w:pStyle w:val="TableText"/>
              <w:spacing w:after="0"/>
              <w:jc w:val="center"/>
              <w:rPr>
                <w:b/>
              </w:rPr>
            </w:pPr>
            <w:r>
              <w:t>1</w:t>
            </w:r>
          </w:p>
        </w:tc>
        <w:tc>
          <w:tcPr>
            <w:tcW w:w="1368" w:type="dxa"/>
          </w:tcPr>
          <w:p w:rsidR="0092056C" w:rsidRDefault="0092056C" w:rsidP="00811C3A">
            <w:pPr>
              <w:pStyle w:val="TableText"/>
              <w:spacing w:after="0"/>
              <w:jc w:val="center"/>
              <w:rPr>
                <w:b/>
              </w:rPr>
            </w:pPr>
            <w:r>
              <w:t>1</w:t>
            </w:r>
          </w:p>
        </w:tc>
        <w:tc>
          <w:tcPr>
            <w:tcW w:w="1368" w:type="dxa"/>
            <w:vAlign w:val="center"/>
          </w:tcPr>
          <w:p w:rsidR="0092056C" w:rsidRDefault="009352AD" w:rsidP="00811C3A">
            <w:pPr>
              <w:pStyle w:val="TableText"/>
              <w:spacing w:after="0"/>
              <w:ind w:right="166"/>
              <w:jc w:val="right"/>
              <w:rPr>
                <w:b/>
              </w:rPr>
            </w:pPr>
            <w:r>
              <w:rPr>
                <w:rFonts w:cs="Times New Roman"/>
              </w:rPr>
              <w:t>&gt;</w:t>
            </w:r>
            <w:r>
              <w:t> </w:t>
            </w:r>
            <w:r w:rsidR="0092056C" w:rsidRPr="00206B57">
              <w:t>100 gpm</w:t>
            </w:r>
          </w:p>
        </w:tc>
      </w:tr>
      <w:tr w:rsidR="00417CA5" w:rsidTr="00811C3A">
        <w:tc>
          <w:tcPr>
            <w:tcW w:w="1728" w:type="dxa"/>
            <w:shd w:val="clear" w:color="auto" w:fill="BFBFBF" w:themeFill="background1" w:themeFillShade="BF"/>
          </w:tcPr>
          <w:p w:rsidR="00417CA5" w:rsidRDefault="00417CA5" w:rsidP="00811C3A">
            <w:pPr>
              <w:pStyle w:val="TableText"/>
              <w:spacing w:after="0"/>
              <w:jc w:val="center"/>
            </w:pPr>
          </w:p>
        </w:tc>
        <w:tc>
          <w:tcPr>
            <w:tcW w:w="900" w:type="dxa"/>
            <w:shd w:val="clear" w:color="auto" w:fill="BFBFBF" w:themeFill="background1" w:themeFillShade="BF"/>
          </w:tcPr>
          <w:p w:rsidR="00417CA5" w:rsidRDefault="00417CA5" w:rsidP="00811C3A">
            <w:pPr>
              <w:pStyle w:val="TableText"/>
              <w:spacing w:after="0"/>
              <w:jc w:val="center"/>
            </w:pPr>
          </w:p>
        </w:tc>
        <w:tc>
          <w:tcPr>
            <w:tcW w:w="1530" w:type="dxa"/>
            <w:shd w:val="clear" w:color="auto" w:fill="BFBFBF" w:themeFill="background1" w:themeFillShade="BF"/>
          </w:tcPr>
          <w:p w:rsidR="00417CA5" w:rsidRDefault="00417CA5" w:rsidP="00811C3A">
            <w:pPr>
              <w:pStyle w:val="TableText"/>
              <w:spacing w:after="0"/>
              <w:jc w:val="center"/>
            </w:pPr>
          </w:p>
        </w:tc>
        <w:tc>
          <w:tcPr>
            <w:tcW w:w="1314"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vAlign w:val="center"/>
          </w:tcPr>
          <w:p w:rsidR="00417CA5" w:rsidRDefault="00417CA5" w:rsidP="00811C3A">
            <w:pPr>
              <w:pStyle w:val="TableText"/>
              <w:spacing w:after="0"/>
              <w:ind w:right="166"/>
              <w:jc w:val="right"/>
            </w:pPr>
          </w:p>
        </w:tc>
      </w:tr>
      <w:tr w:rsidR="0092056C" w:rsidTr="00811C3A">
        <w:tc>
          <w:tcPr>
            <w:tcW w:w="1728" w:type="dxa"/>
          </w:tcPr>
          <w:p w:rsidR="0092056C" w:rsidRDefault="0092056C" w:rsidP="00811C3A">
            <w:pPr>
              <w:pStyle w:val="TableText"/>
              <w:spacing w:after="0"/>
              <w:jc w:val="center"/>
            </w:pPr>
            <w:r w:rsidRPr="007E587E">
              <w:rPr>
                <w:b/>
              </w:rPr>
              <w:t>Jurisdiction #6</w:t>
            </w:r>
          </w:p>
        </w:tc>
        <w:tc>
          <w:tcPr>
            <w:tcW w:w="900" w:type="dxa"/>
          </w:tcPr>
          <w:p w:rsidR="0092056C" w:rsidRDefault="0092056C" w:rsidP="00811C3A">
            <w:pPr>
              <w:pStyle w:val="TableText"/>
              <w:spacing w:after="0"/>
              <w:jc w:val="center"/>
              <w:rPr>
                <w:b/>
              </w:rPr>
            </w:pPr>
            <w:r>
              <w:t>200</w:t>
            </w:r>
          </w:p>
        </w:tc>
        <w:tc>
          <w:tcPr>
            <w:tcW w:w="1530" w:type="dxa"/>
          </w:tcPr>
          <w:p w:rsidR="0092056C" w:rsidRDefault="0092056C" w:rsidP="00811C3A">
            <w:pPr>
              <w:pStyle w:val="TableText"/>
              <w:spacing w:after="0"/>
              <w:jc w:val="center"/>
              <w:rPr>
                <w:b/>
              </w:rPr>
            </w:pPr>
            <w:r>
              <w:t>20</w:t>
            </w:r>
          </w:p>
        </w:tc>
        <w:tc>
          <w:tcPr>
            <w:tcW w:w="1314" w:type="dxa"/>
          </w:tcPr>
          <w:p w:rsidR="0092056C" w:rsidRDefault="0092056C" w:rsidP="00811C3A">
            <w:pPr>
              <w:pStyle w:val="TableText"/>
              <w:spacing w:after="0"/>
              <w:jc w:val="center"/>
              <w:rPr>
                <w:b/>
              </w:rPr>
            </w:pPr>
            <w:r>
              <w:t>29</w:t>
            </w:r>
          </w:p>
        </w:tc>
        <w:tc>
          <w:tcPr>
            <w:tcW w:w="1368" w:type="dxa"/>
          </w:tcPr>
          <w:p w:rsidR="0092056C" w:rsidRDefault="0092056C" w:rsidP="00811C3A">
            <w:pPr>
              <w:pStyle w:val="TableText"/>
              <w:spacing w:after="0"/>
              <w:jc w:val="center"/>
              <w:rPr>
                <w:b/>
              </w:rPr>
            </w:pPr>
            <w:r>
              <w:t>20</w:t>
            </w:r>
          </w:p>
        </w:tc>
        <w:tc>
          <w:tcPr>
            <w:tcW w:w="1368" w:type="dxa"/>
          </w:tcPr>
          <w:p w:rsidR="0092056C" w:rsidRDefault="0092056C" w:rsidP="00811C3A">
            <w:pPr>
              <w:pStyle w:val="TableText"/>
              <w:spacing w:after="0"/>
              <w:jc w:val="center"/>
              <w:rPr>
                <w:b/>
              </w:rPr>
            </w:pPr>
            <w:r>
              <w:t>20</w:t>
            </w:r>
          </w:p>
        </w:tc>
        <w:tc>
          <w:tcPr>
            <w:tcW w:w="1368" w:type="dxa"/>
            <w:vAlign w:val="center"/>
          </w:tcPr>
          <w:p w:rsidR="0092056C" w:rsidRDefault="0092056C" w:rsidP="00811C3A">
            <w:pPr>
              <w:pStyle w:val="TableText"/>
              <w:spacing w:after="0"/>
              <w:ind w:right="166"/>
              <w:jc w:val="right"/>
              <w:rPr>
                <w:b/>
              </w:rPr>
            </w:pPr>
            <w:r>
              <w:t>---</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0</w:t>
            </w:r>
          </w:p>
        </w:tc>
        <w:tc>
          <w:tcPr>
            <w:tcW w:w="1530" w:type="dxa"/>
          </w:tcPr>
          <w:p w:rsidR="0092056C" w:rsidRDefault="0092056C" w:rsidP="00811C3A">
            <w:pPr>
              <w:pStyle w:val="TableText"/>
              <w:spacing w:after="0"/>
              <w:jc w:val="center"/>
              <w:rPr>
                <w:b/>
              </w:rPr>
            </w:pPr>
            <w:r>
              <w:t>0</w:t>
            </w:r>
          </w:p>
        </w:tc>
        <w:tc>
          <w:tcPr>
            <w:tcW w:w="1314" w:type="dxa"/>
          </w:tcPr>
          <w:p w:rsidR="0092056C" w:rsidRDefault="0092056C" w:rsidP="00811C3A">
            <w:pPr>
              <w:pStyle w:val="TableText"/>
              <w:spacing w:after="0"/>
              <w:jc w:val="center"/>
              <w:rPr>
                <w:b/>
              </w:rPr>
            </w:pPr>
            <w:r>
              <w:t>0</w:t>
            </w:r>
          </w:p>
        </w:tc>
        <w:tc>
          <w:tcPr>
            <w:tcW w:w="1368" w:type="dxa"/>
          </w:tcPr>
          <w:p w:rsidR="0092056C" w:rsidRDefault="0092056C" w:rsidP="00811C3A">
            <w:pPr>
              <w:pStyle w:val="TableText"/>
              <w:spacing w:after="0"/>
              <w:jc w:val="center"/>
              <w:rPr>
                <w:b/>
              </w:rPr>
            </w:pPr>
            <w:r>
              <w:t>0</w:t>
            </w:r>
          </w:p>
        </w:tc>
        <w:tc>
          <w:tcPr>
            <w:tcW w:w="1368" w:type="dxa"/>
          </w:tcPr>
          <w:p w:rsidR="0092056C" w:rsidRDefault="0092056C" w:rsidP="00811C3A">
            <w:pPr>
              <w:pStyle w:val="TableText"/>
              <w:spacing w:after="0"/>
              <w:jc w:val="center"/>
              <w:rPr>
                <w:b/>
              </w:rPr>
            </w:pPr>
            <w:r>
              <w:t>0</w:t>
            </w:r>
          </w:p>
        </w:tc>
        <w:tc>
          <w:tcPr>
            <w:tcW w:w="1368" w:type="dxa"/>
            <w:vAlign w:val="center"/>
          </w:tcPr>
          <w:p w:rsidR="0092056C" w:rsidRDefault="0092056C" w:rsidP="00811C3A">
            <w:pPr>
              <w:pStyle w:val="TableText"/>
              <w:spacing w:after="0"/>
              <w:ind w:right="166"/>
              <w:jc w:val="right"/>
              <w:rPr>
                <w:b/>
              </w:rPr>
            </w:pPr>
            <w:r w:rsidRPr="00206B57">
              <w:t>60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178</w:t>
            </w:r>
          </w:p>
        </w:tc>
        <w:tc>
          <w:tcPr>
            <w:tcW w:w="1530" w:type="dxa"/>
          </w:tcPr>
          <w:p w:rsidR="0092056C" w:rsidRDefault="0092056C" w:rsidP="00811C3A">
            <w:pPr>
              <w:pStyle w:val="TableText"/>
              <w:spacing w:after="0"/>
              <w:jc w:val="center"/>
              <w:rPr>
                <w:b/>
              </w:rPr>
            </w:pPr>
            <w:r>
              <w:t>16</w:t>
            </w:r>
          </w:p>
        </w:tc>
        <w:tc>
          <w:tcPr>
            <w:tcW w:w="1314" w:type="dxa"/>
          </w:tcPr>
          <w:p w:rsidR="0092056C" w:rsidRDefault="0092056C" w:rsidP="00811C3A">
            <w:pPr>
              <w:pStyle w:val="TableText"/>
              <w:spacing w:after="0"/>
              <w:jc w:val="center"/>
              <w:rPr>
                <w:b/>
              </w:rPr>
            </w:pPr>
            <w:r>
              <w:t>25</w:t>
            </w:r>
          </w:p>
        </w:tc>
        <w:tc>
          <w:tcPr>
            <w:tcW w:w="1368" w:type="dxa"/>
          </w:tcPr>
          <w:p w:rsidR="0092056C" w:rsidRDefault="0092056C" w:rsidP="00811C3A">
            <w:pPr>
              <w:pStyle w:val="TableText"/>
              <w:spacing w:after="0"/>
              <w:jc w:val="center"/>
              <w:rPr>
                <w:b/>
              </w:rPr>
            </w:pPr>
            <w:r>
              <w:t>16</w:t>
            </w:r>
          </w:p>
        </w:tc>
        <w:tc>
          <w:tcPr>
            <w:tcW w:w="1368" w:type="dxa"/>
          </w:tcPr>
          <w:p w:rsidR="0092056C" w:rsidRDefault="0092056C" w:rsidP="00811C3A">
            <w:pPr>
              <w:pStyle w:val="TableText"/>
              <w:spacing w:after="0"/>
              <w:jc w:val="center"/>
              <w:rPr>
                <w:b/>
              </w:rPr>
            </w:pPr>
            <w:r>
              <w:t>16</w:t>
            </w:r>
          </w:p>
        </w:tc>
        <w:tc>
          <w:tcPr>
            <w:tcW w:w="1368" w:type="dxa"/>
            <w:vAlign w:val="center"/>
          </w:tcPr>
          <w:p w:rsidR="0092056C" w:rsidRDefault="0092056C" w:rsidP="00811C3A">
            <w:pPr>
              <w:pStyle w:val="TableText"/>
              <w:spacing w:after="0"/>
              <w:ind w:right="166"/>
              <w:jc w:val="right"/>
              <w:rPr>
                <w:b/>
              </w:rPr>
            </w:pPr>
            <w:r w:rsidRPr="00206B57">
              <w:t>100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22</w:t>
            </w:r>
          </w:p>
        </w:tc>
        <w:tc>
          <w:tcPr>
            <w:tcW w:w="1530" w:type="dxa"/>
          </w:tcPr>
          <w:p w:rsidR="0092056C" w:rsidRDefault="0092056C" w:rsidP="00811C3A">
            <w:pPr>
              <w:pStyle w:val="TableText"/>
              <w:spacing w:after="0"/>
              <w:jc w:val="center"/>
              <w:rPr>
                <w:b/>
              </w:rPr>
            </w:pPr>
            <w:r>
              <w:t>4</w:t>
            </w:r>
          </w:p>
        </w:tc>
        <w:tc>
          <w:tcPr>
            <w:tcW w:w="1314" w:type="dxa"/>
          </w:tcPr>
          <w:p w:rsidR="0092056C" w:rsidRDefault="0092056C" w:rsidP="00811C3A">
            <w:pPr>
              <w:pStyle w:val="TableText"/>
              <w:spacing w:after="0"/>
              <w:jc w:val="center"/>
              <w:rPr>
                <w:b/>
              </w:rPr>
            </w:pPr>
            <w:r>
              <w:t>4</w:t>
            </w:r>
          </w:p>
        </w:tc>
        <w:tc>
          <w:tcPr>
            <w:tcW w:w="1368" w:type="dxa"/>
          </w:tcPr>
          <w:p w:rsidR="0092056C" w:rsidRDefault="0092056C" w:rsidP="00811C3A">
            <w:pPr>
              <w:pStyle w:val="TableText"/>
              <w:spacing w:after="0"/>
              <w:jc w:val="center"/>
              <w:rPr>
                <w:b/>
              </w:rPr>
            </w:pPr>
            <w:r>
              <w:t>4</w:t>
            </w:r>
          </w:p>
        </w:tc>
        <w:tc>
          <w:tcPr>
            <w:tcW w:w="1368" w:type="dxa"/>
          </w:tcPr>
          <w:p w:rsidR="0092056C" w:rsidRDefault="0092056C" w:rsidP="00811C3A">
            <w:pPr>
              <w:pStyle w:val="TableText"/>
              <w:spacing w:after="0"/>
              <w:jc w:val="center"/>
              <w:rPr>
                <w:b/>
              </w:rPr>
            </w:pPr>
            <w:r>
              <w:t>4</w:t>
            </w:r>
          </w:p>
        </w:tc>
        <w:tc>
          <w:tcPr>
            <w:tcW w:w="1368" w:type="dxa"/>
            <w:vAlign w:val="center"/>
          </w:tcPr>
          <w:p w:rsidR="0092056C" w:rsidRDefault="009352AD" w:rsidP="00811C3A">
            <w:pPr>
              <w:pStyle w:val="TableText"/>
              <w:spacing w:after="0"/>
              <w:ind w:right="166"/>
              <w:jc w:val="right"/>
              <w:rPr>
                <w:b/>
              </w:rPr>
            </w:pPr>
            <w:r>
              <w:rPr>
                <w:rFonts w:cs="Times New Roman"/>
              </w:rPr>
              <w:t>&gt;</w:t>
            </w:r>
            <w:r>
              <w:t> </w:t>
            </w:r>
            <w:r w:rsidR="0092056C" w:rsidRPr="00206B57">
              <w:t>100 gpm</w:t>
            </w:r>
          </w:p>
        </w:tc>
      </w:tr>
      <w:tr w:rsidR="00417CA5" w:rsidTr="00811C3A">
        <w:tc>
          <w:tcPr>
            <w:tcW w:w="1728" w:type="dxa"/>
            <w:shd w:val="clear" w:color="auto" w:fill="BFBFBF" w:themeFill="background1" w:themeFillShade="BF"/>
          </w:tcPr>
          <w:p w:rsidR="00417CA5" w:rsidRDefault="00417CA5" w:rsidP="00811C3A">
            <w:pPr>
              <w:pStyle w:val="TableText"/>
              <w:spacing w:after="0"/>
              <w:jc w:val="center"/>
            </w:pPr>
          </w:p>
        </w:tc>
        <w:tc>
          <w:tcPr>
            <w:tcW w:w="900" w:type="dxa"/>
            <w:shd w:val="clear" w:color="auto" w:fill="BFBFBF" w:themeFill="background1" w:themeFillShade="BF"/>
          </w:tcPr>
          <w:p w:rsidR="00417CA5" w:rsidRDefault="00417CA5" w:rsidP="00811C3A">
            <w:pPr>
              <w:pStyle w:val="TableText"/>
              <w:spacing w:after="0"/>
              <w:jc w:val="center"/>
            </w:pPr>
          </w:p>
        </w:tc>
        <w:tc>
          <w:tcPr>
            <w:tcW w:w="1530" w:type="dxa"/>
            <w:shd w:val="clear" w:color="auto" w:fill="BFBFBF" w:themeFill="background1" w:themeFillShade="BF"/>
          </w:tcPr>
          <w:p w:rsidR="00417CA5" w:rsidRDefault="00417CA5" w:rsidP="00811C3A">
            <w:pPr>
              <w:pStyle w:val="TableText"/>
              <w:spacing w:after="0"/>
              <w:jc w:val="center"/>
            </w:pPr>
          </w:p>
        </w:tc>
        <w:tc>
          <w:tcPr>
            <w:tcW w:w="1314"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vAlign w:val="center"/>
          </w:tcPr>
          <w:p w:rsidR="00417CA5" w:rsidRDefault="00417CA5" w:rsidP="00811C3A">
            <w:pPr>
              <w:pStyle w:val="TableText"/>
              <w:spacing w:after="0"/>
              <w:ind w:right="166"/>
              <w:jc w:val="right"/>
            </w:pPr>
          </w:p>
        </w:tc>
      </w:tr>
      <w:tr w:rsidR="0092056C" w:rsidTr="00811C3A">
        <w:tc>
          <w:tcPr>
            <w:tcW w:w="1728" w:type="dxa"/>
          </w:tcPr>
          <w:p w:rsidR="0092056C" w:rsidRDefault="0092056C" w:rsidP="00811C3A">
            <w:pPr>
              <w:pStyle w:val="TableText"/>
              <w:spacing w:after="0"/>
              <w:jc w:val="center"/>
            </w:pPr>
            <w:r w:rsidRPr="007E587E">
              <w:rPr>
                <w:b/>
              </w:rPr>
              <w:t>Jurisdiction #7</w:t>
            </w:r>
          </w:p>
        </w:tc>
        <w:tc>
          <w:tcPr>
            <w:tcW w:w="900" w:type="dxa"/>
          </w:tcPr>
          <w:p w:rsidR="0092056C" w:rsidRDefault="0092056C" w:rsidP="00811C3A">
            <w:pPr>
              <w:pStyle w:val="TableText"/>
              <w:spacing w:after="0"/>
              <w:jc w:val="center"/>
              <w:rPr>
                <w:b/>
              </w:rPr>
            </w:pPr>
            <w:r>
              <w:t>196</w:t>
            </w:r>
          </w:p>
        </w:tc>
        <w:tc>
          <w:tcPr>
            <w:tcW w:w="1530" w:type="dxa"/>
          </w:tcPr>
          <w:p w:rsidR="0092056C" w:rsidRDefault="0092056C" w:rsidP="00811C3A">
            <w:pPr>
              <w:pStyle w:val="TableText"/>
              <w:spacing w:after="0"/>
              <w:jc w:val="center"/>
              <w:rPr>
                <w:b/>
              </w:rPr>
            </w:pPr>
            <w:r>
              <w:t>13</w:t>
            </w:r>
          </w:p>
        </w:tc>
        <w:tc>
          <w:tcPr>
            <w:tcW w:w="1314" w:type="dxa"/>
          </w:tcPr>
          <w:p w:rsidR="0092056C" w:rsidRDefault="0092056C" w:rsidP="00811C3A">
            <w:pPr>
              <w:pStyle w:val="TableText"/>
              <w:spacing w:after="0"/>
              <w:jc w:val="center"/>
              <w:rPr>
                <w:b/>
              </w:rPr>
            </w:pPr>
            <w:r>
              <w:t>14</w:t>
            </w:r>
          </w:p>
        </w:tc>
        <w:tc>
          <w:tcPr>
            <w:tcW w:w="1368" w:type="dxa"/>
          </w:tcPr>
          <w:p w:rsidR="0092056C" w:rsidRDefault="0092056C" w:rsidP="00811C3A">
            <w:pPr>
              <w:pStyle w:val="TableText"/>
              <w:spacing w:after="0"/>
              <w:jc w:val="center"/>
              <w:rPr>
                <w:b/>
              </w:rPr>
            </w:pPr>
            <w:r>
              <w:t>13</w:t>
            </w:r>
          </w:p>
        </w:tc>
        <w:tc>
          <w:tcPr>
            <w:tcW w:w="1368" w:type="dxa"/>
          </w:tcPr>
          <w:p w:rsidR="0092056C" w:rsidRDefault="0092056C" w:rsidP="00811C3A">
            <w:pPr>
              <w:pStyle w:val="TableText"/>
              <w:spacing w:after="0"/>
              <w:jc w:val="center"/>
              <w:rPr>
                <w:b/>
              </w:rPr>
            </w:pPr>
            <w:r>
              <w:t>13</w:t>
            </w:r>
          </w:p>
        </w:tc>
        <w:tc>
          <w:tcPr>
            <w:tcW w:w="1368" w:type="dxa"/>
            <w:vAlign w:val="center"/>
          </w:tcPr>
          <w:p w:rsidR="0092056C" w:rsidRDefault="0092056C" w:rsidP="00811C3A">
            <w:pPr>
              <w:pStyle w:val="TableText"/>
              <w:spacing w:after="0"/>
              <w:ind w:right="166"/>
              <w:jc w:val="right"/>
              <w:rPr>
                <w:b/>
              </w:rPr>
            </w:pPr>
            <w:r>
              <w:t>---</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0</w:t>
            </w:r>
          </w:p>
        </w:tc>
        <w:tc>
          <w:tcPr>
            <w:tcW w:w="1530" w:type="dxa"/>
          </w:tcPr>
          <w:p w:rsidR="0092056C" w:rsidRDefault="0092056C" w:rsidP="00811C3A">
            <w:pPr>
              <w:pStyle w:val="TableText"/>
              <w:spacing w:after="0"/>
              <w:jc w:val="center"/>
              <w:rPr>
                <w:b/>
              </w:rPr>
            </w:pPr>
            <w:r>
              <w:t>0</w:t>
            </w:r>
          </w:p>
        </w:tc>
        <w:tc>
          <w:tcPr>
            <w:tcW w:w="1314" w:type="dxa"/>
          </w:tcPr>
          <w:p w:rsidR="0092056C" w:rsidRDefault="0092056C" w:rsidP="00811C3A">
            <w:pPr>
              <w:pStyle w:val="TableText"/>
              <w:spacing w:after="0"/>
              <w:jc w:val="center"/>
              <w:rPr>
                <w:b/>
              </w:rPr>
            </w:pPr>
            <w:r>
              <w:t>0</w:t>
            </w:r>
          </w:p>
        </w:tc>
        <w:tc>
          <w:tcPr>
            <w:tcW w:w="1368" w:type="dxa"/>
          </w:tcPr>
          <w:p w:rsidR="0092056C" w:rsidRDefault="0092056C" w:rsidP="00811C3A">
            <w:pPr>
              <w:pStyle w:val="TableText"/>
              <w:spacing w:after="0"/>
              <w:jc w:val="center"/>
              <w:rPr>
                <w:b/>
              </w:rPr>
            </w:pPr>
            <w:r>
              <w:t>0</w:t>
            </w:r>
          </w:p>
        </w:tc>
        <w:tc>
          <w:tcPr>
            <w:tcW w:w="1368" w:type="dxa"/>
          </w:tcPr>
          <w:p w:rsidR="0092056C" w:rsidRDefault="0092056C" w:rsidP="00811C3A">
            <w:pPr>
              <w:pStyle w:val="TableText"/>
              <w:spacing w:after="0"/>
              <w:jc w:val="center"/>
              <w:rPr>
                <w:b/>
              </w:rPr>
            </w:pPr>
            <w:r>
              <w:t>0</w:t>
            </w:r>
          </w:p>
        </w:tc>
        <w:tc>
          <w:tcPr>
            <w:tcW w:w="1368" w:type="dxa"/>
            <w:vAlign w:val="center"/>
          </w:tcPr>
          <w:p w:rsidR="0092056C" w:rsidRDefault="0092056C" w:rsidP="00811C3A">
            <w:pPr>
              <w:pStyle w:val="TableText"/>
              <w:spacing w:after="0"/>
              <w:ind w:right="166"/>
              <w:jc w:val="right"/>
              <w:rPr>
                <w:b/>
              </w:rPr>
            </w:pPr>
            <w:r w:rsidRPr="00206B57">
              <w:t>60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150</w:t>
            </w:r>
          </w:p>
        </w:tc>
        <w:tc>
          <w:tcPr>
            <w:tcW w:w="1530" w:type="dxa"/>
          </w:tcPr>
          <w:p w:rsidR="0092056C" w:rsidRDefault="0092056C" w:rsidP="00811C3A">
            <w:pPr>
              <w:pStyle w:val="TableText"/>
              <w:spacing w:after="0"/>
              <w:jc w:val="center"/>
              <w:rPr>
                <w:b/>
              </w:rPr>
            </w:pPr>
            <w:r>
              <w:t>11</w:t>
            </w:r>
          </w:p>
        </w:tc>
        <w:tc>
          <w:tcPr>
            <w:tcW w:w="1314" w:type="dxa"/>
          </w:tcPr>
          <w:p w:rsidR="0092056C" w:rsidRDefault="0092056C" w:rsidP="00811C3A">
            <w:pPr>
              <w:pStyle w:val="TableText"/>
              <w:spacing w:after="0"/>
              <w:jc w:val="center"/>
              <w:rPr>
                <w:b/>
              </w:rPr>
            </w:pPr>
            <w:r>
              <w:t>12</w:t>
            </w:r>
          </w:p>
        </w:tc>
        <w:tc>
          <w:tcPr>
            <w:tcW w:w="1368" w:type="dxa"/>
          </w:tcPr>
          <w:p w:rsidR="0092056C" w:rsidRDefault="0092056C" w:rsidP="00811C3A">
            <w:pPr>
              <w:pStyle w:val="TableText"/>
              <w:spacing w:after="0"/>
              <w:jc w:val="center"/>
              <w:rPr>
                <w:b/>
              </w:rPr>
            </w:pPr>
            <w:r>
              <w:t>11</w:t>
            </w:r>
          </w:p>
        </w:tc>
        <w:tc>
          <w:tcPr>
            <w:tcW w:w="1368" w:type="dxa"/>
          </w:tcPr>
          <w:p w:rsidR="0092056C" w:rsidRDefault="0092056C" w:rsidP="00811C3A">
            <w:pPr>
              <w:pStyle w:val="TableText"/>
              <w:spacing w:after="0"/>
              <w:jc w:val="center"/>
              <w:rPr>
                <w:b/>
              </w:rPr>
            </w:pPr>
            <w:r>
              <w:t>11</w:t>
            </w:r>
          </w:p>
        </w:tc>
        <w:tc>
          <w:tcPr>
            <w:tcW w:w="1368" w:type="dxa"/>
            <w:vAlign w:val="center"/>
          </w:tcPr>
          <w:p w:rsidR="0092056C" w:rsidRDefault="0092056C" w:rsidP="00811C3A">
            <w:pPr>
              <w:pStyle w:val="TableText"/>
              <w:spacing w:after="0"/>
              <w:ind w:right="166"/>
              <w:jc w:val="right"/>
              <w:rPr>
                <w:b/>
              </w:rPr>
            </w:pPr>
            <w:r w:rsidRPr="00206B57">
              <w:t>100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46</w:t>
            </w:r>
          </w:p>
        </w:tc>
        <w:tc>
          <w:tcPr>
            <w:tcW w:w="1530" w:type="dxa"/>
          </w:tcPr>
          <w:p w:rsidR="0092056C" w:rsidRDefault="0092056C" w:rsidP="00811C3A">
            <w:pPr>
              <w:pStyle w:val="TableText"/>
              <w:spacing w:after="0"/>
              <w:jc w:val="center"/>
              <w:rPr>
                <w:b/>
              </w:rPr>
            </w:pPr>
            <w:r>
              <w:t>2</w:t>
            </w:r>
          </w:p>
        </w:tc>
        <w:tc>
          <w:tcPr>
            <w:tcW w:w="1314" w:type="dxa"/>
          </w:tcPr>
          <w:p w:rsidR="0092056C" w:rsidRDefault="0092056C" w:rsidP="00811C3A">
            <w:pPr>
              <w:pStyle w:val="TableText"/>
              <w:spacing w:after="0"/>
              <w:jc w:val="center"/>
              <w:rPr>
                <w:b/>
              </w:rPr>
            </w:pPr>
            <w:r>
              <w:t>2</w:t>
            </w:r>
          </w:p>
        </w:tc>
        <w:tc>
          <w:tcPr>
            <w:tcW w:w="1368" w:type="dxa"/>
          </w:tcPr>
          <w:p w:rsidR="0092056C" w:rsidRDefault="0092056C" w:rsidP="00811C3A">
            <w:pPr>
              <w:pStyle w:val="TableText"/>
              <w:spacing w:after="0"/>
              <w:jc w:val="center"/>
              <w:rPr>
                <w:b/>
              </w:rPr>
            </w:pPr>
            <w:r>
              <w:t>2</w:t>
            </w:r>
          </w:p>
        </w:tc>
        <w:tc>
          <w:tcPr>
            <w:tcW w:w="1368" w:type="dxa"/>
          </w:tcPr>
          <w:p w:rsidR="0092056C" w:rsidRDefault="0092056C" w:rsidP="00811C3A">
            <w:pPr>
              <w:pStyle w:val="TableText"/>
              <w:spacing w:after="0"/>
              <w:jc w:val="center"/>
              <w:rPr>
                <w:b/>
              </w:rPr>
            </w:pPr>
            <w:r>
              <w:t>2</w:t>
            </w:r>
          </w:p>
        </w:tc>
        <w:tc>
          <w:tcPr>
            <w:tcW w:w="1368" w:type="dxa"/>
            <w:vAlign w:val="center"/>
          </w:tcPr>
          <w:p w:rsidR="0092056C" w:rsidRDefault="009352AD" w:rsidP="00811C3A">
            <w:pPr>
              <w:pStyle w:val="TableText"/>
              <w:spacing w:after="0"/>
              <w:ind w:right="166"/>
              <w:jc w:val="right"/>
              <w:rPr>
                <w:b/>
              </w:rPr>
            </w:pPr>
            <w:r>
              <w:rPr>
                <w:rFonts w:cs="Times New Roman"/>
              </w:rPr>
              <w:t>&gt;</w:t>
            </w:r>
            <w:r>
              <w:t> </w:t>
            </w:r>
            <w:r w:rsidR="0092056C" w:rsidRPr="00206B57">
              <w:t>100 gpm</w:t>
            </w:r>
          </w:p>
        </w:tc>
      </w:tr>
      <w:tr w:rsidR="00417CA5" w:rsidTr="00811C3A">
        <w:tc>
          <w:tcPr>
            <w:tcW w:w="1728" w:type="dxa"/>
            <w:shd w:val="clear" w:color="auto" w:fill="BFBFBF" w:themeFill="background1" w:themeFillShade="BF"/>
          </w:tcPr>
          <w:p w:rsidR="00417CA5" w:rsidRDefault="00417CA5" w:rsidP="00811C3A">
            <w:pPr>
              <w:pStyle w:val="TableText"/>
              <w:spacing w:after="0"/>
              <w:jc w:val="center"/>
            </w:pPr>
          </w:p>
        </w:tc>
        <w:tc>
          <w:tcPr>
            <w:tcW w:w="900" w:type="dxa"/>
            <w:shd w:val="clear" w:color="auto" w:fill="BFBFBF" w:themeFill="background1" w:themeFillShade="BF"/>
          </w:tcPr>
          <w:p w:rsidR="00417CA5" w:rsidRDefault="00417CA5" w:rsidP="00811C3A">
            <w:pPr>
              <w:pStyle w:val="TableText"/>
              <w:spacing w:after="0"/>
              <w:jc w:val="center"/>
            </w:pPr>
          </w:p>
        </w:tc>
        <w:tc>
          <w:tcPr>
            <w:tcW w:w="1530" w:type="dxa"/>
            <w:shd w:val="clear" w:color="auto" w:fill="BFBFBF" w:themeFill="background1" w:themeFillShade="BF"/>
          </w:tcPr>
          <w:p w:rsidR="00417CA5" w:rsidRDefault="00417CA5" w:rsidP="00811C3A">
            <w:pPr>
              <w:pStyle w:val="TableText"/>
              <w:spacing w:after="0"/>
              <w:jc w:val="center"/>
            </w:pPr>
          </w:p>
        </w:tc>
        <w:tc>
          <w:tcPr>
            <w:tcW w:w="1314"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vAlign w:val="center"/>
          </w:tcPr>
          <w:p w:rsidR="00417CA5" w:rsidRDefault="00417CA5" w:rsidP="00811C3A">
            <w:pPr>
              <w:pStyle w:val="TableText"/>
              <w:spacing w:after="0"/>
              <w:ind w:right="166"/>
              <w:jc w:val="right"/>
            </w:pPr>
          </w:p>
        </w:tc>
      </w:tr>
      <w:tr w:rsidR="0092056C" w:rsidTr="00811C3A">
        <w:tc>
          <w:tcPr>
            <w:tcW w:w="1728" w:type="dxa"/>
          </w:tcPr>
          <w:p w:rsidR="0092056C" w:rsidRDefault="0092056C" w:rsidP="00811C3A">
            <w:pPr>
              <w:pStyle w:val="TableText"/>
              <w:spacing w:after="0"/>
              <w:jc w:val="center"/>
            </w:pPr>
            <w:r w:rsidRPr="00206B57">
              <w:rPr>
                <w:b/>
              </w:rPr>
              <w:t>Jurisdiction #</w:t>
            </w:r>
            <w:r>
              <w:rPr>
                <w:b/>
              </w:rPr>
              <w:t>8</w:t>
            </w:r>
          </w:p>
        </w:tc>
        <w:tc>
          <w:tcPr>
            <w:tcW w:w="900" w:type="dxa"/>
          </w:tcPr>
          <w:p w:rsidR="0092056C" w:rsidRDefault="0092056C" w:rsidP="00811C3A">
            <w:pPr>
              <w:pStyle w:val="TableText"/>
              <w:spacing w:after="0"/>
              <w:jc w:val="center"/>
              <w:rPr>
                <w:b/>
              </w:rPr>
            </w:pPr>
            <w:r>
              <w:t>761</w:t>
            </w:r>
          </w:p>
        </w:tc>
        <w:tc>
          <w:tcPr>
            <w:tcW w:w="1530" w:type="dxa"/>
          </w:tcPr>
          <w:p w:rsidR="0092056C" w:rsidRDefault="0092056C" w:rsidP="00811C3A">
            <w:pPr>
              <w:pStyle w:val="TableText"/>
              <w:spacing w:after="0"/>
              <w:jc w:val="center"/>
              <w:rPr>
                <w:b/>
              </w:rPr>
            </w:pPr>
            <w:r>
              <w:t>0</w:t>
            </w:r>
          </w:p>
        </w:tc>
        <w:tc>
          <w:tcPr>
            <w:tcW w:w="1314" w:type="dxa"/>
          </w:tcPr>
          <w:p w:rsidR="0092056C" w:rsidRDefault="0092056C" w:rsidP="00811C3A">
            <w:pPr>
              <w:pStyle w:val="TableText"/>
              <w:spacing w:after="0"/>
              <w:jc w:val="center"/>
              <w:rPr>
                <w:b/>
              </w:rPr>
            </w:pPr>
            <w:r>
              <w:t>7</w:t>
            </w:r>
          </w:p>
        </w:tc>
        <w:tc>
          <w:tcPr>
            <w:tcW w:w="1368" w:type="dxa"/>
          </w:tcPr>
          <w:p w:rsidR="0092056C" w:rsidRDefault="0092056C" w:rsidP="00811C3A">
            <w:pPr>
              <w:pStyle w:val="TableText"/>
              <w:spacing w:after="0"/>
              <w:jc w:val="center"/>
              <w:rPr>
                <w:b/>
              </w:rPr>
            </w:pPr>
            <w:r>
              <w:t>1</w:t>
            </w:r>
          </w:p>
        </w:tc>
        <w:tc>
          <w:tcPr>
            <w:tcW w:w="1368" w:type="dxa"/>
          </w:tcPr>
          <w:p w:rsidR="0092056C" w:rsidRDefault="0092056C" w:rsidP="00811C3A">
            <w:pPr>
              <w:pStyle w:val="TableText"/>
              <w:spacing w:after="0"/>
              <w:jc w:val="center"/>
              <w:rPr>
                <w:b/>
              </w:rPr>
            </w:pPr>
            <w:r>
              <w:t>0</w:t>
            </w:r>
          </w:p>
        </w:tc>
        <w:tc>
          <w:tcPr>
            <w:tcW w:w="1368" w:type="dxa"/>
            <w:vAlign w:val="center"/>
          </w:tcPr>
          <w:p w:rsidR="0092056C" w:rsidRDefault="0092056C" w:rsidP="00811C3A">
            <w:pPr>
              <w:pStyle w:val="TableText"/>
              <w:spacing w:after="0"/>
              <w:ind w:right="166"/>
              <w:jc w:val="right"/>
              <w:rPr>
                <w:b/>
              </w:rPr>
            </w:pPr>
            <w:r>
              <w:t>---</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103</w:t>
            </w:r>
          </w:p>
        </w:tc>
        <w:tc>
          <w:tcPr>
            <w:tcW w:w="1530" w:type="dxa"/>
          </w:tcPr>
          <w:p w:rsidR="0092056C" w:rsidRDefault="0092056C" w:rsidP="00811C3A">
            <w:pPr>
              <w:pStyle w:val="TableText"/>
              <w:spacing w:after="0"/>
              <w:jc w:val="center"/>
              <w:rPr>
                <w:b/>
              </w:rPr>
            </w:pPr>
            <w:r>
              <w:t>0</w:t>
            </w:r>
          </w:p>
        </w:tc>
        <w:tc>
          <w:tcPr>
            <w:tcW w:w="1314" w:type="dxa"/>
          </w:tcPr>
          <w:p w:rsidR="0092056C" w:rsidRDefault="0092056C" w:rsidP="00811C3A">
            <w:pPr>
              <w:pStyle w:val="TableText"/>
              <w:spacing w:after="0"/>
              <w:jc w:val="center"/>
              <w:rPr>
                <w:b/>
              </w:rPr>
            </w:pPr>
            <w:r>
              <w:t>1</w:t>
            </w:r>
          </w:p>
        </w:tc>
        <w:tc>
          <w:tcPr>
            <w:tcW w:w="1368" w:type="dxa"/>
          </w:tcPr>
          <w:p w:rsidR="0092056C" w:rsidRDefault="0092056C" w:rsidP="00811C3A">
            <w:pPr>
              <w:pStyle w:val="TableText"/>
              <w:spacing w:after="0"/>
              <w:jc w:val="center"/>
              <w:rPr>
                <w:b/>
              </w:rPr>
            </w:pPr>
            <w:r>
              <w:t>1</w:t>
            </w:r>
          </w:p>
        </w:tc>
        <w:tc>
          <w:tcPr>
            <w:tcW w:w="1368" w:type="dxa"/>
          </w:tcPr>
          <w:p w:rsidR="0092056C" w:rsidRDefault="0092056C" w:rsidP="00811C3A">
            <w:pPr>
              <w:pStyle w:val="TableText"/>
              <w:spacing w:after="0"/>
              <w:jc w:val="center"/>
              <w:rPr>
                <w:b/>
              </w:rPr>
            </w:pPr>
            <w:r>
              <w:t>0</w:t>
            </w:r>
          </w:p>
        </w:tc>
        <w:tc>
          <w:tcPr>
            <w:tcW w:w="1368" w:type="dxa"/>
            <w:vAlign w:val="center"/>
          </w:tcPr>
          <w:p w:rsidR="0092056C" w:rsidRDefault="0092056C" w:rsidP="00811C3A">
            <w:pPr>
              <w:pStyle w:val="TableText"/>
              <w:spacing w:after="0"/>
              <w:ind w:right="166"/>
              <w:jc w:val="right"/>
              <w:rPr>
                <w:b/>
              </w:rPr>
            </w:pPr>
            <w:r w:rsidRPr="00206B57">
              <w:t>60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629</w:t>
            </w:r>
          </w:p>
        </w:tc>
        <w:tc>
          <w:tcPr>
            <w:tcW w:w="1530" w:type="dxa"/>
          </w:tcPr>
          <w:p w:rsidR="0092056C" w:rsidRDefault="0092056C" w:rsidP="00811C3A">
            <w:pPr>
              <w:pStyle w:val="TableText"/>
              <w:spacing w:after="0"/>
              <w:jc w:val="center"/>
              <w:rPr>
                <w:b/>
              </w:rPr>
            </w:pPr>
            <w:r>
              <w:t>0</w:t>
            </w:r>
          </w:p>
        </w:tc>
        <w:tc>
          <w:tcPr>
            <w:tcW w:w="1314" w:type="dxa"/>
          </w:tcPr>
          <w:p w:rsidR="0092056C" w:rsidRDefault="0092056C" w:rsidP="00811C3A">
            <w:pPr>
              <w:pStyle w:val="TableText"/>
              <w:spacing w:after="0"/>
              <w:jc w:val="center"/>
              <w:rPr>
                <w:b/>
              </w:rPr>
            </w:pPr>
            <w:r>
              <w:t>6</w:t>
            </w:r>
          </w:p>
        </w:tc>
        <w:tc>
          <w:tcPr>
            <w:tcW w:w="1368" w:type="dxa"/>
          </w:tcPr>
          <w:p w:rsidR="0092056C" w:rsidRDefault="0092056C" w:rsidP="00811C3A">
            <w:pPr>
              <w:pStyle w:val="TableText"/>
              <w:spacing w:after="0"/>
              <w:jc w:val="center"/>
              <w:rPr>
                <w:b/>
              </w:rPr>
            </w:pPr>
            <w:r>
              <w:t>0</w:t>
            </w:r>
          </w:p>
        </w:tc>
        <w:tc>
          <w:tcPr>
            <w:tcW w:w="1368" w:type="dxa"/>
          </w:tcPr>
          <w:p w:rsidR="0092056C" w:rsidRDefault="0092056C" w:rsidP="00811C3A">
            <w:pPr>
              <w:pStyle w:val="TableText"/>
              <w:spacing w:after="0"/>
              <w:jc w:val="center"/>
              <w:rPr>
                <w:b/>
              </w:rPr>
            </w:pPr>
            <w:r>
              <w:t>0</w:t>
            </w:r>
          </w:p>
        </w:tc>
        <w:tc>
          <w:tcPr>
            <w:tcW w:w="1368" w:type="dxa"/>
            <w:vAlign w:val="center"/>
          </w:tcPr>
          <w:p w:rsidR="0092056C" w:rsidRDefault="0092056C" w:rsidP="00811C3A">
            <w:pPr>
              <w:pStyle w:val="TableText"/>
              <w:spacing w:after="0"/>
              <w:ind w:right="166"/>
              <w:jc w:val="right"/>
              <w:rPr>
                <w:b/>
              </w:rPr>
            </w:pPr>
            <w:r w:rsidRPr="00206B57">
              <w:t>100 gpm</w:t>
            </w:r>
          </w:p>
        </w:tc>
      </w:tr>
      <w:tr w:rsidR="0092056C" w:rsidTr="00811C3A">
        <w:tc>
          <w:tcPr>
            <w:tcW w:w="1728" w:type="dxa"/>
          </w:tcPr>
          <w:p w:rsidR="0092056C" w:rsidRDefault="0092056C" w:rsidP="00811C3A">
            <w:pPr>
              <w:pStyle w:val="TableText"/>
              <w:spacing w:after="0"/>
              <w:jc w:val="center"/>
            </w:pPr>
          </w:p>
        </w:tc>
        <w:tc>
          <w:tcPr>
            <w:tcW w:w="900" w:type="dxa"/>
          </w:tcPr>
          <w:p w:rsidR="0092056C" w:rsidRDefault="0092056C" w:rsidP="00811C3A">
            <w:pPr>
              <w:pStyle w:val="TableText"/>
              <w:spacing w:after="0"/>
              <w:jc w:val="center"/>
              <w:rPr>
                <w:b/>
              </w:rPr>
            </w:pPr>
            <w:r>
              <w:t>29</w:t>
            </w:r>
          </w:p>
        </w:tc>
        <w:tc>
          <w:tcPr>
            <w:tcW w:w="1530" w:type="dxa"/>
          </w:tcPr>
          <w:p w:rsidR="0092056C" w:rsidRDefault="0092056C" w:rsidP="00811C3A">
            <w:pPr>
              <w:pStyle w:val="TableText"/>
              <w:spacing w:after="0"/>
              <w:jc w:val="center"/>
              <w:rPr>
                <w:b/>
              </w:rPr>
            </w:pPr>
            <w:r>
              <w:t>0</w:t>
            </w:r>
          </w:p>
        </w:tc>
        <w:tc>
          <w:tcPr>
            <w:tcW w:w="1314" w:type="dxa"/>
          </w:tcPr>
          <w:p w:rsidR="0092056C" w:rsidRDefault="0092056C" w:rsidP="00811C3A">
            <w:pPr>
              <w:pStyle w:val="TableText"/>
              <w:spacing w:after="0"/>
              <w:jc w:val="center"/>
              <w:rPr>
                <w:b/>
              </w:rPr>
            </w:pPr>
            <w:r>
              <w:t>0</w:t>
            </w:r>
          </w:p>
        </w:tc>
        <w:tc>
          <w:tcPr>
            <w:tcW w:w="1368" w:type="dxa"/>
          </w:tcPr>
          <w:p w:rsidR="0092056C" w:rsidRDefault="0092056C" w:rsidP="00811C3A">
            <w:pPr>
              <w:pStyle w:val="TableText"/>
              <w:spacing w:after="0"/>
              <w:jc w:val="center"/>
              <w:rPr>
                <w:b/>
              </w:rPr>
            </w:pPr>
            <w:r>
              <w:t>0</w:t>
            </w:r>
          </w:p>
        </w:tc>
        <w:tc>
          <w:tcPr>
            <w:tcW w:w="1368" w:type="dxa"/>
          </w:tcPr>
          <w:p w:rsidR="0092056C" w:rsidRDefault="0092056C" w:rsidP="00811C3A">
            <w:pPr>
              <w:pStyle w:val="TableText"/>
              <w:spacing w:after="0"/>
              <w:jc w:val="center"/>
              <w:rPr>
                <w:b/>
              </w:rPr>
            </w:pPr>
            <w:r>
              <w:t>0</w:t>
            </w:r>
          </w:p>
        </w:tc>
        <w:tc>
          <w:tcPr>
            <w:tcW w:w="1368" w:type="dxa"/>
            <w:vAlign w:val="center"/>
          </w:tcPr>
          <w:p w:rsidR="0092056C" w:rsidRDefault="009352AD" w:rsidP="00811C3A">
            <w:pPr>
              <w:pStyle w:val="TableText"/>
              <w:spacing w:after="0"/>
              <w:ind w:right="166"/>
              <w:jc w:val="right"/>
              <w:rPr>
                <w:b/>
              </w:rPr>
            </w:pPr>
            <w:r>
              <w:rPr>
                <w:rFonts w:cs="Times New Roman"/>
              </w:rPr>
              <w:t>&gt;</w:t>
            </w:r>
            <w:r>
              <w:t> </w:t>
            </w:r>
            <w:r w:rsidR="0092056C" w:rsidRPr="00206B57">
              <w:t>100 gpm</w:t>
            </w:r>
          </w:p>
        </w:tc>
      </w:tr>
      <w:tr w:rsidR="00417CA5" w:rsidTr="00811C3A">
        <w:tc>
          <w:tcPr>
            <w:tcW w:w="1728" w:type="dxa"/>
            <w:shd w:val="clear" w:color="auto" w:fill="BFBFBF" w:themeFill="background1" w:themeFillShade="BF"/>
          </w:tcPr>
          <w:p w:rsidR="00417CA5" w:rsidRDefault="00417CA5" w:rsidP="00811C3A">
            <w:pPr>
              <w:pStyle w:val="TableText"/>
              <w:spacing w:after="0"/>
              <w:jc w:val="center"/>
            </w:pPr>
          </w:p>
        </w:tc>
        <w:tc>
          <w:tcPr>
            <w:tcW w:w="900" w:type="dxa"/>
            <w:shd w:val="clear" w:color="auto" w:fill="BFBFBF" w:themeFill="background1" w:themeFillShade="BF"/>
          </w:tcPr>
          <w:p w:rsidR="00417CA5" w:rsidRDefault="00417CA5" w:rsidP="00811C3A">
            <w:pPr>
              <w:pStyle w:val="TableText"/>
              <w:spacing w:after="0"/>
              <w:jc w:val="center"/>
            </w:pPr>
          </w:p>
        </w:tc>
        <w:tc>
          <w:tcPr>
            <w:tcW w:w="1530" w:type="dxa"/>
            <w:shd w:val="clear" w:color="auto" w:fill="BFBFBF" w:themeFill="background1" w:themeFillShade="BF"/>
          </w:tcPr>
          <w:p w:rsidR="00417CA5" w:rsidRDefault="00417CA5" w:rsidP="00811C3A">
            <w:pPr>
              <w:pStyle w:val="TableText"/>
              <w:spacing w:after="0"/>
              <w:jc w:val="center"/>
            </w:pPr>
          </w:p>
        </w:tc>
        <w:tc>
          <w:tcPr>
            <w:tcW w:w="1314"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tcPr>
          <w:p w:rsidR="00417CA5" w:rsidRDefault="00417CA5" w:rsidP="00811C3A">
            <w:pPr>
              <w:pStyle w:val="TableText"/>
              <w:spacing w:after="0"/>
              <w:jc w:val="center"/>
            </w:pPr>
          </w:p>
        </w:tc>
        <w:tc>
          <w:tcPr>
            <w:tcW w:w="1368" w:type="dxa"/>
            <w:shd w:val="clear" w:color="auto" w:fill="BFBFBF" w:themeFill="background1" w:themeFillShade="BF"/>
            <w:vAlign w:val="center"/>
          </w:tcPr>
          <w:p w:rsidR="00417CA5" w:rsidRDefault="00417CA5" w:rsidP="00811C3A">
            <w:pPr>
              <w:pStyle w:val="TableText"/>
              <w:spacing w:after="0"/>
              <w:ind w:right="166"/>
              <w:jc w:val="right"/>
            </w:pPr>
          </w:p>
        </w:tc>
      </w:tr>
      <w:tr w:rsidR="0092056C" w:rsidTr="00811C3A">
        <w:tc>
          <w:tcPr>
            <w:tcW w:w="1728" w:type="dxa"/>
          </w:tcPr>
          <w:p w:rsidR="0092056C" w:rsidRDefault="0092056C" w:rsidP="00811C3A">
            <w:pPr>
              <w:pStyle w:val="TableText"/>
              <w:spacing w:after="0"/>
              <w:jc w:val="center"/>
            </w:pPr>
            <w:r w:rsidRPr="00206B57">
              <w:rPr>
                <w:b/>
              </w:rPr>
              <w:t>Jurisdiction #</w:t>
            </w:r>
            <w:r>
              <w:rPr>
                <w:b/>
              </w:rPr>
              <w:t>9</w:t>
            </w:r>
          </w:p>
        </w:tc>
        <w:tc>
          <w:tcPr>
            <w:tcW w:w="900" w:type="dxa"/>
          </w:tcPr>
          <w:p w:rsidR="0092056C" w:rsidRDefault="0092056C" w:rsidP="00811C3A">
            <w:pPr>
              <w:pStyle w:val="TableText"/>
              <w:spacing w:after="0"/>
              <w:jc w:val="center"/>
              <w:rPr>
                <w:b/>
              </w:rPr>
            </w:pPr>
            <w:r>
              <w:t>71</w:t>
            </w:r>
          </w:p>
        </w:tc>
        <w:tc>
          <w:tcPr>
            <w:tcW w:w="1530" w:type="dxa"/>
          </w:tcPr>
          <w:p w:rsidR="0092056C" w:rsidRDefault="0092056C" w:rsidP="00811C3A">
            <w:pPr>
              <w:pStyle w:val="TableText"/>
              <w:spacing w:after="0"/>
              <w:jc w:val="center"/>
              <w:rPr>
                <w:b/>
              </w:rPr>
            </w:pPr>
            <w:r>
              <w:t>26</w:t>
            </w:r>
          </w:p>
        </w:tc>
        <w:tc>
          <w:tcPr>
            <w:tcW w:w="1314" w:type="dxa"/>
          </w:tcPr>
          <w:p w:rsidR="0092056C" w:rsidRDefault="0092056C" w:rsidP="00811C3A">
            <w:pPr>
              <w:pStyle w:val="TableText"/>
              <w:spacing w:after="0"/>
              <w:jc w:val="center"/>
              <w:rPr>
                <w:b/>
              </w:rPr>
            </w:pPr>
            <w:r>
              <w:t>26</w:t>
            </w:r>
          </w:p>
        </w:tc>
        <w:tc>
          <w:tcPr>
            <w:tcW w:w="1368" w:type="dxa"/>
          </w:tcPr>
          <w:p w:rsidR="0092056C" w:rsidRDefault="0092056C" w:rsidP="00811C3A">
            <w:pPr>
              <w:pStyle w:val="TableText"/>
              <w:spacing w:after="0"/>
              <w:jc w:val="center"/>
              <w:rPr>
                <w:b/>
              </w:rPr>
            </w:pPr>
            <w:r>
              <w:t>20</w:t>
            </w:r>
          </w:p>
        </w:tc>
        <w:tc>
          <w:tcPr>
            <w:tcW w:w="1368" w:type="dxa"/>
          </w:tcPr>
          <w:p w:rsidR="0092056C" w:rsidRDefault="0092056C" w:rsidP="00811C3A">
            <w:pPr>
              <w:pStyle w:val="TableText"/>
              <w:spacing w:after="0"/>
              <w:jc w:val="center"/>
              <w:rPr>
                <w:b/>
              </w:rPr>
            </w:pPr>
            <w:r>
              <w:t>20</w:t>
            </w:r>
          </w:p>
        </w:tc>
        <w:tc>
          <w:tcPr>
            <w:tcW w:w="1368" w:type="dxa"/>
            <w:vAlign w:val="center"/>
          </w:tcPr>
          <w:p w:rsidR="0092056C" w:rsidRDefault="0092056C" w:rsidP="00811C3A">
            <w:pPr>
              <w:pStyle w:val="TableText"/>
              <w:spacing w:after="0"/>
              <w:ind w:right="166"/>
              <w:jc w:val="right"/>
              <w:rPr>
                <w:b/>
              </w:rPr>
            </w:pPr>
            <w:r>
              <w:t>No Data</w:t>
            </w:r>
          </w:p>
        </w:tc>
      </w:tr>
      <w:tr w:rsidR="0092056C" w:rsidTr="001913CE">
        <w:tc>
          <w:tcPr>
            <w:tcW w:w="1728" w:type="dxa"/>
            <w:vMerge w:val="restart"/>
            <w:tcBorders>
              <w:top w:val="single" w:sz="12" w:space="0" w:color="auto"/>
              <w:right w:val="single" w:sz="12" w:space="0" w:color="auto"/>
            </w:tcBorders>
          </w:tcPr>
          <w:p w:rsidR="0092056C" w:rsidRDefault="0092056C" w:rsidP="001913CE">
            <w:pPr>
              <w:pStyle w:val="TableColumnHeadings"/>
              <w:spacing w:after="0"/>
            </w:pPr>
            <w:r>
              <w:t>Summary of All Jurisdictions</w:t>
            </w:r>
          </w:p>
        </w:tc>
        <w:tc>
          <w:tcPr>
            <w:tcW w:w="900" w:type="dxa"/>
            <w:tcBorders>
              <w:top w:val="single" w:sz="12" w:space="0" w:color="auto"/>
              <w:left w:val="single" w:sz="12" w:space="0" w:color="auto"/>
            </w:tcBorders>
          </w:tcPr>
          <w:p w:rsidR="0092056C" w:rsidRDefault="0092056C" w:rsidP="001913CE">
            <w:pPr>
              <w:pStyle w:val="TableText"/>
              <w:spacing w:after="0"/>
              <w:jc w:val="center"/>
              <w:rPr>
                <w:b/>
              </w:rPr>
            </w:pPr>
            <w:r w:rsidRPr="00D43B11">
              <w:t>156</w:t>
            </w:r>
          </w:p>
        </w:tc>
        <w:tc>
          <w:tcPr>
            <w:tcW w:w="1530" w:type="dxa"/>
            <w:tcBorders>
              <w:top w:val="single" w:sz="12" w:space="0" w:color="auto"/>
            </w:tcBorders>
          </w:tcPr>
          <w:p w:rsidR="0092056C" w:rsidRDefault="0092056C" w:rsidP="001913CE">
            <w:pPr>
              <w:pStyle w:val="TableText"/>
              <w:spacing w:after="0"/>
              <w:jc w:val="center"/>
              <w:rPr>
                <w:b/>
              </w:rPr>
            </w:pPr>
            <w:r w:rsidRPr="00D43B11">
              <w:t>3</w:t>
            </w:r>
          </w:p>
        </w:tc>
        <w:tc>
          <w:tcPr>
            <w:tcW w:w="1314" w:type="dxa"/>
            <w:tcBorders>
              <w:top w:val="single" w:sz="12" w:space="0" w:color="auto"/>
            </w:tcBorders>
          </w:tcPr>
          <w:p w:rsidR="0092056C" w:rsidRDefault="0092056C" w:rsidP="001913CE">
            <w:pPr>
              <w:pStyle w:val="TableText"/>
              <w:spacing w:after="0"/>
              <w:jc w:val="center"/>
              <w:rPr>
                <w:b/>
              </w:rPr>
            </w:pPr>
            <w:r w:rsidRPr="00D43B11">
              <w:t>13</w:t>
            </w:r>
          </w:p>
        </w:tc>
        <w:tc>
          <w:tcPr>
            <w:tcW w:w="1368" w:type="dxa"/>
            <w:tcBorders>
              <w:top w:val="single" w:sz="12" w:space="0" w:color="auto"/>
            </w:tcBorders>
          </w:tcPr>
          <w:p w:rsidR="0092056C" w:rsidRDefault="0092056C" w:rsidP="001913CE">
            <w:pPr>
              <w:pStyle w:val="TableText"/>
              <w:spacing w:after="0"/>
              <w:jc w:val="center"/>
              <w:rPr>
                <w:b/>
              </w:rPr>
            </w:pPr>
            <w:r w:rsidRPr="00D43B11">
              <w:t>10</w:t>
            </w:r>
          </w:p>
        </w:tc>
        <w:tc>
          <w:tcPr>
            <w:tcW w:w="1368" w:type="dxa"/>
            <w:tcBorders>
              <w:top w:val="single" w:sz="12" w:space="0" w:color="auto"/>
            </w:tcBorders>
          </w:tcPr>
          <w:p w:rsidR="0092056C" w:rsidRDefault="0092056C" w:rsidP="001913CE">
            <w:pPr>
              <w:pStyle w:val="TableText"/>
              <w:spacing w:after="0"/>
              <w:jc w:val="center"/>
              <w:rPr>
                <w:b/>
              </w:rPr>
            </w:pPr>
            <w:r w:rsidRPr="00D43B11">
              <w:t>4</w:t>
            </w:r>
          </w:p>
        </w:tc>
        <w:tc>
          <w:tcPr>
            <w:tcW w:w="1368" w:type="dxa"/>
            <w:tcBorders>
              <w:top w:val="single" w:sz="12" w:space="0" w:color="auto"/>
            </w:tcBorders>
          </w:tcPr>
          <w:p w:rsidR="0092056C" w:rsidRDefault="0092056C" w:rsidP="001913CE">
            <w:pPr>
              <w:pStyle w:val="TableText"/>
              <w:spacing w:after="0"/>
              <w:ind w:right="166"/>
              <w:jc w:val="right"/>
              <w:rPr>
                <w:b/>
              </w:rPr>
            </w:pPr>
            <w:r w:rsidRPr="00D43B11">
              <w:t>60 gpm</w:t>
            </w:r>
          </w:p>
        </w:tc>
      </w:tr>
      <w:tr w:rsidR="0092056C" w:rsidTr="001913CE">
        <w:tc>
          <w:tcPr>
            <w:tcW w:w="1728" w:type="dxa"/>
            <w:vMerge/>
            <w:tcBorders>
              <w:right w:val="single" w:sz="12" w:space="0" w:color="auto"/>
            </w:tcBorders>
          </w:tcPr>
          <w:p w:rsidR="0092056C" w:rsidRDefault="0092056C" w:rsidP="001913CE">
            <w:pPr>
              <w:pStyle w:val="TableText"/>
              <w:spacing w:after="0"/>
            </w:pPr>
          </w:p>
        </w:tc>
        <w:tc>
          <w:tcPr>
            <w:tcW w:w="900" w:type="dxa"/>
            <w:tcBorders>
              <w:left w:val="single" w:sz="12" w:space="0" w:color="auto"/>
            </w:tcBorders>
          </w:tcPr>
          <w:p w:rsidR="0092056C" w:rsidRDefault="0092056C" w:rsidP="001913CE">
            <w:pPr>
              <w:pStyle w:val="TableText"/>
              <w:spacing w:after="0"/>
              <w:jc w:val="center"/>
              <w:rPr>
                <w:b/>
              </w:rPr>
            </w:pPr>
            <w:r w:rsidRPr="00D43B11">
              <w:t>1463</w:t>
            </w:r>
          </w:p>
        </w:tc>
        <w:tc>
          <w:tcPr>
            <w:tcW w:w="1530" w:type="dxa"/>
          </w:tcPr>
          <w:p w:rsidR="0092056C" w:rsidRDefault="0092056C" w:rsidP="001913CE">
            <w:pPr>
              <w:pStyle w:val="TableText"/>
              <w:spacing w:after="0"/>
              <w:jc w:val="center"/>
              <w:rPr>
                <w:b/>
              </w:rPr>
            </w:pPr>
            <w:r w:rsidRPr="00D43B11">
              <w:t>53</w:t>
            </w:r>
          </w:p>
        </w:tc>
        <w:tc>
          <w:tcPr>
            <w:tcW w:w="1314" w:type="dxa"/>
          </w:tcPr>
          <w:p w:rsidR="0092056C" w:rsidRDefault="0092056C" w:rsidP="001913CE">
            <w:pPr>
              <w:pStyle w:val="TableText"/>
              <w:spacing w:after="0"/>
              <w:jc w:val="center"/>
              <w:rPr>
                <w:b/>
              </w:rPr>
            </w:pPr>
            <w:r w:rsidRPr="00D43B11">
              <w:t>91</w:t>
            </w:r>
          </w:p>
        </w:tc>
        <w:tc>
          <w:tcPr>
            <w:tcW w:w="1368" w:type="dxa"/>
          </w:tcPr>
          <w:p w:rsidR="0092056C" w:rsidRDefault="0092056C" w:rsidP="001913CE">
            <w:pPr>
              <w:pStyle w:val="TableText"/>
              <w:spacing w:after="0"/>
              <w:jc w:val="center"/>
              <w:rPr>
                <w:b/>
              </w:rPr>
            </w:pPr>
            <w:r w:rsidRPr="00D43B11">
              <w:t>52</w:t>
            </w:r>
          </w:p>
        </w:tc>
        <w:tc>
          <w:tcPr>
            <w:tcW w:w="1368" w:type="dxa"/>
          </w:tcPr>
          <w:p w:rsidR="0092056C" w:rsidRDefault="0092056C" w:rsidP="001913CE">
            <w:pPr>
              <w:pStyle w:val="TableText"/>
              <w:spacing w:after="0"/>
              <w:jc w:val="center"/>
              <w:rPr>
                <w:b/>
              </w:rPr>
            </w:pPr>
            <w:r w:rsidRPr="00D43B11">
              <w:t>52</w:t>
            </w:r>
          </w:p>
        </w:tc>
        <w:tc>
          <w:tcPr>
            <w:tcW w:w="1368" w:type="dxa"/>
          </w:tcPr>
          <w:p w:rsidR="0092056C" w:rsidRDefault="0092056C" w:rsidP="001913CE">
            <w:pPr>
              <w:pStyle w:val="TableText"/>
              <w:spacing w:after="0"/>
              <w:ind w:right="166"/>
              <w:jc w:val="right"/>
              <w:rPr>
                <w:b/>
              </w:rPr>
            </w:pPr>
            <w:r w:rsidRPr="00D43B11">
              <w:t>100 gpm</w:t>
            </w:r>
          </w:p>
        </w:tc>
      </w:tr>
      <w:tr w:rsidR="0092056C" w:rsidTr="001913CE">
        <w:tc>
          <w:tcPr>
            <w:tcW w:w="1728" w:type="dxa"/>
            <w:vMerge/>
            <w:tcBorders>
              <w:right w:val="single" w:sz="12" w:space="0" w:color="auto"/>
            </w:tcBorders>
          </w:tcPr>
          <w:p w:rsidR="0092056C" w:rsidRDefault="0092056C" w:rsidP="001913CE">
            <w:pPr>
              <w:pStyle w:val="TableText"/>
              <w:spacing w:after="0"/>
            </w:pPr>
          </w:p>
        </w:tc>
        <w:tc>
          <w:tcPr>
            <w:tcW w:w="900" w:type="dxa"/>
            <w:tcBorders>
              <w:left w:val="single" w:sz="12" w:space="0" w:color="auto"/>
            </w:tcBorders>
          </w:tcPr>
          <w:p w:rsidR="0092056C" w:rsidRDefault="0092056C" w:rsidP="001913CE">
            <w:pPr>
              <w:pStyle w:val="TableText"/>
              <w:spacing w:after="0"/>
              <w:jc w:val="center"/>
              <w:rPr>
                <w:b/>
              </w:rPr>
            </w:pPr>
            <w:r w:rsidRPr="00D43B11">
              <w:t>222</w:t>
            </w:r>
          </w:p>
        </w:tc>
        <w:tc>
          <w:tcPr>
            <w:tcW w:w="1530" w:type="dxa"/>
          </w:tcPr>
          <w:p w:rsidR="0092056C" w:rsidRDefault="0092056C" w:rsidP="001913CE">
            <w:pPr>
              <w:pStyle w:val="TableText"/>
              <w:spacing w:after="0"/>
              <w:jc w:val="center"/>
              <w:rPr>
                <w:b/>
              </w:rPr>
            </w:pPr>
            <w:r w:rsidRPr="00D43B11">
              <w:t>12</w:t>
            </w:r>
          </w:p>
        </w:tc>
        <w:tc>
          <w:tcPr>
            <w:tcW w:w="1314" w:type="dxa"/>
          </w:tcPr>
          <w:p w:rsidR="0092056C" w:rsidRDefault="0092056C" w:rsidP="001913CE">
            <w:pPr>
              <w:pStyle w:val="TableText"/>
              <w:spacing w:after="0"/>
              <w:jc w:val="center"/>
              <w:rPr>
                <w:b/>
              </w:rPr>
            </w:pPr>
            <w:r w:rsidRPr="00D43B11">
              <w:t>11</w:t>
            </w:r>
          </w:p>
        </w:tc>
        <w:tc>
          <w:tcPr>
            <w:tcW w:w="1368" w:type="dxa"/>
          </w:tcPr>
          <w:p w:rsidR="0092056C" w:rsidRDefault="0092056C" w:rsidP="001913CE">
            <w:pPr>
              <w:pStyle w:val="TableText"/>
              <w:spacing w:after="0"/>
              <w:jc w:val="center"/>
              <w:rPr>
                <w:b/>
              </w:rPr>
            </w:pPr>
            <w:r w:rsidRPr="00D43B11">
              <w:t>11</w:t>
            </w:r>
          </w:p>
        </w:tc>
        <w:tc>
          <w:tcPr>
            <w:tcW w:w="1368" w:type="dxa"/>
          </w:tcPr>
          <w:p w:rsidR="0092056C" w:rsidRDefault="0092056C" w:rsidP="001913CE">
            <w:pPr>
              <w:pStyle w:val="TableText"/>
              <w:spacing w:after="0"/>
              <w:jc w:val="center"/>
              <w:rPr>
                <w:b/>
              </w:rPr>
            </w:pPr>
            <w:r w:rsidRPr="00D43B11">
              <w:t>11</w:t>
            </w:r>
          </w:p>
        </w:tc>
        <w:tc>
          <w:tcPr>
            <w:tcW w:w="1368" w:type="dxa"/>
          </w:tcPr>
          <w:p w:rsidR="0092056C" w:rsidRDefault="009352AD" w:rsidP="001913CE">
            <w:pPr>
              <w:pStyle w:val="TableText"/>
              <w:spacing w:after="0"/>
              <w:ind w:right="166"/>
              <w:jc w:val="right"/>
              <w:rPr>
                <w:b/>
              </w:rPr>
            </w:pPr>
            <w:r>
              <w:rPr>
                <w:rFonts w:cs="Times New Roman"/>
              </w:rPr>
              <w:t>&gt;</w:t>
            </w:r>
            <w:r>
              <w:t> </w:t>
            </w:r>
            <w:r w:rsidR="0092056C" w:rsidRPr="00D43B11">
              <w:t>100 gpm</w:t>
            </w:r>
          </w:p>
        </w:tc>
      </w:tr>
      <w:tr w:rsidR="0092056C" w:rsidTr="001913CE">
        <w:tc>
          <w:tcPr>
            <w:tcW w:w="1728" w:type="dxa"/>
            <w:vMerge/>
            <w:tcBorders>
              <w:bottom w:val="double" w:sz="4" w:space="0" w:color="auto"/>
              <w:right w:val="single" w:sz="12" w:space="0" w:color="auto"/>
            </w:tcBorders>
          </w:tcPr>
          <w:p w:rsidR="0092056C" w:rsidRDefault="0092056C" w:rsidP="001913CE">
            <w:pPr>
              <w:pStyle w:val="TableText"/>
              <w:spacing w:after="0"/>
            </w:pPr>
          </w:p>
        </w:tc>
        <w:tc>
          <w:tcPr>
            <w:tcW w:w="900" w:type="dxa"/>
            <w:tcBorders>
              <w:left w:val="single" w:sz="12" w:space="0" w:color="auto"/>
              <w:bottom w:val="double" w:sz="4" w:space="0" w:color="auto"/>
            </w:tcBorders>
          </w:tcPr>
          <w:p w:rsidR="0092056C" w:rsidRDefault="0092056C" w:rsidP="001913CE">
            <w:pPr>
              <w:pStyle w:val="TableText"/>
              <w:spacing w:after="0"/>
              <w:jc w:val="center"/>
              <w:rPr>
                <w:b/>
              </w:rPr>
            </w:pPr>
            <w:r w:rsidRPr="00D43B11">
              <w:t>81</w:t>
            </w:r>
          </w:p>
        </w:tc>
        <w:tc>
          <w:tcPr>
            <w:tcW w:w="1530" w:type="dxa"/>
            <w:tcBorders>
              <w:bottom w:val="double" w:sz="4" w:space="0" w:color="auto"/>
            </w:tcBorders>
          </w:tcPr>
          <w:p w:rsidR="0092056C" w:rsidRDefault="0092056C" w:rsidP="001913CE">
            <w:pPr>
              <w:pStyle w:val="TableText"/>
              <w:spacing w:after="0"/>
              <w:jc w:val="center"/>
              <w:rPr>
                <w:b/>
              </w:rPr>
            </w:pPr>
            <w:r w:rsidRPr="00D43B11">
              <w:t>26</w:t>
            </w:r>
          </w:p>
        </w:tc>
        <w:tc>
          <w:tcPr>
            <w:tcW w:w="1314" w:type="dxa"/>
            <w:tcBorders>
              <w:bottom w:val="double" w:sz="4" w:space="0" w:color="auto"/>
            </w:tcBorders>
          </w:tcPr>
          <w:p w:rsidR="0092056C" w:rsidRDefault="0092056C" w:rsidP="001913CE">
            <w:pPr>
              <w:pStyle w:val="TableText"/>
              <w:spacing w:after="0"/>
              <w:jc w:val="center"/>
              <w:rPr>
                <w:b/>
              </w:rPr>
            </w:pPr>
            <w:r w:rsidRPr="00D43B11">
              <w:t>26</w:t>
            </w:r>
          </w:p>
        </w:tc>
        <w:tc>
          <w:tcPr>
            <w:tcW w:w="1368" w:type="dxa"/>
            <w:tcBorders>
              <w:bottom w:val="double" w:sz="4" w:space="0" w:color="auto"/>
            </w:tcBorders>
          </w:tcPr>
          <w:p w:rsidR="0092056C" w:rsidRDefault="0092056C" w:rsidP="001913CE">
            <w:pPr>
              <w:pStyle w:val="TableText"/>
              <w:spacing w:after="0"/>
              <w:jc w:val="center"/>
              <w:rPr>
                <w:b/>
              </w:rPr>
            </w:pPr>
            <w:r w:rsidRPr="00D43B11">
              <w:t>20</w:t>
            </w:r>
          </w:p>
        </w:tc>
        <w:tc>
          <w:tcPr>
            <w:tcW w:w="1368" w:type="dxa"/>
            <w:tcBorders>
              <w:bottom w:val="double" w:sz="4" w:space="0" w:color="auto"/>
            </w:tcBorders>
          </w:tcPr>
          <w:p w:rsidR="0092056C" w:rsidRDefault="0092056C" w:rsidP="001913CE">
            <w:pPr>
              <w:pStyle w:val="TableText"/>
              <w:spacing w:after="0"/>
              <w:jc w:val="center"/>
              <w:rPr>
                <w:b/>
              </w:rPr>
            </w:pPr>
            <w:r w:rsidRPr="00D43B11">
              <w:t>20</w:t>
            </w:r>
          </w:p>
        </w:tc>
        <w:tc>
          <w:tcPr>
            <w:tcW w:w="1368" w:type="dxa"/>
            <w:tcBorders>
              <w:bottom w:val="double" w:sz="4" w:space="0" w:color="auto"/>
            </w:tcBorders>
          </w:tcPr>
          <w:p w:rsidR="0092056C" w:rsidRDefault="0092056C" w:rsidP="001913CE">
            <w:pPr>
              <w:pStyle w:val="TableText"/>
              <w:spacing w:after="0"/>
              <w:ind w:right="166"/>
              <w:jc w:val="right"/>
              <w:rPr>
                <w:b/>
              </w:rPr>
            </w:pPr>
            <w:r w:rsidRPr="00D43B11">
              <w:t>No Info</w:t>
            </w:r>
            <w:r w:rsidR="009352AD">
              <w:t>.</w:t>
            </w:r>
          </w:p>
        </w:tc>
      </w:tr>
      <w:tr w:rsidR="0092056C" w:rsidTr="001913CE">
        <w:tc>
          <w:tcPr>
            <w:tcW w:w="1728" w:type="dxa"/>
            <w:tcBorders>
              <w:top w:val="double" w:sz="4" w:space="0" w:color="auto"/>
              <w:bottom w:val="double" w:sz="4" w:space="0" w:color="auto"/>
              <w:right w:val="single" w:sz="12" w:space="0" w:color="auto"/>
            </w:tcBorders>
          </w:tcPr>
          <w:p w:rsidR="0092056C" w:rsidRDefault="0092056C" w:rsidP="001913CE">
            <w:pPr>
              <w:pStyle w:val="TableColumnHeadings"/>
              <w:spacing w:after="0"/>
            </w:pPr>
            <w:r>
              <w:t>Totals</w:t>
            </w:r>
          </w:p>
        </w:tc>
        <w:tc>
          <w:tcPr>
            <w:tcW w:w="900" w:type="dxa"/>
            <w:tcBorders>
              <w:top w:val="double" w:sz="4" w:space="0" w:color="auto"/>
              <w:left w:val="single" w:sz="12" w:space="0" w:color="auto"/>
              <w:bottom w:val="double" w:sz="4" w:space="0" w:color="auto"/>
            </w:tcBorders>
          </w:tcPr>
          <w:p w:rsidR="0092056C" w:rsidRPr="0092056C" w:rsidRDefault="0092056C" w:rsidP="001913CE">
            <w:pPr>
              <w:pStyle w:val="TableText"/>
              <w:spacing w:after="0"/>
              <w:jc w:val="center"/>
              <w:rPr>
                <w:b/>
              </w:rPr>
            </w:pPr>
            <w:r w:rsidRPr="00655FE5">
              <w:rPr>
                <w:b/>
              </w:rPr>
              <w:t>1922</w:t>
            </w:r>
          </w:p>
        </w:tc>
        <w:tc>
          <w:tcPr>
            <w:tcW w:w="1530" w:type="dxa"/>
            <w:tcBorders>
              <w:top w:val="double" w:sz="4" w:space="0" w:color="auto"/>
              <w:bottom w:val="double" w:sz="4" w:space="0" w:color="auto"/>
            </w:tcBorders>
          </w:tcPr>
          <w:p w:rsidR="0092056C" w:rsidRPr="0092056C" w:rsidRDefault="0092056C" w:rsidP="001913CE">
            <w:pPr>
              <w:pStyle w:val="TableText"/>
              <w:spacing w:after="0"/>
              <w:jc w:val="center"/>
              <w:rPr>
                <w:b/>
              </w:rPr>
            </w:pPr>
            <w:r w:rsidRPr="00655FE5">
              <w:rPr>
                <w:b/>
              </w:rPr>
              <w:t>94</w:t>
            </w:r>
          </w:p>
        </w:tc>
        <w:tc>
          <w:tcPr>
            <w:tcW w:w="1314" w:type="dxa"/>
            <w:tcBorders>
              <w:top w:val="double" w:sz="4" w:space="0" w:color="auto"/>
              <w:bottom w:val="double" w:sz="4" w:space="0" w:color="auto"/>
            </w:tcBorders>
          </w:tcPr>
          <w:p w:rsidR="0092056C" w:rsidRPr="0092056C" w:rsidRDefault="0092056C" w:rsidP="001913CE">
            <w:pPr>
              <w:pStyle w:val="TableText"/>
              <w:spacing w:after="0"/>
              <w:jc w:val="center"/>
              <w:rPr>
                <w:b/>
              </w:rPr>
            </w:pPr>
            <w:r w:rsidRPr="00655FE5">
              <w:rPr>
                <w:b/>
              </w:rPr>
              <w:t>141</w:t>
            </w:r>
          </w:p>
        </w:tc>
        <w:tc>
          <w:tcPr>
            <w:tcW w:w="1368" w:type="dxa"/>
            <w:tcBorders>
              <w:top w:val="double" w:sz="4" w:space="0" w:color="auto"/>
              <w:bottom w:val="double" w:sz="4" w:space="0" w:color="auto"/>
            </w:tcBorders>
          </w:tcPr>
          <w:p w:rsidR="0092056C" w:rsidRPr="0092056C" w:rsidRDefault="0092056C" w:rsidP="001913CE">
            <w:pPr>
              <w:pStyle w:val="TableText"/>
              <w:spacing w:after="0"/>
              <w:jc w:val="center"/>
              <w:rPr>
                <w:b/>
              </w:rPr>
            </w:pPr>
            <w:r w:rsidRPr="00655FE5">
              <w:rPr>
                <w:b/>
              </w:rPr>
              <w:t>93</w:t>
            </w:r>
          </w:p>
        </w:tc>
        <w:tc>
          <w:tcPr>
            <w:tcW w:w="1368" w:type="dxa"/>
            <w:tcBorders>
              <w:top w:val="double" w:sz="4" w:space="0" w:color="auto"/>
              <w:bottom w:val="double" w:sz="4" w:space="0" w:color="auto"/>
            </w:tcBorders>
          </w:tcPr>
          <w:p w:rsidR="0092056C" w:rsidRPr="0092056C" w:rsidRDefault="0092056C" w:rsidP="001913CE">
            <w:pPr>
              <w:pStyle w:val="TableText"/>
              <w:spacing w:after="0"/>
              <w:jc w:val="center"/>
              <w:rPr>
                <w:b/>
              </w:rPr>
            </w:pPr>
            <w:r w:rsidRPr="00655FE5">
              <w:rPr>
                <w:b/>
              </w:rPr>
              <w:t>87</w:t>
            </w:r>
          </w:p>
        </w:tc>
        <w:tc>
          <w:tcPr>
            <w:tcW w:w="1368" w:type="dxa"/>
            <w:tcBorders>
              <w:top w:val="double" w:sz="4" w:space="0" w:color="auto"/>
              <w:bottom w:val="double" w:sz="4" w:space="0" w:color="auto"/>
            </w:tcBorders>
          </w:tcPr>
          <w:p w:rsidR="0092056C" w:rsidRDefault="0092056C" w:rsidP="001913CE">
            <w:pPr>
              <w:pStyle w:val="TableText"/>
              <w:spacing w:after="0"/>
            </w:pPr>
          </w:p>
        </w:tc>
      </w:tr>
    </w:tbl>
    <w:p w:rsidR="0092056C" w:rsidRPr="00576B86" w:rsidRDefault="0092056C" w:rsidP="00811C3A">
      <w:pPr>
        <w:spacing w:before="240"/>
        <w:rPr>
          <w:rFonts w:cs="Times New Roman"/>
        </w:rPr>
      </w:pPr>
      <w:r>
        <w:rPr>
          <w:rFonts w:cs="Times New Roman"/>
        </w:rPr>
        <w:t xml:space="preserve">The </w:t>
      </w:r>
      <w:r w:rsidR="0002210F">
        <w:rPr>
          <w:rFonts w:cs="Times New Roman"/>
        </w:rPr>
        <w:t>C</w:t>
      </w:r>
      <w:r w:rsidR="0002210F" w:rsidRPr="00167082">
        <w:rPr>
          <w:rFonts w:cs="Times New Roman"/>
        </w:rPr>
        <w:t xml:space="preserve">ommittee </w:t>
      </w:r>
      <w:r w:rsidRPr="00C62956">
        <w:rPr>
          <w:rFonts w:cs="Times New Roman"/>
        </w:rPr>
        <w:t>express</w:t>
      </w:r>
      <w:r w:rsidR="000F7EF8">
        <w:rPr>
          <w:rFonts w:cs="Times New Roman"/>
        </w:rPr>
        <w:t>ed</w:t>
      </w:r>
      <w:r w:rsidRPr="00C62956">
        <w:rPr>
          <w:rFonts w:cs="Times New Roman"/>
        </w:rPr>
        <w:t xml:space="preserve"> sincere appreciation to those jurisdictions that submitted data.  </w:t>
      </w:r>
      <w:r>
        <w:rPr>
          <w:rFonts w:cs="Times New Roman"/>
        </w:rPr>
        <w:t xml:space="preserve">The </w:t>
      </w:r>
      <w:r w:rsidR="00187C84">
        <w:rPr>
          <w:rFonts w:cs="Times New Roman"/>
        </w:rPr>
        <w:t>C</w:t>
      </w:r>
      <w:r w:rsidR="00187C84" w:rsidRPr="00C62956">
        <w:rPr>
          <w:rFonts w:cs="Times New Roman"/>
        </w:rPr>
        <w:t xml:space="preserve">ommittee </w:t>
      </w:r>
      <w:r w:rsidRPr="00C62956">
        <w:rPr>
          <w:rFonts w:cs="Times New Roman"/>
        </w:rPr>
        <w:t>discussed the data and the summar</w:t>
      </w:r>
      <w:r>
        <w:rPr>
          <w:rFonts w:cs="Times New Roman"/>
        </w:rPr>
        <w:t xml:space="preserve">ies.  The </w:t>
      </w:r>
      <w:r w:rsidR="00187C84">
        <w:rPr>
          <w:rFonts w:cs="Times New Roman"/>
        </w:rPr>
        <w:t>C</w:t>
      </w:r>
      <w:r w:rsidR="00187C84" w:rsidRPr="00C62956">
        <w:rPr>
          <w:rFonts w:cs="Times New Roman"/>
        </w:rPr>
        <w:t xml:space="preserve">ommittee </w:t>
      </w:r>
      <w:r w:rsidRPr="00167082">
        <w:rPr>
          <w:rFonts w:cs="Times New Roman"/>
        </w:rPr>
        <w:t>recognize</w:t>
      </w:r>
      <w:r w:rsidR="000F7EF8">
        <w:rPr>
          <w:rFonts w:cs="Times New Roman"/>
        </w:rPr>
        <w:t>d</w:t>
      </w:r>
      <w:r w:rsidRPr="00167082">
        <w:rPr>
          <w:rFonts w:cs="Times New Roman"/>
        </w:rPr>
        <w:t xml:space="preserve"> that the data was not obtained under controlled conditions</w:t>
      </w:r>
      <w:r w:rsidRPr="00C62956">
        <w:rPr>
          <w:rFonts w:cs="Times New Roman"/>
        </w:rPr>
        <w:t xml:space="preserve"> or as part of a structured survey or study</w:t>
      </w:r>
      <w:r w:rsidRPr="00167082">
        <w:rPr>
          <w:rFonts w:cs="Times New Roman"/>
        </w:rPr>
        <w:t xml:space="preserve">; however, </w:t>
      </w:r>
      <w:r w:rsidRPr="00C62956">
        <w:rPr>
          <w:rFonts w:cs="Times New Roman"/>
        </w:rPr>
        <w:t>the data</w:t>
      </w:r>
      <w:r w:rsidRPr="00167082">
        <w:rPr>
          <w:rFonts w:cs="Times New Roman"/>
        </w:rPr>
        <w:t xml:space="preserve"> </w:t>
      </w:r>
      <w:r w:rsidR="000F7EF8">
        <w:rPr>
          <w:rFonts w:cs="Times New Roman"/>
        </w:rPr>
        <w:t>was</w:t>
      </w:r>
      <w:r w:rsidRPr="00167082">
        <w:rPr>
          <w:rFonts w:cs="Times New Roman"/>
        </w:rPr>
        <w:t xml:space="preserve"> </w:t>
      </w:r>
      <w:r w:rsidRPr="00C62956">
        <w:rPr>
          <w:rFonts w:cs="Times New Roman"/>
        </w:rPr>
        <w:t xml:space="preserve">extremely </w:t>
      </w:r>
      <w:r w:rsidRPr="00167082">
        <w:rPr>
          <w:rFonts w:cs="Times New Roman"/>
        </w:rPr>
        <w:t>valuable in assessing the relative impact of the three options</w:t>
      </w:r>
      <w:r w:rsidRPr="00C62956">
        <w:rPr>
          <w:rFonts w:cs="Times New Roman"/>
        </w:rPr>
        <w:t xml:space="preserve"> proposed</w:t>
      </w:r>
      <w:r w:rsidRPr="00167082">
        <w:rPr>
          <w:rFonts w:cs="Times New Roman"/>
        </w:rPr>
        <w:t>.</w:t>
      </w:r>
      <w:r w:rsidRPr="00C62956">
        <w:rPr>
          <w:rFonts w:cs="Times New Roman"/>
        </w:rPr>
        <w:t xml:space="preserve">  </w:t>
      </w:r>
      <w:r w:rsidR="000F7EF8">
        <w:rPr>
          <w:rFonts w:cs="Times New Roman"/>
        </w:rPr>
        <w:t>T</w:t>
      </w:r>
      <w:r>
        <w:rPr>
          <w:rFonts w:cs="Times New Roman"/>
        </w:rPr>
        <w:t xml:space="preserve">he </w:t>
      </w:r>
      <w:r w:rsidR="00187C84">
        <w:rPr>
          <w:rFonts w:cs="Times New Roman"/>
        </w:rPr>
        <w:t>C</w:t>
      </w:r>
      <w:r w:rsidR="00187C84" w:rsidRPr="00167082">
        <w:rPr>
          <w:rFonts w:cs="Times New Roman"/>
        </w:rPr>
        <w:t xml:space="preserve">ommittee </w:t>
      </w:r>
      <w:r w:rsidRPr="00C62956">
        <w:rPr>
          <w:rFonts w:cs="Times New Roman"/>
        </w:rPr>
        <w:t xml:space="preserve">agreed that </w:t>
      </w:r>
      <w:r w:rsidR="002846CD">
        <w:rPr>
          <w:rFonts w:cs="Times New Roman"/>
        </w:rPr>
        <w:t>O</w:t>
      </w:r>
      <w:r w:rsidR="002846CD" w:rsidRPr="00C62956">
        <w:rPr>
          <w:rFonts w:cs="Times New Roman"/>
        </w:rPr>
        <w:t xml:space="preserve">ption </w:t>
      </w:r>
      <w:r w:rsidRPr="00C62956">
        <w:rPr>
          <w:rFonts w:cs="Times New Roman"/>
        </w:rPr>
        <w:t>2 represents</w:t>
      </w:r>
      <w:r w:rsidRPr="00167082">
        <w:rPr>
          <w:rFonts w:cs="Times New Roman"/>
        </w:rPr>
        <w:t xml:space="preserve"> a reasonable compromise between the original proposal and the MMA’s proposal</w:t>
      </w:r>
      <w:r w:rsidRPr="00C62956">
        <w:rPr>
          <w:rFonts w:cs="Times New Roman"/>
        </w:rPr>
        <w:t xml:space="preserve"> (designated Option 3 in the tables above)</w:t>
      </w:r>
      <w:r>
        <w:rPr>
          <w:rFonts w:cs="Times New Roman"/>
        </w:rPr>
        <w:t xml:space="preserve">.  The </w:t>
      </w:r>
      <w:r w:rsidR="00187C84">
        <w:rPr>
          <w:rFonts w:cs="Times New Roman"/>
        </w:rPr>
        <w:t>C</w:t>
      </w:r>
      <w:r w:rsidR="00187C84" w:rsidRPr="00167082">
        <w:rPr>
          <w:rFonts w:cs="Times New Roman"/>
        </w:rPr>
        <w:t>ommittee</w:t>
      </w:r>
      <w:r w:rsidR="00187C84" w:rsidRPr="00C62956">
        <w:rPr>
          <w:rFonts w:cs="Times New Roman"/>
        </w:rPr>
        <w:t xml:space="preserve"> </w:t>
      </w:r>
      <w:r w:rsidRPr="00C62956">
        <w:rPr>
          <w:rFonts w:cs="Times New Roman"/>
        </w:rPr>
        <w:lastRenderedPageBreak/>
        <w:t>acknowledged that this item has included multiple proposals up to this point</w:t>
      </w:r>
      <w:r>
        <w:rPr>
          <w:rFonts w:cs="Times New Roman"/>
        </w:rPr>
        <w:t xml:space="preserve"> and it is important </w:t>
      </w:r>
      <w:r w:rsidRPr="00C62956">
        <w:rPr>
          <w:rFonts w:cs="Times New Roman"/>
        </w:rPr>
        <w:t xml:space="preserve">to designate a single option for consideration by NCWM </w:t>
      </w:r>
      <w:r w:rsidR="000F7EF8">
        <w:rPr>
          <w:rFonts w:cs="Times New Roman"/>
        </w:rPr>
        <w:t>so</w:t>
      </w:r>
      <w:r w:rsidRPr="00C62956">
        <w:rPr>
          <w:rFonts w:cs="Times New Roman"/>
        </w:rPr>
        <w:t xml:space="preserve"> this item </w:t>
      </w:r>
      <w:r>
        <w:rPr>
          <w:rFonts w:cs="Times New Roman"/>
        </w:rPr>
        <w:t>can move forward</w:t>
      </w:r>
      <w:r w:rsidRPr="00C62956">
        <w:rPr>
          <w:rFonts w:cs="Times New Roman"/>
        </w:rPr>
        <w:t>.</w:t>
      </w:r>
      <w:r>
        <w:rPr>
          <w:rFonts w:cs="Times New Roman"/>
        </w:rPr>
        <w:t xml:space="preserve">  Consequently, the c</w:t>
      </w:r>
      <w:r w:rsidRPr="00C62956">
        <w:rPr>
          <w:rFonts w:cs="Times New Roman"/>
        </w:rPr>
        <w:t>ommittee present</w:t>
      </w:r>
      <w:r w:rsidR="000F7EF8">
        <w:rPr>
          <w:rFonts w:cs="Times New Roman"/>
        </w:rPr>
        <w:t>ed</w:t>
      </w:r>
      <w:r w:rsidRPr="00C62956">
        <w:rPr>
          <w:rFonts w:cs="Times New Roman"/>
        </w:rPr>
        <w:t xml:space="preserve"> </w:t>
      </w:r>
      <w:r w:rsidR="00CC6CAE" w:rsidRPr="00C62956">
        <w:rPr>
          <w:rFonts w:cs="Times New Roman"/>
        </w:rPr>
        <w:t>Option</w:t>
      </w:r>
      <w:r w:rsidR="00CC6CAE">
        <w:rPr>
          <w:rFonts w:cs="Times New Roman"/>
        </w:rPr>
        <w:t> </w:t>
      </w:r>
      <w:r w:rsidRPr="00C62956">
        <w:rPr>
          <w:rFonts w:cs="Times New Roman"/>
        </w:rPr>
        <w:t xml:space="preserve">2 for consideration.  Because this item has included multiple proposals up to this point, </w:t>
      </w:r>
      <w:r w:rsidR="000F7EF8">
        <w:rPr>
          <w:rFonts w:cs="Times New Roman"/>
        </w:rPr>
        <w:t>t</w:t>
      </w:r>
      <w:r w:rsidR="000F7EF8" w:rsidRPr="006273B2">
        <w:rPr>
          <w:rFonts w:cs="Times New Roman"/>
        </w:rPr>
        <w:t>he 20</w:t>
      </w:r>
      <w:r w:rsidR="000F7EF8">
        <w:rPr>
          <w:rFonts w:cs="Times New Roman"/>
        </w:rPr>
        <w:t>12</w:t>
      </w:r>
      <w:r w:rsidR="000F7EF8" w:rsidRPr="006273B2">
        <w:rPr>
          <w:rFonts w:cs="Times New Roman"/>
        </w:rPr>
        <w:t xml:space="preserve"> </w:t>
      </w:r>
      <w:r w:rsidR="000F7EF8">
        <w:rPr>
          <w:rFonts w:cs="Times New Roman"/>
        </w:rPr>
        <w:t>S&amp;T</w:t>
      </w:r>
      <w:r w:rsidR="000F7EF8" w:rsidRPr="006273B2">
        <w:rPr>
          <w:rFonts w:cs="Times New Roman"/>
        </w:rPr>
        <w:t xml:space="preserve"> Committee designated this item as an Informational Item</w:t>
      </w:r>
      <w:r w:rsidR="000F7EF8">
        <w:rPr>
          <w:rFonts w:cs="Times New Roman"/>
        </w:rPr>
        <w:t xml:space="preserve"> and requested comments </w:t>
      </w:r>
      <w:r w:rsidRPr="00167082">
        <w:rPr>
          <w:rFonts w:cs="Times New Roman"/>
        </w:rPr>
        <w:t xml:space="preserve">on the proposal </w:t>
      </w:r>
      <w:r>
        <w:rPr>
          <w:rFonts w:cs="Times New Roman"/>
        </w:rPr>
        <w:t xml:space="preserve">as shown in the Item Under </w:t>
      </w:r>
      <w:r w:rsidRPr="00576B86">
        <w:rPr>
          <w:rFonts w:cs="Times New Roman"/>
        </w:rPr>
        <w:t>Consideration prior to moving the item forward as a Voting Item.</w:t>
      </w:r>
    </w:p>
    <w:p w:rsidR="00F8223C" w:rsidRPr="00576B86" w:rsidRDefault="00F8223C" w:rsidP="00F8223C">
      <w:r w:rsidRPr="00576B86">
        <w:t xml:space="preserve">At its 2012 Annual Meeting, NEWMA expressed its support for moving this item ahead as a Voting </w:t>
      </w:r>
      <w:r w:rsidR="009352AD">
        <w:t>I</w:t>
      </w:r>
      <w:r w:rsidRPr="00576B86">
        <w:t>tem in the next NCWM cycle.  At its 2012 Annual Meeting, CWMA supported the item as “Informational.”</w:t>
      </w:r>
    </w:p>
    <w:p w:rsidR="00F8223C" w:rsidRPr="00576B86" w:rsidRDefault="00F8223C" w:rsidP="00F8223C">
      <w:r w:rsidRPr="00576B86">
        <w:t>At the 2012 NCWM Annual Meeting Open Hearings, Mr. Dmitri Karimov, Liquid Controls, speaking on behalf of the Meter Manufacturers Association, commented tha</w:t>
      </w:r>
      <w:r w:rsidR="00717EB5" w:rsidRPr="00B77FD2">
        <w:t xml:space="preserve">t, while MMA is aware that the </w:t>
      </w:r>
      <w:r w:rsidR="00187C84">
        <w:t>C</w:t>
      </w:r>
      <w:r w:rsidR="00187C84" w:rsidRPr="00576B86">
        <w:t xml:space="preserve">ommittee </w:t>
      </w:r>
      <w:r w:rsidRPr="00576B86">
        <w:t>did not support MMA’s proposed “Option 3,” the MMA supports</w:t>
      </w:r>
      <w:r w:rsidR="00717EB5" w:rsidRPr="00B77FD2">
        <w:t xml:space="preserve"> “Option 2” recommended by the </w:t>
      </w:r>
      <w:r w:rsidR="00187C84">
        <w:t>C</w:t>
      </w:r>
      <w:r w:rsidR="00187C84" w:rsidRPr="00576B86">
        <w:t>ommittee</w:t>
      </w:r>
      <w:r w:rsidRPr="00576B86">
        <w:t>.</w:t>
      </w:r>
    </w:p>
    <w:p w:rsidR="00F8223C" w:rsidRDefault="00717EB5" w:rsidP="00FB6329">
      <w:pPr>
        <w:rPr>
          <w:rFonts w:cs="Times New Roman"/>
        </w:rPr>
      </w:pPr>
      <w:r w:rsidRPr="00B77FD2">
        <w:t xml:space="preserve">The </w:t>
      </w:r>
      <w:r w:rsidR="00187C84">
        <w:t>C</w:t>
      </w:r>
      <w:r w:rsidR="00187C84" w:rsidRPr="00576B86">
        <w:t xml:space="preserve">ommittee </w:t>
      </w:r>
      <w:r w:rsidR="00F8223C" w:rsidRPr="00576B86">
        <w:t>asks the Regional Weights and Measures Associations and industry for input regarding whether or not the proposed changes are ready for adoption in the next NCWM cycle.</w:t>
      </w:r>
    </w:p>
    <w:p w:rsidR="00A413BF" w:rsidRDefault="00A413BF" w:rsidP="0043528A">
      <w:pPr>
        <w:pStyle w:val="Heading1"/>
        <w:spacing w:after="0"/>
      </w:pPr>
      <w:bookmarkStart w:id="31" w:name="_Toc334183633"/>
      <w:r>
        <w:t>336</w:t>
      </w:r>
      <w:r>
        <w:tab/>
        <w:t>WATER METERS</w:t>
      </w:r>
      <w:bookmarkEnd w:id="31"/>
    </w:p>
    <w:p w:rsidR="00A413BF" w:rsidRDefault="00A413BF">
      <w:pPr>
        <w:pStyle w:val="ItemHeading"/>
      </w:pPr>
      <w:bookmarkStart w:id="32" w:name="_Toc334183634"/>
      <w:r>
        <w:t>336-1</w:t>
      </w:r>
      <w:r>
        <w:tab/>
      </w:r>
      <w:r w:rsidR="0092056C">
        <w:t>V</w:t>
      </w:r>
      <w:r w:rsidR="0092056C">
        <w:tab/>
      </w:r>
      <w:r>
        <w:t>S.3. Markings</w:t>
      </w:r>
      <w:bookmarkEnd w:id="32"/>
    </w:p>
    <w:p w:rsidR="002D176D" w:rsidRDefault="002D176D" w:rsidP="002D176D">
      <w:pPr>
        <w:ind w:left="14" w:hanging="14"/>
        <w:jc w:val="center"/>
      </w:pPr>
      <w:r w:rsidRPr="000C335C">
        <w:rPr>
          <w:szCs w:val="20"/>
          <w:lang w:val="en-CA"/>
        </w:rPr>
        <w:t>(This item was adopted.)</w:t>
      </w:r>
    </w:p>
    <w:p w:rsidR="00A413BF" w:rsidRDefault="00A413BF" w:rsidP="00811C3A">
      <w:pPr>
        <w:pStyle w:val="BoldHeading"/>
        <w:spacing w:after="0"/>
      </w:pPr>
      <w:r>
        <w:t xml:space="preserve">Source: </w:t>
      </w:r>
      <w:r>
        <w:tab/>
      </w:r>
    </w:p>
    <w:p w:rsidR="00A413BF" w:rsidRDefault="00A413BF" w:rsidP="00A413BF">
      <w:r>
        <w:t>Neptune Technology Group, Inc.</w:t>
      </w:r>
      <w:r w:rsidR="0015610D">
        <w:t xml:space="preserve"> (2012)</w:t>
      </w:r>
    </w:p>
    <w:p w:rsidR="00A413BF" w:rsidRDefault="00A413BF" w:rsidP="00811C3A">
      <w:pPr>
        <w:pStyle w:val="BoldHeading"/>
        <w:spacing w:after="0"/>
      </w:pPr>
      <w:r>
        <w:t xml:space="preserve">Purpose: </w:t>
      </w:r>
    </w:p>
    <w:p w:rsidR="00A413BF" w:rsidRDefault="00A413BF" w:rsidP="00A413BF">
      <w:r>
        <w:t xml:space="preserve">Add marking requirements for Utility Type Meters under </w:t>
      </w:r>
      <w:r w:rsidRPr="00811C3A">
        <w:t>NIST Handbook 44</w:t>
      </w:r>
      <w:r w:rsidR="00B16D53">
        <w:t>:</w:t>
      </w:r>
      <w:r w:rsidR="00B5705B">
        <w:t xml:space="preserve"> Section 3.36. </w:t>
      </w:r>
      <w:r>
        <w:t>Water Meters.</w:t>
      </w:r>
    </w:p>
    <w:p w:rsidR="00A413BF" w:rsidRDefault="00A413BF" w:rsidP="00811C3A">
      <w:pPr>
        <w:pStyle w:val="BoldHeading"/>
        <w:spacing w:after="0"/>
      </w:pPr>
      <w:r>
        <w:t xml:space="preserve">Item Under Consideration: </w:t>
      </w:r>
    </w:p>
    <w:p w:rsidR="00A413BF" w:rsidRPr="00576B86" w:rsidRDefault="00A413BF" w:rsidP="00A413BF">
      <w:r w:rsidRPr="00576B86">
        <w:t xml:space="preserve">Add the following to </w:t>
      </w:r>
      <w:r w:rsidRPr="00811C3A">
        <w:t>NIST Handbook 44</w:t>
      </w:r>
      <w:r w:rsidR="00334A07">
        <w:t>, Section 3.36.</w:t>
      </w:r>
      <w:r w:rsidRPr="00576B86">
        <w:t xml:space="preserve"> Water Meters Code:</w:t>
      </w:r>
    </w:p>
    <w:p w:rsidR="00F8223C" w:rsidRPr="00B77FD2" w:rsidRDefault="00576B86" w:rsidP="00811C3A">
      <w:pPr>
        <w:pStyle w:val="I-Normalreg"/>
        <w:tabs>
          <w:tab w:val="left" w:pos="900"/>
        </w:tabs>
        <w:rPr>
          <w:b/>
          <w:u w:val="single"/>
        </w:rPr>
      </w:pPr>
      <w:r>
        <w:rPr>
          <w:b/>
          <w:u w:val="single"/>
        </w:rPr>
        <w:t>S.3</w:t>
      </w:r>
      <w:r w:rsidR="00CC6CAE">
        <w:rPr>
          <w:b/>
          <w:u w:val="single"/>
        </w:rPr>
        <w:t>.</w:t>
      </w:r>
      <w:r w:rsidR="00CC6CAE">
        <w:rPr>
          <w:b/>
          <w:u w:val="single"/>
        </w:rPr>
        <w:tab/>
      </w:r>
      <w:r>
        <w:rPr>
          <w:b/>
          <w:u w:val="single"/>
        </w:rPr>
        <w:t>Markings</w:t>
      </w:r>
    </w:p>
    <w:p w:rsidR="00F8223C" w:rsidRPr="00B77FD2" w:rsidRDefault="00F8223C" w:rsidP="00811C3A">
      <w:pPr>
        <w:pStyle w:val="I-Normal1indent"/>
        <w:tabs>
          <w:tab w:val="left" w:pos="1440"/>
        </w:tabs>
        <w:spacing w:after="0"/>
        <w:rPr>
          <w:b/>
          <w:i/>
          <w:u w:val="single"/>
        </w:rPr>
      </w:pPr>
      <w:r w:rsidRPr="00B77FD2">
        <w:rPr>
          <w:b/>
          <w:i/>
          <w:u w:val="single"/>
        </w:rPr>
        <w:t>S.3.1</w:t>
      </w:r>
      <w:r w:rsidR="00CC6CAE" w:rsidRPr="00B77FD2">
        <w:rPr>
          <w:b/>
          <w:i/>
          <w:u w:val="single"/>
        </w:rPr>
        <w:t>.</w:t>
      </w:r>
      <w:r w:rsidR="00CC6CAE">
        <w:rPr>
          <w:b/>
          <w:i/>
          <w:u w:val="single"/>
        </w:rPr>
        <w:tab/>
      </w:r>
      <w:r w:rsidRPr="00B77FD2">
        <w:rPr>
          <w:b/>
          <w:i/>
          <w:u w:val="single"/>
        </w:rPr>
        <w:t>Location of Marking Information; Utility Type Meters. – All required markings, including those required by G-S.1. Identification, shall be either on the meter body or primary indicator.</w:t>
      </w:r>
    </w:p>
    <w:p w:rsidR="00F8223C" w:rsidRDefault="00F8223C" w:rsidP="00B5705B">
      <w:pPr>
        <w:pStyle w:val="I-Normal1indent"/>
        <w:tabs>
          <w:tab w:val="left" w:pos="720"/>
        </w:tabs>
        <w:spacing w:after="0"/>
        <w:rPr>
          <w:b/>
          <w:i/>
          <w:u w:val="single"/>
        </w:rPr>
      </w:pPr>
      <w:r w:rsidRPr="00B77FD2">
        <w:rPr>
          <w:b/>
          <w:i/>
          <w:u w:val="single"/>
        </w:rPr>
        <w:t>[Nonretroactive as of January 1, 2013]</w:t>
      </w:r>
    </w:p>
    <w:p w:rsidR="00B5705B" w:rsidRPr="00B5705B" w:rsidRDefault="00B5705B" w:rsidP="00B5705B">
      <w:pPr>
        <w:pStyle w:val="I-Normal1indent"/>
        <w:tabs>
          <w:tab w:val="left" w:pos="360"/>
          <w:tab w:val="left" w:pos="720"/>
        </w:tabs>
        <w:spacing w:before="60"/>
        <w:ind w:left="0"/>
        <w:rPr>
          <w:b/>
          <w:u w:val="single"/>
        </w:rPr>
      </w:pPr>
      <w:r w:rsidRPr="00B5705B">
        <w:rPr>
          <w:b/>
        </w:rPr>
        <w:tab/>
      </w:r>
      <w:r>
        <w:rPr>
          <w:b/>
          <w:u w:val="single"/>
        </w:rPr>
        <w:t>(Added 2012)</w:t>
      </w:r>
    </w:p>
    <w:p w:rsidR="00A413BF" w:rsidRDefault="00A413BF" w:rsidP="00811C3A">
      <w:pPr>
        <w:pStyle w:val="BoldHeading"/>
        <w:spacing w:after="0"/>
      </w:pPr>
      <w:r>
        <w:t>Background/Discussion:</w:t>
      </w:r>
    </w:p>
    <w:p w:rsidR="00A413BF" w:rsidRDefault="00A413BF" w:rsidP="00A413BF">
      <w:r>
        <w:t>Utility water meters are type approved under the California Type Evaluation Program</w:t>
      </w:r>
      <w:r w:rsidR="0092056C">
        <w:t>;</w:t>
      </w:r>
      <w:r>
        <w:t xml:space="preserve"> however</w:t>
      </w:r>
      <w:r w:rsidR="00655FE5">
        <w:t>,</w:t>
      </w:r>
      <w:r>
        <w:t xml:space="preserve"> they are not yet </w:t>
      </w:r>
      <w:r w:rsidR="0092056C">
        <w:t xml:space="preserve">accepted for evaluation by </w:t>
      </w:r>
      <w:r w:rsidR="00081D0A">
        <w:t>NTEP</w:t>
      </w:r>
      <w:r w:rsidR="0092056C">
        <w:t>.</w:t>
      </w:r>
      <w:r>
        <w:t xml:space="preserve"> </w:t>
      </w:r>
      <w:r w:rsidR="00CC6CAE">
        <w:t xml:space="preserve"> </w:t>
      </w:r>
      <w:r>
        <w:t>Water meter manufacturers have set</w:t>
      </w:r>
      <w:r w:rsidR="00655FE5">
        <w:t xml:space="preserve"> </w:t>
      </w:r>
      <w:r>
        <w:t>precedence since 1982 for the marking requirements of utility water meters.  This precedence has been upheld by California state and county insp</w:t>
      </w:r>
      <w:r w:rsidR="001E30BE">
        <w:t xml:space="preserve">ectors since its inception without </w:t>
      </w:r>
      <w:r>
        <w:t xml:space="preserve">incidence or harm.  In many utility-type meter installations, visibility of markings on the meter body can be quite limited, while </w:t>
      </w:r>
      <w:r w:rsidR="009352AD">
        <w:t>visibility of markings on the primary indicator is</w:t>
      </w:r>
      <w:r w:rsidR="00483607">
        <w:t xml:space="preserve"> usually </w:t>
      </w:r>
      <w:r>
        <w:t>substantially better.</w:t>
      </w:r>
    </w:p>
    <w:p w:rsidR="00483607" w:rsidRDefault="00483607" w:rsidP="00A413BF">
      <w:r w:rsidRPr="00C62956">
        <w:t xml:space="preserve">The submitter also </w:t>
      </w:r>
      <w:r>
        <w:t>stated that</w:t>
      </w:r>
      <w:r w:rsidRPr="00C62956">
        <w:t xml:space="preserve"> marking requirements </w:t>
      </w:r>
      <w:r w:rsidR="001E30BE">
        <w:t xml:space="preserve">are needed in </w:t>
      </w:r>
      <w:r w:rsidRPr="00C62956">
        <w:t xml:space="preserve">Water Meter Code of </w:t>
      </w:r>
      <w:r w:rsidRPr="00811C3A">
        <w:t>NIST Handbook 44</w:t>
      </w:r>
      <w:r w:rsidRPr="00C62956">
        <w:t xml:space="preserve"> as outlined </w:t>
      </w:r>
      <w:r w:rsidR="00655FE5">
        <w:t>in the Item Under Consideration</w:t>
      </w:r>
      <w:r w:rsidR="001E30BE">
        <w:t xml:space="preserve"> before </w:t>
      </w:r>
      <w:r w:rsidR="0056019A">
        <w:t>NCWM can offer NTEP Certification</w:t>
      </w:r>
      <w:r w:rsidR="001E30BE">
        <w:t xml:space="preserve"> </w:t>
      </w:r>
      <w:r w:rsidR="0056019A">
        <w:t xml:space="preserve">of these devices.  When </w:t>
      </w:r>
      <w:r w:rsidR="001E30BE">
        <w:t xml:space="preserve">water meters </w:t>
      </w:r>
      <w:r w:rsidR="0056019A">
        <w:t xml:space="preserve">are accepted </w:t>
      </w:r>
      <w:r w:rsidR="001E30BE">
        <w:t xml:space="preserve">for NTEP certification, </w:t>
      </w:r>
      <w:r w:rsidR="00A413BF">
        <w:t xml:space="preserve">utility type water meter manufacturers </w:t>
      </w:r>
      <w:r w:rsidR="001E30BE">
        <w:t>could</w:t>
      </w:r>
      <w:r w:rsidR="00A413BF">
        <w:t xml:space="preserve"> participate in the </w:t>
      </w:r>
      <w:r w:rsidR="00C12B80">
        <w:t>National Type Evaluation Technical Committee (</w:t>
      </w:r>
      <w:r w:rsidR="00A413BF">
        <w:t>NTETC</w:t>
      </w:r>
      <w:r w:rsidR="00C12B80">
        <w:t>)</w:t>
      </w:r>
      <w:r w:rsidR="00A413BF">
        <w:t xml:space="preserve"> Measuring Sector and play a more active role in providing greater visibility and education to the industry regarding utility water meters and their use.</w:t>
      </w:r>
    </w:p>
    <w:p w:rsidR="00A413BF" w:rsidRDefault="00483607" w:rsidP="00A413BF">
      <w:r>
        <w:t>The following w</w:t>
      </w:r>
      <w:r w:rsidRPr="00F67FE1">
        <w:t xml:space="preserve">ater </w:t>
      </w:r>
      <w:r>
        <w:t>m</w:t>
      </w:r>
      <w:r w:rsidRPr="00F67FE1">
        <w:t xml:space="preserve">eter </w:t>
      </w:r>
      <w:r>
        <w:t>m</w:t>
      </w:r>
      <w:r w:rsidRPr="00F67FE1">
        <w:t>anufacturer</w:t>
      </w:r>
      <w:r>
        <w:t xml:space="preserve"> representatives expressed support for the proposal on behalf of their respective companies</w:t>
      </w:r>
      <w:r w:rsidRPr="00F67FE1">
        <w:t>:</w:t>
      </w:r>
      <w:r>
        <w:t xml:space="preserve"> </w:t>
      </w:r>
      <w:r w:rsidRPr="00F67FE1">
        <w:t>Mr. Noel, Neptune Technology Group, Inc.</w:t>
      </w:r>
      <w:r w:rsidR="00AC55B7">
        <w:t>;</w:t>
      </w:r>
      <w:r w:rsidRPr="00F67FE1">
        <w:t xml:space="preserve"> Mr. De Jarlais, Badger Meter, Inc.</w:t>
      </w:r>
      <w:r w:rsidR="00AC55B7">
        <w:t>;</w:t>
      </w:r>
      <w:r w:rsidRPr="00F67FE1">
        <w:t xml:space="preserve"> </w:t>
      </w:r>
      <w:r w:rsidRPr="00F67FE1">
        <w:lastRenderedPageBreak/>
        <w:t>Mr</w:t>
      </w:r>
      <w:r w:rsidR="002846CD" w:rsidRPr="00F67FE1">
        <w:t>.</w:t>
      </w:r>
      <w:r w:rsidR="002846CD">
        <w:t> </w:t>
      </w:r>
      <w:r w:rsidRPr="00F67FE1">
        <w:t>Leckman, Badger Meter, Inc.</w:t>
      </w:r>
      <w:r w:rsidR="00AC55B7">
        <w:t>;</w:t>
      </w:r>
      <w:r w:rsidRPr="00F67FE1">
        <w:t xml:space="preserve"> Mr. Swanson, Sensus Metering</w:t>
      </w:r>
      <w:r w:rsidR="00AC55B7">
        <w:t>;</w:t>
      </w:r>
      <w:r w:rsidRPr="00F67FE1">
        <w:t xml:space="preserve"> Mr. Koch, Master Meter, Inc.</w:t>
      </w:r>
      <w:r w:rsidR="00AC55B7">
        <w:t>;</w:t>
      </w:r>
      <w:r w:rsidRPr="00F67FE1">
        <w:t xml:space="preserve"> and Mr. Watson, Elster AMCO Water. </w:t>
      </w:r>
    </w:p>
    <w:p w:rsidR="00A413BF" w:rsidRDefault="00791279" w:rsidP="00A413BF">
      <w:r>
        <w:t>At the 2011 WWMA Annual Meeting</w:t>
      </w:r>
      <w:r w:rsidR="00CC6CAE">
        <w:t>,</w:t>
      </w:r>
      <w:r>
        <w:t xml:space="preserve"> Mr. </w:t>
      </w:r>
      <w:r w:rsidR="00A413BF">
        <w:t>Noel, Neptune</w:t>
      </w:r>
      <w:r>
        <w:t xml:space="preserve"> Technology Group, Inc.</w:t>
      </w:r>
      <w:r w:rsidR="00A413BF">
        <w:t xml:space="preserve">, spoke on behalf of the </w:t>
      </w:r>
      <w:r>
        <w:t>W</w:t>
      </w:r>
      <w:r w:rsidR="00A413BF">
        <w:t xml:space="preserve">ater </w:t>
      </w:r>
      <w:r>
        <w:t>M</w:t>
      </w:r>
      <w:r w:rsidR="00A413BF">
        <w:t xml:space="preserve">eter </w:t>
      </w:r>
      <w:r>
        <w:t>M</w:t>
      </w:r>
      <w:r w:rsidR="00A413BF">
        <w:t>anufactures consisting of Badger</w:t>
      </w:r>
      <w:r>
        <w:t xml:space="preserve"> Meter, Inc.</w:t>
      </w:r>
      <w:r w:rsidR="00A413BF">
        <w:t>, Neptune</w:t>
      </w:r>
      <w:r>
        <w:t xml:space="preserve"> Technology Group, Inc.</w:t>
      </w:r>
      <w:r w:rsidR="00A413BF">
        <w:t>, Sensus</w:t>
      </w:r>
      <w:r>
        <w:t xml:space="preserve"> Metering</w:t>
      </w:r>
      <w:r w:rsidR="00A413BF">
        <w:t>, Master Meter</w:t>
      </w:r>
      <w:r>
        <w:t xml:space="preserve">, Inc. and Elster </w:t>
      </w:r>
      <w:r w:rsidR="00A413BF">
        <w:t xml:space="preserve">Amco </w:t>
      </w:r>
      <w:r w:rsidR="00483607">
        <w:t xml:space="preserve">voicing </w:t>
      </w:r>
      <w:r w:rsidR="00A413BF">
        <w:t>their support of the item.</w:t>
      </w:r>
      <w:r>
        <w:t xml:space="preserve"> </w:t>
      </w:r>
      <w:r w:rsidR="00A413BF">
        <w:t xml:space="preserve"> </w:t>
      </w:r>
      <w:r w:rsidR="00483607">
        <w:t xml:space="preserve">WWMA </w:t>
      </w:r>
      <w:r w:rsidR="00A413BF">
        <w:t>received letters of support from the water meter manufacturers group.  Mr. Hasmeyer of Alameda County</w:t>
      </w:r>
      <w:r w:rsidR="00483607">
        <w:t>, California</w:t>
      </w:r>
      <w:r w:rsidR="00FB22BD">
        <w:t>,</w:t>
      </w:r>
      <w:r w:rsidR="00A413BF">
        <w:t xml:space="preserve"> opposed the item based on the proposal allowing identification information located on an accompanying document.  Based on comments received, the submitter proposed amendments to the item</w:t>
      </w:r>
      <w:r w:rsidR="001E30BE">
        <w:t>,</w:t>
      </w:r>
      <w:r w:rsidR="00A413BF">
        <w:t xml:space="preserve"> removing the reference to supplemental documentation</w:t>
      </w:r>
      <w:r w:rsidR="001E30BE">
        <w:t>.</w:t>
      </w:r>
      <w:r w:rsidR="00483607">
        <w:t xml:space="preserve"> </w:t>
      </w:r>
      <w:r w:rsidR="001E30BE">
        <w:t xml:space="preserve"> WWMA </w:t>
      </w:r>
      <w:r w:rsidR="001E30BE" w:rsidRPr="006273B2">
        <w:rPr>
          <w:rFonts w:cs="Times New Roman"/>
        </w:rPr>
        <w:t>forward</w:t>
      </w:r>
      <w:r w:rsidR="001E30BE">
        <w:rPr>
          <w:rFonts w:cs="Times New Roman"/>
        </w:rPr>
        <w:t>ed</w:t>
      </w:r>
      <w:r w:rsidR="001E30BE" w:rsidRPr="006273B2">
        <w:rPr>
          <w:rFonts w:cs="Times New Roman"/>
        </w:rPr>
        <w:t xml:space="preserve"> the item </w:t>
      </w:r>
      <w:r w:rsidR="001E30BE">
        <w:rPr>
          <w:rFonts w:cs="Times New Roman"/>
        </w:rPr>
        <w:t xml:space="preserve">as modified below </w:t>
      </w:r>
      <w:r w:rsidR="001E30BE" w:rsidRPr="006273B2">
        <w:rPr>
          <w:rFonts w:cs="Times New Roman"/>
        </w:rPr>
        <w:t>to NCWM</w:t>
      </w:r>
      <w:r w:rsidR="001E30BE">
        <w:rPr>
          <w:rFonts w:cs="Times New Roman"/>
        </w:rPr>
        <w:t xml:space="preserve">, recommending it </w:t>
      </w:r>
      <w:r w:rsidR="001E30BE" w:rsidRPr="006273B2">
        <w:rPr>
          <w:rFonts w:cs="Times New Roman"/>
        </w:rPr>
        <w:t>as a Voting Item</w:t>
      </w:r>
      <w:r w:rsidR="00A413BF">
        <w:t xml:space="preserve">:  </w:t>
      </w:r>
    </w:p>
    <w:p w:rsidR="00791279" w:rsidRPr="00791279" w:rsidRDefault="00791279" w:rsidP="00811C3A">
      <w:pPr>
        <w:pStyle w:val="I-Normalreg"/>
        <w:tabs>
          <w:tab w:val="left" w:pos="900"/>
        </w:tabs>
        <w:rPr>
          <w:b/>
          <w:u w:val="single"/>
        </w:rPr>
      </w:pPr>
      <w:r w:rsidRPr="00791279">
        <w:rPr>
          <w:b/>
          <w:u w:val="single"/>
        </w:rPr>
        <w:t>S.3</w:t>
      </w:r>
      <w:r w:rsidR="009352AD" w:rsidRPr="00791279">
        <w:rPr>
          <w:b/>
          <w:u w:val="single"/>
        </w:rPr>
        <w:t>.</w:t>
      </w:r>
      <w:r w:rsidR="009352AD">
        <w:rPr>
          <w:b/>
          <w:u w:val="single"/>
        </w:rPr>
        <w:tab/>
      </w:r>
      <w:r w:rsidRPr="00791279">
        <w:rPr>
          <w:b/>
          <w:u w:val="single"/>
        </w:rPr>
        <w:t xml:space="preserve">Markings </w:t>
      </w:r>
    </w:p>
    <w:p w:rsidR="00791279" w:rsidRPr="00791279" w:rsidRDefault="00791279" w:rsidP="00A11AE5">
      <w:pPr>
        <w:pStyle w:val="I-Normal1indent"/>
        <w:rPr>
          <w:b/>
          <w:u w:val="single"/>
        </w:rPr>
      </w:pPr>
      <w:r w:rsidRPr="00791279">
        <w:rPr>
          <w:b/>
          <w:u w:val="single"/>
        </w:rPr>
        <w:t>S.3.1</w:t>
      </w:r>
      <w:r w:rsidR="009352AD" w:rsidRPr="00791279">
        <w:rPr>
          <w:b/>
          <w:u w:val="single"/>
        </w:rPr>
        <w:t>.</w:t>
      </w:r>
      <w:r w:rsidR="009352AD">
        <w:rPr>
          <w:b/>
          <w:u w:val="single"/>
        </w:rPr>
        <w:tab/>
      </w:r>
      <w:r w:rsidRPr="00791279">
        <w:rPr>
          <w:b/>
          <w:u w:val="single"/>
        </w:rPr>
        <w:t>Location of Marking Information; Utility Type Meters [See also G-S.1. Identification, G-S.4. Interchange or Reversal of Parts, G-S.7. Lettering and G-UR.2.1.1. Visibility of Identification]</w:t>
      </w:r>
    </w:p>
    <w:p w:rsidR="00791279" w:rsidRPr="00791279" w:rsidRDefault="00791279" w:rsidP="00811C3A">
      <w:pPr>
        <w:pStyle w:val="I-Normalreg"/>
        <w:spacing w:after="0"/>
        <w:ind w:left="720"/>
        <w:rPr>
          <w:b/>
          <w:i/>
          <w:u w:val="single"/>
        </w:rPr>
      </w:pPr>
      <w:r w:rsidRPr="00791279">
        <w:rPr>
          <w:b/>
          <w:i/>
          <w:u w:val="single"/>
        </w:rPr>
        <w:t xml:space="preserve">The markings may be either on the meter body or primary indicator. The manufacturer’s name or trademark, the model designation, and identifying symbols for the model and serial numbers as required by G-S.1. Identification shall also be marked on the meter body or primary indicator. </w:t>
      </w:r>
    </w:p>
    <w:p w:rsidR="00A413BF" w:rsidRDefault="00791279" w:rsidP="00811C3A">
      <w:pPr>
        <w:pStyle w:val="I-Normalreg"/>
        <w:spacing w:after="60"/>
        <w:ind w:left="720"/>
        <w:rPr>
          <w:b/>
          <w:i/>
          <w:u w:val="single"/>
        </w:rPr>
      </w:pPr>
      <w:r w:rsidRPr="00791279">
        <w:rPr>
          <w:b/>
          <w:i/>
          <w:u w:val="single"/>
        </w:rPr>
        <w:t xml:space="preserve">[Nonretroactive as of January 1, 2013]  </w:t>
      </w:r>
    </w:p>
    <w:p w:rsidR="00A11AE5" w:rsidRPr="00811C3A" w:rsidRDefault="00A11AE5" w:rsidP="00811C3A">
      <w:pPr>
        <w:pStyle w:val="I-Normalreg"/>
        <w:rPr>
          <w:b/>
          <w:u w:val="single"/>
        </w:rPr>
      </w:pPr>
      <w:r w:rsidRPr="00811C3A">
        <w:rPr>
          <w:b/>
          <w:u w:val="single"/>
        </w:rPr>
        <w:t>(Added 20</w:t>
      </w:r>
      <w:r>
        <w:rPr>
          <w:b/>
          <w:u w:val="single"/>
        </w:rPr>
        <w:t>XX</w:t>
      </w:r>
      <w:r w:rsidRPr="00811C3A">
        <w:rPr>
          <w:b/>
          <w:u w:val="single"/>
        </w:rPr>
        <w:t>)</w:t>
      </w:r>
    </w:p>
    <w:p w:rsidR="00483607" w:rsidRPr="00064630" w:rsidRDefault="00483607" w:rsidP="00483607">
      <w:pPr>
        <w:rPr>
          <w:rFonts w:cs="Times New Roman"/>
        </w:rPr>
      </w:pPr>
      <w:r w:rsidRPr="00F67FE1">
        <w:t xml:space="preserve">At the </w:t>
      </w:r>
      <w:r>
        <w:t xml:space="preserve">2012 NCWM Interim Meeting, </w:t>
      </w:r>
      <w:r w:rsidRPr="00064630">
        <w:rPr>
          <w:rFonts w:cs="Times New Roman"/>
        </w:rPr>
        <w:t>Mr. Noel, Neptune Technology Group,</w:t>
      </w:r>
      <w:r>
        <w:rPr>
          <w:rFonts w:cs="Times New Roman"/>
        </w:rPr>
        <w:t xml:space="preserve"> Inc.</w:t>
      </w:r>
      <w:r w:rsidRPr="00064630">
        <w:rPr>
          <w:rFonts w:cs="Times New Roman"/>
        </w:rPr>
        <w:t xml:space="preserve"> spoke in support of the proposed marking requirement on behalf of Neptune and four other water meter manufacturers (including Badger Meter, Elster, Master Meter, and Sensus).</w:t>
      </w:r>
      <w:r>
        <w:rPr>
          <w:rFonts w:cs="Times New Roman"/>
        </w:rPr>
        <w:t xml:space="preserve">  The </w:t>
      </w:r>
      <w:r w:rsidR="00187C84">
        <w:rPr>
          <w:rFonts w:cs="Times New Roman"/>
        </w:rPr>
        <w:t>C</w:t>
      </w:r>
      <w:r w:rsidR="00187C84" w:rsidRPr="00064630">
        <w:rPr>
          <w:rFonts w:cs="Times New Roman"/>
        </w:rPr>
        <w:t xml:space="preserve">ommittee </w:t>
      </w:r>
      <w:r w:rsidRPr="00064630">
        <w:rPr>
          <w:rFonts w:cs="Times New Roman"/>
        </w:rPr>
        <w:t xml:space="preserve">also received letters of support from Mr. Koch, Master Meter, Inc., and Mr. </w:t>
      </w:r>
      <w:r>
        <w:rPr>
          <w:rFonts w:cs="Times New Roman"/>
        </w:rPr>
        <w:t>S</w:t>
      </w:r>
      <w:r w:rsidRPr="00064630">
        <w:rPr>
          <w:rFonts w:cs="Times New Roman"/>
        </w:rPr>
        <w:t>wanson, Sensus.  Mr. Cooper, speaking on behalf of the MMA, expressed support for the prop</w:t>
      </w:r>
      <w:r>
        <w:rPr>
          <w:rFonts w:cs="Times New Roman"/>
        </w:rPr>
        <w:t>osal as modified by the WWMA.  NIST, OWM</w:t>
      </w:r>
      <w:r w:rsidRPr="00064630">
        <w:rPr>
          <w:rFonts w:cs="Times New Roman"/>
        </w:rPr>
        <w:t xml:space="preserve"> suggested eliminating the references to the General Code requirements in the title of the paragraph, noting that the Introduction Section of </w:t>
      </w:r>
      <w:r w:rsidRPr="00811C3A">
        <w:rPr>
          <w:rFonts w:cs="Times New Roman"/>
        </w:rPr>
        <w:t>NIST Handbook 44</w:t>
      </w:r>
      <w:r w:rsidRPr="00064630">
        <w:rPr>
          <w:rFonts w:cs="Times New Roman"/>
        </w:rPr>
        <w:t xml:space="preserve"> clarifies that the General Code requirements also apply.  Referencing specific paragraphs also creates the risk of inadvertently missing paragraphs that should be applied.</w:t>
      </w:r>
    </w:p>
    <w:p w:rsidR="00F8223C" w:rsidRDefault="00483607" w:rsidP="00483607">
      <w:pPr>
        <w:rPr>
          <w:rFonts w:cs="Times New Roman"/>
        </w:rPr>
      </w:pPr>
      <w:r w:rsidRPr="00064630">
        <w:rPr>
          <w:rFonts w:cs="Times New Roman"/>
        </w:rPr>
        <w:t>After considering the comments received, t</w:t>
      </w:r>
      <w:r>
        <w:rPr>
          <w:rFonts w:cs="Times New Roman"/>
        </w:rPr>
        <w:t xml:space="preserve">he </w:t>
      </w:r>
      <w:r w:rsidR="00372D5F">
        <w:rPr>
          <w:rFonts w:cs="Times New Roman"/>
        </w:rPr>
        <w:t>C</w:t>
      </w:r>
      <w:r w:rsidR="00372D5F" w:rsidRPr="00064630">
        <w:rPr>
          <w:rFonts w:cs="Times New Roman"/>
        </w:rPr>
        <w:t xml:space="preserve">ommittee </w:t>
      </w:r>
      <w:r w:rsidRPr="00064630">
        <w:rPr>
          <w:rFonts w:cs="Times New Roman"/>
        </w:rPr>
        <w:t xml:space="preserve">agreed to the alternative </w:t>
      </w:r>
      <w:r>
        <w:rPr>
          <w:rFonts w:cs="Times New Roman"/>
        </w:rPr>
        <w:t>language proposed by the WWMA and also agreed</w:t>
      </w:r>
      <w:r w:rsidRPr="00064630">
        <w:rPr>
          <w:rFonts w:cs="Times New Roman"/>
        </w:rPr>
        <w:t xml:space="preserve"> that the General Code paragraph references in the bracketed portion of the item proposed are not needed</w:t>
      </w:r>
      <w:r>
        <w:rPr>
          <w:rFonts w:cs="Times New Roman"/>
        </w:rPr>
        <w:t xml:space="preserve">.  The </w:t>
      </w:r>
      <w:r w:rsidR="00730D6C">
        <w:rPr>
          <w:rFonts w:cs="Times New Roman"/>
        </w:rPr>
        <w:t xml:space="preserve">Committee </w:t>
      </w:r>
      <w:r>
        <w:rPr>
          <w:rFonts w:cs="Times New Roman"/>
        </w:rPr>
        <w:t>amended the proposed language accordingly</w:t>
      </w:r>
      <w:r w:rsidR="00576B86">
        <w:rPr>
          <w:rFonts w:cs="Times New Roman"/>
        </w:rPr>
        <w:t xml:space="preserve"> and presented the following recommended language for a vote in its 2012 Interim Report:</w:t>
      </w:r>
    </w:p>
    <w:p w:rsidR="00576B86" w:rsidRPr="00B77FD2" w:rsidRDefault="00576B86" w:rsidP="00811C3A">
      <w:pPr>
        <w:pStyle w:val="I-Normalreg"/>
        <w:tabs>
          <w:tab w:val="left" w:pos="900"/>
        </w:tabs>
        <w:rPr>
          <w:b/>
          <w:u w:val="single"/>
        </w:rPr>
      </w:pPr>
      <w:r w:rsidRPr="00B77FD2">
        <w:rPr>
          <w:b/>
          <w:u w:val="single"/>
        </w:rPr>
        <w:t>S.3</w:t>
      </w:r>
      <w:r w:rsidR="002B1F04" w:rsidRPr="00B77FD2">
        <w:rPr>
          <w:b/>
          <w:u w:val="single"/>
        </w:rPr>
        <w:t>.</w:t>
      </w:r>
      <w:r w:rsidR="002B1F04">
        <w:rPr>
          <w:b/>
          <w:u w:val="single"/>
        </w:rPr>
        <w:tab/>
      </w:r>
      <w:r w:rsidRPr="00B77FD2">
        <w:rPr>
          <w:b/>
          <w:u w:val="single"/>
        </w:rPr>
        <w:t xml:space="preserve">Markings </w:t>
      </w:r>
    </w:p>
    <w:p w:rsidR="00576B86" w:rsidRPr="00B77FD2" w:rsidRDefault="00576B86" w:rsidP="00811C3A">
      <w:pPr>
        <w:pStyle w:val="I-Normal1indent"/>
        <w:spacing w:after="0"/>
        <w:rPr>
          <w:b/>
          <w:i/>
          <w:u w:val="single"/>
        </w:rPr>
      </w:pPr>
      <w:r w:rsidRPr="00B77FD2">
        <w:rPr>
          <w:b/>
          <w:i/>
          <w:u w:val="single"/>
        </w:rPr>
        <w:t>S.3.1</w:t>
      </w:r>
      <w:r w:rsidR="002B1F04" w:rsidRPr="00B77FD2">
        <w:rPr>
          <w:b/>
          <w:i/>
          <w:u w:val="single"/>
        </w:rPr>
        <w:t>.</w:t>
      </w:r>
      <w:r w:rsidR="002B1F04">
        <w:rPr>
          <w:b/>
          <w:i/>
          <w:u w:val="single"/>
        </w:rPr>
        <w:tab/>
      </w:r>
      <w:r w:rsidRPr="00B77FD2">
        <w:rPr>
          <w:b/>
          <w:i/>
          <w:u w:val="single"/>
        </w:rPr>
        <w:t>Location of Marking Information; Utility Type Meters. - The markings may be either on the meter body or primary indicator. The manufacturer’s name or trademark, the model designation, and identifying symbols for the model and serial numbers as required by G-S.1. Identification shall also be marked on the meter body or primary indicator.</w:t>
      </w:r>
    </w:p>
    <w:p w:rsidR="00576B86" w:rsidRPr="00576B86" w:rsidRDefault="00576B86" w:rsidP="00811C3A">
      <w:pPr>
        <w:pStyle w:val="I-Normalreg"/>
        <w:spacing w:after="60"/>
        <w:ind w:firstLine="360"/>
        <w:rPr>
          <w:b/>
          <w:i/>
          <w:u w:val="single"/>
        </w:rPr>
      </w:pPr>
      <w:r w:rsidRPr="00B77FD2">
        <w:rPr>
          <w:b/>
          <w:i/>
          <w:u w:val="single"/>
        </w:rPr>
        <w:t xml:space="preserve">[Nonretroactive as of January 1, 2013]  </w:t>
      </w:r>
    </w:p>
    <w:p w:rsidR="00730D6C" w:rsidRPr="000E1012" w:rsidRDefault="00730D6C" w:rsidP="00730D6C">
      <w:pPr>
        <w:pStyle w:val="I-Normalreg"/>
        <w:rPr>
          <w:b/>
          <w:u w:val="single"/>
        </w:rPr>
      </w:pPr>
      <w:r w:rsidRPr="000E1012">
        <w:rPr>
          <w:b/>
          <w:u w:val="single"/>
        </w:rPr>
        <w:t>(Added 20</w:t>
      </w:r>
      <w:r>
        <w:rPr>
          <w:b/>
          <w:u w:val="single"/>
        </w:rPr>
        <w:t>XX</w:t>
      </w:r>
      <w:r w:rsidRPr="000E1012">
        <w:rPr>
          <w:b/>
          <w:u w:val="single"/>
        </w:rPr>
        <w:t>)</w:t>
      </w:r>
    </w:p>
    <w:p w:rsidR="00F8223C" w:rsidRPr="00576B86" w:rsidRDefault="00F8223C" w:rsidP="00F8223C">
      <w:r w:rsidRPr="00576B86">
        <w:t>A</w:t>
      </w:r>
      <w:r w:rsidRPr="00B77FD2">
        <w:t>t</w:t>
      </w:r>
      <w:r w:rsidRPr="00576B86">
        <w:t xml:space="preserve"> the</w:t>
      </w:r>
      <w:r w:rsidR="00717EB5" w:rsidRPr="00B77FD2">
        <w:t xml:space="preserve"> 2012 NCWM Annual Meeting, the </w:t>
      </w:r>
      <w:r w:rsidR="00372D5F">
        <w:t>C</w:t>
      </w:r>
      <w:r w:rsidR="00372D5F" w:rsidRPr="00576B86">
        <w:t xml:space="preserve">ommittee </w:t>
      </w:r>
      <w:r w:rsidRPr="00576B86">
        <w:t xml:space="preserve">heard comments from Ms. Kristin Macey, </w:t>
      </w:r>
      <w:r w:rsidR="00FB22BD">
        <w:t>California,</w:t>
      </w:r>
      <w:r w:rsidRPr="00576B86">
        <w:t xml:space="preserve"> suggesting modifications to the proposed language to change the reference from “may” to “shall.”</w:t>
      </w:r>
    </w:p>
    <w:p w:rsidR="00F8223C" w:rsidRPr="00576B86" w:rsidRDefault="00717EB5" w:rsidP="00F8223C">
      <w:r w:rsidRPr="00B77FD2">
        <w:t xml:space="preserve">The </w:t>
      </w:r>
      <w:r w:rsidR="00372D5F">
        <w:t>C</w:t>
      </w:r>
      <w:r w:rsidR="00372D5F" w:rsidRPr="00576B86">
        <w:t xml:space="preserve">ommittee </w:t>
      </w:r>
      <w:r w:rsidR="00F8223C" w:rsidRPr="00576B86">
        <w:t>also heard comments from Mr. Noel who expressed support for the proposal and agreed with Ms. Macey’s suggested change.</w:t>
      </w:r>
    </w:p>
    <w:p w:rsidR="00F8223C" w:rsidRPr="00576B86" w:rsidRDefault="00F8223C" w:rsidP="00F8223C">
      <w:r w:rsidRPr="00576B86">
        <w:t>Mr. Dmitri Karimov, Liquid Controls, speaking on behalf of the Meter Manufacturers Association, stated that MMA supports the proposal.</w:t>
      </w:r>
    </w:p>
    <w:p w:rsidR="00372D5F" w:rsidRDefault="00372D5F" w:rsidP="00F8223C"/>
    <w:p w:rsidR="00F8223C" w:rsidRPr="00576B86" w:rsidRDefault="00F8223C" w:rsidP="00F8223C">
      <w:r w:rsidRPr="00576B86">
        <w:lastRenderedPageBreak/>
        <w:t xml:space="preserve">Committee Chairman, </w:t>
      </w:r>
      <w:r w:rsidR="00B46706">
        <w:t xml:space="preserve">Mr. </w:t>
      </w:r>
      <w:r w:rsidRPr="00576B86">
        <w:t>Steve Gigue</w:t>
      </w:r>
      <w:r w:rsidR="00717EB5" w:rsidRPr="00B77FD2">
        <w:t xml:space="preserve">re, Maine, reported that the </w:t>
      </w:r>
      <w:r w:rsidR="00B46706" w:rsidRPr="00B77FD2">
        <w:t>C</w:t>
      </w:r>
      <w:r w:rsidR="00B46706" w:rsidRPr="00576B86">
        <w:t>omm</w:t>
      </w:r>
      <w:r w:rsidRPr="00576B86">
        <w:t>ittee also received letters of support from Mr</w:t>
      </w:r>
      <w:r w:rsidR="002B1F04" w:rsidRPr="00576B86">
        <w:t>.</w:t>
      </w:r>
      <w:r w:rsidR="002B1F04">
        <w:t> </w:t>
      </w:r>
      <w:r w:rsidRPr="00576B86">
        <w:t>Alex Watson, Elster AMCO, and Mr. Swanson.</w:t>
      </w:r>
    </w:p>
    <w:p w:rsidR="00F8223C" w:rsidRPr="00576B86" w:rsidRDefault="00717EB5" w:rsidP="00B77FD2">
      <w:pPr>
        <w:autoSpaceDE w:val="0"/>
        <w:autoSpaceDN w:val="0"/>
        <w:adjustRightInd w:val="0"/>
      </w:pPr>
      <w:r w:rsidRPr="00B77FD2">
        <w:t xml:space="preserve">The </w:t>
      </w:r>
      <w:r w:rsidR="00372D5F">
        <w:t>C</w:t>
      </w:r>
      <w:r w:rsidR="00372D5F" w:rsidRPr="00576B86">
        <w:t xml:space="preserve">ommittee </w:t>
      </w:r>
      <w:r w:rsidR="00F8223C" w:rsidRPr="00576B86">
        <w:t xml:space="preserve">recommends modifying the proposed paragraph in the </w:t>
      </w:r>
      <w:r w:rsidR="00A24760">
        <w:t>“</w:t>
      </w:r>
      <w:r w:rsidR="00F8223C" w:rsidRPr="00576B86">
        <w:t>Item Under Consideration”</w:t>
      </w:r>
      <w:r w:rsidR="00576B86" w:rsidRPr="00B77FD2">
        <w:t xml:space="preserve"> in its Interim Report</w:t>
      </w:r>
      <w:r w:rsidR="00F8223C" w:rsidRPr="00576B86">
        <w:t xml:space="preserve"> to read as </w:t>
      </w:r>
      <w:r w:rsidR="00576B86" w:rsidRPr="00B77FD2">
        <w:t>shown in the “Item Under Consideration” above</w:t>
      </w:r>
      <w:r w:rsidR="00F8223C" w:rsidRPr="00576B86">
        <w:t xml:space="preserve">.  The </w:t>
      </w:r>
      <w:r w:rsidR="00576B86" w:rsidRPr="00B77FD2">
        <w:t xml:space="preserve">revisions made by the </w:t>
      </w:r>
      <w:r w:rsidR="00372D5F">
        <w:t>C</w:t>
      </w:r>
      <w:r w:rsidR="00372D5F" w:rsidRPr="00B77FD2">
        <w:t>ommittee</w:t>
      </w:r>
      <w:r w:rsidR="00372D5F" w:rsidRPr="00576B86">
        <w:t xml:space="preserve"> </w:t>
      </w:r>
      <w:r w:rsidR="00F8223C" w:rsidRPr="00576B86">
        <w:t>include changing the word “may” to “shall” and consolidating the language to eliminate redundancies in the language.</w:t>
      </w:r>
    </w:p>
    <w:p w:rsidR="00B46706" w:rsidRDefault="00B46706" w:rsidP="00B46706">
      <w:bookmarkStart w:id="33" w:name="_Toc334183635"/>
      <w:r>
        <w:t>Any a</w:t>
      </w:r>
      <w:r w:rsidRPr="00762DFC">
        <w:t xml:space="preserve">dditional letters, presentations, and data </w:t>
      </w:r>
      <w:r>
        <w:t xml:space="preserve">that was </w:t>
      </w:r>
      <w:r w:rsidRPr="00762DFC">
        <w:t xml:space="preserve">submitted </w:t>
      </w:r>
      <w:r>
        <w:t xml:space="preserve">for consideration for this item is located in the S&amp;T Appendix </w:t>
      </w:r>
      <w:r w:rsidRPr="00B46706">
        <w:t>B</w:t>
      </w:r>
      <w:r w:rsidRPr="00762DFC">
        <w:rPr>
          <w:rStyle w:val="Hyperlink"/>
          <w:u w:val="none"/>
        </w:rPr>
        <w:t>.</w:t>
      </w:r>
      <w:r w:rsidRPr="00960D99">
        <w:t xml:space="preserve">  </w:t>
      </w:r>
    </w:p>
    <w:p w:rsidR="00800ADC" w:rsidRDefault="00800ADC" w:rsidP="0043528A">
      <w:pPr>
        <w:pStyle w:val="Heading1"/>
        <w:spacing w:after="0"/>
      </w:pPr>
      <w:r>
        <w:t>354</w:t>
      </w:r>
      <w:r>
        <w:tab/>
        <w:t>TAXIMETERS</w:t>
      </w:r>
      <w:bookmarkEnd w:id="33"/>
    </w:p>
    <w:p w:rsidR="00800ADC" w:rsidRDefault="00800ADC">
      <w:pPr>
        <w:pStyle w:val="ItemHeading"/>
      </w:pPr>
      <w:bookmarkStart w:id="34" w:name="_Toc334183636"/>
      <w:r>
        <w:t>354-1</w:t>
      </w:r>
      <w:r>
        <w:tab/>
      </w:r>
      <w:r w:rsidR="00655FE5">
        <w:t>D</w:t>
      </w:r>
      <w:r w:rsidR="00483607">
        <w:tab/>
      </w:r>
      <w:r>
        <w:t>S.5. Provision for Security Seals</w:t>
      </w:r>
      <w:bookmarkEnd w:id="34"/>
      <w:r>
        <w:t xml:space="preserve">  </w:t>
      </w:r>
    </w:p>
    <w:p w:rsidR="00483607" w:rsidRDefault="001E30BE" w:rsidP="00655FE5">
      <w:r>
        <w:t>T</w:t>
      </w:r>
      <w:r w:rsidRPr="006273B2">
        <w:rPr>
          <w:rFonts w:cs="Times New Roman"/>
        </w:rPr>
        <w:t>he 20</w:t>
      </w:r>
      <w:r>
        <w:rPr>
          <w:rFonts w:cs="Times New Roman"/>
        </w:rPr>
        <w:t>12</w:t>
      </w:r>
      <w:r w:rsidRPr="006273B2">
        <w:rPr>
          <w:rFonts w:cs="Times New Roman"/>
        </w:rPr>
        <w:t xml:space="preserve"> </w:t>
      </w:r>
      <w:r>
        <w:rPr>
          <w:rFonts w:cs="Times New Roman"/>
        </w:rPr>
        <w:t>S&amp;T</w:t>
      </w:r>
      <w:r w:rsidRPr="006273B2">
        <w:rPr>
          <w:rFonts w:cs="Times New Roman"/>
        </w:rPr>
        <w:t xml:space="preserve"> Committee designated this item as </w:t>
      </w:r>
      <w:r>
        <w:rPr>
          <w:rFonts w:cs="Times New Roman"/>
        </w:rPr>
        <w:t xml:space="preserve">a </w:t>
      </w:r>
      <w:r w:rsidRPr="006273B2">
        <w:rPr>
          <w:rFonts w:cs="Times New Roman"/>
        </w:rPr>
        <w:t>Developing</w:t>
      </w:r>
      <w:r>
        <w:rPr>
          <w:rFonts w:cs="Times New Roman"/>
        </w:rPr>
        <w:t xml:space="preserve"> Item</w:t>
      </w:r>
      <w:r w:rsidRPr="00C62956">
        <w:t xml:space="preserve"> </w:t>
      </w:r>
      <w:r>
        <w:t xml:space="preserve">and </w:t>
      </w:r>
      <w:r w:rsidR="00483607" w:rsidRPr="00C62956">
        <w:t>moved</w:t>
      </w:r>
      <w:r>
        <w:t xml:space="preserve"> it</w:t>
      </w:r>
      <w:r w:rsidR="00483607" w:rsidRPr="00C62956">
        <w:t xml:space="preserve"> to </w:t>
      </w:r>
      <w:r w:rsidR="00483607">
        <w:t xml:space="preserve">Section 360 </w:t>
      </w:r>
      <w:r w:rsidR="00483607" w:rsidRPr="00C62956">
        <w:t xml:space="preserve">Developing Items as Item 360-5. </w:t>
      </w:r>
    </w:p>
    <w:p w:rsidR="00F667DE" w:rsidRDefault="00F667DE">
      <w:pPr>
        <w:pStyle w:val="ItemHeading"/>
      </w:pPr>
      <w:bookmarkStart w:id="35" w:name="_Toc334183637"/>
      <w:r>
        <w:t>354-2</w:t>
      </w:r>
      <w:r>
        <w:tab/>
      </w:r>
      <w:r w:rsidR="00655FE5">
        <w:t>D</w:t>
      </w:r>
      <w:r w:rsidR="00655FE5">
        <w:tab/>
      </w:r>
      <w:r>
        <w:t>Global Positioning Systems Applications for Taximeters</w:t>
      </w:r>
      <w:bookmarkEnd w:id="35"/>
    </w:p>
    <w:p w:rsidR="00483607" w:rsidRDefault="001E30BE" w:rsidP="00655FE5">
      <w:r>
        <w:t>T</w:t>
      </w:r>
      <w:r w:rsidRPr="006273B2">
        <w:rPr>
          <w:rFonts w:cs="Times New Roman"/>
        </w:rPr>
        <w:t>he 20</w:t>
      </w:r>
      <w:r>
        <w:rPr>
          <w:rFonts w:cs="Times New Roman"/>
        </w:rPr>
        <w:t>12</w:t>
      </w:r>
      <w:r w:rsidRPr="006273B2">
        <w:rPr>
          <w:rFonts w:cs="Times New Roman"/>
        </w:rPr>
        <w:t xml:space="preserve"> </w:t>
      </w:r>
      <w:r>
        <w:rPr>
          <w:rFonts w:cs="Times New Roman"/>
        </w:rPr>
        <w:t>S&amp;T</w:t>
      </w:r>
      <w:r w:rsidRPr="006273B2">
        <w:rPr>
          <w:rFonts w:cs="Times New Roman"/>
        </w:rPr>
        <w:t xml:space="preserve"> Committee designated this item as </w:t>
      </w:r>
      <w:r>
        <w:rPr>
          <w:rFonts w:cs="Times New Roman"/>
        </w:rPr>
        <w:t xml:space="preserve">a </w:t>
      </w:r>
      <w:r w:rsidRPr="006273B2">
        <w:rPr>
          <w:rFonts w:cs="Times New Roman"/>
        </w:rPr>
        <w:t>Developing</w:t>
      </w:r>
      <w:r>
        <w:rPr>
          <w:rFonts w:cs="Times New Roman"/>
        </w:rPr>
        <w:t xml:space="preserve"> Item</w:t>
      </w:r>
      <w:r w:rsidRPr="00C62956">
        <w:t xml:space="preserve"> </w:t>
      </w:r>
      <w:r>
        <w:t>and</w:t>
      </w:r>
      <w:r w:rsidRPr="00C62956">
        <w:t xml:space="preserve"> moved </w:t>
      </w:r>
      <w:r>
        <w:t xml:space="preserve">it </w:t>
      </w:r>
      <w:r w:rsidRPr="00C62956">
        <w:t xml:space="preserve">to </w:t>
      </w:r>
      <w:r>
        <w:t xml:space="preserve">Section 360 </w:t>
      </w:r>
      <w:r w:rsidRPr="00C62956">
        <w:t xml:space="preserve">Developing Items as </w:t>
      </w:r>
      <w:r w:rsidR="00483607" w:rsidRPr="001B1BF9">
        <w:t>Item 360-</w:t>
      </w:r>
      <w:r w:rsidR="00483607">
        <w:t>6</w:t>
      </w:r>
      <w:r w:rsidR="00483607" w:rsidRPr="001B1BF9">
        <w:t xml:space="preserve">. </w:t>
      </w:r>
    </w:p>
    <w:p w:rsidR="00843509" w:rsidRDefault="00843509" w:rsidP="0043528A">
      <w:pPr>
        <w:pStyle w:val="Heading1"/>
        <w:spacing w:after="0"/>
      </w:pPr>
      <w:bookmarkStart w:id="36" w:name="_Toc334183638"/>
      <w:r>
        <w:t>356</w:t>
      </w:r>
      <w:r>
        <w:tab/>
        <w:t>GRAIN</w:t>
      </w:r>
      <w:r w:rsidR="006C4AB4">
        <w:t xml:space="preserve"> </w:t>
      </w:r>
      <w:r>
        <w:t>MOISTURE METERS</w:t>
      </w:r>
      <w:bookmarkEnd w:id="36"/>
    </w:p>
    <w:p w:rsidR="00843509" w:rsidRDefault="00843509">
      <w:pPr>
        <w:pStyle w:val="ItemHeading"/>
      </w:pPr>
      <w:bookmarkStart w:id="37" w:name="_Toc334183639"/>
      <w:r>
        <w:t>356-1</w:t>
      </w:r>
      <w:r>
        <w:tab/>
      </w:r>
      <w:r w:rsidR="00483607">
        <w:t>I</w:t>
      </w:r>
      <w:r w:rsidR="00483607">
        <w:tab/>
      </w:r>
      <w:r>
        <w:t>UR.3.4. Printed Tickets</w:t>
      </w:r>
      <w:bookmarkEnd w:id="37"/>
    </w:p>
    <w:p w:rsidR="00843509" w:rsidRDefault="00843509" w:rsidP="00811C3A">
      <w:pPr>
        <w:pStyle w:val="BoldHeading"/>
        <w:spacing w:after="0"/>
      </w:pPr>
      <w:r>
        <w:t xml:space="preserve">Source: </w:t>
      </w:r>
      <w:r>
        <w:tab/>
      </w:r>
    </w:p>
    <w:p w:rsidR="00843509" w:rsidRDefault="00843509" w:rsidP="00843509">
      <w:r>
        <w:t>Grain and Feed Association of Illinois</w:t>
      </w:r>
      <w:r w:rsidR="0015610D">
        <w:t xml:space="preserve"> (2012)</w:t>
      </w:r>
    </w:p>
    <w:p w:rsidR="00843509" w:rsidRDefault="00843509" w:rsidP="00811C3A">
      <w:pPr>
        <w:pStyle w:val="BoldHeading"/>
        <w:spacing w:after="0"/>
      </w:pPr>
      <w:r>
        <w:t xml:space="preserve">Purpose: </w:t>
      </w:r>
    </w:p>
    <w:p w:rsidR="00655FE5" w:rsidRDefault="00843509" w:rsidP="00655FE5">
      <w:r>
        <w:t>Change the mandatory printing of tickets from grain moisture meters to an “on demand at the time of transaction” printing and remove the requirement of printing the calibration version identification.</w:t>
      </w:r>
      <w:r w:rsidR="00483607">
        <w:t xml:space="preserve">  Note that the </w:t>
      </w:r>
      <w:r w:rsidR="00715ED5">
        <w:t xml:space="preserve">Committee </w:t>
      </w:r>
      <w:r w:rsidR="00483607">
        <w:t xml:space="preserve">did not agree with proposed removal of the requirement to print the calibration version identification; this position is reflected in the version of the proposal currently under </w:t>
      </w:r>
      <w:r w:rsidR="00031444">
        <w:t>consideration by the committee.</w:t>
      </w:r>
    </w:p>
    <w:p w:rsidR="00843509" w:rsidRDefault="00843509" w:rsidP="00811C3A">
      <w:pPr>
        <w:pStyle w:val="BoldHeading"/>
        <w:spacing w:after="0"/>
      </w:pPr>
      <w:r>
        <w:t xml:space="preserve">Item Under Consideration: </w:t>
      </w:r>
    </w:p>
    <w:p w:rsidR="00843509" w:rsidRDefault="00843509" w:rsidP="00843509">
      <w:r>
        <w:t xml:space="preserve">Amend </w:t>
      </w:r>
      <w:r w:rsidRPr="00811C3A">
        <w:t>NIST Handbook 44</w:t>
      </w:r>
      <w:r w:rsidR="00031444">
        <w:t xml:space="preserve">, </w:t>
      </w:r>
      <w:r>
        <w:t>Grain Moisture Meter Code 5.56.</w:t>
      </w:r>
      <w:r w:rsidR="00730D6C">
        <w:t>(a)</w:t>
      </w:r>
      <w:r>
        <w:t xml:space="preserve"> as follows:</w:t>
      </w:r>
    </w:p>
    <w:p w:rsidR="00843509" w:rsidRPr="00843509" w:rsidRDefault="00843509" w:rsidP="00811C3A">
      <w:pPr>
        <w:pStyle w:val="I-Normalreg"/>
        <w:tabs>
          <w:tab w:val="left" w:pos="1260"/>
        </w:tabs>
        <w:rPr>
          <w:b/>
        </w:rPr>
      </w:pPr>
      <w:r w:rsidRPr="00843509">
        <w:rPr>
          <w:b/>
        </w:rPr>
        <w:t>UR.3.4</w:t>
      </w:r>
      <w:r w:rsidR="00730D6C" w:rsidRPr="00843509">
        <w:rPr>
          <w:b/>
        </w:rPr>
        <w:t>.</w:t>
      </w:r>
      <w:r w:rsidR="00730D6C">
        <w:rPr>
          <w:b/>
        </w:rPr>
        <w:tab/>
      </w:r>
      <w:r w:rsidRPr="00843509">
        <w:rPr>
          <w:b/>
        </w:rPr>
        <w:t>Printed Tickets.</w:t>
      </w:r>
    </w:p>
    <w:p w:rsidR="00843509" w:rsidRDefault="00843509" w:rsidP="00730D6C">
      <w:pPr>
        <w:pStyle w:val="I-LetterAIndent1"/>
        <w:ind w:left="1080"/>
      </w:pPr>
      <w:r>
        <w:t>(a)</w:t>
      </w:r>
      <w:r>
        <w:tab/>
        <w:t>Printed tickets shall be free from any previous indication of moisture content or type of grain or seed selected.</w:t>
      </w:r>
    </w:p>
    <w:p w:rsidR="00031444" w:rsidRPr="00A87BB4" w:rsidRDefault="00031444" w:rsidP="00811C3A">
      <w:pPr>
        <w:pStyle w:val="I-LetterAIndent1"/>
        <w:spacing w:after="60"/>
        <w:ind w:left="1080"/>
      </w:pPr>
      <w:r>
        <w:t>(b)</w:t>
      </w:r>
      <w:r>
        <w:tab/>
      </w:r>
      <w:r w:rsidRPr="002911BA">
        <w:t xml:space="preserve">The customer shall be given a printed ticket </w:t>
      </w:r>
      <w:r w:rsidRPr="002911BA">
        <w:rPr>
          <w:b/>
          <w:u w:val="single"/>
        </w:rPr>
        <w:t>at the time of the transaction</w:t>
      </w:r>
      <w:r w:rsidRPr="002911BA">
        <w:rPr>
          <w:u w:val="single"/>
        </w:rPr>
        <w:t xml:space="preserve"> </w:t>
      </w:r>
      <w:r w:rsidRPr="002911BA">
        <w:rPr>
          <w:b/>
          <w:bCs/>
          <w:u w:val="single"/>
        </w:rPr>
        <w:t>or as otherwise specified by the customer.</w:t>
      </w:r>
      <w:r w:rsidRPr="002911BA">
        <w:rPr>
          <w:b/>
          <w:bCs/>
        </w:rPr>
        <w:t xml:space="preserve"> </w:t>
      </w:r>
      <w:r w:rsidR="00730D6C">
        <w:rPr>
          <w:b/>
          <w:bCs/>
        </w:rPr>
        <w:t xml:space="preserve"> </w:t>
      </w:r>
      <w:r w:rsidRPr="002911BA">
        <w:t xml:space="preserve">The printed ticket shall include the date, grain type, grain moisture results, </w:t>
      </w:r>
      <w:r w:rsidRPr="00655FE5">
        <w:rPr>
          <w:b/>
          <w:strike/>
        </w:rPr>
        <w:t>and</w:t>
      </w:r>
      <w:r w:rsidRPr="002911BA">
        <w:t xml:space="preserve"> test weight per</w:t>
      </w:r>
      <w:r w:rsidRPr="002911BA">
        <w:rPr>
          <w:b/>
          <w:bCs/>
        </w:rPr>
        <w:t xml:space="preserve"> </w:t>
      </w:r>
      <w:r w:rsidRPr="002911BA">
        <w:t>bushel</w:t>
      </w:r>
      <w:r w:rsidRPr="002911BA">
        <w:rPr>
          <w:b/>
          <w:bCs/>
        </w:rPr>
        <w:t xml:space="preserve">, </w:t>
      </w:r>
      <w:r w:rsidRPr="002911BA">
        <w:rPr>
          <w:bCs/>
        </w:rPr>
        <w:t>and calibration version identification</w:t>
      </w:r>
      <w:r w:rsidRPr="002911BA">
        <w:rPr>
          <w:b/>
          <w:bCs/>
        </w:rPr>
        <w:t xml:space="preserve">. </w:t>
      </w:r>
      <w:r w:rsidR="00730D6C">
        <w:rPr>
          <w:b/>
          <w:bCs/>
        </w:rPr>
        <w:t xml:space="preserve"> </w:t>
      </w:r>
      <w:r w:rsidRPr="002911BA">
        <w:t xml:space="preserve">The ticket </w:t>
      </w:r>
      <w:r w:rsidRPr="002911BA">
        <w:rPr>
          <w:b/>
          <w:bCs/>
          <w:u w:val="single"/>
        </w:rPr>
        <w:t>information</w:t>
      </w:r>
      <w:r w:rsidRPr="002911BA">
        <w:rPr>
          <w:b/>
          <w:bCs/>
        </w:rPr>
        <w:t xml:space="preserve"> </w:t>
      </w:r>
      <w:r w:rsidRPr="002911BA">
        <w:t>shall be generated by the grain</w:t>
      </w:r>
      <w:r w:rsidRPr="002911BA">
        <w:rPr>
          <w:b/>
          <w:bCs/>
        </w:rPr>
        <w:t xml:space="preserve"> </w:t>
      </w:r>
      <w:r>
        <w:t>moisture meter system.</w:t>
      </w:r>
    </w:p>
    <w:p w:rsidR="00843509" w:rsidRDefault="00843509" w:rsidP="00843509">
      <w:pPr>
        <w:pStyle w:val="I-Normalreg"/>
      </w:pPr>
      <w:r>
        <w:t xml:space="preserve">(Amended 1993, 1995, </w:t>
      </w:r>
      <w:r w:rsidRPr="00DF76C5">
        <w:rPr>
          <w:b/>
          <w:strike/>
        </w:rPr>
        <w:t>and</w:t>
      </w:r>
      <w:r>
        <w:t xml:space="preserve"> 2003</w:t>
      </w:r>
      <w:r w:rsidRPr="00DF76C5">
        <w:rPr>
          <w:b/>
          <w:u w:val="single"/>
        </w:rPr>
        <w:t>, and 20XX</w:t>
      </w:r>
      <w:r>
        <w:t>)</w:t>
      </w:r>
    </w:p>
    <w:p w:rsidR="00843509" w:rsidRDefault="00843509" w:rsidP="00811C3A">
      <w:pPr>
        <w:pStyle w:val="BoldHeading"/>
        <w:keepNext/>
        <w:spacing w:after="0"/>
      </w:pPr>
      <w:r>
        <w:t>Background/Discussion:</w:t>
      </w:r>
    </w:p>
    <w:p w:rsidR="00843509" w:rsidRDefault="00031444" w:rsidP="00730D6C">
      <w:r>
        <w:t xml:space="preserve">According to the submitter, the </w:t>
      </w:r>
      <w:r w:rsidR="00843509">
        <w:t xml:space="preserve">user requirement to provide a printed ticket for every single load is unrealistic in </w:t>
      </w:r>
      <w:r w:rsidR="00DF76C5">
        <w:t xml:space="preserve">the country elevator industry.  </w:t>
      </w:r>
      <w:r w:rsidR="00843509">
        <w:t xml:space="preserve">Traffic patterns at country elevators do not lend themselves to providing a printed ticket </w:t>
      </w:r>
      <w:r w:rsidR="00843509">
        <w:lastRenderedPageBreak/>
        <w:t>to all customers and</w:t>
      </w:r>
      <w:r>
        <w:t xml:space="preserve"> customers</w:t>
      </w:r>
      <w:r w:rsidR="00843509">
        <w:t xml:space="preserve"> really don’t want them.  As the speed and capacity increases in the industry, outbound scales are being located at a distance from the inbound scale and the scale house where the moisture tester is located to alleviate traffic bottlenecks.  </w:t>
      </w:r>
      <w:r>
        <w:t xml:space="preserve"> When</w:t>
      </w:r>
      <w:r w:rsidR="00843509">
        <w:t xml:space="preserve"> the outbound scale </w:t>
      </w:r>
      <w:r>
        <w:t xml:space="preserve">is located </w:t>
      </w:r>
      <w:r w:rsidR="00843509">
        <w:t>away from where the ticket is printed</w:t>
      </w:r>
      <w:r>
        <w:t>,</w:t>
      </w:r>
      <w:r w:rsidR="00843509">
        <w:t xml:space="preserve"> the truck driver </w:t>
      </w:r>
      <w:r>
        <w:t xml:space="preserve">must </w:t>
      </w:r>
      <w:r w:rsidR="00843509">
        <w:t>circle back around to pick up the ticket</w:t>
      </w:r>
      <w:r>
        <w:t>, thus,</w:t>
      </w:r>
      <w:r w:rsidR="00843509">
        <w:t xml:space="preserve"> causing logistical problems.  In addition, since meters are sealed, inspected and required to have the correct calibration, there is no need for the calibration version identification to be printed on the ticket.  Also, most customers are not going to know if it is the correct calibration </w:t>
      </w:r>
      <w:r w:rsidR="00DF76C5">
        <w:t xml:space="preserve">version identification or not.  </w:t>
      </w:r>
      <w:r w:rsidR="00843509">
        <w:t xml:space="preserve">There have been problems getting the information from the grain moisture </w:t>
      </w:r>
      <w:r w:rsidR="006B336F">
        <w:t>meter</w:t>
      </w:r>
      <w:r w:rsidR="00843509">
        <w:t xml:space="preserve"> to the grain accounting system – especially the calibration version identification.  Some grain accounting systems have </w:t>
      </w:r>
      <w:r w:rsidR="006B336F">
        <w:t xml:space="preserve">to be </w:t>
      </w:r>
      <w:r w:rsidR="00843509">
        <w:t>“hard code</w:t>
      </w:r>
      <w:r w:rsidR="006B336F">
        <w:t>d</w:t>
      </w:r>
      <w:r w:rsidR="00843509">
        <w:t xml:space="preserve">” </w:t>
      </w:r>
      <w:r w:rsidR="006B336F">
        <w:t>for</w:t>
      </w:r>
      <w:r w:rsidR="00843509">
        <w:t xml:space="preserve"> calibration version identification which </w:t>
      </w:r>
      <w:r w:rsidR="006B336F">
        <w:t>must</w:t>
      </w:r>
      <w:r w:rsidR="00843509">
        <w:t xml:space="preserve"> be changed whenever the calibration changes.  The change will be at an added cost for the industry.</w:t>
      </w:r>
    </w:p>
    <w:p w:rsidR="00843509" w:rsidRDefault="00843509" w:rsidP="00811C3A">
      <w:r>
        <w:t>When a consumer pays at a gas pump, they have the option of a receipt on demand at the time of transaction or not receiving a rec</w:t>
      </w:r>
      <w:r w:rsidR="006B336F">
        <w:t>eipt.  There would</w:t>
      </w:r>
      <w:r>
        <w:t xml:space="preserve"> be a cost savings to moisture meter users as they w</w:t>
      </w:r>
      <w:r w:rsidR="006B336F">
        <w:t>ould</w:t>
      </w:r>
      <w:r>
        <w:t xml:space="preserve"> save on paper</w:t>
      </w:r>
      <w:r w:rsidR="00031444">
        <w:t xml:space="preserve"> and</w:t>
      </w:r>
      <w:r>
        <w:t xml:space="preserve"> filing space</w:t>
      </w:r>
      <w:r w:rsidR="00031444">
        <w:t>,</w:t>
      </w:r>
      <w:r>
        <w:t xml:space="preserve"> and in the situation where the calibration version identification is “hard coded</w:t>
      </w:r>
      <w:r w:rsidR="005B2FC4">
        <w:t>,</w:t>
      </w:r>
      <w:r>
        <w:t>” there will be a cost savings of the expense to have the grain accounting software provider make those changes.</w:t>
      </w:r>
    </w:p>
    <w:p w:rsidR="00843509" w:rsidRDefault="00843509" w:rsidP="00730D6C">
      <w:r>
        <w:t xml:space="preserve">Since moisture </w:t>
      </w:r>
      <w:r w:rsidR="006B336F">
        <w:t>meters</w:t>
      </w:r>
      <w:r>
        <w:t xml:space="preserve"> are capable of printing the ticket, some would argue that they should just go ahead and print them and provide them to the customer.  In addition, the requirement does not say when the ticket shall be given to the customer</w:t>
      </w:r>
      <w:r w:rsidR="00031444">
        <w:t>; thus, the printed tickets</w:t>
      </w:r>
      <w:r>
        <w:t xml:space="preserve"> could be saved for weeks, months</w:t>
      </w:r>
      <w:r w:rsidR="00031444">
        <w:t>,</w:t>
      </w:r>
      <w:r>
        <w:t xml:space="preserve"> or even years in case the customer had a concern at some point.  Printing the calibration version identification </w:t>
      </w:r>
      <w:r w:rsidR="006B336F">
        <w:t>e</w:t>
      </w:r>
      <w:r>
        <w:t>nsures the correct calibration is being used.</w:t>
      </w:r>
    </w:p>
    <w:p w:rsidR="00031444" w:rsidRPr="002911BA" w:rsidRDefault="00031444" w:rsidP="00031444">
      <w:r>
        <w:t xml:space="preserve">The submitter proposed </w:t>
      </w:r>
      <w:r w:rsidRPr="002911BA">
        <w:t>amendments to paragraph UR.3.4. Printed Tickets as follows:</w:t>
      </w:r>
    </w:p>
    <w:p w:rsidR="00031444" w:rsidRPr="00C62956" w:rsidRDefault="00031444" w:rsidP="00811C3A">
      <w:pPr>
        <w:pStyle w:val="I-Normalreg"/>
        <w:tabs>
          <w:tab w:val="left" w:pos="1260"/>
        </w:tabs>
        <w:rPr>
          <w:b/>
        </w:rPr>
      </w:pPr>
      <w:r w:rsidRPr="00C62956">
        <w:rPr>
          <w:b/>
        </w:rPr>
        <w:t>UR.3.4</w:t>
      </w:r>
      <w:r w:rsidR="00730D6C" w:rsidRPr="00C62956">
        <w:rPr>
          <w:b/>
        </w:rPr>
        <w:t>.</w:t>
      </w:r>
      <w:r w:rsidR="00730D6C">
        <w:rPr>
          <w:b/>
        </w:rPr>
        <w:tab/>
      </w:r>
      <w:r w:rsidRPr="00C62956">
        <w:rPr>
          <w:b/>
        </w:rPr>
        <w:t>Printed Tickets.</w:t>
      </w:r>
    </w:p>
    <w:p w:rsidR="00031444" w:rsidRPr="00C62956" w:rsidRDefault="00031444" w:rsidP="00730D6C">
      <w:pPr>
        <w:pStyle w:val="I-LetterAIndent1"/>
        <w:ind w:left="1080"/>
      </w:pPr>
      <w:r w:rsidRPr="00C62956">
        <w:t>(a)</w:t>
      </w:r>
      <w:r w:rsidRPr="00C62956">
        <w:tab/>
        <w:t>Printed tickets shall be free from any previous indication of moisture content or type of grain or seed selected.</w:t>
      </w:r>
    </w:p>
    <w:p w:rsidR="00031444" w:rsidRPr="00C62956" w:rsidRDefault="00031444" w:rsidP="00811C3A">
      <w:pPr>
        <w:pStyle w:val="I-LetterAIndent1"/>
        <w:spacing w:after="60"/>
        <w:ind w:left="1080"/>
      </w:pPr>
      <w:r w:rsidRPr="00C62956">
        <w:t>(b)</w:t>
      </w:r>
      <w:r w:rsidRPr="00C62956">
        <w:tab/>
        <w:t xml:space="preserve">The customer shall be given a printed ticket </w:t>
      </w:r>
      <w:r w:rsidRPr="00C62956">
        <w:rPr>
          <w:b/>
          <w:u w:val="single"/>
        </w:rPr>
        <w:t>on demand at the time of the transaction</w:t>
      </w:r>
      <w:r w:rsidRPr="00C62956">
        <w:t xml:space="preserve"> showing the date, grain type, grain moisture results, test weight per bushel, </w:t>
      </w:r>
      <w:r w:rsidRPr="00C62956">
        <w:rPr>
          <w:b/>
          <w:strike/>
        </w:rPr>
        <w:t>and calibration version identification</w:t>
      </w:r>
      <w:r w:rsidRPr="00C62956">
        <w:t xml:space="preserve">.  The ticket </w:t>
      </w:r>
      <w:r w:rsidRPr="00C62956">
        <w:rPr>
          <w:b/>
          <w:u w:val="single"/>
        </w:rPr>
        <w:t>information</w:t>
      </w:r>
      <w:r w:rsidRPr="00C62956">
        <w:t xml:space="preserve"> shall be generated by the grain moisture meter system.</w:t>
      </w:r>
    </w:p>
    <w:p w:rsidR="00031444" w:rsidRPr="00C62956" w:rsidRDefault="00031444" w:rsidP="00031444">
      <w:pPr>
        <w:pStyle w:val="I-Normalreg"/>
      </w:pPr>
      <w:r w:rsidRPr="00C62956">
        <w:t xml:space="preserve">(Amended 1993, 1995, </w:t>
      </w:r>
      <w:r w:rsidRPr="00C62956">
        <w:rPr>
          <w:b/>
          <w:strike/>
        </w:rPr>
        <w:t>and</w:t>
      </w:r>
      <w:r w:rsidRPr="00C62956">
        <w:t xml:space="preserve"> 2003</w:t>
      </w:r>
      <w:r w:rsidRPr="00C62956">
        <w:rPr>
          <w:b/>
          <w:u w:val="single"/>
        </w:rPr>
        <w:t>, and 20XX</w:t>
      </w:r>
      <w:r w:rsidRPr="00C62956">
        <w:t>)</w:t>
      </w:r>
    </w:p>
    <w:p w:rsidR="00843509" w:rsidRDefault="00843509" w:rsidP="00843509">
      <w:r>
        <w:t>At the 2011 CWMA Interim Meeting</w:t>
      </w:r>
      <w:r w:rsidR="00730D6C">
        <w:t>,</w:t>
      </w:r>
      <w:r>
        <w:t xml:space="preserve"> some jurisdictions opposed the </w:t>
      </w:r>
      <w:r w:rsidR="00031444">
        <w:t xml:space="preserve">proposal </w:t>
      </w:r>
      <w:r>
        <w:t xml:space="preserve">citing that it is a fundamental element of a point of sale transaction that there is either a witness to the transaction or that a receipt is </w:t>
      </w:r>
      <w:r w:rsidR="00031444">
        <w:t xml:space="preserve">made </w:t>
      </w:r>
      <w:r>
        <w:t xml:space="preserve">available.  Others supported the item and recognized that many customers refuse to take the printed tickets.  The </w:t>
      </w:r>
      <w:r w:rsidR="00031444">
        <w:t xml:space="preserve">CWMA </w:t>
      </w:r>
      <w:r>
        <w:t>believes that the calibration version identification is not necessary on the ticket since most jurisdictions are already verifying the calibrations version when the device is inspected.</w:t>
      </w:r>
      <w:r w:rsidR="00DF76C5">
        <w:t xml:space="preserve"> </w:t>
      </w:r>
      <w:r>
        <w:t xml:space="preserve"> This proposal is not eliminating the opportunity for the seller to obtain a printed ticket.  </w:t>
      </w:r>
      <w:r w:rsidR="006B336F">
        <w:t xml:space="preserve">CWMA </w:t>
      </w:r>
      <w:r w:rsidR="006B336F" w:rsidRPr="006273B2">
        <w:rPr>
          <w:rFonts w:cs="Times New Roman"/>
        </w:rPr>
        <w:t>forward</w:t>
      </w:r>
      <w:r w:rsidR="006B336F">
        <w:rPr>
          <w:rFonts w:cs="Times New Roman"/>
        </w:rPr>
        <w:t>ed</w:t>
      </w:r>
      <w:r w:rsidR="006B336F" w:rsidRPr="006273B2">
        <w:rPr>
          <w:rFonts w:cs="Times New Roman"/>
        </w:rPr>
        <w:t xml:space="preserve"> the item to NCWM</w:t>
      </w:r>
      <w:r w:rsidR="006B336F">
        <w:rPr>
          <w:rFonts w:cs="Times New Roman"/>
        </w:rPr>
        <w:t xml:space="preserve">, recommending it </w:t>
      </w:r>
      <w:r w:rsidR="006B336F" w:rsidRPr="006273B2">
        <w:rPr>
          <w:rFonts w:cs="Times New Roman"/>
        </w:rPr>
        <w:t>as a Voting Item</w:t>
      </w:r>
      <w:r>
        <w:t>.</w:t>
      </w:r>
    </w:p>
    <w:p w:rsidR="00843509" w:rsidRDefault="00843509" w:rsidP="00843509">
      <w:r>
        <w:t>At the 2011 WWMA Annual Meeting</w:t>
      </w:r>
      <w:r w:rsidR="00730D6C">
        <w:t>,</w:t>
      </w:r>
      <w:r>
        <w:t xml:space="preserve"> the </w:t>
      </w:r>
      <w:r w:rsidR="00372D5F">
        <w:t xml:space="preserve">Committee </w:t>
      </w:r>
      <w:r>
        <w:t xml:space="preserve">heard no comments on this item.  The </w:t>
      </w:r>
      <w:r w:rsidR="00031444">
        <w:t xml:space="preserve">WWMA </w:t>
      </w:r>
      <w:r>
        <w:t xml:space="preserve">amended </w:t>
      </w:r>
      <w:r w:rsidR="00031444">
        <w:t xml:space="preserve">the </w:t>
      </w:r>
      <w:r>
        <w:t>proposal to make the language consistent with other codes such as 3.32</w:t>
      </w:r>
      <w:r w:rsidR="00031444">
        <w:t>.</w:t>
      </w:r>
      <w:r w:rsidR="00031444" w:rsidRPr="00C62956">
        <w:t xml:space="preserve"> LPG and Anhydrous Ammonia Liquid-Measuring Devices Code paragraph</w:t>
      </w:r>
      <w:r>
        <w:t xml:space="preserve"> UR.2.6. Ticket Printer: Customer Tickets</w:t>
      </w:r>
      <w:r w:rsidR="006B336F">
        <w:t xml:space="preserve">.  WWMA </w:t>
      </w:r>
      <w:r w:rsidR="006B336F" w:rsidRPr="006273B2">
        <w:rPr>
          <w:rFonts w:cs="Times New Roman"/>
        </w:rPr>
        <w:t>forward</w:t>
      </w:r>
      <w:r w:rsidR="006B336F">
        <w:rPr>
          <w:rFonts w:cs="Times New Roman"/>
        </w:rPr>
        <w:t>ed</w:t>
      </w:r>
      <w:r w:rsidR="006B336F" w:rsidRPr="006273B2">
        <w:rPr>
          <w:rFonts w:cs="Times New Roman"/>
        </w:rPr>
        <w:t xml:space="preserve"> the </w:t>
      </w:r>
      <w:r w:rsidR="006B336F">
        <w:rPr>
          <w:rFonts w:cs="Times New Roman"/>
        </w:rPr>
        <w:t>modified version below</w:t>
      </w:r>
      <w:r w:rsidR="006B336F" w:rsidRPr="006273B2">
        <w:rPr>
          <w:rFonts w:cs="Times New Roman"/>
        </w:rPr>
        <w:t xml:space="preserve"> to NCWM</w:t>
      </w:r>
      <w:r w:rsidR="006B336F">
        <w:rPr>
          <w:rFonts w:cs="Times New Roman"/>
        </w:rPr>
        <w:t xml:space="preserve">, recommending it </w:t>
      </w:r>
      <w:r w:rsidR="006B336F" w:rsidRPr="006273B2">
        <w:rPr>
          <w:rFonts w:cs="Times New Roman"/>
        </w:rPr>
        <w:t>as a Voting Item</w:t>
      </w:r>
      <w:r>
        <w:t xml:space="preserve">.  </w:t>
      </w:r>
    </w:p>
    <w:p w:rsidR="00843509" w:rsidRPr="00DF76C5" w:rsidRDefault="00843509" w:rsidP="00811C3A">
      <w:pPr>
        <w:pStyle w:val="I-Normalreg"/>
        <w:tabs>
          <w:tab w:val="left" w:pos="1260"/>
        </w:tabs>
        <w:rPr>
          <w:b/>
        </w:rPr>
      </w:pPr>
      <w:r w:rsidRPr="00DF76C5">
        <w:rPr>
          <w:b/>
        </w:rPr>
        <w:t xml:space="preserve">UR.3.4. </w:t>
      </w:r>
      <w:r w:rsidR="00730D6C">
        <w:rPr>
          <w:b/>
        </w:rPr>
        <w:tab/>
      </w:r>
      <w:r w:rsidRPr="00DF76C5">
        <w:rPr>
          <w:b/>
        </w:rPr>
        <w:t>Printed Tickets.</w:t>
      </w:r>
    </w:p>
    <w:p w:rsidR="00290C90" w:rsidRDefault="00843509" w:rsidP="00730D6C">
      <w:pPr>
        <w:pStyle w:val="I-LetterAIndent1"/>
        <w:ind w:left="1080"/>
      </w:pPr>
      <w:r>
        <w:t>(a)</w:t>
      </w:r>
      <w:r>
        <w:tab/>
        <w:t>Printed tickets shall be free from any previous indication of moisture content or type of grain or seed selected.</w:t>
      </w:r>
    </w:p>
    <w:p w:rsidR="00843509" w:rsidRDefault="00843509" w:rsidP="00811C3A">
      <w:pPr>
        <w:pStyle w:val="I-LetterAIndent1"/>
        <w:spacing w:after="60"/>
        <w:ind w:left="1080"/>
      </w:pPr>
      <w:r>
        <w:t>(b)</w:t>
      </w:r>
      <w:r>
        <w:tab/>
        <w:t xml:space="preserve">The customer shall be given a printed ticket </w:t>
      </w:r>
      <w:r w:rsidRPr="00DF76C5">
        <w:rPr>
          <w:b/>
          <w:strike/>
        </w:rPr>
        <w:t>showing</w:t>
      </w:r>
      <w:r>
        <w:t xml:space="preserve"> </w:t>
      </w:r>
      <w:r w:rsidRPr="00DF76C5">
        <w:rPr>
          <w:b/>
          <w:u w:val="single"/>
        </w:rPr>
        <w:t>at the time of the transaction or as otherwise specified by the customer.  The printed ticket shall include</w:t>
      </w:r>
      <w:r>
        <w:t xml:space="preserve"> the date, grain type, grain moisture results, </w:t>
      </w:r>
      <w:r w:rsidRPr="00DF76C5">
        <w:rPr>
          <w:b/>
          <w:u w:val="single"/>
        </w:rPr>
        <w:t>and</w:t>
      </w:r>
      <w:r>
        <w:t xml:space="preserve"> test weight per bushel, </w:t>
      </w:r>
      <w:r w:rsidRPr="00DF76C5">
        <w:rPr>
          <w:b/>
          <w:strike/>
        </w:rPr>
        <w:t>and calibration version identification</w:t>
      </w:r>
      <w:r>
        <w:t xml:space="preserve">.  The ticket </w:t>
      </w:r>
      <w:r w:rsidRPr="00DF76C5">
        <w:rPr>
          <w:b/>
          <w:u w:val="single"/>
        </w:rPr>
        <w:t>information</w:t>
      </w:r>
      <w:r>
        <w:t xml:space="preserve"> shall be generated by the grain moisture meter system.</w:t>
      </w:r>
    </w:p>
    <w:p w:rsidR="00843509" w:rsidRDefault="00843509" w:rsidP="00DF76C5">
      <w:pPr>
        <w:pStyle w:val="I-Normalreg"/>
      </w:pPr>
      <w:r>
        <w:lastRenderedPageBreak/>
        <w:t xml:space="preserve">(Amended 1993, 1995, </w:t>
      </w:r>
      <w:r w:rsidRPr="00DF76C5">
        <w:rPr>
          <w:b/>
          <w:strike/>
        </w:rPr>
        <w:t>and</w:t>
      </w:r>
      <w:r>
        <w:t xml:space="preserve"> 2003</w:t>
      </w:r>
      <w:r w:rsidRPr="00DF76C5">
        <w:rPr>
          <w:b/>
          <w:u w:val="single"/>
        </w:rPr>
        <w:t>, and 20XX</w:t>
      </w:r>
      <w:r>
        <w:t>)</w:t>
      </w:r>
    </w:p>
    <w:p w:rsidR="00843509" w:rsidRDefault="006B336F" w:rsidP="00843509">
      <w:r>
        <w:t>A</w:t>
      </w:r>
      <w:r w:rsidR="00031444" w:rsidRPr="00C62956">
        <w:t xml:space="preserve">t </w:t>
      </w:r>
      <w:r>
        <w:t>the</w:t>
      </w:r>
      <w:r w:rsidR="00031444">
        <w:t xml:space="preserve"> </w:t>
      </w:r>
      <w:r w:rsidR="00843509">
        <w:t xml:space="preserve">2011 </w:t>
      </w:r>
      <w:r>
        <w:t xml:space="preserve">NEWMA </w:t>
      </w:r>
      <w:r w:rsidR="00843509">
        <w:t xml:space="preserve">Interim Meeting </w:t>
      </w:r>
      <w:r>
        <w:t>there were no comments.  D</w:t>
      </w:r>
      <w:r w:rsidR="00031444" w:rsidRPr="00C62956">
        <w:t xml:space="preserve">eferring to the expertise of the Grain Analyzer Sector, </w:t>
      </w:r>
      <w:r>
        <w:t xml:space="preserve">NEWMA </w:t>
      </w:r>
      <w:r w:rsidRPr="006273B2">
        <w:rPr>
          <w:rFonts w:cs="Times New Roman"/>
        </w:rPr>
        <w:t>fo</w:t>
      </w:r>
      <w:r>
        <w:rPr>
          <w:rFonts w:cs="Times New Roman"/>
        </w:rPr>
        <w:t>rwarded the item to NCWM, recommending it as a Developing</w:t>
      </w:r>
      <w:r w:rsidRPr="006273B2">
        <w:rPr>
          <w:rFonts w:cs="Times New Roman"/>
        </w:rPr>
        <w:t xml:space="preserve"> Item</w:t>
      </w:r>
      <w:r w:rsidR="00843509">
        <w:t>.</w:t>
      </w:r>
    </w:p>
    <w:p w:rsidR="00843509" w:rsidRDefault="00843509" w:rsidP="00843509">
      <w:r>
        <w:t xml:space="preserve">At the 2011 SWMA Annual Meeting, Ms. Butcher, </w:t>
      </w:r>
      <w:r w:rsidR="00DF76C5">
        <w:t xml:space="preserve">NIST Technical Advisor, </w:t>
      </w:r>
      <w:r>
        <w:t>noted that the proposed language submitted was slightly different from that discussed by the NTETC Grain Analyzer Sector</w:t>
      </w:r>
      <w:r w:rsidR="00F96E42">
        <w:t xml:space="preserve"> </w:t>
      </w:r>
      <w:r w:rsidR="00F96E42" w:rsidRPr="00C62956">
        <w:t xml:space="preserve">and provided a summary </w:t>
      </w:r>
      <w:r w:rsidR="00F96E42">
        <w:t>corresponding to this item prepared by</w:t>
      </w:r>
      <w:r w:rsidR="00F96E42" w:rsidRPr="00C62956">
        <w:t xml:space="preserve"> </w:t>
      </w:r>
      <w:r w:rsidR="00F96E42">
        <w:t xml:space="preserve">Ms. </w:t>
      </w:r>
      <w:r w:rsidR="00F96E42" w:rsidRPr="00C62956">
        <w:t>Lee, Grain Analyzer Sector Technical Advisor.  Ms. Butcher also</w:t>
      </w:r>
      <w:r w:rsidR="005B2FC4">
        <w:t xml:space="preserve"> </w:t>
      </w:r>
      <w:r>
        <w:t xml:space="preserve">pointed out that WWMA proposed alternate language </w:t>
      </w:r>
      <w:r w:rsidR="0015610D">
        <w:t xml:space="preserve">that </w:t>
      </w:r>
      <w:r w:rsidR="006B336F">
        <w:t xml:space="preserve">is consistent with </w:t>
      </w:r>
      <w:r>
        <w:t>printed tickets</w:t>
      </w:r>
      <w:r w:rsidR="006B336F">
        <w:t xml:space="preserve"> requirements</w:t>
      </w:r>
      <w:r>
        <w:t xml:space="preserve"> in</w:t>
      </w:r>
      <w:r w:rsidR="00F96E42">
        <w:t xml:space="preserve"> other Codes</w:t>
      </w:r>
      <w:r>
        <w:t xml:space="preserve">.  </w:t>
      </w:r>
      <w:r w:rsidR="00F96E42">
        <w:t xml:space="preserve">SWMA agreed that </w:t>
      </w:r>
      <w:r w:rsidR="005B2FC4">
        <w:t xml:space="preserve">the </w:t>
      </w:r>
      <w:r>
        <w:t xml:space="preserve">customer should be given the option of receiving a printed ticket from a transaction and that the proposed changes would clarify the responsibility of the device user.  </w:t>
      </w:r>
      <w:r w:rsidR="00F96E42">
        <w:t xml:space="preserve">SWMA </w:t>
      </w:r>
      <w:r>
        <w:t xml:space="preserve">preferred the option forwarded by WWMA since it mirrors existing language in other </w:t>
      </w:r>
      <w:r w:rsidRPr="00811C3A">
        <w:t>NIST Handbook 44</w:t>
      </w:r>
      <w:r>
        <w:t xml:space="preserve"> codes</w:t>
      </w:r>
      <w:r w:rsidR="006B336F">
        <w:t xml:space="preserve">. </w:t>
      </w:r>
      <w:r>
        <w:t xml:space="preserve"> </w:t>
      </w:r>
      <w:r w:rsidR="006B336F">
        <w:t xml:space="preserve">SWMA </w:t>
      </w:r>
      <w:r w:rsidR="006B336F" w:rsidRPr="006273B2">
        <w:rPr>
          <w:rFonts w:cs="Times New Roman"/>
        </w:rPr>
        <w:t>forward</w:t>
      </w:r>
      <w:r w:rsidR="006B336F">
        <w:rPr>
          <w:rFonts w:cs="Times New Roman"/>
        </w:rPr>
        <w:t>ed</w:t>
      </w:r>
      <w:r w:rsidR="006B336F" w:rsidRPr="006273B2">
        <w:rPr>
          <w:rFonts w:cs="Times New Roman"/>
        </w:rPr>
        <w:t xml:space="preserve"> the item to NCWM</w:t>
      </w:r>
      <w:r w:rsidR="006B336F">
        <w:rPr>
          <w:rFonts w:cs="Times New Roman"/>
        </w:rPr>
        <w:t xml:space="preserve">, recommending it </w:t>
      </w:r>
      <w:r w:rsidR="006B336F" w:rsidRPr="006273B2">
        <w:rPr>
          <w:rFonts w:cs="Times New Roman"/>
        </w:rPr>
        <w:t>as a Voting Item</w:t>
      </w:r>
      <w:r w:rsidR="006B336F">
        <w:rPr>
          <w:rFonts w:cs="Times New Roman"/>
        </w:rPr>
        <w:t xml:space="preserve"> as revised by WWMA</w:t>
      </w:r>
      <w:r w:rsidR="00F96E42">
        <w:t>.</w:t>
      </w:r>
    </w:p>
    <w:p w:rsidR="00F96E42" w:rsidRDefault="006B336F" w:rsidP="00F96E42">
      <w:pPr>
        <w:autoSpaceDE w:val="0"/>
        <w:autoSpaceDN w:val="0"/>
        <w:adjustRightInd w:val="0"/>
        <w:rPr>
          <w:rFonts w:cs="Times New Roman"/>
        </w:rPr>
      </w:pPr>
      <w:r>
        <w:rPr>
          <w:rFonts w:cs="Times New Roman"/>
        </w:rPr>
        <w:t>A</w:t>
      </w:r>
      <w:r w:rsidR="00F96E42">
        <w:rPr>
          <w:rFonts w:cs="Times New Roman"/>
        </w:rPr>
        <w:t xml:space="preserve">t the 2012 NCWM Interim Meeting, the </w:t>
      </w:r>
      <w:r w:rsidR="00372D5F">
        <w:rPr>
          <w:rFonts w:cs="Times New Roman"/>
        </w:rPr>
        <w:t xml:space="preserve">Committee </w:t>
      </w:r>
      <w:r w:rsidR="00F96E42">
        <w:rPr>
          <w:rFonts w:cs="Times New Roman"/>
        </w:rPr>
        <w:t xml:space="preserve">received comments in support of the alternative language submitted by the WWMA.  NIST, OWM </w:t>
      </w:r>
      <w:r>
        <w:rPr>
          <w:rFonts w:cs="Times New Roman"/>
        </w:rPr>
        <w:t>reported</w:t>
      </w:r>
      <w:r w:rsidR="00F96E42">
        <w:rPr>
          <w:rFonts w:cs="Times New Roman"/>
        </w:rPr>
        <w:t xml:space="preserve"> that the proposed language submitted to the regional weights and measures associations was different from that agreed to by the Grain Analyzer Se</w:t>
      </w:r>
      <w:r>
        <w:rPr>
          <w:rFonts w:cs="Times New Roman"/>
        </w:rPr>
        <w:t>ctor at its August 2011 meeting.</w:t>
      </w:r>
      <w:r w:rsidR="00F96E42">
        <w:rPr>
          <w:rFonts w:cs="Times New Roman"/>
        </w:rPr>
        <w:t xml:space="preserve"> </w:t>
      </w:r>
      <w:r>
        <w:rPr>
          <w:rFonts w:cs="Times New Roman"/>
        </w:rPr>
        <w:t xml:space="preserve"> T</w:t>
      </w:r>
      <w:r w:rsidR="00F96E42">
        <w:rPr>
          <w:rFonts w:cs="Times New Roman"/>
        </w:rPr>
        <w:t xml:space="preserve">he Grain Analyzer Sector had specifically opposed deleting the phrase “calibration version identification.”  NIST, OWM also noted that not all grain moisture meters are Category 3 devices; consequently, calibration version identification information </w:t>
      </w:r>
      <w:r>
        <w:rPr>
          <w:rFonts w:cs="Times New Roman"/>
        </w:rPr>
        <w:t xml:space="preserve">is a critical component on the printed receipt to </w:t>
      </w:r>
      <w:r w:rsidR="00F96E42">
        <w:rPr>
          <w:rFonts w:cs="Times New Roman"/>
        </w:rPr>
        <w:t xml:space="preserve">reconstruct the basis for a sale and help officials to resolve complaints.  </w:t>
      </w:r>
    </w:p>
    <w:p w:rsidR="00F96E42" w:rsidRPr="00347FEF" w:rsidRDefault="00F96E42" w:rsidP="00F96E42">
      <w:pPr>
        <w:autoSpaceDE w:val="0"/>
        <w:autoSpaceDN w:val="0"/>
        <w:adjustRightInd w:val="0"/>
        <w:rPr>
          <w:rFonts w:cs="Times New Roman"/>
        </w:rPr>
      </w:pPr>
      <w:r>
        <w:rPr>
          <w:rFonts w:cs="Times New Roman"/>
        </w:rPr>
        <w:t xml:space="preserve">The </w:t>
      </w:r>
      <w:r w:rsidR="00372D5F">
        <w:rPr>
          <w:rFonts w:cs="Times New Roman"/>
        </w:rPr>
        <w:t xml:space="preserve">Committee </w:t>
      </w:r>
      <w:r>
        <w:rPr>
          <w:rFonts w:cs="Times New Roman"/>
        </w:rPr>
        <w:t xml:space="preserve">agreed that the </w:t>
      </w:r>
      <w:r w:rsidR="006B336F">
        <w:rPr>
          <w:rFonts w:cs="Times New Roman"/>
        </w:rPr>
        <w:t>version</w:t>
      </w:r>
      <w:r>
        <w:rPr>
          <w:rFonts w:cs="Times New Roman"/>
        </w:rPr>
        <w:t xml:space="preserve"> proposed by WWMA and SWMA was preferable since it mirrors similar language in other </w:t>
      </w:r>
      <w:r w:rsidRPr="00811C3A">
        <w:rPr>
          <w:rFonts w:cs="Times New Roman"/>
        </w:rPr>
        <w:t>NIST Handbook 44</w:t>
      </w:r>
      <w:r>
        <w:rPr>
          <w:rFonts w:cs="Times New Roman"/>
        </w:rPr>
        <w:t xml:space="preserve"> Codes.  The </w:t>
      </w:r>
      <w:r w:rsidR="0012435E">
        <w:rPr>
          <w:rFonts w:cs="Times New Roman"/>
        </w:rPr>
        <w:t xml:space="preserve">Committee </w:t>
      </w:r>
      <w:r>
        <w:rPr>
          <w:rFonts w:cs="Times New Roman"/>
        </w:rPr>
        <w:t xml:space="preserve">also agreed that, given the Grain Analyzer Sector’s opposition to deleting the reference to “calibration version identification,” this phrase should be retained in the paragraph.  The </w:t>
      </w:r>
      <w:r w:rsidR="0012435E">
        <w:rPr>
          <w:rFonts w:cs="Times New Roman"/>
        </w:rPr>
        <w:t xml:space="preserve">Committee </w:t>
      </w:r>
      <w:r w:rsidR="006B336F">
        <w:rPr>
          <w:rFonts w:cs="Times New Roman"/>
        </w:rPr>
        <w:t xml:space="preserve">presented </w:t>
      </w:r>
      <w:r>
        <w:rPr>
          <w:rFonts w:cs="Times New Roman"/>
        </w:rPr>
        <w:t>an amended version of the proposal</w:t>
      </w:r>
      <w:r w:rsidR="006B336F">
        <w:rPr>
          <w:rFonts w:cs="Times New Roman"/>
        </w:rPr>
        <w:t>.</w:t>
      </w:r>
      <w:r>
        <w:rPr>
          <w:rFonts w:cs="Times New Roman"/>
        </w:rPr>
        <w:t xml:space="preserve">  </w:t>
      </w:r>
      <w:r w:rsidR="006B336F">
        <w:rPr>
          <w:rFonts w:cs="Times New Roman"/>
        </w:rPr>
        <w:t xml:space="preserve">The </w:t>
      </w:r>
      <w:r w:rsidR="00372D5F">
        <w:rPr>
          <w:rFonts w:cs="Times New Roman"/>
        </w:rPr>
        <w:t xml:space="preserve">Committee </w:t>
      </w:r>
      <w:r w:rsidR="006B336F">
        <w:rPr>
          <w:rFonts w:cs="Times New Roman"/>
        </w:rPr>
        <w:t xml:space="preserve">recognized </w:t>
      </w:r>
      <w:r>
        <w:rPr>
          <w:rFonts w:cs="Times New Roman"/>
        </w:rPr>
        <w:t xml:space="preserve">that the regional associations were not aware of the </w:t>
      </w:r>
      <w:r w:rsidR="00372D5F">
        <w:rPr>
          <w:rFonts w:cs="Times New Roman"/>
        </w:rPr>
        <w:t xml:space="preserve">Sector’s </w:t>
      </w:r>
      <w:r>
        <w:rPr>
          <w:rFonts w:cs="Times New Roman"/>
        </w:rPr>
        <w:t>position on the proposed deletion of the reference to the calibration version and that the submitter has not had an opportunity to review the significant cha</w:t>
      </w:r>
      <w:r w:rsidR="006B336F">
        <w:rPr>
          <w:rFonts w:cs="Times New Roman"/>
        </w:rPr>
        <w:t xml:space="preserve">nges from the original version.  </w:t>
      </w:r>
      <w:r w:rsidR="006B336F" w:rsidRPr="006273B2">
        <w:rPr>
          <w:rFonts w:cs="Times New Roman"/>
        </w:rPr>
        <w:t>The 20</w:t>
      </w:r>
      <w:r w:rsidR="006B336F">
        <w:rPr>
          <w:rFonts w:cs="Times New Roman"/>
        </w:rPr>
        <w:t>12</w:t>
      </w:r>
      <w:r w:rsidR="006B336F" w:rsidRPr="006273B2">
        <w:rPr>
          <w:rFonts w:cs="Times New Roman"/>
        </w:rPr>
        <w:t xml:space="preserve"> </w:t>
      </w:r>
      <w:r w:rsidR="006B336F">
        <w:rPr>
          <w:rFonts w:cs="Times New Roman"/>
        </w:rPr>
        <w:t>S&amp;T</w:t>
      </w:r>
      <w:r w:rsidR="006B336F" w:rsidRPr="006273B2">
        <w:rPr>
          <w:rFonts w:cs="Times New Roman"/>
        </w:rPr>
        <w:t xml:space="preserve"> Committee designated this item as an Informational Item</w:t>
      </w:r>
      <w:r w:rsidR="006B336F">
        <w:rPr>
          <w:rFonts w:cs="Times New Roman"/>
        </w:rPr>
        <w:t xml:space="preserve"> </w:t>
      </w:r>
      <w:r>
        <w:rPr>
          <w:rFonts w:cs="Times New Roman"/>
        </w:rPr>
        <w:t xml:space="preserve">to allow additional </w:t>
      </w:r>
      <w:r w:rsidRPr="00347FEF">
        <w:rPr>
          <w:rFonts w:cs="Times New Roman"/>
        </w:rPr>
        <w:t>opportunity for input.</w:t>
      </w:r>
    </w:p>
    <w:p w:rsidR="00F8223C" w:rsidRPr="00347FEF" w:rsidRDefault="00F8223C" w:rsidP="00F8223C">
      <w:r w:rsidRPr="00347FEF">
        <w:t xml:space="preserve">In its 2012 annual report, NEWMA suggested that this item remain informational, noting little experience within NEWMA on grain moisture meters.  The CWMA also supported the item remaining </w:t>
      </w:r>
      <w:r w:rsidR="00372D5F">
        <w:t>I</w:t>
      </w:r>
      <w:r w:rsidR="00372D5F" w:rsidRPr="00347FEF">
        <w:t>nformational</w:t>
      </w:r>
      <w:r w:rsidRPr="00347FEF">
        <w:t>, citing the need for additional input on the modifications to the proposal.</w:t>
      </w:r>
    </w:p>
    <w:p w:rsidR="00F8223C" w:rsidRPr="00347FEF" w:rsidRDefault="00F8223C" w:rsidP="00B77FD2">
      <w:pPr>
        <w:rPr>
          <w:rFonts w:cs="Times New Roman"/>
        </w:rPr>
      </w:pPr>
      <w:r w:rsidRPr="00347FEF">
        <w:t>At the</w:t>
      </w:r>
      <w:r w:rsidR="00717EB5" w:rsidRPr="00B77FD2">
        <w:t xml:space="preserve"> 2012 NCWM Annual Meeting, the </w:t>
      </w:r>
      <w:r w:rsidR="00372D5F">
        <w:t>C</w:t>
      </w:r>
      <w:r w:rsidR="00372D5F" w:rsidRPr="00347FEF">
        <w:t xml:space="preserve">ommittee </w:t>
      </w:r>
      <w:r w:rsidRPr="00347FEF">
        <w:t xml:space="preserve">heard no additional comments during its </w:t>
      </w:r>
      <w:r w:rsidR="00762BCA">
        <w:t>Open Hearings</w:t>
      </w:r>
      <w:r w:rsidRPr="00347FEF">
        <w:t xml:space="preserve">.  The </w:t>
      </w:r>
      <w:r w:rsidR="00372D5F">
        <w:t>C</w:t>
      </w:r>
      <w:r w:rsidR="00372D5F" w:rsidRPr="00347FEF">
        <w:t xml:space="preserve">ommittee </w:t>
      </w:r>
      <w:r w:rsidRPr="00347FEF">
        <w:t>reiterates its request for input on the modifications to the proposal, particularly from the original submitter and any regional weights and measures association that has not had an opportunity to review the modifications.</w:t>
      </w:r>
      <w:r w:rsidR="00347FEF" w:rsidRPr="00B77FD2">
        <w:t xml:space="preserve">  </w:t>
      </w:r>
      <w:r w:rsidR="00717EB5" w:rsidRPr="00B77FD2">
        <w:rPr>
          <w:szCs w:val="20"/>
        </w:rPr>
        <w:t xml:space="preserve">The </w:t>
      </w:r>
      <w:r w:rsidR="0012435E">
        <w:rPr>
          <w:szCs w:val="20"/>
        </w:rPr>
        <w:t>C</w:t>
      </w:r>
      <w:r w:rsidR="0012435E" w:rsidRPr="00B77FD2">
        <w:rPr>
          <w:szCs w:val="20"/>
        </w:rPr>
        <w:t>ommittee</w:t>
      </w:r>
      <w:r w:rsidR="0012435E" w:rsidRPr="00347FEF">
        <w:rPr>
          <w:szCs w:val="20"/>
        </w:rPr>
        <w:t xml:space="preserve"> </w:t>
      </w:r>
      <w:r w:rsidR="00347FEF" w:rsidRPr="00B77FD2">
        <w:rPr>
          <w:szCs w:val="20"/>
        </w:rPr>
        <w:t>recommended</w:t>
      </w:r>
      <w:r w:rsidRPr="00347FEF">
        <w:rPr>
          <w:szCs w:val="20"/>
        </w:rPr>
        <w:t xml:space="preserve"> no changes to the “Item Under Consideration.”</w:t>
      </w:r>
    </w:p>
    <w:p w:rsidR="00CC6B8F" w:rsidRDefault="00CC6B8F" w:rsidP="002E1D1D">
      <w:pPr>
        <w:pStyle w:val="Heading1"/>
        <w:spacing w:after="0"/>
      </w:pPr>
      <w:bookmarkStart w:id="38" w:name="_Toc334183640"/>
      <w:r>
        <w:lastRenderedPageBreak/>
        <w:t>358</w:t>
      </w:r>
      <w:r>
        <w:tab/>
        <w:t>MULTIPLE DIMENSION MEASURING DEVICES</w:t>
      </w:r>
      <w:bookmarkEnd w:id="38"/>
    </w:p>
    <w:p w:rsidR="00CC6B8F" w:rsidRDefault="00CC6B8F" w:rsidP="002E1D1D">
      <w:pPr>
        <w:pStyle w:val="ItemHeading"/>
      </w:pPr>
      <w:bookmarkStart w:id="39" w:name="_Toc334183641"/>
      <w:r>
        <w:t>358-1</w:t>
      </w:r>
      <w:r>
        <w:tab/>
      </w:r>
      <w:r w:rsidR="008B7A3B">
        <w:t>V</w:t>
      </w:r>
      <w:r w:rsidR="00F017CE">
        <w:t>C</w:t>
      </w:r>
      <w:r w:rsidR="008B7A3B">
        <w:tab/>
      </w:r>
      <w:r>
        <w:t>N.1.3.4. Test Objects with Protrusions</w:t>
      </w:r>
      <w:bookmarkEnd w:id="39"/>
    </w:p>
    <w:p w:rsidR="00F017CE" w:rsidRDefault="00F017CE" w:rsidP="00811C3A">
      <w:pPr>
        <w:keepNext/>
        <w:keepLines/>
        <w:jc w:val="center"/>
      </w:pPr>
      <w:r w:rsidRPr="000C335C">
        <w:rPr>
          <w:szCs w:val="20"/>
          <w:lang w:val="en-CA"/>
        </w:rPr>
        <w:t>(This item was adopted.)</w:t>
      </w:r>
    </w:p>
    <w:p w:rsidR="00CC6B8F" w:rsidRDefault="00CC6B8F" w:rsidP="00811C3A">
      <w:pPr>
        <w:pStyle w:val="BoldHeading"/>
        <w:keepNext/>
        <w:keepLines/>
        <w:spacing w:after="0"/>
      </w:pPr>
      <w:r>
        <w:t xml:space="preserve">Source: </w:t>
      </w:r>
    </w:p>
    <w:p w:rsidR="00CC6B8F" w:rsidRDefault="00CC6B8F" w:rsidP="00811C3A">
      <w:pPr>
        <w:keepNext/>
        <w:keepLines/>
      </w:pPr>
      <w:r>
        <w:t xml:space="preserve">Multiple Dimensions Measuring Device (MDMD) Work Group </w:t>
      </w:r>
      <w:r w:rsidR="0015610D">
        <w:t>(2012)</w:t>
      </w:r>
    </w:p>
    <w:p w:rsidR="00CC6B8F" w:rsidRDefault="00CC6B8F" w:rsidP="00811C3A">
      <w:pPr>
        <w:pStyle w:val="BoldHeading"/>
        <w:keepNext/>
        <w:keepLines/>
        <w:spacing w:after="0"/>
      </w:pPr>
      <w:r>
        <w:t xml:space="preserve">Purpose: </w:t>
      </w:r>
    </w:p>
    <w:p w:rsidR="00CC6B8F" w:rsidRDefault="00CC6B8F" w:rsidP="00811C3A">
      <w:pPr>
        <w:keepNext/>
        <w:keepLines/>
      </w:pPr>
      <w:r>
        <w:t>Update the MDMD code based on the MDMD Work Group’s clarification of irregularly shaped objects and protrusions.</w:t>
      </w:r>
    </w:p>
    <w:p w:rsidR="00CC6B8F" w:rsidRDefault="00CC6B8F" w:rsidP="00D67BAC">
      <w:pPr>
        <w:pStyle w:val="BoldHeading"/>
        <w:keepNext/>
        <w:spacing w:after="0"/>
      </w:pPr>
      <w:r>
        <w:t xml:space="preserve">Item Under Consideration: </w:t>
      </w:r>
    </w:p>
    <w:p w:rsidR="00CC6B8F" w:rsidRDefault="008B7A3B" w:rsidP="00D67BAC">
      <w:pPr>
        <w:keepNext/>
      </w:pPr>
      <w:r>
        <w:t xml:space="preserve">Delete </w:t>
      </w:r>
      <w:r w:rsidR="00CC6B8F">
        <w:t>paragraph N.1.4.3.</w:t>
      </w:r>
      <w:r>
        <w:t>Test Objects with Protrusions</w:t>
      </w:r>
      <w:r w:rsidR="00CC6B8F">
        <w:t>:</w:t>
      </w:r>
    </w:p>
    <w:p w:rsidR="00CC6B8F" w:rsidRPr="00CC6B8F" w:rsidRDefault="00CC6B8F" w:rsidP="00811C3A">
      <w:pPr>
        <w:pStyle w:val="I-Normalreg"/>
        <w:tabs>
          <w:tab w:val="left" w:pos="1170"/>
        </w:tabs>
        <w:spacing w:after="60"/>
        <w:rPr>
          <w:b/>
          <w:strike/>
        </w:rPr>
      </w:pPr>
      <w:r w:rsidRPr="00CC6B8F">
        <w:rPr>
          <w:b/>
          <w:strike/>
        </w:rPr>
        <w:t>N.1.4.3</w:t>
      </w:r>
      <w:r w:rsidR="005F63AF" w:rsidRPr="00CC6B8F">
        <w:rPr>
          <w:b/>
          <w:strike/>
        </w:rPr>
        <w:t>.</w:t>
      </w:r>
      <w:r w:rsidR="005F63AF">
        <w:rPr>
          <w:b/>
          <w:strike/>
        </w:rPr>
        <w:tab/>
      </w:r>
      <w:r w:rsidRPr="00CC6B8F">
        <w:rPr>
          <w:b/>
          <w:strike/>
        </w:rPr>
        <w:t>Test Objects with Protrusions. – If the device is marked with a minimum protrusion dimension to be measured, a test object with protrusion shall be used to verify the marked limitation during type evaluation.</w:t>
      </w:r>
    </w:p>
    <w:p w:rsidR="00CC6B8F" w:rsidRPr="00CC6B8F" w:rsidRDefault="00CC6B8F" w:rsidP="00CC6B8F">
      <w:pPr>
        <w:pStyle w:val="I-Normalreg"/>
        <w:rPr>
          <w:b/>
          <w:strike/>
        </w:rPr>
      </w:pPr>
      <w:r w:rsidRPr="00CC6B8F">
        <w:rPr>
          <w:b/>
          <w:strike/>
        </w:rPr>
        <w:t>(Added 2008)</w:t>
      </w:r>
    </w:p>
    <w:p w:rsidR="00CC6B8F" w:rsidRDefault="00CC6B8F" w:rsidP="00811C3A">
      <w:pPr>
        <w:pStyle w:val="BoldHeading"/>
        <w:spacing w:after="0"/>
      </w:pPr>
      <w:r>
        <w:t>Background/Discussion:</w:t>
      </w:r>
    </w:p>
    <w:p w:rsidR="00CC6B8F" w:rsidRDefault="00CC6B8F" w:rsidP="00CC6B8F">
      <w:r>
        <w:t>The MDMD Work Group determined that a “protrusion” is nothing more than the part or parts of an object that changes the object from a hexahedron shape to an irregu</w:t>
      </w:r>
      <w:r w:rsidR="00877869">
        <w:t>larly shaped object.  Therefore</w:t>
      </w:r>
      <w:r w:rsidR="008B7A3B">
        <w:t>,</w:t>
      </w:r>
      <w:r>
        <w:t xml:space="preserve"> no special test object is required for type evaluation</w:t>
      </w:r>
      <w:r w:rsidR="008B7A3B">
        <w:t xml:space="preserve"> </w:t>
      </w:r>
      <w:r w:rsidR="008B7A3B" w:rsidRPr="00C62956">
        <w:t>and the reference to testing objects with protrusions as specified in N.1.4.3. Test Objects with Protrusions is unnecessary</w:t>
      </w:r>
      <w:r>
        <w:t>.  If appropriate, the manufacturer is required to mark the unit with a “minimum protrusion size” as stated in Note 7 of Table S.4.1.b</w:t>
      </w:r>
      <w:r w:rsidR="00A24760">
        <w:t>.</w:t>
      </w:r>
      <w:r>
        <w:t xml:space="preserve"> and </w:t>
      </w:r>
      <w:r w:rsidR="0056019A">
        <w:t>the irregularly-shaped object</w:t>
      </w:r>
      <w:r>
        <w:t xml:space="preserve"> used during type evaluation will be configured to verify the manufacture</w:t>
      </w:r>
      <w:r w:rsidR="006B336F">
        <w:t>’</w:t>
      </w:r>
      <w:r>
        <w:t>s declared limitation.</w:t>
      </w:r>
    </w:p>
    <w:p w:rsidR="005B2FC4" w:rsidRDefault="00CC6B8F" w:rsidP="00CC6B8F">
      <w:r>
        <w:t xml:space="preserve">At </w:t>
      </w:r>
      <w:r w:rsidR="006B336F">
        <w:t>the</w:t>
      </w:r>
      <w:r w:rsidR="008B7A3B">
        <w:t xml:space="preserve"> </w:t>
      </w:r>
      <w:r w:rsidR="00AC55B7">
        <w:t>f</w:t>
      </w:r>
      <w:r w:rsidR="008B7A3B">
        <w:t xml:space="preserve">all </w:t>
      </w:r>
      <w:r>
        <w:t xml:space="preserve">2011 </w:t>
      </w:r>
      <w:r w:rsidR="0056019A">
        <w:t>regional m</w:t>
      </w:r>
      <w:r>
        <w:t>eeting</w:t>
      </w:r>
      <w:r w:rsidR="008B7A3B">
        <w:t>s,</w:t>
      </w:r>
      <w:r w:rsidR="00595ABF">
        <w:t xml:space="preserve"> the</w:t>
      </w:r>
      <w:r w:rsidR="008B7A3B">
        <w:t xml:space="preserve"> CWMA, WWMA, and SWMA</w:t>
      </w:r>
      <w:r>
        <w:t xml:space="preserve"> </w:t>
      </w:r>
      <w:r w:rsidR="006B336F" w:rsidRPr="006273B2">
        <w:rPr>
          <w:rFonts w:cs="Times New Roman"/>
        </w:rPr>
        <w:t>forward</w:t>
      </w:r>
      <w:r w:rsidR="006B336F">
        <w:rPr>
          <w:rFonts w:cs="Times New Roman"/>
        </w:rPr>
        <w:t>ed</w:t>
      </w:r>
      <w:r w:rsidR="006B336F" w:rsidRPr="006273B2">
        <w:rPr>
          <w:rFonts w:cs="Times New Roman"/>
        </w:rPr>
        <w:t xml:space="preserve"> the item to NCWM</w:t>
      </w:r>
      <w:r w:rsidR="006B336F">
        <w:rPr>
          <w:rFonts w:cs="Times New Roman"/>
        </w:rPr>
        <w:t xml:space="preserve">, recommending it </w:t>
      </w:r>
      <w:r w:rsidR="006B336F" w:rsidRPr="006273B2">
        <w:rPr>
          <w:rFonts w:cs="Times New Roman"/>
        </w:rPr>
        <w:t>as a Voting Item</w:t>
      </w:r>
      <w:r>
        <w:t>.</w:t>
      </w:r>
      <w:r w:rsidR="008B7A3B" w:rsidRPr="00C62956">
        <w:t xml:space="preserve">  </w:t>
      </w:r>
      <w:r w:rsidR="0056019A">
        <w:t>At the</w:t>
      </w:r>
      <w:r w:rsidR="0056019A" w:rsidRPr="00C62956">
        <w:t xml:space="preserve"> </w:t>
      </w:r>
      <w:r w:rsidR="008B7A3B" w:rsidRPr="00C62956">
        <w:t xml:space="preserve">WWMA </w:t>
      </w:r>
      <w:r w:rsidR="0056019A">
        <w:t xml:space="preserve">meeting, </w:t>
      </w:r>
      <w:r w:rsidR="008B7A3B">
        <w:t xml:space="preserve">Mr. </w:t>
      </w:r>
      <w:r w:rsidR="008B7A3B" w:rsidRPr="00C62956">
        <w:t xml:space="preserve">Flocken, Mettler-Toledo, </w:t>
      </w:r>
      <w:r w:rsidR="008B7A3B">
        <w:t>LLC</w:t>
      </w:r>
      <w:r w:rsidR="0056019A">
        <w:t xml:space="preserve"> commented</w:t>
      </w:r>
      <w:r w:rsidR="008B7A3B" w:rsidRPr="00C62956">
        <w:t xml:space="preserve"> on behalf of the MDMD Work Group, that th</w:t>
      </w:r>
      <w:r w:rsidR="008B7A3B">
        <w:t xml:space="preserve">e proposed deletion of N.1.4.3. </w:t>
      </w:r>
      <w:r w:rsidR="008B7A3B" w:rsidRPr="00C62956">
        <w:t xml:space="preserve">will harmonize </w:t>
      </w:r>
      <w:r w:rsidR="008B7A3B" w:rsidRPr="00811C3A">
        <w:t>NIST Handbook 44</w:t>
      </w:r>
      <w:r w:rsidR="008B7A3B" w:rsidRPr="00C62956">
        <w:t xml:space="preserve"> with Canadian requirements and other international recommendations for MDMDs regarding irregular shaped objects.  SWMA </w:t>
      </w:r>
      <w:r w:rsidR="006B336F">
        <w:t>received</w:t>
      </w:r>
      <w:r w:rsidR="008B7A3B" w:rsidRPr="00C62956">
        <w:t xml:space="preserve"> additional background from Mr. Flocken that the current MDMD Code includes requirements for hexahedrons (e.g., a six-sided box) and irregularly-shaped, non-hexahedrons (e.g., something other than a six-sided box such as a tailpipe).  The code also includes provisions to address objects with “protrusions.”  However, the MDMD Work Group believes that objects with protrusions should be addressed the same way as irregularly shaped objects.  Thus, the proposed change would simplify the requirements by reducing the types of objects addressed in the code to two categories: hexahedrons and non-hexahedrons.</w:t>
      </w:r>
    </w:p>
    <w:p w:rsidR="00CC6B8F" w:rsidRDefault="00CC6B8F" w:rsidP="00CC6B8F">
      <w:r>
        <w:t xml:space="preserve">At </w:t>
      </w:r>
      <w:r w:rsidR="006B336F">
        <w:t>the</w:t>
      </w:r>
      <w:r>
        <w:t xml:space="preserve"> 2011 </w:t>
      </w:r>
      <w:r w:rsidR="006B336F">
        <w:t xml:space="preserve">NEWMA </w:t>
      </w:r>
      <w:r>
        <w:t>Interim Meeting</w:t>
      </w:r>
      <w:r w:rsidR="006B336F">
        <w:t>,</w:t>
      </w:r>
      <w:r>
        <w:t xml:space="preserve"> </w:t>
      </w:r>
      <w:r w:rsidR="005B2FC4">
        <w:t xml:space="preserve">NEWMA </w:t>
      </w:r>
      <w:r w:rsidR="006B336F">
        <w:rPr>
          <w:rFonts w:cs="Times New Roman"/>
        </w:rPr>
        <w:t>f</w:t>
      </w:r>
      <w:r w:rsidR="006B336F" w:rsidRPr="006273B2">
        <w:rPr>
          <w:rFonts w:cs="Times New Roman"/>
        </w:rPr>
        <w:t>orward</w:t>
      </w:r>
      <w:r w:rsidR="006B336F">
        <w:rPr>
          <w:rFonts w:cs="Times New Roman"/>
        </w:rPr>
        <w:t>ed</w:t>
      </w:r>
      <w:r w:rsidR="006B336F" w:rsidRPr="006273B2">
        <w:rPr>
          <w:rFonts w:cs="Times New Roman"/>
        </w:rPr>
        <w:t xml:space="preserve"> the item to NCWM</w:t>
      </w:r>
      <w:r w:rsidR="006B336F">
        <w:rPr>
          <w:rFonts w:cs="Times New Roman"/>
        </w:rPr>
        <w:t xml:space="preserve">, recommending it as </w:t>
      </w:r>
      <w:r w:rsidR="006B336F" w:rsidRPr="006273B2">
        <w:rPr>
          <w:rFonts w:cs="Times New Roman"/>
        </w:rPr>
        <w:t>a</w:t>
      </w:r>
      <w:r w:rsidR="006B336F">
        <w:rPr>
          <w:rFonts w:cs="Times New Roman"/>
        </w:rPr>
        <w:t>n</w:t>
      </w:r>
      <w:r w:rsidR="006B336F" w:rsidRPr="006273B2">
        <w:rPr>
          <w:rFonts w:cs="Times New Roman"/>
        </w:rPr>
        <w:t xml:space="preserve"> Informational Item</w:t>
      </w:r>
      <w:r>
        <w:t xml:space="preserve">.  </w:t>
      </w:r>
    </w:p>
    <w:p w:rsidR="008B7A3B" w:rsidRDefault="008B7A3B" w:rsidP="008B7A3B">
      <w:r>
        <w:t xml:space="preserve">At </w:t>
      </w:r>
      <w:r w:rsidRPr="00FF19FF">
        <w:t>the 2</w:t>
      </w:r>
      <w:r>
        <w:t xml:space="preserve">012 NCWM Interim Meetings, </w:t>
      </w:r>
      <w:r w:rsidRPr="00FF19FF">
        <w:t>Mr. Flocken,</w:t>
      </w:r>
      <w:r>
        <w:t xml:space="preserve"> Mettler-Toledo, LLC</w:t>
      </w:r>
      <w:r w:rsidRPr="00FF19FF">
        <w:t xml:space="preserve"> </w:t>
      </w:r>
      <w:r w:rsidR="006B336F">
        <w:t xml:space="preserve">supported the item and echoed </w:t>
      </w:r>
      <w:r w:rsidRPr="00FF19FF">
        <w:t xml:space="preserve">comments </w:t>
      </w:r>
      <w:r w:rsidR="006B336F">
        <w:t>that he</w:t>
      </w:r>
      <w:r w:rsidRPr="00FF19FF">
        <w:t xml:space="preserve"> provided during the regio</w:t>
      </w:r>
      <w:r>
        <w:t xml:space="preserve">nal association meetings.  NIST, </w:t>
      </w:r>
      <w:r w:rsidRPr="00FF19FF">
        <w:t xml:space="preserve">OWM </w:t>
      </w:r>
      <w:r w:rsidR="0056019A">
        <w:t>suggested</w:t>
      </w:r>
      <w:r w:rsidRPr="00FF19FF">
        <w:t xml:space="preserve"> </w:t>
      </w:r>
      <w:r>
        <w:t xml:space="preserve">that the </w:t>
      </w:r>
      <w:r w:rsidR="00284AAF">
        <w:t>C</w:t>
      </w:r>
      <w:r w:rsidR="00284AAF" w:rsidRPr="00FF19FF">
        <w:t xml:space="preserve">ommittee </w:t>
      </w:r>
      <w:r w:rsidRPr="00FF19FF">
        <w:t>consider deleting the term “minimum protrusion size” from Table S.4.1.b. Note 7 to coincide with the proposal.</w:t>
      </w:r>
    </w:p>
    <w:p w:rsidR="008B7A3B" w:rsidRDefault="008B7A3B" w:rsidP="008B7A3B">
      <w:r>
        <w:t xml:space="preserve">The </w:t>
      </w:r>
      <w:r w:rsidR="00284AAF">
        <w:t xml:space="preserve">Committee </w:t>
      </w:r>
      <w:r>
        <w:t>considered NIST, OWM’s proposal to delete</w:t>
      </w:r>
      <w:r w:rsidRPr="00870592">
        <w:t xml:space="preserve"> </w:t>
      </w:r>
      <w:r>
        <w:t xml:space="preserve">the term “minimum protrusion size” from </w:t>
      </w:r>
      <w:r w:rsidRPr="00870592">
        <w:t>Note 7 in Table S.1.4.1.b.</w:t>
      </w:r>
      <w:r>
        <w:t>; however, based upon a later recommendation from NIST, OWM to withdraw that proposal, the committee decided to maintain the item as originally proposed by the MDMD Work Group.</w:t>
      </w:r>
    </w:p>
    <w:p w:rsidR="008B7A3B" w:rsidRDefault="008B7A3B" w:rsidP="008B7A3B">
      <w:pPr>
        <w:rPr>
          <w:rFonts w:cs="Times New Roman"/>
        </w:rPr>
      </w:pPr>
      <w:r>
        <w:t>Hearing</w:t>
      </w:r>
      <w:r w:rsidRPr="00FF19FF">
        <w:t xml:space="preserve"> no opposition to the changes</w:t>
      </w:r>
      <w:r>
        <w:t xml:space="preserve"> proposed by the MDMD Work Group and</w:t>
      </w:r>
      <w:r w:rsidRPr="00FF19FF">
        <w:t xml:space="preserve"> deferring to </w:t>
      </w:r>
      <w:r>
        <w:t>that group’s</w:t>
      </w:r>
      <w:r w:rsidRPr="00FF19FF">
        <w:t xml:space="preserve"> expertise, the </w:t>
      </w:r>
      <w:r w:rsidR="00284AAF">
        <w:t>C</w:t>
      </w:r>
      <w:r w:rsidR="00284AAF" w:rsidRPr="00FF19FF">
        <w:t xml:space="preserve">ommittee </w:t>
      </w:r>
      <w:r w:rsidRPr="00FF19FF">
        <w:t>a</w:t>
      </w:r>
      <w:r w:rsidRPr="00C62956">
        <w:t xml:space="preserve">greed </w:t>
      </w:r>
      <w:r>
        <w:t xml:space="preserve">with the proposal to delete </w:t>
      </w:r>
      <w:r w:rsidRPr="00FF19FF">
        <w:t>paragraph N.1.4.3.</w:t>
      </w:r>
      <w:r w:rsidRPr="00870592">
        <w:t xml:space="preserve"> Test Objects with Protrusions</w:t>
      </w:r>
      <w:r>
        <w:t xml:space="preserve"> from the MDMD Code</w:t>
      </w:r>
      <w:r w:rsidR="006B336F">
        <w:t xml:space="preserve">.  </w:t>
      </w:r>
      <w:r w:rsidR="006B336F" w:rsidRPr="006273B2">
        <w:rPr>
          <w:rFonts w:cs="Times New Roman"/>
        </w:rPr>
        <w:t>The 20</w:t>
      </w:r>
      <w:r w:rsidR="006B336F">
        <w:rPr>
          <w:rFonts w:cs="Times New Roman"/>
        </w:rPr>
        <w:t>12</w:t>
      </w:r>
      <w:r w:rsidR="006B336F" w:rsidRPr="006273B2">
        <w:rPr>
          <w:rFonts w:cs="Times New Roman"/>
        </w:rPr>
        <w:t xml:space="preserve"> </w:t>
      </w:r>
      <w:r w:rsidR="006B336F">
        <w:rPr>
          <w:rFonts w:cs="Times New Roman"/>
        </w:rPr>
        <w:t>S&amp;T</w:t>
      </w:r>
      <w:r w:rsidR="006B336F" w:rsidRPr="006273B2">
        <w:rPr>
          <w:rFonts w:cs="Times New Roman"/>
        </w:rPr>
        <w:t xml:space="preserve"> Committee designated this item as a Voting Item</w:t>
      </w:r>
      <w:r w:rsidR="006B336F">
        <w:rPr>
          <w:rFonts w:cs="Times New Roman"/>
        </w:rPr>
        <w:t>.</w:t>
      </w:r>
    </w:p>
    <w:p w:rsidR="00F017CE" w:rsidRDefault="00F017CE" w:rsidP="00F017CE">
      <w:r w:rsidRPr="000C335C">
        <w:lastRenderedPageBreak/>
        <w:t xml:space="preserve">At their 2012 Annual Meetings, NEWMA and CWMA supported this item as a </w:t>
      </w:r>
      <w:r w:rsidR="00284AAF">
        <w:t>V</w:t>
      </w:r>
      <w:r w:rsidR="00284AAF" w:rsidRPr="000C335C">
        <w:t xml:space="preserve">oting </w:t>
      </w:r>
      <w:r w:rsidR="00A24760">
        <w:t>I</w:t>
      </w:r>
      <w:r w:rsidR="00A24760" w:rsidRPr="000C335C">
        <w:t>tem</w:t>
      </w:r>
      <w:r w:rsidRPr="000C335C">
        <w:t>.</w:t>
      </w:r>
    </w:p>
    <w:p w:rsidR="001F4AF8" w:rsidRPr="001A1BF6" w:rsidRDefault="001F4AF8" w:rsidP="001F4AF8">
      <w:r w:rsidRPr="001A1BF6">
        <w:t xml:space="preserve">At its </w:t>
      </w:r>
      <w:r w:rsidR="00762BCA">
        <w:t>Open Hearings</w:t>
      </w:r>
      <w:r w:rsidRPr="001A1BF6">
        <w:t xml:space="preserve"> during the 2012 NCWM Annual Meeting, the </w:t>
      </w:r>
      <w:r w:rsidR="00284AAF">
        <w:t>C</w:t>
      </w:r>
      <w:r w:rsidR="00284AAF" w:rsidRPr="001A1BF6">
        <w:t xml:space="preserve">ommittee </w:t>
      </w:r>
      <w:r w:rsidRPr="001A1BF6">
        <w:t xml:space="preserve">heard comments from Darrell Flocken, speaking on behalf of SMA, supporting the proposed changes.  Mr. Flocken reiterated that the proposed changes were essentially “housekeeping” in nature.  </w:t>
      </w:r>
      <w:r w:rsidRPr="001A1BF6">
        <w:rPr>
          <w:szCs w:val="20"/>
        </w:rPr>
        <w:t xml:space="preserve">The </w:t>
      </w:r>
      <w:r w:rsidR="00284AAF">
        <w:rPr>
          <w:szCs w:val="20"/>
        </w:rPr>
        <w:t>C</w:t>
      </w:r>
      <w:r w:rsidR="00284AAF" w:rsidRPr="001A1BF6">
        <w:rPr>
          <w:szCs w:val="20"/>
        </w:rPr>
        <w:t xml:space="preserve">ommittee </w:t>
      </w:r>
      <w:r w:rsidRPr="001A1BF6">
        <w:rPr>
          <w:szCs w:val="20"/>
        </w:rPr>
        <w:t xml:space="preserve">is recommended no changes to the “Item Under </w:t>
      </w:r>
      <w:r w:rsidR="005F63AF">
        <w:rPr>
          <w:szCs w:val="20"/>
        </w:rPr>
        <w:t>C</w:t>
      </w:r>
      <w:r w:rsidR="005F63AF" w:rsidRPr="001A1BF6">
        <w:rPr>
          <w:szCs w:val="20"/>
        </w:rPr>
        <w:t>onsideration</w:t>
      </w:r>
      <w:r w:rsidRPr="001A1BF6">
        <w:rPr>
          <w:szCs w:val="20"/>
        </w:rPr>
        <w:t>.”</w:t>
      </w:r>
    </w:p>
    <w:p w:rsidR="00CC3C10" w:rsidRDefault="00CC3C10" w:rsidP="0043528A">
      <w:pPr>
        <w:pStyle w:val="Heading1"/>
        <w:spacing w:after="0"/>
      </w:pPr>
      <w:bookmarkStart w:id="40" w:name="_Toc334183642"/>
      <w:r w:rsidRPr="00347FEF">
        <w:t>359</w:t>
      </w:r>
      <w:r w:rsidRPr="00347FEF">
        <w:tab/>
        <w:t>ELECTRONIC LIVESTOCK</w:t>
      </w:r>
      <w:r>
        <w:t>, MEAT, AND POULTRY EVALUATION SYSTEMS and/or DEVICES – TENTATIVE CODE</w:t>
      </w:r>
      <w:bookmarkEnd w:id="40"/>
    </w:p>
    <w:p w:rsidR="00CC3C10" w:rsidRDefault="00CC3C10">
      <w:pPr>
        <w:pStyle w:val="ItemHeading"/>
      </w:pPr>
      <w:bookmarkStart w:id="41" w:name="_Toc334183643"/>
      <w:r>
        <w:t>359-1</w:t>
      </w:r>
      <w:r>
        <w:tab/>
      </w:r>
      <w:r w:rsidR="00EE6892">
        <w:t>V</w:t>
      </w:r>
      <w:r w:rsidR="00F017CE">
        <w:t>C</w:t>
      </w:r>
      <w:r w:rsidR="00EE6892">
        <w:tab/>
      </w:r>
      <w:r>
        <w:t xml:space="preserve">Tentative Status of Code </w:t>
      </w:r>
      <w:r w:rsidR="00EE6892">
        <w:t xml:space="preserve">Section </w:t>
      </w:r>
      <w:r>
        <w:t>5.59.</w:t>
      </w:r>
      <w:bookmarkEnd w:id="41"/>
    </w:p>
    <w:p w:rsidR="00F017CE" w:rsidRDefault="00F017CE" w:rsidP="00B77FD2">
      <w:pPr>
        <w:jc w:val="center"/>
        <w:rPr>
          <w:szCs w:val="20"/>
          <w:lang w:val="en-CA"/>
        </w:rPr>
      </w:pPr>
      <w:r w:rsidRPr="00F017CE">
        <w:rPr>
          <w:szCs w:val="20"/>
          <w:lang w:val="en-CA"/>
        </w:rPr>
        <w:t>(This item was adopted.)</w:t>
      </w:r>
    </w:p>
    <w:p w:rsidR="00CC3C10" w:rsidRDefault="00CC3C10" w:rsidP="00811C3A">
      <w:pPr>
        <w:pStyle w:val="BoldHeading"/>
        <w:spacing w:after="0"/>
      </w:pPr>
      <w:r>
        <w:t xml:space="preserve">Source:  </w:t>
      </w:r>
    </w:p>
    <w:p w:rsidR="00CC3C10" w:rsidRDefault="00CC3C10" w:rsidP="00CC3C10">
      <w:r>
        <w:t>U</w:t>
      </w:r>
      <w:r w:rsidR="001F543D">
        <w:t>.</w:t>
      </w:r>
      <w:r>
        <w:t xml:space="preserve"> S</w:t>
      </w:r>
      <w:r w:rsidR="001F543D">
        <w:t>.</w:t>
      </w:r>
      <w:r>
        <w:t xml:space="preserve"> Department of Agriculture (USDA), </w:t>
      </w:r>
      <w:r w:rsidR="00E61AC4">
        <w:t>Grain Inspection Packers and Stockyard Administration (</w:t>
      </w:r>
      <w:r>
        <w:t>GIPSA</w:t>
      </w:r>
      <w:r w:rsidR="00E61AC4">
        <w:t>)</w:t>
      </w:r>
      <w:r>
        <w:t>, Packers and Stockyards Program (P&amp;SP)</w:t>
      </w:r>
      <w:r w:rsidR="0015610D">
        <w:t xml:space="preserve"> (2012)</w:t>
      </w:r>
    </w:p>
    <w:p w:rsidR="00CC3C10" w:rsidRDefault="00CC3C10" w:rsidP="00811C3A">
      <w:pPr>
        <w:pStyle w:val="BoldHeading"/>
        <w:spacing w:after="0"/>
      </w:pPr>
      <w:r>
        <w:t xml:space="preserve">Purpose: </w:t>
      </w:r>
      <w:r>
        <w:tab/>
      </w:r>
    </w:p>
    <w:p w:rsidR="00284AAF" w:rsidRDefault="00CC3C10" w:rsidP="00CC3C10">
      <w:r>
        <w:t>Remove the Tentative Code status of Section 5.59</w:t>
      </w:r>
      <w:r w:rsidR="00D34C43">
        <w:t>.</w:t>
      </w:r>
      <w:r>
        <w:t>, making it enforceable.</w:t>
      </w:r>
    </w:p>
    <w:p w:rsidR="00CC3C10" w:rsidRDefault="00CC3C10" w:rsidP="003E6F3D">
      <w:pPr>
        <w:spacing w:after="200" w:line="276" w:lineRule="auto"/>
        <w:jc w:val="left"/>
      </w:pPr>
      <w:r w:rsidRPr="00F8223C">
        <w:rPr>
          <w:b/>
        </w:rPr>
        <w:t xml:space="preserve">Item Under Consideration: </w:t>
      </w:r>
      <w:r>
        <w:t xml:space="preserve">Amend the title of </w:t>
      </w:r>
      <w:r w:rsidRPr="003E6F3D">
        <w:t>NIST Handbook 44</w:t>
      </w:r>
      <w:r w:rsidR="001F543D">
        <w:t>,</w:t>
      </w:r>
      <w:r>
        <w:t xml:space="preserve"> Tentative Code 5.59</w:t>
      </w:r>
      <w:r w:rsidR="001C0A3D">
        <w:t>.</w:t>
      </w:r>
      <w:r>
        <w:t xml:space="preserve"> as follows:</w:t>
      </w:r>
    </w:p>
    <w:p w:rsidR="00CC3C10" w:rsidRPr="00CC3C10" w:rsidRDefault="00CC3C10" w:rsidP="003E6F3D">
      <w:pPr>
        <w:pStyle w:val="I-Normalreg"/>
        <w:tabs>
          <w:tab w:val="left" w:pos="1620"/>
        </w:tabs>
        <w:rPr>
          <w:b/>
        </w:rPr>
      </w:pPr>
      <w:r w:rsidRPr="00CC3C10">
        <w:rPr>
          <w:b/>
        </w:rPr>
        <w:t>Section 5.59</w:t>
      </w:r>
      <w:r w:rsidR="00595ABF" w:rsidRPr="00CC3C10">
        <w:rPr>
          <w:b/>
        </w:rPr>
        <w:t>.</w:t>
      </w:r>
      <w:r w:rsidR="00595ABF">
        <w:rPr>
          <w:b/>
        </w:rPr>
        <w:tab/>
      </w:r>
      <w:r w:rsidRPr="00CC3C10">
        <w:rPr>
          <w:b/>
        </w:rPr>
        <w:t xml:space="preserve">Electronic Livestock, Meat, and Poultry Evaluation Systems and/or Devices </w:t>
      </w:r>
      <w:r w:rsidRPr="00CC3C10">
        <w:rPr>
          <w:b/>
          <w:strike/>
        </w:rPr>
        <w:t>– Tentative Code</w:t>
      </w:r>
    </w:p>
    <w:p w:rsidR="00CC3C10" w:rsidRPr="00CC3C10" w:rsidRDefault="00CC3C10" w:rsidP="00CC3C10">
      <w:pPr>
        <w:pStyle w:val="I-Normalreg"/>
        <w:rPr>
          <w:b/>
          <w:strike/>
        </w:rPr>
      </w:pPr>
      <w:r w:rsidRPr="00CC3C10">
        <w:rPr>
          <w:b/>
          <w:strike/>
        </w:rPr>
        <w:t>This tentative code has only a trial or experimental status and is not intended to be enforced.  The requirements are designed for study prior to the development and adoption of a final Code for Livestock, Meat, and Poultry Evaluation Systems and/or Devices.  Officials wanting to conduct an official examination of a device or system are advised to see paragraph G A.3. Special and Unclassified Equipment.</w:t>
      </w:r>
    </w:p>
    <w:p w:rsidR="00CC3C10" w:rsidRDefault="00CC3C10" w:rsidP="003E6F3D">
      <w:pPr>
        <w:pStyle w:val="BoldHeading"/>
        <w:spacing w:after="0"/>
      </w:pPr>
      <w:r>
        <w:t>Background/Discussion:</w:t>
      </w:r>
    </w:p>
    <w:p w:rsidR="00CC3C10" w:rsidRDefault="00CC3C10" w:rsidP="00CC3C10">
      <w:r>
        <w:t>Electronic</w:t>
      </w:r>
      <w:r w:rsidR="00EE6892">
        <w:t xml:space="preserve"> livestock</w:t>
      </w:r>
      <w:r>
        <w:t xml:space="preserve"> carcass evaluation equipment is used in livestock procurement to determine the value of the livestock being purchased.  There is no independent, third party verifying the accuracy of these devices.  In 2010, 106.</w:t>
      </w:r>
      <w:r w:rsidR="00D34C43">
        <w:t>9 </w:t>
      </w:r>
      <w:r>
        <w:t>million hogs weighing 21.8 billion pounds with a total value of $15.</w:t>
      </w:r>
      <w:r w:rsidR="00D34C43">
        <w:t>7 </w:t>
      </w:r>
      <w:r>
        <w:t xml:space="preserve">billion were commercially slaughtered.  Of these, approximately </w:t>
      </w:r>
      <w:r w:rsidR="00D34C43">
        <w:t>80 </w:t>
      </w:r>
      <w:r>
        <w:t xml:space="preserve">% were made on a carcass yield weight basis with an electronic </w:t>
      </w:r>
      <w:r w:rsidR="00EE6892" w:rsidRPr="00C62956">
        <w:t xml:space="preserve">carcass </w:t>
      </w:r>
      <w:r>
        <w:t>evaluation device.  In 2010, 27 million steers and heifers weighing 34.6 billion pounds with a total value of $</w:t>
      </w:r>
      <w:r w:rsidR="00D34C43">
        <w:t>33 </w:t>
      </w:r>
      <w:r>
        <w:t xml:space="preserve">billion were commercially slaughtered.  The use of electronic </w:t>
      </w:r>
      <w:r w:rsidR="00EE6892" w:rsidRPr="00C62956">
        <w:t xml:space="preserve">carcass </w:t>
      </w:r>
      <w:r>
        <w:t>evaluation devices in the beef industry is just beginning to take hold</w:t>
      </w:r>
      <w:r w:rsidR="00EE6892">
        <w:t>,</w:t>
      </w:r>
      <w:r>
        <w:t xml:space="preserve"> so there is no data at this point that indicates the number </w:t>
      </w:r>
      <w:r w:rsidR="00EE6892" w:rsidRPr="00C62956">
        <w:t>of transactions in which carcass evaluation devices are being</w:t>
      </w:r>
      <w:r w:rsidR="005B2FC4">
        <w:t xml:space="preserve"> </w:t>
      </w:r>
      <w:r>
        <w:t>use</w:t>
      </w:r>
      <w:r w:rsidR="005B2FC4">
        <w:t>d</w:t>
      </w:r>
      <w:r w:rsidR="00EE6892">
        <w:t xml:space="preserve"> </w:t>
      </w:r>
      <w:r w:rsidR="005B2FC4">
        <w:t>commercially</w:t>
      </w:r>
      <w:r>
        <w:t xml:space="preserve">.  </w:t>
      </w:r>
      <w:r w:rsidR="00EE6892">
        <w:t xml:space="preserve">Electronic carcass </w:t>
      </w:r>
      <w:r>
        <w:t xml:space="preserve">evaluation devices are </w:t>
      </w:r>
      <w:r w:rsidR="00EE6892">
        <w:t xml:space="preserve">also </w:t>
      </w:r>
      <w:r>
        <w:t>used to measure composition or quality constituents in individual cuts of meat for further sale to consumers.  Studies have shown that improper use of electronic carcass evaluation equipment can change the value of livestock, meat and poultry.  The impact of calibration, machine, and formula errors is unknown.  The economic impact of the use of electronic livestock, meat and poultry evaluation equipment is very large.  The revenues of livestock and poultry producers in every state are or will be affected by the use of these devices.</w:t>
      </w:r>
    </w:p>
    <w:p w:rsidR="00CC3C10" w:rsidRDefault="00CC3C10" w:rsidP="00CC3C10">
      <w:r>
        <w:t xml:space="preserve">State and federal regulatory agencies are charged with protecting livestock, meat and poultry producers as well as the consumer in the marketing of livestock, poultry and meat food products.  </w:t>
      </w:r>
      <w:r w:rsidR="00EE6892" w:rsidRPr="00C62956">
        <w:t xml:space="preserve">USDA, GIPSA, </w:t>
      </w:r>
      <w:r w:rsidR="00EE6892" w:rsidRPr="001B7738">
        <w:t>P&amp;SP</w:t>
      </w:r>
      <w:r w:rsidR="00EE6892" w:rsidRPr="00C62956">
        <w:t xml:space="preserve"> references </w:t>
      </w:r>
      <w:r w:rsidR="00EE6892" w:rsidRPr="003E6F3D">
        <w:t xml:space="preserve">NIST </w:t>
      </w:r>
      <w:r w:rsidR="00595ABF" w:rsidRPr="003E6F3D">
        <w:t>Handbook</w:t>
      </w:r>
      <w:r w:rsidR="00595ABF">
        <w:t> </w:t>
      </w:r>
      <w:r w:rsidR="00EE6892" w:rsidRPr="003E6F3D">
        <w:t>44</w:t>
      </w:r>
      <w:r w:rsidR="00EE6892" w:rsidRPr="00C62956">
        <w:t xml:space="preserve"> in </w:t>
      </w:r>
      <w:r w:rsidR="002A0FD3" w:rsidRPr="00C62956">
        <w:t>9</w:t>
      </w:r>
      <w:r w:rsidR="002A0FD3">
        <w:t> </w:t>
      </w:r>
      <w:r w:rsidR="00EE6892" w:rsidRPr="00C62956">
        <w:t>C.F.R.</w:t>
      </w:r>
      <w:r w:rsidR="002A0FD3">
        <w:t> </w:t>
      </w:r>
      <w:r w:rsidR="00EE6892" w:rsidRPr="00C62956">
        <w:t xml:space="preserve">201.71(a) in its livestock, poultry and carcass weight scale programs to ensure that all scales are installed, maintained and operated to safeguard accurate weights.  </w:t>
      </w:r>
      <w:r w:rsidRPr="003E6F3D">
        <w:t>NIST Handbook 44</w:t>
      </w:r>
      <w:r>
        <w:t xml:space="preserve"> </w:t>
      </w:r>
      <w:r w:rsidR="00EE6892" w:rsidRPr="00C62956">
        <w:t>currently includes a tentative code for electronic carcass evaluation devices.  Changing the status of the code from “tentative” to “permanent”</w:t>
      </w:r>
      <w:r w:rsidR="00EE6892">
        <w:t xml:space="preserve"> </w:t>
      </w:r>
      <w:r>
        <w:t xml:space="preserve">would assist </w:t>
      </w:r>
      <w:r w:rsidR="00EE6892">
        <w:t xml:space="preserve">state and federal regulatory agencies </w:t>
      </w:r>
      <w:r>
        <w:t xml:space="preserve">in the enforcement of standards that would ensure compliance, accuracy and consistency across the country.  </w:t>
      </w:r>
    </w:p>
    <w:p w:rsidR="00CC3C10" w:rsidRDefault="00CC3C10" w:rsidP="00CC3C10">
      <w:r>
        <w:lastRenderedPageBreak/>
        <w:t>ASTM</w:t>
      </w:r>
      <w:r w:rsidR="00284A25">
        <w:t xml:space="preserve"> International</w:t>
      </w:r>
      <w:r>
        <w:t>, an organization that develops voluntary international stand</w:t>
      </w:r>
      <w:r w:rsidR="0075709B">
        <w:t>ards, has established the F</w:t>
      </w:r>
      <w:r w:rsidR="003E6F3D">
        <w:noBreakHyphen/>
      </w:r>
      <w:r w:rsidR="002A0FD3">
        <w:t>10 </w:t>
      </w:r>
      <w:r w:rsidR="00AC55B7">
        <w:t>C</w:t>
      </w:r>
      <w:r w:rsidR="00EE6892">
        <w:t xml:space="preserve">ommittee </w:t>
      </w:r>
      <w:r>
        <w:t>specifically to address electronic livestock, meat and poultry evaluation devices and systems.  It developed several standards referenced in</w:t>
      </w:r>
      <w:r w:rsidR="0075709B">
        <w:t xml:space="preserve"> the tentative code.  The F-10 C</w:t>
      </w:r>
      <w:r>
        <w:t xml:space="preserve">ommittee remains committed to continuing the development of new standards and the revision of current standards to assist the livestock industry as technology takes a larger role in the determination of value in livestock.  </w:t>
      </w:r>
      <w:r w:rsidR="00EE6892" w:rsidRPr="00C62956">
        <w:t xml:space="preserve">Changing the status of the </w:t>
      </w:r>
      <w:r w:rsidR="00EE6892" w:rsidRPr="003E6F3D">
        <w:t>NIST Handbook 44</w:t>
      </w:r>
      <w:r w:rsidR="00EE6892" w:rsidRPr="00C62956">
        <w:t xml:space="preserve"> code to “</w:t>
      </w:r>
      <w:r w:rsidR="00EE6892">
        <w:t xml:space="preserve">permanent” </w:t>
      </w:r>
      <w:r>
        <w:t xml:space="preserve">would </w:t>
      </w:r>
      <w:r w:rsidR="00EE6892">
        <w:t xml:space="preserve">also </w:t>
      </w:r>
      <w:r>
        <w:t>support the efforts of this committee to ensure consistency and accuracy across the country.</w:t>
      </w:r>
    </w:p>
    <w:p w:rsidR="00CC3C10" w:rsidRDefault="00CC3C10" w:rsidP="00CC3C10">
      <w:r>
        <w:t xml:space="preserve">At the SWMA </w:t>
      </w:r>
      <w:r w:rsidR="00EE6892">
        <w:t xml:space="preserve">2011 </w:t>
      </w:r>
      <w:r>
        <w:t xml:space="preserve">Annual Meeting Mr. Ainsworth, USDA, asked the SWMA to consider moving this proposal </w:t>
      </w:r>
      <w:r w:rsidR="000A077E" w:rsidRPr="00C62956">
        <w:t xml:space="preserve">forward to the NCWM S&amp;T Committee </w:t>
      </w:r>
      <w:r>
        <w:t>as a Voting Item</w:t>
      </w:r>
      <w:r w:rsidR="000A077E">
        <w:t xml:space="preserve"> </w:t>
      </w:r>
      <w:r w:rsidR="000A077E" w:rsidRPr="00C62956">
        <w:t>based upon the rationale provided in the background information</w:t>
      </w:r>
      <w:r>
        <w:t xml:space="preserve">.  The </w:t>
      </w:r>
      <w:r w:rsidR="000A077E">
        <w:t xml:space="preserve">SWMA </w:t>
      </w:r>
      <w:r>
        <w:t>heard no opposition to the proposed change</w:t>
      </w:r>
      <w:r w:rsidR="000A077E">
        <w:t>s and</w:t>
      </w:r>
      <w:r w:rsidR="006B336F">
        <w:t xml:space="preserve"> acknowledged that there has been no </w:t>
      </w:r>
      <w:r w:rsidR="006B336F" w:rsidRPr="0056019A">
        <w:t>negative feedback</w:t>
      </w:r>
      <w:r w:rsidRPr="0056019A">
        <w:t xml:space="preserve"> since the code </w:t>
      </w:r>
      <w:r w:rsidR="006B336F" w:rsidRPr="0056019A">
        <w:t>was given</w:t>
      </w:r>
      <w:r w:rsidRPr="0056019A">
        <w:t xml:space="preserve"> tentative </w:t>
      </w:r>
      <w:r w:rsidR="006B336F" w:rsidRPr="0056019A">
        <w:t>status</w:t>
      </w:r>
      <w:r w:rsidRPr="0056019A">
        <w:t xml:space="preserve"> several years </w:t>
      </w:r>
      <w:r w:rsidR="006B336F" w:rsidRPr="0056019A">
        <w:t xml:space="preserve">ago.  </w:t>
      </w:r>
      <w:r w:rsidR="0056019A" w:rsidRPr="0056019A">
        <w:t>SWMA</w:t>
      </w:r>
      <w:r w:rsidR="006B336F" w:rsidRPr="0056019A">
        <w:t xml:space="preserve"> forwarded the item to NCWM, recommending it as a Voting Item</w:t>
      </w:r>
      <w:r w:rsidRPr="0056019A">
        <w:t>.</w:t>
      </w:r>
    </w:p>
    <w:p w:rsidR="000A077E" w:rsidRDefault="000A077E" w:rsidP="000A077E">
      <w:r>
        <w:t>At the 2012 NCWM Interim Meeting, two state</w:t>
      </w:r>
      <w:r w:rsidR="00AC55B7">
        <w:t>s</w:t>
      </w:r>
      <w:r>
        <w:t xml:space="preserve"> </w:t>
      </w:r>
      <w:r w:rsidR="006B336F">
        <w:t xml:space="preserve">reported that </w:t>
      </w:r>
      <w:r>
        <w:t xml:space="preserve">their inspectors have no experience with this equipment and </w:t>
      </w:r>
      <w:r w:rsidR="006B336F">
        <w:t>they</w:t>
      </w:r>
      <w:r>
        <w:t xml:space="preserve"> expressed reservations about having enough knowledge about the equipment to consider the proposal or resources to train inspectors to test the equipment.  One of those jurisdictions also questioned adoption of a code that would </w:t>
      </w:r>
      <w:r w:rsidR="006B336F">
        <w:t>on</w:t>
      </w:r>
      <w:r>
        <w:t xml:space="preserve">ly meet the needs of one jurisdiction, albeit a </w:t>
      </w:r>
      <w:r w:rsidR="00AC55B7">
        <w:t>f</w:t>
      </w:r>
      <w:r>
        <w:t xml:space="preserve">ederal </w:t>
      </w:r>
      <w:r w:rsidR="00AC55B7">
        <w:t>g</w:t>
      </w:r>
      <w:r>
        <w:t>overnment agency.</w:t>
      </w:r>
    </w:p>
    <w:p w:rsidR="000A077E" w:rsidRDefault="006B336F" w:rsidP="000A077E">
      <w:r>
        <w:t>O</w:t>
      </w:r>
      <w:r w:rsidR="000A077E">
        <w:t>ne state and two private sector representatives</w:t>
      </w:r>
      <w:r>
        <w:t xml:space="preserve"> supported the proposal.  They</w:t>
      </w:r>
      <w:r w:rsidR="000A077E">
        <w:t xml:space="preserve"> noted that</w:t>
      </w:r>
      <w:r>
        <w:t>,</w:t>
      </w:r>
      <w:r w:rsidR="000A077E">
        <w:t xml:space="preserve"> if NCWM is to fulfill its mission of being the organization that develops the legal metrology standards for the </w:t>
      </w:r>
      <w:r w:rsidR="00A24760">
        <w:t>United States</w:t>
      </w:r>
      <w:r w:rsidR="000A077E">
        <w:t xml:space="preserve">, it isn’t wise to turn agencies away, particularly those that have experience working with the equipment in question and that have an immediate need for the standard.  </w:t>
      </w:r>
      <w:r w:rsidR="0056019A">
        <w:t>W</w:t>
      </w:r>
      <w:r w:rsidR="000A077E">
        <w:t xml:space="preserve">hile there are sometimes risks in adopting requirements for new technologies </w:t>
      </w:r>
      <w:r>
        <w:t>and applications, at some point</w:t>
      </w:r>
      <w:r w:rsidR="000A077E">
        <w:t xml:space="preserve"> adoption of the requirements must proceed and consideration must be given to the expertise of the members of the work group that developed the standards and who have applied it thus far.  </w:t>
      </w:r>
      <w:r w:rsidR="000A077E" w:rsidRPr="003E6F3D">
        <w:t>NIST Handbook 44</w:t>
      </w:r>
      <w:r w:rsidR="000A077E">
        <w:t xml:space="preserve"> is regularly revised to respond to changes in the commercial marketplace and the need for modifications in new areas of application</w:t>
      </w:r>
    </w:p>
    <w:p w:rsidR="000A077E" w:rsidRDefault="000A077E" w:rsidP="000A077E">
      <w:pPr>
        <w:tabs>
          <w:tab w:val="center" w:pos="4680"/>
        </w:tabs>
      </w:pPr>
      <w:r>
        <w:t xml:space="preserve">NIST, OWM reported contacting two state jurisdictions where this equipment is in use in large facilities in an effort to gather additional input on this item for the </w:t>
      </w:r>
      <w:r w:rsidR="00284AAF">
        <w:t>Committee</w:t>
      </w:r>
      <w:r>
        <w:t>.  While these jurisdictions had not applied the code, Mr</w:t>
      </w:r>
      <w:r w:rsidR="002A0FD3">
        <w:t>. </w:t>
      </w:r>
      <w:r>
        <w:t>Wilke, USDA GIPSA, reported that GIPSA applies the code to electronic carcass evaluation systems on a regular basis and is satisfied with the results obtained from its use.  He also reported that new devices being manufactured have been found to comply with the requirements in the code.</w:t>
      </w:r>
    </w:p>
    <w:p w:rsidR="000A077E" w:rsidRDefault="000A077E" w:rsidP="000A077E">
      <w:r>
        <w:t xml:space="preserve">After considering comments on this issue, the </w:t>
      </w:r>
      <w:r w:rsidR="002A0FD3">
        <w:t xml:space="preserve">Committee </w:t>
      </w:r>
      <w:r>
        <w:t xml:space="preserve">acknowledged that, although there is no evidence that states have applied the tentative </w:t>
      </w:r>
      <w:r w:rsidR="00AC55B7">
        <w:t>c</w:t>
      </w:r>
      <w:r>
        <w:t xml:space="preserve">ode, one regulatory agency, USDA GIPSA has applied the </w:t>
      </w:r>
      <w:r w:rsidR="00AC55B7">
        <w:t>c</w:t>
      </w:r>
      <w:r>
        <w:t xml:space="preserve">ode on a regular basis and is requesting that the tentative status be lifted to allow enforcement of the </w:t>
      </w:r>
      <w:r w:rsidR="00AC55B7">
        <w:t>c</w:t>
      </w:r>
      <w:r>
        <w:t xml:space="preserve">ode.  </w:t>
      </w:r>
      <w:r w:rsidR="006B336F" w:rsidRPr="006273B2">
        <w:rPr>
          <w:rFonts w:cs="Times New Roman"/>
        </w:rPr>
        <w:t>The 20</w:t>
      </w:r>
      <w:r w:rsidR="006B336F">
        <w:rPr>
          <w:rFonts w:cs="Times New Roman"/>
        </w:rPr>
        <w:t>12</w:t>
      </w:r>
      <w:r w:rsidR="006B336F" w:rsidRPr="006273B2">
        <w:rPr>
          <w:rFonts w:cs="Times New Roman"/>
        </w:rPr>
        <w:t xml:space="preserve"> </w:t>
      </w:r>
      <w:r w:rsidR="006B336F">
        <w:rPr>
          <w:rFonts w:cs="Times New Roman"/>
        </w:rPr>
        <w:t>S&amp;T</w:t>
      </w:r>
      <w:r w:rsidR="006B336F" w:rsidRPr="006273B2">
        <w:rPr>
          <w:rFonts w:cs="Times New Roman"/>
        </w:rPr>
        <w:t xml:space="preserve"> Committee designated this item as a Voting Item</w:t>
      </w:r>
      <w:r w:rsidRPr="00EC2400">
        <w:t>.</w:t>
      </w:r>
    </w:p>
    <w:p w:rsidR="00F017CE" w:rsidRPr="00F017CE" w:rsidRDefault="00F017CE" w:rsidP="00F017CE">
      <w:r w:rsidRPr="00F017CE">
        <w:t xml:space="preserve">At their </w:t>
      </w:r>
      <w:r w:rsidR="002A0FD3">
        <w:t>s</w:t>
      </w:r>
      <w:r w:rsidR="002A0FD3" w:rsidRPr="00F017CE">
        <w:t xml:space="preserve">pring </w:t>
      </w:r>
      <w:r w:rsidRPr="00F017CE">
        <w:t xml:space="preserve">2012 Annual Meetings, NEWMA and CWMA supported the item as a </w:t>
      </w:r>
      <w:r w:rsidR="00284AAF">
        <w:t>V</w:t>
      </w:r>
      <w:r w:rsidR="00284AAF" w:rsidRPr="00F017CE">
        <w:t>oting</w:t>
      </w:r>
      <w:r w:rsidRPr="00F017CE">
        <w:t xml:space="preserve"> </w:t>
      </w:r>
      <w:r w:rsidR="001C0A3D">
        <w:t>I</w:t>
      </w:r>
      <w:r w:rsidR="001C0A3D" w:rsidRPr="00F017CE">
        <w:t>tem</w:t>
      </w:r>
      <w:r w:rsidRPr="00F017CE">
        <w:t>, noting that another regulatory agency needs the ability to enforce this code.</w:t>
      </w:r>
    </w:p>
    <w:p w:rsidR="00F017CE" w:rsidRPr="00F017CE" w:rsidRDefault="00F017CE" w:rsidP="00F017CE">
      <w:r w:rsidRPr="00F017CE">
        <w:t xml:space="preserve">At 2012 Annual Meeting, Mr. Richard Suiter, Richard Suiter Consulting, referenced comments received by the </w:t>
      </w:r>
      <w:r w:rsidR="00717EB5">
        <w:t>c</w:t>
      </w:r>
      <w:r w:rsidRPr="00F017CE">
        <w:t>ommittee from weights and measures jurisdictions who were concerned about not having the testing equipment or knowledge to test these devices.  Mr. Suiter pointed out that Section 5.59</w:t>
      </w:r>
      <w:r w:rsidR="002A0FD3">
        <w:t>.</w:t>
      </w:r>
      <w:r w:rsidRPr="00F017CE">
        <w:t xml:space="preserve"> includes requirements for the device owner to provide traceable test standards, thus removing any burden on the jurisdiction to provide them.  Mr. Suiter also noted that testing these devices may require an additional investment of time; however, the devices are typically located in facilities where other devices under weights and measures regulation are located and the amount of additional time required should not be significant.</w:t>
      </w:r>
    </w:p>
    <w:p w:rsidR="00F017CE" w:rsidRPr="00F017CE" w:rsidRDefault="00F017CE" w:rsidP="00F017CE">
      <w:r w:rsidRPr="00F017CE">
        <w:t xml:space="preserve">The </w:t>
      </w:r>
      <w:r w:rsidR="00284AAF">
        <w:t>C</w:t>
      </w:r>
      <w:r w:rsidR="00284AAF" w:rsidRPr="00F017CE">
        <w:t xml:space="preserve">ommittee </w:t>
      </w:r>
      <w:r w:rsidRPr="00F017CE">
        <w:t>also heard from Mr. Alan Christian, USDA, GIPSA Packers and Stockyards Program, who reiterated comments made by GIPSA at the 2012 Interim Meeting.  He cited the importance of changing the status of the code to “permanent,” noting that a vast number of producers are paid based, not only on the weight of the animal, but also on other quality factors.  The lack of enforceable standards can result in significant harm to sellers who rely on the accuracy of these measurements for fair payment.</w:t>
      </w:r>
    </w:p>
    <w:p w:rsidR="00F017CE" w:rsidRPr="00F017CE" w:rsidRDefault="00F017CE" w:rsidP="00B77FD2">
      <w:r w:rsidRPr="00F017CE">
        <w:rPr>
          <w:szCs w:val="20"/>
        </w:rPr>
        <w:lastRenderedPageBreak/>
        <w:t>The</w:t>
      </w:r>
      <w:r w:rsidR="00347FEF">
        <w:rPr>
          <w:szCs w:val="20"/>
        </w:rPr>
        <w:t xml:space="preserve"> </w:t>
      </w:r>
      <w:r w:rsidR="00284AAF">
        <w:rPr>
          <w:szCs w:val="20"/>
        </w:rPr>
        <w:t xml:space="preserve">Committee </w:t>
      </w:r>
      <w:r w:rsidR="00347FEF">
        <w:rPr>
          <w:szCs w:val="20"/>
        </w:rPr>
        <w:t>noted that there</w:t>
      </w:r>
      <w:r w:rsidRPr="00F017CE">
        <w:rPr>
          <w:szCs w:val="20"/>
        </w:rPr>
        <w:t xml:space="preserve"> was one position</w:t>
      </w:r>
      <w:r w:rsidR="00347FEF">
        <w:rPr>
          <w:szCs w:val="20"/>
        </w:rPr>
        <w:t>, neutral to the proposal,</w:t>
      </w:r>
      <w:r w:rsidRPr="00F017CE">
        <w:rPr>
          <w:szCs w:val="20"/>
        </w:rPr>
        <w:t xml:space="preserve"> posted on the NCWM 2012 Online Position Forum</w:t>
      </w:r>
      <w:r w:rsidR="00347FEF">
        <w:rPr>
          <w:szCs w:val="20"/>
        </w:rPr>
        <w:t>.</w:t>
      </w:r>
      <w:r w:rsidR="00347FEF">
        <w:t xml:space="preserve">  </w:t>
      </w:r>
      <w:r w:rsidRPr="00F017CE">
        <w:t xml:space="preserve">The </w:t>
      </w:r>
      <w:r w:rsidR="00284AAF">
        <w:t>C</w:t>
      </w:r>
      <w:r w:rsidR="00284AAF" w:rsidRPr="00F017CE">
        <w:t xml:space="preserve">ommittee </w:t>
      </w:r>
      <w:r w:rsidRPr="00F017CE">
        <w:t>maintain</w:t>
      </w:r>
      <w:r w:rsidR="00347FEF">
        <w:t>ed</w:t>
      </w:r>
      <w:r w:rsidRPr="00F017CE">
        <w:t xml:space="preserve"> its support of the proposed change</w:t>
      </w:r>
      <w:r w:rsidR="00347FEF">
        <w:t>, recommending</w:t>
      </w:r>
      <w:r w:rsidRPr="00F017CE">
        <w:t xml:space="preserve"> the removal of the “tentative” status from the code</w:t>
      </w:r>
      <w:r w:rsidR="00347FEF">
        <w:t>, with no</w:t>
      </w:r>
      <w:r w:rsidRPr="00F017CE">
        <w:rPr>
          <w:szCs w:val="20"/>
        </w:rPr>
        <w:t xml:space="preserve"> change to the “Item Under Consideration.”</w:t>
      </w:r>
    </w:p>
    <w:p w:rsidR="00AC676A" w:rsidRDefault="00AC676A" w:rsidP="0043528A">
      <w:pPr>
        <w:pStyle w:val="Heading1"/>
        <w:spacing w:after="0"/>
      </w:pPr>
      <w:bookmarkStart w:id="42" w:name="_Toc334183644"/>
      <w:r>
        <w:t>360</w:t>
      </w:r>
      <w:r>
        <w:tab/>
        <w:t>OTHER ITEMS – DEVELOPING ITEMS</w:t>
      </w:r>
      <w:bookmarkEnd w:id="42"/>
    </w:p>
    <w:p w:rsidR="00AC676A" w:rsidRDefault="00BE3D88">
      <w:pPr>
        <w:pStyle w:val="ItemHeading"/>
      </w:pPr>
      <w:bookmarkStart w:id="43" w:name="_Toc334183645"/>
      <w:r>
        <w:t>360-1</w:t>
      </w:r>
      <w:r>
        <w:tab/>
      </w:r>
      <w:r w:rsidR="000A077E">
        <w:t>D</w:t>
      </w:r>
      <w:r w:rsidR="000A077E">
        <w:tab/>
      </w:r>
      <w:r w:rsidR="00AC676A">
        <w:t>International Organization of Legal Metrology (OIML) Report</w:t>
      </w:r>
      <w:bookmarkEnd w:id="43"/>
    </w:p>
    <w:p w:rsidR="00290C90" w:rsidRDefault="00AC676A" w:rsidP="00AC676A">
      <w:r>
        <w:t xml:space="preserve">Many issues before the </w:t>
      </w:r>
      <w:r w:rsidR="00BA4921">
        <w:t>OIML</w:t>
      </w:r>
      <w:r>
        <w:t>, the Asian-Pacif</w:t>
      </w:r>
      <w:r w:rsidR="00485DBF">
        <w:t>ic Legal Metrology Forum</w:t>
      </w:r>
      <w:r>
        <w:t xml:space="preserve">, and other international groups are within the purview of the </w:t>
      </w:r>
      <w:r w:rsidR="00BD3477">
        <w:t>Committee</w:t>
      </w:r>
      <w:r>
        <w:t xml:space="preserve">.  Additional information on OIML activities will appear in the Board of Directors agenda and Interim and Final Reports and on the OIML website at </w:t>
      </w:r>
      <w:r w:rsidRPr="00AC676A">
        <w:rPr>
          <w:rStyle w:val="Hyperlink"/>
        </w:rPr>
        <w:t>www.oiml.org</w:t>
      </w:r>
      <w:r>
        <w:t xml:space="preserve">.  NIST, OWM staff will provide the latest updates on OIML activities during the Open Hearings at NCWM meetings.  For more information on specific OIML related device activities, contact the </w:t>
      </w:r>
      <w:r w:rsidR="00630D94">
        <w:t xml:space="preserve">NIST, </w:t>
      </w:r>
      <w:r>
        <w:t xml:space="preserve">OWM staff listed in the table below.  The </w:t>
      </w:r>
      <w:r w:rsidR="0056019A">
        <w:t xml:space="preserve">list below of </w:t>
      </w:r>
      <w:r>
        <w:t xml:space="preserve">OIML projects only </w:t>
      </w:r>
      <w:r w:rsidR="0056019A">
        <w:t xml:space="preserve">represents </w:t>
      </w:r>
      <w:r>
        <w:t>active projects</w:t>
      </w:r>
      <w:r w:rsidR="00071B5D">
        <w:t>.</w:t>
      </w:r>
    </w:p>
    <w:tbl>
      <w:tblPr>
        <w:tblStyle w:val="TableGrid"/>
        <w:tblW w:w="9648" w:type="dxa"/>
        <w:tblCellMar>
          <w:top w:w="43" w:type="dxa"/>
          <w:left w:w="115" w:type="dxa"/>
          <w:bottom w:w="43" w:type="dxa"/>
          <w:right w:w="115" w:type="dxa"/>
        </w:tblCellMar>
        <w:tblLook w:val="04A0" w:firstRow="1" w:lastRow="0" w:firstColumn="1" w:lastColumn="0" w:noHBand="0" w:noVBand="1"/>
      </w:tblPr>
      <w:tblGrid>
        <w:gridCol w:w="918"/>
        <w:gridCol w:w="2160"/>
        <w:gridCol w:w="1800"/>
        <w:gridCol w:w="1080"/>
        <w:gridCol w:w="3690"/>
      </w:tblGrid>
      <w:tr w:rsidR="00F8223C" w:rsidTr="003E6F3D">
        <w:trPr>
          <w:tblHeader/>
        </w:trPr>
        <w:tc>
          <w:tcPr>
            <w:tcW w:w="9648" w:type="dxa"/>
            <w:gridSpan w:val="5"/>
            <w:tcBorders>
              <w:top w:val="double" w:sz="6" w:space="0" w:color="000000"/>
              <w:left w:val="double" w:sz="6" w:space="0" w:color="000000"/>
              <w:bottom w:val="double" w:sz="6" w:space="0" w:color="000000"/>
              <w:right w:val="double" w:sz="6" w:space="0" w:color="000000"/>
            </w:tcBorders>
          </w:tcPr>
          <w:p w:rsidR="00F8223C" w:rsidRPr="00136A57" w:rsidRDefault="00F8223C" w:rsidP="003E6F3D">
            <w:pPr>
              <w:spacing w:after="0"/>
              <w:jc w:val="center"/>
              <w:rPr>
                <w:b/>
              </w:rPr>
            </w:pPr>
            <w:r w:rsidRPr="00136A57">
              <w:rPr>
                <w:b/>
              </w:rPr>
              <w:t>NIST Office of Weights and Measures</w:t>
            </w:r>
          </w:p>
          <w:p w:rsidR="00F8223C" w:rsidRPr="00136A57" w:rsidRDefault="00F8223C" w:rsidP="003E6F3D">
            <w:pPr>
              <w:spacing w:after="0"/>
              <w:jc w:val="center"/>
              <w:rPr>
                <w:b/>
              </w:rPr>
            </w:pPr>
            <w:r w:rsidRPr="00136A57">
              <w:rPr>
                <w:b/>
              </w:rPr>
              <w:t>Staff Contact List for International Activities</w:t>
            </w:r>
          </w:p>
        </w:tc>
      </w:tr>
      <w:tr w:rsidR="00F8223C" w:rsidTr="003E6F3D">
        <w:trPr>
          <w:tblHeader/>
        </w:trPr>
        <w:tc>
          <w:tcPr>
            <w:tcW w:w="3078" w:type="dxa"/>
            <w:gridSpan w:val="2"/>
            <w:tcBorders>
              <w:top w:val="double" w:sz="6" w:space="0" w:color="000000"/>
              <w:left w:val="double" w:sz="6" w:space="0" w:color="000000"/>
            </w:tcBorders>
          </w:tcPr>
          <w:p w:rsidR="00F8223C" w:rsidRPr="00136A57" w:rsidRDefault="00F8223C" w:rsidP="003E6F3D">
            <w:pPr>
              <w:spacing w:after="0"/>
              <w:rPr>
                <w:b/>
              </w:rPr>
            </w:pPr>
            <w:r w:rsidRPr="00136A57">
              <w:rPr>
                <w:b/>
              </w:rPr>
              <w:t>Contact Information</w:t>
            </w:r>
          </w:p>
        </w:tc>
        <w:tc>
          <w:tcPr>
            <w:tcW w:w="6570" w:type="dxa"/>
            <w:gridSpan w:val="3"/>
            <w:tcBorders>
              <w:top w:val="double" w:sz="6" w:space="0" w:color="000000"/>
              <w:right w:val="double" w:sz="6" w:space="0" w:color="000000"/>
            </w:tcBorders>
          </w:tcPr>
          <w:p w:rsidR="00F8223C" w:rsidRPr="00136A57" w:rsidRDefault="00F8223C" w:rsidP="003E6F3D">
            <w:pPr>
              <w:tabs>
                <w:tab w:val="left" w:pos="252"/>
              </w:tabs>
              <w:spacing w:after="0"/>
              <w:ind w:left="252" w:hanging="270"/>
              <w:rPr>
                <w:b/>
              </w:rPr>
            </w:pPr>
            <w:r w:rsidRPr="00136A57">
              <w:rPr>
                <w:b/>
              </w:rPr>
              <w:t>Responsibilities</w:t>
            </w:r>
          </w:p>
        </w:tc>
      </w:tr>
      <w:tr w:rsidR="00F8223C" w:rsidTr="003E6F3D">
        <w:tc>
          <w:tcPr>
            <w:tcW w:w="3078" w:type="dxa"/>
            <w:gridSpan w:val="2"/>
            <w:tcBorders>
              <w:left w:val="double" w:sz="6" w:space="0" w:color="000000"/>
            </w:tcBorders>
          </w:tcPr>
          <w:p w:rsidR="00F8223C" w:rsidRPr="00136A57" w:rsidRDefault="00F8223C" w:rsidP="003E6F3D">
            <w:pPr>
              <w:pStyle w:val="TableText"/>
              <w:spacing w:after="0"/>
              <w:rPr>
                <w:b/>
              </w:rPr>
            </w:pPr>
            <w:r w:rsidRPr="00136A57">
              <w:rPr>
                <w:b/>
              </w:rPr>
              <w:t>Mr. John Barton –LMDP</w:t>
            </w:r>
          </w:p>
          <w:p w:rsidR="00F8223C" w:rsidRPr="00136A57" w:rsidRDefault="00F8223C" w:rsidP="003E6F3D">
            <w:pPr>
              <w:spacing w:after="0"/>
            </w:pPr>
            <w:r w:rsidRPr="00136A57">
              <w:t>Phone: (301) 975-4002</w:t>
            </w:r>
          </w:p>
          <w:p w:rsidR="00F8223C" w:rsidRPr="00136A57" w:rsidRDefault="00F8223C" w:rsidP="003E6F3D">
            <w:pPr>
              <w:spacing w:after="0"/>
            </w:pPr>
            <w:r w:rsidRPr="00136A57">
              <w:t xml:space="preserve">Email: </w:t>
            </w:r>
            <w:hyperlink r:id="rId17" w:history="1">
              <w:r w:rsidRPr="00136A57">
                <w:rPr>
                  <w:rStyle w:val="Hyperlink"/>
                </w:rPr>
                <w:t>john.barton@nist.gov</w:t>
              </w:r>
            </w:hyperlink>
          </w:p>
        </w:tc>
        <w:tc>
          <w:tcPr>
            <w:tcW w:w="6570" w:type="dxa"/>
            <w:gridSpan w:val="3"/>
            <w:tcBorders>
              <w:right w:val="double" w:sz="6" w:space="0" w:color="000000"/>
            </w:tcBorders>
          </w:tcPr>
          <w:p w:rsidR="00F8223C" w:rsidRPr="00136A57" w:rsidRDefault="00F8223C" w:rsidP="003E6F3D">
            <w:pPr>
              <w:pStyle w:val="ListParagraph"/>
              <w:numPr>
                <w:ilvl w:val="0"/>
                <w:numId w:val="17"/>
              </w:numPr>
              <w:tabs>
                <w:tab w:val="left" w:pos="252"/>
              </w:tabs>
              <w:spacing w:after="0"/>
              <w:ind w:left="252" w:hanging="270"/>
              <w:jc w:val="left"/>
              <w:rPr>
                <w:b/>
              </w:rPr>
            </w:pPr>
            <w:r w:rsidRPr="00136A57">
              <w:t>R 21 </w:t>
            </w:r>
            <w:r w:rsidRPr="00136A57">
              <w:rPr>
                <w:i/>
              </w:rPr>
              <w:t>Taximeters</w:t>
            </w:r>
          </w:p>
          <w:p w:rsidR="00F8223C" w:rsidRPr="00136A57" w:rsidRDefault="00F8223C" w:rsidP="003E6F3D">
            <w:pPr>
              <w:pStyle w:val="ListParagraph"/>
              <w:numPr>
                <w:ilvl w:val="0"/>
                <w:numId w:val="17"/>
              </w:numPr>
              <w:tabs>
                <w:tab w:val="left" w:pos="252"/>
              </w:tabs>
              <w:spacing w:after="0"/>
              <w:ind w:left="252" w:hanging="270"/>
              <w:jc w:val="left"/>
              <w:rPr>
                <w:b/>
              </w:rPr>
            </w:pPr>
            <w:r w:rsidRPr="00136A57">
              <w:rPr>
                <w:spacing w:val="-2"/>
              </w:rPr>
              <w:t>R 50 </w:t>
            </w:r>
            <w:r w:rsidRPr="00136A57">
              <w:rPr>
                <w:i/>
                <w:spacing w:val="-2"/>
              </w:rPr>
              <w:t>Continuous Totalizing Automatic Weighing Instruments (Belt Weighers)</w:t>
            </w:r>
          </w:p>
          <w:p w:rsidR="00F8223C" w:rsidRPr="00136A57" w:rsidRDefault="00F8223C" w:rsidP="003E6F3D">
            <w:pPr>
              <w:pStyle w:val="ListParagraph"/>
              <w:numPr>
                <w:ilvl w:val="0"/>
                <w:numId w:val="17"/>
              </w:numPr>
              <w:tabs>
                <w:tab w:val="left" w:pos="252"/>
              </w:tabs>
              <w:spacing w:after="0"/>
              <w:ind w:left="252" w:hanging="270"/>
              <w:jc w:val="left"/>
              <w:rPr>
                <w:b/>
              </w:rPr>
            </w:pPr>
            <w:r w:rsidRPr="00136A57">
              <w:t>R 60 </w:t>
            </w:r>
            <w:r w:rsidRPr="00136A57">
              <w:rPr>
                <w:i/>
              </w:rPr>
              <w:t>Metrological Regulations for Load Cells</w:t>
            </w:r>
          </w:p>
          <w:p w:rsidR="00F8223C" w:rsidRPr="00136A57" w:rsidRDefault="00F8223C" w:rsidP="003E6F3D">
            <w:pPr>
              <w:pStyle w:val="ListParagraph"/>
              <w:numPr>
                <w:ilvl w:val="0"/>
                <w:numId w:val="17"/>
              </w:numPr>
              <w:tabs>
                <w:tab w:val="left" w:pos="252"/>
              </w:tabs>
              <w:spacing w:after="0"/>
              <w:ind w:left="252" w:hanging="270"/>
              <w:jc w:val="left"/>
              <w:rPr>
                <w:b/>
              </w:rPr>
            </w:pPr>
            <w:r w:rsidRPr="00136A57">
              <w:t>R 106 </w:t>
            </w:r>
            <w:r w:rsidRPr="00136A57">
              <w:rPr>
                <w:i/>
              </w:rPr>
              <w:t>Automatic Rail</w:t>
            </w:r>
            <w:r w:rsidRPr="00136A57">
              <w:rPr>
                <w:i/>
              </w:rPr>
              <w:noBreakHyphen/>
              <w:t>weighbridges</w:t>
            </w:r>
          </w:p>
        </w:tc>
      </w:tr>
      <w:tr w:rsidR="00F8223C" w:rsidTr="003E6F3D">
        <w:trPr>
          <w:trHeight w:val="728"/>
        </w:trPr>
        <w:tc>
          <w:tcPr>
            <w:tcW w:w="3078" w:type="dxa"/>
            <w:gridSpan w:val="2"/>
            <w:tcBorders>
              <w:left w:val="double" w:sz="6" w:space="0" w:color="000000"/>
            </w:tcBorders>
          </w:tcPr>
          <w:p w:rsidR="00F8223C" w:rsidRPr="00136A57" w:rsidRDefault="00F8223C" w:rsidP="003E6F3D">
            <w:pPr>
              <w:pStyle w:val="TableText"/>
              <w:spacing w:after="0"/>
              <w:rPr>
                <w:b/>
              </w:rPr>
            </w:pPr>
            <w:r w:rsidRPr="00136A57">
              <w:rPr>
                <w:b/>
              </w:rPr>
              <w:t>Mr. Kenneth Butcher –LMP</w:t>
            </w:r>
          </w:p>
          <w:p w:rsidR="00F8223C" w:rsidRPr="00136A57" w:rsidRDefault="00F8223C" w:rsidP="003E6F3D">
            <w:pPr>
              <w:spacing w:after="0"/>
            </w:pPr>
            <w:r w:rsidRPr="00136A57">
              <w:t>Phone: (301) 975-4859</w:t>
            </w:r>
          </w:p>
          <w:p w:rsidR="00F8223C" w:rsidRPr="00136A57" w:rsidRDefault="00F8223C" w:rsidP="003E6F3D">
            <w:pPr>
              <w:spacing w:after="0"/>
            </w:pPr>
            <w:r w:rsidRPr="00136A57">
              <w:t xml:space="preserve">Email: </w:t>
            </w:r>
            <w:hyperlink r:id="rId18" w:history="1">
              <w:r w:rsidRPr="00136A57">
                <w:rPr>
                  <w:rStyle w:val="Hyperlink"/>
                </w:rPr>
                <w:t>k.butcher@nist.gov</w:t>
              </w:r>
            </w:hyperlink>
          </w:p>
        </w:tc>
        <w:tc>
          <w:tcPr>
            <w:tcW w:w="6570" w:type="dxa"/>
            <w:gridSpan w:val="3"/>
            <w:tcBorders>
              <w:right w:val="double" w:sz="6" w:space="0" w:color="000000"/>
            </w:tcBorders>
          </w:tcPr>
          <w:p w:rsidR="00F8223C" w:rsidRPr="00136A57" w:rsidRDefault="00F8223C" w:rsidP="003E6F3D">
            <w:pPr>
              <w:pStyle w:val="TableText"/>
              <w:numPr>
                <w:ilvl w:val="0"/>
                <w:numId w:val="16"/>
              </w:numPr>
              <w:tabs>
                <w:tab w:val="left" w:pos="252"/>
              </w:tabs>
              <w:spacing w:after="0"/>
              <w:ind w:left="252" w:hanging="270"/>
              <w:rPr>
                <w:b/>
              </w:rPr>
            </w:pPr>
            <w:r w:rsidRPr="00136A57">
              <w:t>TC 6 </w:t>
            </w:r>
            <w:r w:rsidRPr="00136A57">
              <w:rPr>
                <w:i/>
              </w:rPr>
              <w:t>Prepackaged Products</w:t>
            </w:r>
          </w:p>
        </w:tc>
      </w:tr>
      <w:tr w:rsidR="00F8223C" w:rsidTr="003E6F3D">
        <w:tc>
          <w:tcPr>
            <w:tcW w:w="3078" w:type="dxa"/>
            <w:gridSpan w:val="2"/>
            <w:tcBorders>
              <w:left w:val="double" w:sz="6" w:space="0" w:color="000000"/>
            </w:tcBorders>
          </w:tcPr>
          <w:p w:rsidR="00F8223C" w:rsidRPr="00136A57" w:rsidRDefault="00F8223C" w:rsidP="003E6F3D">
            <w:pPr>
              <w:pStyle w:val="TableText"/>
              <w:spacing w:after="0"/>
              <w:rPr>
                <w:b/>
                <w:lang w:val="fr-FR"/>
              </w:rPr>
            </w:pPr>
            <w:r w:rsidRPr="00136A57">
              <w:rPr>
                <w:b/>
                <w:lang w:val="fr-FR"/>
              </w:rPr>
              <w:t>Dr. Charles Ehrlich –</w:t>
            </w:r>
            <w:r w:rsidRPr="00136A57">
              <w:rPr>
                <w:b/>
                <w:szCs w:val="20"/>
              </w:rPr>
              <w:t>ILMP</w:t>
            </w:r>
          </w:p>
          <w:p w:rsidR="00F8223C" w:rsidRPr="00136A57" w:rsidRDefault="00F8223C" w:rsidP="003E6F3D">
            <w:pPr>
              <w:spacing w:after="0"/>
              <w:rPr>
                <w:lang w:val="fr-FR"/>
              </w:rPr>
            </w:pPr>
            <w:r w:rsidRPr="00136A57">
              <w:rPr>
                <w:lang w:val="fr-FR"/>
              </w:rPr>
              <w:t>Phone : (301) 975-4834</w:t>
            </w:r>
          </w:p>
          <w:p w:rsidR="00F8223C" w:rsidRPr="00136A57" w:rsidRDefault="00F8223C" w:rsidP="003E6F3D">
            <w:pPr>
              <w:spacing w:after="0"/>
            </w:pPr>
            <w:r w:rsidRPr="00136A57">
              <w:rPr>
                <w:lang w:val="fr-FR"/>
              </w:rPr>
              <w:t xml:space="preserve">Email : </w:t>
            </w:r>
            <w:hyperlink r:id="rId19" w:history="1">
              <w:r w:rsidRPr="00136A57">
                <w:rPr>
                  <w:rStyle w:val="Hyperlink"/>
                </w:rPr>
                <w:t>charles.ehrlich@nist.gov</w:t>
              </w:r>
            </w:hyperlink>
          </w:p>
        </w:tc>
        <w:tc>
          <w:tcPr>
            <w:tcW w:w="6570" w:type="dxa"/>
            <w:gridSpan w:val="3"/>
            <w:tcBorders>
              <w:right w:val="double" w:sz="6" w:space="0" w:color="000000"/>
            </w:tcBorders>
          </w:tcPr>
          <w:p w:rsidR="00F8223C" w:rsidRPr="00136A57" w:rsidRDefault="00F8223C" w:rsidP="003E6F3D">
            <w:pPr>
              <w:pStyle w:val="ListParagraph"/>
              <w:keepNext/>
              <w:keepLines/>
              <w:numPr>
                <w:ilvl w:val="0"/>
                <w:numId w:val="19"/>
              </w:numPr>
              <w:tabs>
                <w:tab w:val="left" w:pos="252"/>
              </w:tabs>
              <w:spacing w:after="0"/>
              <w:ind w:left="252" w:hanging="270"/>
              <w:jc w:val="left"/>
              <w:rPr>
                <w:b/>
                <w:szCs w:val="20"/>
              </w:rPr>
            </w:pPr>
            <w:r w:rsidRPr="00136A57">
              <w:rPr>
                <w:szCs w:val="20"/>
              </w:rPr>
              <w:t xml:space="preserve">International Committee of Legal Metrology Member for the </w:t>
            </w:r>
            <w:r w:rsidR="00CB0AA0">
              <w:rPr>
                <w:szCs w:val="20"/>
              </w:rPr>
              <w:t>United States</w:t>
            </w:r>
          </w:p>
          <w:p w:rsidR="00F8223C" w:rsidRPr="00136A57" w:rsidRDefault="00F8223C" w:rsidP="003E6F3D">
            <w:pPr>
              <w:pStyle w:val="ListParagraph"/>
              <w:keepNext/>
              <w:keepLines/>
              <w:numPr>
                <w:ilvl w:val="0"/>
                <w:numId w:val="19"/>
              </w:numPr>
              <w:tabs>
                <w:tab w:val="left" w:pos="252"/>
              </w:tabs>
              <w:spacing w:after="0"/>
              <w:ind w:left="252" w:hanging="270"/>
              <w:jc w:val="left"/>
              <w:rPr>
                <w:b/>
                <w:szCs w:val="20"/>
              </w:rPr>
            </w:pPr>
            <w:r w:rsidRPr="00136A57">
              <w:rPr>
                <w:szCs w:val="20"/>
              </w:rPr>
              <w:t xml:space="preserve">V1 </w:t>
            </w:r>
            <w:r w:rsidRPr="00136A57">
              <w:rPr>
                <w:i/>
                <w:szCs w:val="20"/>
              </w:rPr>
              <w:t>International Vocabulary of Terms in Legal Metrology</w:t>
            </w:r>
          </w:p>
          <w:p w:rsidR="00F8223C" w:rsidRPr="00136A57" w:rsidRDefault="00F8223C" w:rsidP="003E6F3D">
            <w:pPr>
              <w:pStyle w:val="ListParagraph"/>
              <w:keepNext/>
              <w:keepLines/>
              <w:numPr>
                <w:ilvl w:val="0"/>
                <w:numId w:val="19"/>
              </w:numPr>
              <w:tabs>
                <w:tab w:val="left" w:pos="252"/>
              </w:tabs>
              <w:spacing w:after="0"/>
              <w:ind w:left="252" w:hanging="270"/>
              <w:jc w:val="left"/>
              <w:rPr>
                <w:b/>
                <w:szCs w:val="20"/>
              </w:rPr>
            </w:pPr>
            <w:r w:rsidRPr="00136A57">
              <w:rPr>
                <w:szCs w:val="20"/>
              </w:rPr>
              <w:t xml:space="preserve">V2 </w:t>
            </w:r>
            <w:r w:rsidRPr="00136A57">
              <w:rPr>
                <w:i/>
                <w:szCs w:val="20"/>
              </w:rPr>
              <w:t>International Vocabulary of Basic and General Terms in Metrology</w:t>
            </w:r>
          </w:p>
          <w:p w:rsidR="00F8223C" w:rsidRPr="00136A57" w:rsidRDefault="00F8223C" w:rsidP="003E6F3D">
            <w:pPr>
              <w:pStyle w:val="ListParagraph"/>
              <w:keepNext/>
              <w:keepLines/>
              <w:numPr>
                <w:ilvl w:val="0"/>
                <w:numId w:val="19"/>
              </w:numPr>
              <w:tabs>
                <w:tab w:val="left" w:pos="252"/>
              </w:tabs>
              <w:spacing w:after="0"/>
              <w:ind w:left="252" w:hanging="270"/>
              <w:jc w:val="left"/>
              <w:rPr>
                <w:b/>
                <w:spacing w:val="-6"/>
                <w:szCs w:val="20"/>
              </w:rPr>
            </w:pPr>
            <w:r w:rsidRPr="00136A57">
              <w:rPr>
                <w:spacing w:val="-6"/>
                <w:szCs w:val="20"/>
              </w:rPr>
              <w:t>B 3 </w:t>
            </w:r>
            <w:r w:rsidRPr="00136A57">
              <w:rPr>
                <w:i/>
                <w:spacing w:val="-6"/>
                <w:szCs w:val="20"/>
              </w:rPr>
              <w:t>OIML Certificate System for Measuring Instruments</w:t>
            </w:r>
          </w:p>
          <w:p w:rsidR="00F8223C" w:rsidRPr="00136A57" w:rsidRDefault="00F8223C" w:rsidP="003E6F3D">
            <w:pPr>
              <w:pStyle w:val="ListParagraph"/>
              <w:keepNext/>
              <w:keepLines/>
              <w:numPr>
                <w:ilvl w:val="0"/>
                <w:numId w:val="19"/>
              </w:numPr>
              <w:tabs>
                <w:tab w:val="left" w:pos="252"/>
              </w:tabs>
              <w:spacing w:after="0"/>
              <w:ind w:left="252" w:hanging="270"/>
              <w:jc w:val="left"/>
              <w:rPr>
                <w:b/>
                <w:i/>
                <w:szCs w:val="20"/>
              </w:rPr>
            </w:pPr>
            <w:r w:rsidRPr="00136A57">
              <w:rPr>
                <w:szCs w:val="20"/>
              </w:rPr>
              <w:t>B 6 </w:t>
            </w:r>
            <w:r w:rsidRPr="00136A57">
              <w:rPr>
                <w:i/>
                <w:szCs w:val="20"/>
              </w:rPr>
              <w:t>OIML Directives for the Technical Work</w:t>
            </w:r>
          </w:p>
          <w:p w:rsidR="00F8223C" w:rsidRPr="00136A57" w:rsidRDefault="00F8223C" w:rsidP="003E6F3D">
            <w:pPr>
              <w:pStyle w:val="ListParagraph"/>
              <w:keepNext/>
              <w:keepLines/>
              <w:numPr>
                <w:ilvl w:val="0"/>
                <w:numId w:val="19"/>
              </w:numPr>
              <w:tabs>
                <w:tab w:val="left" w:pos="252"/>
              </w:tabs>
              <w:spacing w:after="0"/>
              <w:ind w:left="252" w:hanging="270"/>
              <w:jc w:val="left"/>
              <w:rPr>
                <w:b/>
                <w:i/>
                <w:szCs w:val="20"/>
              </w:rPr>
            </w:pPr>
            <w:r w:rsidRPr="00136A57">
              <w:rPr>
                <w:szCs w:val="20"/>
              </w:rPr>
              <w:t>B 10 </w:t>
            </w:r>
            <w:r w:rsidRPr="00136A57">
              <w:rPr>
                <w:i/>
                <w:szCs w:val="20"/>
              </w:rPr>
              <w:t>Framework for a Mutual Acceptance Arrangement</w:t>
            </w:r>
            <w:r w:rsidRPr="00136A57">
              <w:rPr>
                <w:szCs w:val="20"/>
              </w:rPr>
              <w:t xml:space="preserve"> </w:t>
            </w:r>
            <w:r w:rsidRPr="00136A57">
              <w:rPr>
                <w:i/>
                <w:szCs w:val="20"/>
              </w:rPr>
              <w:t>on OIML Type Evaluations</w:t>
            </w:r>
          </w:p>
          <w:p w:rsidR="00F8223C" w:rsidRPr="00136A57" w:rsidRDefault="00F8223C" w:rsidP="003E6F3D">
            <w:pPr>
              <w:pStyle w:val="ListParagraph"/>
              <w:keepNext/>
              <w:keepLines/>
              <w:numPr>
                <w:ilvl w:val="0"/>
                <w:numId w:val="19"/>
              </w:numPr>
              <w:tabs>
                <w:tab w:val="left" w:pos="252"/>
              </w:tabs>
              <w:spacing w:after="0"/>
              <w:ind w:left="252" w:hanging="270"/>
              <w:jc w:val="left"/>
              <w:rPr>
                <w:b/>
                <w:szCs w:val="20"/>
              </w:rPr>
            </w:pPr>
            <w:r w:rsidRPr="00136A57">
              <w:rPr>
                <w:szCs w:val="20"/>
              </w:rPr>
              <w:t>TC 3/SC 5 </w:t>
            </w:r>
            <w:r w:rsidRPr="00136A57">
              <w:rPr>
                <w:i/>
                <w:szCs w:val="20"/>
              </w:rPr>
              <w:t>Expression of Uncertainty in Measurement in Legal Metrology Applications, Guidelines for the Application of ISO/IEC 17025 to the Assessment of Laboratories Performing Type Evaluation Tests</w:t>
            </w:r>
          </w:p>
          <w:p w:rsidR="00F8223C" w:rsidRPr="00136A57" w:rsidRDefault="00F8223C" w:rsidP="003E6F3D">
            <w:pPr>
              <w:pStyle w:val="ListParagraph"/>
              <w:keepNext/>
              <w:keepLines/>
              <w:numPr>
                <w:ilvl w:val="0"/>
                <w:numId w:val="19"/>
              </w:numPr>
              <w:tabs>
                <w:tab w:val="left" w:pos="252"/>
              </w:tabs>
              <w:spacing w:after="0"/>
              <w:ind w:left="252" w:hanging="270"/>
              <w:jc w:val="left"/>
              <w:rPr>
                <w:b/>
              </w:rPr>
            </w:pPr>
            <w:r w:rsidRPr="00136A57">
              <w:rPr>
                <w:szCs w:val="20"/>
              </w:rPr>
              <w:t>TC 3 </w:t>
            </w:r>
            <w:r w:rsidRPr="00136A57">
              <w:rPr>
                <w:i/>
                <w:szCs w:val="20"/>
              </w:rPr>
              <w:t>Metrological Control</w:t>
            </w:r>
          </w:p>
          <w:p w:rsidR="00F8223C" w:rsidRPr="00136A57" w:rsidRDefault="00F8223C" w:rsidP="003E6F3D">
            <w:pPr>
              <w:pStyle w:val="ListParagraph"/>
              <w:keepNext/>
              <w:keepLines/>
              <w:numPr>
                <w:ilvl w:val="0"/>
                <w:numId w:val="19"/>
              </w:numPr>
              <w:tabs>
                <w:tab w:val="left" w:pos="252"/>
              </w:tabs>
              <w:spacing w:after="0"/>
              <w:ind w:left="252" w:hanging="270"/>
              <w:jc w:val="left"/>
              <w:rPr>
                <w:b/>
              </w:rPr>
            </w:pPr>
            <w:r w:rsidRPr="00136A57">
              <w:rPr>
                <w:szCs w:val="20"/>
              </w:rPr>
              <w:t xml:space="preserve">ISO/IEC </w:t>
            </w:r>
            <w:r w:rsidRPr="00136A57">
              <w:rPr>
                <w:i/>
                <w:szCs w:val="20"/>
              </w:rPr>
              <w:t>Guide to the Expression of Uncertainty in Measurement</w:t>
            </w:r>
          </w:p>
        </w:tc>
      </w:tr>
      <w:tr w:rsidR="00F8223C" w:rsidTr="003E6F3D">
        <w:tc>
          <w:tcPr>
            <w:tcW w:w="3078" w:type="dxa"/>
            <w:gridSpan w:val="2"/>
            <w:tcBorders>
              <w:left w:val="double" w:sz="6" w:space="0" w:color="000000"/>
            </w:tcBorders>
          </w:tcPr>
          <w:p w:rsidR="00F8223C" w:rsidRPr="005910A3" w:rsidRDefault="00F8223C" w:rsidP="003E6F3D">
            <w:pPr>
              <w:keepNext/>
              <w:keepLines/>
              <w:spacing w:after="0"/>
              <w:rPr>
                <w:b/>
              </w:rPr>
            </w:pPr>
            <w:r w:rsidRPr="005910A3">
              <w:rPr>
                <w:b/>
              </w:rPr>
              <w:t>Mr. Richard Harshman</w:t>
            </w:r>
            <w:r>
              <w:rPr>
                <w:b/>
              </w:rPr>
              <w:t xml:space="preserve"> </w:t>
            </w:r>
            <w:r w:rsidRPr="005910A3">
              <w:rPr>
                <w:b/>
              </w:rPr>
              <w:t>–</w:t>
            </w:r>
            <w:r w:rsidRPr="00136A57">
              <w:rPr>
                <w:b/>
              </w:rPr>
              <w:t>LMDP</w:t>
            </w:r>
          </w:p>
          <w:p w:rsidR="00F8223C" w:rsidRPr="005910A3" w:rsidRDefault="00F8223C" w:rsidP="003E6F3D">
            <w:pPr>
              <w:keepNext/>
              <w:keepLines/>
              <w:spacing w:after="0"/>
            </w:pPr>
            <w:r w:rsidRPr="005910A3">
              <w:t>Phone: (301) 975-8107</w:t>
            </w:r>
          </w:p>
          <w:p w:rsidR="00F8223C" w:rsidRPr="00136A57" w:rsidRDefault="00F8223C" w:rsidP="003E6F3D">
            <w:pPr>
              <w:keepNext/>
              <w:keepLines/>
              <w:spacing w:after="0"/>
            </w:pPr>
            <w:r w:rsidRPr="005910A3">
              <w:t xml:space="preserve">Email: </w:t>
            </w:r>
            <w:hyperlink r:id="rId20" w:history="1">
              <w:r w:rsidRPr="005910A3">
                <w:rPr>
                  <w:rStyle w:val="Hyperlink"/>
                </w:rPr>
                <w:t>richard.harshman@nist.gov</w:t>
              </w:r>
            </w:hyperlink>
          </w:p>
        </w:tc>
        <w:tc>
          <w:tcPr>
            <w:tcW w:w="6570" w:type="dxa"/>
            <w:gridSpan w:val="3"/>
            <w:tcBorders>
              <w:right w:val="double" w:sz="6" w:space="0" w:color="000000"/>
            </w:tcBorders>
          </w:tcPr>
          <w:p w:rsidR="00F8223C" w:rsidRPr="00136A57" w:rsidRDefault="00F8223C" w:rsidP="003E6F3D">
            <w:pPr>
              <w:pStyle w:val="TableText"/>
              <w:keepNext/>
              <w:keepLines/>
              <w:numPr>
                <w:ilvl w:val="0"/>
                <w:numId w:val="20"/>
              </w:numPr>
              <w:tabs>
                <w:tab w:val="left" w:pos="252"/>
              </w:tabs>
              <w:spacing w:after="0"/>
              <w:ind w:left="252" w:hanging="270"/>
              <w:rPr>
                <w:b/>
                <w:i/>
              </w:rPr>
            </w:pPr>
            <w:r w:rsidRPr="005910A3">
              <w:t>R 51 </w:t>
            </w:r>
            <w:r w:rsidRPr="005910A3">
              <w:rPr>
                <w:i/>
              </w:rPr>
              <w:t>Automatic Catchweighing Instruments</w:t>
            </w:r>
          </w:p>
          <w:p w:rsidR="00F8223C" w:rsidRPr="00136A57" w:rsidRDefault="00F8223C" w:rsidP="003E6F3D">
            <w:pPr>
              <w:pStyle w:val="TableText"/>
              <w:keepNext/>
              <w:keepLines/>
              <w:numPr>
                <w:ilvl w:val="0"/>
                <w:numId w:val="20"/>
              </w:numPr>
              <w:tabs>
                <w:tab w:val="left" w:pos="252"/>
              </w:tabs>
              <w:spacing w:after="0"/>
              <w:ind w:left="252" w:hanging="270"/>
              <w:rPr>
                <w:b/>
                <w:spacing w:val="-2"/>
              </w:rPr>
            </w:pPr>
            <w:r w:rsidRPr="005910A3">
              <w:t>R 61 </w:t>
            </w:r>
            <w:r w:rsidRPr="005910A3">
              <w:rPr>
                <w:i/>
              </w:rPr>
              <w:t>Automatic Gravimetric Filling Instruments</w:t>
            </w:r>
          </w:p>
          <w:p w:rsidR="00F8223C" w:rsidRPr="00136A57" w:rsidRDefault="00F8223C" w:rsidP="003E6F3D">
            <w:pPr>
              <w:pStyle w:val="TableText"/>
              <w:keepNext/>
              <w:keepLines/>
              <w:numPr>
                <w:ilvl w:val="0"/>
                <w:numId w:val="20"/>
              </w:numPr>
              <w:tabs>
                <w:tab w:val="left" w:pos="252"/>
              </w:tabs>
              <w:spacing w:after="0"/>
              <w:ind w:left="252" w:hanging="270"/>
              <w:rPr>
                <w:b/>
                <w:spacing w:val="-2"/>
              </w:rPr>
            </w:pPr>
            <w:r w:rsidRPr="00136A57">
              <w:t>R 76 </w:t>
            </w:r>
            <w:r w:rsidRPr="00136A57">
              <w:rPr>
                <w:i/>
              </w:rPr>
              <w:t>Non-automatic Weighing Instruments</w:t>
            </w:r>
          </w:p>
          <w:p w:rsidR="00F8223C" w:rsidRPr="00136A57" w:rsidRDefault="00F8223C" w:rsidP="003E6F3D">
            <w:pPr>
              <w:pStyle w:val="TableText"/>
              <w:keepNext/>
              <w:keepLines/>
              <w:numPr>
                <w:ilvl w:val="0"/>
                <w:numId w:val="20"/>
              </w:numPr>
              <w:tabs>
                <w:tab w:val="left" w:pos="252"/>
              </w:tabs>
              <w:spacing w:after="0"/>
              <w:ind w:left="252" w:hanging="270"/>
              <w:rPr>
                <w:b/>
              </w:rPr>
            </w:pPr>
            <w:r w:rsidRPr="005910A3">
              <w:rPr>
                <w:spacing w:val="-2"/>
              </w:rPr>
              <w:t>R 107 </w:t>
            </w:r>
            <w:r w:rsidRPr="005910A3">
              <w:rPr>
                <w:i/>
                <w:spacing w:val="-2"/>
              </w:rPr>
              <w:t>Discontinuous Totalizing Automatic Weighing Instruments</w:t>
            </w:r>
            <w:r w:rsidRPr="005910A3">
              <w:rPr>
                <w:spacing w:val="-2"/>
              </w:rPr>
              <w:t xml:space="preserve"> (totalizing hopper weighers)</w:t>
            </w:r>
          </w:p>
          <w:p w:rsidR="00F8223C" w:rsidRPr="00136A57" w:rsidRDefault="00F8223C" w:rsidP="003E6F3D">
            <w:pPr>
              <w:pStyle w:val="TableText"/>
              <w:keepNext/>
              <w:keepLines/>
              <w:numPr>
                <w:ilvl w:val="0"/>
                <w:numId w:val="20"/>
              </w:numPr>
              <w:tabs>
                <w:tab w:val="left" w:pos="252"/>
              </w:tabs>
              <w:spacing w:after="0"/>
              <w:ind w:left="252" w:hanging="270"/>
              <w:rPr>
                <w:b/>
              </w:rPr>
            </w:pPr>
            <w:r w:rsidRPr="005910A3">
              <w:t>R 134 </w:t>
            </w:r>
            <w:r w:rsidRPr="005910A3">
              <w:rPr>
                <w:i/>
              </w:rPr>
              <w:t>Automatic Instruments for Weighing Road Vehicles In</w:t>
            </w:r>
            <w:r w:rsidRPr="005910A3">
              <w:rPr>
                <w:i/>
              </w:rPr>
              <w:noBreakHyphen/>
              <w:t>Motion and Measuring Axle Loads</w:t>
            </w:r>
          </w:p>
        </w:tc>
      </w:tr>
      <w:tr w:rsidR="00F8223C" w:rsidTr="003E6F3D">
        <w:tc>
          <w:tcPr>
            <w:tcW w:w="3078" w:type="dxa"/>
            <w:gridSpan w:val="2"/>
            <w:tcBorders>
              <w:left w:val="double" w:sz="6" w:space="0" w:color="000000"/>
            </w:tcBorders>
          </w:tcPr>
          <w:p w:rsidR="00F8223C" w:rsidRPr="005910A3" w:rsidRDefault="00F8223C" w:rsidP="003E6F3D">
            <w:pPr>
              <w:pStyle w:val="TableText"/>
              <w:spacing w:after="0"/>
              <w:rPr>
                <w:b/>
              </w:rPr>
            </w:pPr>
            <w:r w:rsidRPr="005910A3">
              <w:rPr>
                <w:b/>
              </w:rPr>
              <w:t>Ms. Diane Lee –</w:t>
            </w:r>
            <w:r w:rsidRPr="00136A57">
              <w:rPr>
                <w:b/>
              </w:rPr>
              <w:t>LMDP</w:t>
            </w:r>
          </w:p>
          <w:p w:rsidR="00F8223C" w:rsidRPr="005910A3" w:rsidRDefault="00F8223C" w:rsidP="003E6F3D">
            <w:pPr>
              <w:spacing w:after="0"/>
            </w:pPr>
            <w:r w:rsidRPr="005910A3">
              <w:t>Phone: (301) 975-4405</w:t>
            </w:r>
          </w:p>
          <w:p w:rsidR="00F8223C" w:rsidRPr="00136A57" w:rsidRDefault="00F8223C" w:rsidP="003E6F3D">
            <w:pPr>
              <w:spacing w:after="0"/>
            </w:pPr>
            <w:r w:rsidRPr="005910A3">
              <w:t xml:space="preserve">Email: </w:t>
            </w:r>
            <w:hyperlink r:id="rId21" w:history="1">
              <w:r w:rsidRPr="005910A3">
                <w:rPr>
                  <w:rStyle w:val="Hyperlink"/>
                  <w:szCs w:val="20"/>
                </w:rPr>
                <w:t>diane.lee@nist.gov</w:t>
              </w:r>
            </w:hyperlink>
          </w:p>
        </w:tc>
        <w:tc>
          <w:tcPr>
            <w:tcW w:w="6570" w:type="dxa"/>
            <w:gridSpan w:val="3"/>
            <w:tcBorders>
              <w:right w:val="double" w:sz="6" w:space="0" w:color="000000"/>
            </w:tcBorders>
          </w:tcPr>
          <w:p w:rsidR="00F8223C" w:rsidRPr="00136A57" w:rsidRDefault="00F8223C" w:rsidP="003E6F3D">
            <w:pPr>
              <w:pStyle w:val="TableText"/>
              <w:numPr>
                <w:ilvl w:val="0"/>
                <w:numId w:val="18"/>
              </w:numPr>
              <w:tabs>
                <w:tab w:val="left" w:pos="252"/>
              </w:tabs>
              <w:spacing w:after="0"/>
              <w:ind w:left="252" w:hanging="270"/>
              <w:rPr>
                <w:b/>
              </w:rPr>
            </w:pPr>
            <w:r w:rsidRPr="005910A3">
              <w:t>R 59 </w:t>
            </w:r>
            <w:r w:rsidRPr="005910A3">
              <w:rPr>
                <w:i/>
              </w:rPr>
              <w:t>Moisture Meters for Cereal Grains and Oilseeds</w:t>
            </w:r>
          </w:p>
          <w:p w:rsidR="00F8223C" w:rsidRPr="00136A57" w:rsidRDefault="00F8223C" w:rsidP="003E6F3D">
            <w:pPr>
              <w:pStyle w:val="TableText"/>
              <w:numPr>
                <w:ilvl w:val="0"/>
                <w:numId w:val="18"/>
              </w:numPr>
              <w:tabs>
                <w:tab w:val="left" w:pos="252"/>
              </w:tabs>
              <w:spacing w:after="0"/>
              <w:ind w:left="252" w:hanging="270"/>
              <w:rPr>
                <w:b/>
              </w:rPr>
            </w:pPr>
            <w:r w:rsidRPr="005910A3">
              <w:t>R 92 </w:t>
            </w:r>
            <w:r w:rsidRPr="005910A3">
              <w:rPr>
                <w:i/>
              </w:rPr>
              <w:t>Wood Moisture Meters – Verification Methods and Equipment</w:t>
            </w:r>
          </w:p>
          <w:p w:rsidR="00F8223C" w:rsidRPr="005910A3" w:rsidRDefault="00F8223C" w:rsidP="003E6F3D">
            <w:pPr>
              <w:pStyle w:val="TableText"/>
              <w:numPr>
                <w:ilvl w:val="0"/>
                <w:numId w:val="18"/>
              </w:numPr>
              <w:tabs>
                <w:tab w:val="left" w:pos="252"/>
              </w:tabs>
              <w:spacing w:after="0"/>
              <w:ind w:left="252" w:hanging="270"/>
              <w:rPr>
                <w:b/>
              </w:rPr>
            </w:pPr>
            <w:r w:rsidRPr="005910A3">
              <w:t>R 121 </w:t>
            </w:r>
            <w:r w:rsidRPr="005910A3">
              <w:rPr>
                <w:i/>
              </w:rPr>
              <w:t>The Scale of Relative Humidity of Air Certified Against Saturated Salt Solution</w:t>
            </w:r>
          </w:p>
          <w:p w:rsidR="00F8223C" w:rsidRPr="00136A57" w:rsidRDefault="00F8223C" w:rsidP="003E6F3D">
            <w:pPr>
              <w:pStyle w:val="TableText"/>
              <w:numPr>
                <w:ilvl w:val="0"/>
                <w:numId w:val="18"/>
              </w:numPr>
              <w:tabs>
                <w:tab w:val="left" w:pos="252"/>
              </w:tabs>
              <w:spacing w:after="0"/>
              <w:ind w:left="252" w:hanging="270"/>
              <w:rPr>
                <w:b/>
              </w:rPr>
            </w:pPr>
            <w:r w:rsidRPr="005910A3">
              <w:t>TC 17/SC 8 </w:t>
            </w:r>
            <w:r w:rsidRPr="005910A3">
              <w:rPr>
                <w:i/>
              </w:rPr>
              <w:t>Measuring Instruments for Protein Determination in Grains</w:t>
            </w:r>
          </w:p>
        </w:tc>
      </w:tr>
      <w:tr w:rsidR="00F8223C" w:rsidTr="009E52D7">
        <w:tc>
          <w:tcPr>
            <w:tcW w:w="3078" w:type="dxa"/>
            <w:gridSpan w:val="2"/>
            <w:tcBorders>
              <w:left w:val="double" w:sz="6" w:space="0" w:color="000000"/>
            </w:tcBorders>
          </w:tcPr>
          <w:p w:rsidR="00F8223C" w:rsidRPr="00136A57" w:rsidRDefault="00F8223C" w:rsidP="003E6F3D">
            <w:pPr>
              <w:pStyle w:val="TableText"/>
              <w:spacing w:after="0"/>
              <w:rPr>
                <w:b/>
              </w:rPr>
            </w:pPr>
            <w:r w:rsidRPr="00136A57">
              <w:rPr>
                <w:b/>
              </w:rPr>
              <w:lastRenderedPageBreak/>
              <w:t>Mr. Ralph Richter –</w:t>
            </w:r>
            <w:r w:rsidRPr="00136A57">
              <w:rPr>
                <w:b/>
                <w:szCs w:val="20"/>
              </w:rPr>
              <w:t>ILMP</w:t>
            </w:r>
          </w:p>
          <w:p w:rsidR="00F8223C" w:rsidRPr="00136A57" w:rsidRDefault="00F8223C" w:rsidP="003E6F3D">
            <w:pPr>
              <w:pStyle w:val="TableText"/>
              <w:spacing w:after="0"/>
            </w:pPr>
            <w:r w:rsidRPr="00136A57">
              <w:t>Phone: (301) 975-3997</w:t>
            </w:r>
          </w:p>
          <w:p w:rsidR="00F8223C" w:rsidRPr="00B26A96" w:rsidRDefault="00F8223C" w:rsidP="003E6F3D">
            <w:pPr>
              <w:pStyle w:val="TableText"/>
              <w:spacing w:after="0"/>
              <w:rPr>
                <w:b/>
              </w:rPr>
            </w:pPr>
            <w:r w:rsidRPr="00136A57">
              <w:t xml:space="preserve">Email: </w:t>
            </w:r>
            <w:hyperlink r:id="rId22" w:history="1">
              <w:r w:rsidRPr="00136A57">
                <w:rPr>
                  <w:rStyle w:val="Hyperlink"/>
                  <w:szCs w:val="20"/>
                </w:rPr>
                <w:t>ralph.richter@nist.gov</w:t>
              </w:r>
            </w:hyperlink>
          </w:p>
        </w:tc>
        <w:tc>
          <w:tcPr>
            <w:tcW w:w="6570" w:type="dxa"/>
            <w:gridSpan w:val="3"/>
            <w:tcBorders>
              <w:right w:val="double" w:sz="6" w:space="0" w:color="000000"/>
            </w:tcBorders>
          </w:tcPr>
          <w:p w:rsidR="00F8223C" w:rsidRPr="00136A57" w:rsidRDefault="00F8223C" w:rsidP="003E6F3D">
            <w:pPr>
              <w:pStyle w:val="TableText"/>
              <w:numPr>
                <w:ilvl w:val="0"/>
                <w:numId w:val="21"/>
              </w:numPr>
              <w:tabs>
                <w:tab w:val="left" w:pos="252"/>
              </w:tabs>
              <w:spacing w:after="0"/>
              <w:ind w:left="252" w:hanging="270"/>
              <w:rPr>
                <w:b/>
              </w:rPr>
            </w:pPr>
            <w:r w:rsidRPr="00136A57">
              <w:t>D 11 </w:t>
            </w:r>
            <w:r w:rsidRPr="00136A57">
              <w:rPr>
                <w:i/>
              </w:rPr>
              <w:t>General Requirements for Electronic Measuring Instruments</w:t>
            </w:r>
          </w:p>
          <w:p w:rsidR="00F8223C" w:rsidRPr="00136A57" w:rsidRDefault="00F8223C" w:rsidP="003E6F3D">
            <w:pPr>
              <w:pStyle w:val="TableText"/>
              <w:numPr>
                <w:ilvl w:val="0"/>
                <w:numId w:val="21"/>
              </w:numPr>
              <w:tabs>
                <w:tab w:val="left" w:pos="252"/>
              </w:tabs>
              <w:spacing w:after="0"/>
              <w:ind w:left="252" w:hanging="270"/>
              <w:rPr>
                <w:b/>
              </w:rPr>
            </w:pPr>
            <w:r w:rsidRPr="00136A57">
              <w:t>R 35 </w:t>
            </w:r>
            <w:r w:rsidRPr="00136A57">
              <w:rPr>
                <w:i/>
              </w:rPr>
              <w:t>Material Measures of Length for General Use</w:t>
            </w:r>
          </w:p>
          <w:p w:rsidR="00F8223C" w:rsidRPr="00136A57" w:rsidRDefault="00F8223C" w:rsidP="003E6F3D">
            <w:pPr>
              <w:pStyle w:val="TableText"/>
              <w:numPr>
                <w:ilvl w:val="0"/>
                <w:numId w:val="21"/>
              </w:numPr>
              <w:tabs>
                <w:tab w:val="left" w:pos="252"/>
              </w:tabs>
              <w:spacing w:after="0"/>
              <w:ind w:left="252" w:hanging="270"/>
              <w:rPr>
                <w:b/>
              </w:rPr>
            </w:pPr>
            <w:r w:rsidRPr="00136A57">
              <w:t>R 49 </w:t>
            </w:r>
            <w:r w:rsidRPr="00136A57">
              <w:rPr>
                <w:i/>
              </w:rPr>
              <w:t>Water Meters</w:t>
            </w:r>
            <w:r w:rsidRPr="00136A57">
              <w:t xml:space="preserve"> (Cold Potable Water and Hot Water Meters)</w:t>
            </w:r>
          </w:p>
          <w:p w:rsidR="00F8223C" w:rsidRPr="00136A57" w:rsidRDefault="00F8223C" w:rsidP="003E6F3D">
            <w:pPr>
              <w:pStyle w:val="TableText"/>
              <w:numPr>
                <w:ilvl w:val="0"/>
                <w:numId w:val="21"/>
              </w:numPr>
              <w:tabs>
                <w:tab w:val="left" w:pos="252"/>
              </w:tabs>
              <w:spacing w:after="0"/>
              <w:ind w:left="252" w:hanging="270"/>
              <w:rPr>
                <w:b/>
              </w:rPr>
            </w:pPr>
            <w:r w:rsidRPr="00136A57">
              <w:t>R 71 </w:t>
            </w:r>
            <w:r w:rsidRPr="00136A57">
              <w:rPr>
                <w:i/>
              </w:rPr>
              <w:t>Fixed Storage Tanks</w:t>
            </w:r>
          </w:p>
          <w:p w:rsidR="00F8223C" w:rsidRPr="00136A57" w:rsidRDefault="00F8223C" w:rsidP="003E6F3D">
            <w:pPr>
              <w:pStyle w:val="TableText"/>
              <w:numPr>
                <w:ilvl w:val="0"/>
                <w:numId w:val="21"/>
              </w:numPr>
              <w:tabs>
                <w:tab w:val="left" w:pos="252"/>
              </w:tabs>
              <w:spacing w:after="0"/>
              <w:ind w:left="252" w:hanging="270"/>
              <w:rPr>
                <w:b/>
              </w:rPr>
            </w:pPr>
            <w:r w:rsidRPr="00136A57">
              <w:t>R 80 </w:t>
            </w:r>
            <w:r w:rsidRPr="00136A57">
              <w:rPr>
                <w:i/>
              </w:rPr>
              <w:t>Road and Rail Tankers</w:t>
            </w:r>
            <w:r w:rsidRPr="00136A57">
              <w:t xml:space="preserve"> (static measurement)</w:t>
            </w:r>
          </w:p>
          <w:p w:rsidR="00F8223C" w:rsidRPr="00B26A96" w:rsidRDefault="00F8223C" w:rsidP="003E6F3D">
            <w:pPr>
              <w:pStyle w:val="TableText"/>
              <w:numPr>
                <w:ilvl w:val="0"/>
                <w:numId w:val="21"/>
              </w:numPr>
              <w:tabs>
                <w:tab w:val="left" w:pos="252"/>
              </w:tabs>
              <w:spacing w:after="0"/>
              <w:ind w:left="252" w:hanging="270"/>
              <w:rPr>
                <w:b/>
              </w:rPr>
            </w:pPr>
            <w:r w:rsidRPr="00136A57">
              <w:t>R 85 </w:t>
            </w:r>
            <w:r w:rsidRPr="00136A57">
              <w:rPr>
                <w:i/>
              </w:rPr>
              <w:t>Automatic Level Gauges for Measuring the Level of Liquid in Fixed Storage Tanks</w:t>
            </w:r>
          </w:p>
          <w:p w:rsidR="00F8223C" w:rsidRPr="00136A57" w:rsidRDefault="00F8223C" w:rsidP="003E6F3D">
            <w:pPr>
              <w:pStyle w:val="TableText"/>
              <w:numPr>
                <w:ilvl w:val="0"/>
                <w:numId w:val="21"/>
              </w:numPr>
              <w:tabs>
                <w:tab w:val="left" w:pos="252"/>
              </w:tabs>
              <w:spacing w:after="0"/>
              <w:ind w:left="252" w:hanging="270"/>
              <w:rPr>
                <w:b/>
              </w:rPr>
            </w:pPr>
            <w:r w:rsidRPr="00136A57">
              <w:t xml:space="preserve">R 95 </w:t>
            </w:r>
            <w:r w:rsidRPr="00136A57">
              <w:rPr>
                <w:i/>
              </w:rPr>
              <w:t>Ship’s Tanks</w:t>
            </w:r>
          </w:p>
          <w:p w:rsidR="00F8223C" w:rsidRPr="00B26A96" w:rsidRDefault="00F8223C" w:rsidP="003E6F3D">
            <w:pPr>
              <w:pStyle w:val="TableText"/>
              <w:numPr>
                <w:ilvl w:val="0"/>
                <w:numId w:val="21"/>
              </w:numPr>
              <w:tabs>
                <w:tab w:val="left" w:pos="252"/>
              </w:tabs>
              <w:spacing w:after="0"/>
              <w:ind w:left="252" w:hanging="270"/>
              <w:rPr>
                <w:b/>
              </w:rPr>
            </w:pPr>
            <w:r w:rsidRPr="00136A57">
              <w:t>R 117 </w:t>
            </w:r>
            <w:r w:rsidRPr="00136A57">
              <w:rPr>
                <w:i/>
              </w:rPr>
              <w:t>Measuring Systems for Liquids Other Than Water</w:t>
            </w:r>
            <w:r w:rsidRPr="00136A57">
              <w:t xml:space="preserve"> (all measuring technologies)</w:t>
            </w:r>
          </w:p>
          <w:p w:rsidR="00F8223C" w:rsidRPr="00136A57" w:rsidRDefault="00F8223C" w:rsidP="003E6F3D">
            <w:pPr>
              <w:pStyle w:val="TableText"/>
              <w:numPr>
                <w:ilvl w:val="0"/>
                <w:numId w:val="21"/>
              </w:numPr>
              <w:tabs>
                <w:tab w:val="left" w:pos="252"/>
              </w:tabs>
              <w:spacing w:after="0"/>
              <w:ind w:left="252" w:hanging="270"/>
              <w:rPr>
                <w:b/>
              </w:rPr>
            </w:pPr>
            <w:r w:rsidRPr="00136A57">
              <w:t>R 118 </w:t>
            </w:r>
            <w:r w:rsidRPr="00136A57">
              <w:rPr>
                <w:i/>
              </w:rPr>
              <w:t>Testing Procedures and Test Report Format for Pattern Examination of Fuel Dispensers for Motor Vehicles</w:t>
            </w:r>
          </w:p>
          <w:p w:rsidR="00F8223C" w:rsidRPr="00136A57" w:rsidRDefault="00F8223C" w:rsidP="003E6F3D">
            <w:pPr>
              <w:pStyle w:val="TableText"/>
              <w:numPr>
                <w:ilvl w:val="0"/>
                <w:numId w:val="21"/>
              </w:numPr>
              <w:tabs>
                <w:tab w:val="left" w:pos="252"/>
              </w:tabs>
              <w:spacing w:after="0"/>
              <w:ind w:left="252" w:hanging="270"/>
              <w:rPr>
                <w:b/>
              </w:rPr>
            </w:pPr>
            <w:r w:rsidRPr="00136A57">
              <w:t>TC 3/SC 4 </w:t>
            </w:r>
            <w:r w:rsidRPr="00136A57">
              <w:rPr>
                <w:i/>
              </w:rPr>
              <w:t>Verification Period of Utility Meters Using Sampling Inspections</w:t>
            </w:r>
          </w:p>
          <w:p w:rsidR="00F8223C" w:rsidRPr="00136A57" w:rsidRDefault="00F8223C" w:rsidP="003E6F3D">
            <w:pPr>
              <w:pStyle w:val="TableText"/>
              <w:numPr>
                <w:ilvl w:val="0"/>
                <w:numId w:val="21"/>
              </w:numPr>
              <w:tabs>
                <w:tab w:val="left" w:pos="252"/>
              </w:tabs>
              <w:spacing w:after="0"/>
              <w:ind w:left="252" w:hanging="270"/>
              <w:rPr>
                <w:b/>
              </w:rPr>
            </w:pPr>
            <w:r w:rsidRPr="00136A57">
              <w:t>R 137 </w:t>
            </w:r>
            <w:r w:rsidRPr="00136A57">
              <w:rPr>
                <w:i/>
              </w:rPr>
              <w:t>Gas Meters</w:t>
            </w:r>
            <w:r w:rsidRPr="00136A57">
              <w:t xml:space="preserve"> (all measuring technologies)</w:t>
            </w:r>
          </w:p>
          <w:p w:rsidR="00F8223C" w:rsidRPr="00136A57" w:rsidRDefault="00F8223C" w:rsidP="003E6F3D">
            <w:pPr>
              <w:pStyle w:val="TableText"/>
              <w:numPr>
                <w:ilvl w:val="0"/>
                <w:numId w:val="21"/>
              </w:numPr>
              <w:tabs>
                <w:tab w:val="left" w:pos="252"/>
              </w:tabs>
              <w:spacing w:after="0"/>
              <w:ind w:left="252" w:hanging="270"/>
              <w:rPr>
                <w:b/>
              </w:rPr>
            </w:pPr>
            <w:r w:rsidRPr="00136A57">
              <w:t>R 140 </w:t>
            </w:r>
            <w:r w:rsidRPr="00136A57">
              <w:rPr>
                <w:i/>
              </w:rPr>
              <w:t>Measuring Systems for Gaseous Fuel</w:t>
            </w:r>
            <w:r w:rsidRPr="00136A57">
              <w:t xml:space="preserve"> (i.e., large pipelines)</w:t>
            </w:r>
          </w:p>
          <w:p w:rsidR="00BD3477" w:rsidRPr="00595ABF" w:rsidRDefault="00F8223C" w:rsidP="009E52D7">
            <w:pPr>
              <w:pStyle w:val="TableText"/>
              <w:numPr>
                <w:ilvl w:val="0"/>
                <w:numId w:val="21"/>
              </w:numPr>
              <w:tabs>
                <w:tab w:val="left" w:pos="252"/>
              </w:tabs>
              <w:spacing w:after="0"/>
              <w:ind w:left="252" w:hanging="270"/>
              <w:rPr>
                <w:b/>
              </w:rPr>
            </w:pPr>
            <w:r w:rsidRPr="00136A57">
              <w:t xml:space="preserve">ISO TC 30/SC 7 </w:t>
            </w:r>
            <w:r w:rsidRPr="00136A57">
              <w:rPr>
                <w:i/>
              </w:rPr>
              <w:t>Water Meters</w:t>
            </w:r>
          </w:p>
        </w:tc>
      </w:tr>
      <w:tr w:rsidR="00F8223C" w:rsidTr="003E6F3D">
        <w:tc>
          <w:tcPr>
            <w:tcW w:w="3078" w:type="dxa"/>
            <w:gridSpan w:val="2"/>
            <w:tcBorders>
              <w:left w:val="double" w:sz="6" w:space="0" w:color="000000"/>
            </w:tcBorders>
          </w:tcPr>
          <w:p w:rsidR="00F8223C" w:rsidRPr="00136A57" w:rsidRDefault="00F8223C" w:rsidP="003E6F3D">
            <w:pPr>
              <w:pStyle w:val="TableText"/>
              <w:spacing w:after="0"/>
              <w:rPr>
                <w:b/>
              </w:rPr>
            </w:pPr>
            <w:r w:rsidRPr="00136A57">
              <w:rPr>
                <w:b/>
              </w:rPr>
              <w:t>Dr. Ambler Thompson –</w:t>
            </w:r>
            <w:r w:rsidRPr="00136A57">
              <w:rPr>
                <w:b/>
                <w:szCs w:val="20"/>
              </w:rPr>
              <w:t>ILMP</w:t>
            </w:r>
          </w:p>
          <w:p w:rsidR="00F8223C" w:rsidRPr="00136A57" w:rsidRDefault="00F8223C" w:rsidP="003E6F3D">
            <w:pPr>
              <w:pStyle w:val="TableText"/>
              <w:spacing w:after="0"/>
              <w:rPr>
                <w:b/>
              </w:rPr>
            </w:pPr>
            <w:r w:rsidRPr="00136A57">
              <w:t>Phone: (301) 975-2333</w:t>
            </w:r>
          </w:p>
          <w:p w:rsidR="00F8223C" w:rsidRPr="00136A57" w:rsidRDefault="00F8223C" w:rsidP="003E6F3D">
            <w:pPr>
              <w:pStyle w:val="TableText"/>
              <w:spacing w:after="0"/>
              <w:rPr>
                <w:b/>
              </w:rPr>
            </w:pPr>
            <w:r w:rsidRPr="00136A57">
              <w:t xml:space="preserve">Email: </w:t>
            </w:r>
            <w:hyperlink r:id="rId23" w:history="1">
              <w:r w:rsidRPr="00136A57">
                <w:rPr>
                  <w:rStyle w:val="Hyperlink"/>
                  <w:szCs w:val="20"/>
                </w:rPr>
                <w:t>ambler@nist.gov</w:t>
              </w:r>
            </w:hyperlink>
          </w:p>
        </w:tc>
        <w:tc>
          <w:tcPr>
            <w:tcW w:w="6570" w:type="dxa"/>
            <w:gridSpan w:val="3"/>
            <w:tcBorders>
              <w:right w:val="double" w:sz="6" w:space="0" w:color="000000"/>
            </w:tcBorders>
          </w:tcPr>
          <w:p w:rsidR="00F8223C" w:rsidRPr="00136A57" w:rsidRDefault="00F8223C" w:rsidP="003E6F3D">
            <w:pPr>
              <w:pStyle w:val="TableText"/>
              <w:numPr>
                <w:ilvl w:val="0"/>
                <w:numId w:val="19"/>
              </w:numPr>
              <w:tabs>
                <w:tab w:val="left" w:pos="252"/>
              </w:tabs>
              <w:spacing w:after="0"/>
              <w:ind w:left="252" w:hanging="270"/>
              <w:rPr>
                <w:b/>
                <w:spacing w:val="-4"/>
              </w:rPr>
            </w:pPr>
            <w:r w:rsidRPr="00136A57">
              <w:rPr>
                <w:spacing w:val="-4"/>
              </w:rPr>
              <w:t>D 16 </w:t>
            </w:r>
            <w:r w:rsidRPr="00136A57">
              <w:rPr>
                <w:i/>
                <w:spacing w:val="-4"/>
              </w:rPr>
              <w:t>Principles of Assurance of Metrological Control</w:t>
            </w:r>
          </w:p>
          <w:p w:rsidR="00F8223C" w:rsidRPr="00136A57" w:rsidRDefault="00F8223C" w:rsidP="003E6F3D">
            <w:pPr>
              <w:pStyle w:val="TableText"/>
              <w:numPr>
                <w:ilvl w:val="0"/>
                <w:numId w:val="19"/>
              </w:numPr>
              <w:tabs>
                <w:tab w:val="left" w:pos="252"/>
              </w:tabs>
              <w:spacing w:after="0"/>
              <w:ind w:left="252" w:hanging="270"/>
              <w:rPr>
                <w:b/>
              </w:rPr>
            </w:pPr>
            <w:r w:rsidRPr="00136A57">
              <w:t>D 19 </w:t>
            </w:r>
            <w:r w:rsidRPr="00136A57">
              <w:rPr>
                <w:i/>
              </w:rPr>
              <w:t>Pattern Evaluation and Pattern Approval</w:t>
            </w:r>
          </w:p>
          <w:p w:rsidR="00F8223C" w:rsidRPr="00136A57" w:rsidRDefault="00F8223C" w:rsidP="003E6F3D">
            <w:pPr>
              <w:pStyle w:val="TableText"/>
              <w:numPr>
                <w:ilvl w:val="0"/>
                <w:numId w:val="19"/>
              </w:numPr>
              <w:tabs>
                <w:tab w:val="left" w:pos="252"/>
              </w:tabs>
              <w:spacing w:after="0"/>
              <w:ind w:left="252" w:hanging="270"/>
              <w:rPr>
                <w:b/>
              </w:rPr>
            </w:pPr>
            <w:r w:rsidRPr="00136A57">
              <w:t>D 20 </w:t>
            </w:r>
            <w:r w:rsidRPr="00136A57">
              <w:rPr>
                <w:i/>
              </w:rPr>
              <w:t>Initial and Subsequent Verification of Measuring Instruments and Processes</w:t>
            </w:r>
          </w:p>
          <w:p w:rsidR="00F8223C" w:rsidRPr="00136A57" w:rsidRDefault="00F8223C" w:rsidP="003E6F3D">
            <w:pPr>
              <w:pStyle w:val="TableText"/>
              <w:numPr>
                <w:ilvl w:val="0"/>
                <w:numId w:val="19"/>
              </w:numPr>
              <w:tabs>
                <w:tab w:val="left" w:pos="252"/>
              </w:tabs>
              <w:spacing w:after="0"/>
              <w:ind w:left="252" w:hanging="270"/>
              <w:rPr>
                <w:b/>
              </w:rPr>
            </w:pPr>
            <w:r w:rsidRPr="00136A57">
              <w:t>D 27 </w:t>
            </w:r>
            <w:r w:rsidRPr="00136A57">
              <w:rPr>
                <w:i/>
              </w:rPr>
              <w:t>Initial Verification of Measuring Instruments Using the Manufacturer’s Quality Management System</w:t>
            </w:r>
          </w:p>
          <w:p w:rsidR="00F8223C" w:rsidRPr="00136A57" w:rsidRDefault="0096785F" w:rsidP="003E6F3D">
            <w:pPr>
              <w:pStyle w:val="TableText"/>
              <w:numPr>
                <w:ilvl w:val="0"/>
                <w:numId w:val="19"/>
              </w:numPr>
              <w:tabs>
                <w:tab w:val="left" w:pos="252"/>
              </w:tabs>
              <w:spacing w:after="0"/>
              <w:ind w:left="252" w:hanging="270"/>
              <w:rPr>
                <w:b/>
              </w:rPr>
            </w:pPr>
            <w:r w:rsidRPr="00136A57">
              <w:t>D</w:t>
            </w:r>
            <w:r>
              <w:t> </w:t>
            </w:r>
            <w:r w:rsidR="00F8223C" w:rsidRPr="00136A57">
              <w:t xml:space="preserve">31 </w:t>
            </w:r>
            <w:r w:rsidR="00F8223C" w:rsidRPr="00136A57">
              <w:rPr>
                <w:i/>
              </w:rPr>
              <w:t>General Requirements for Software Controlled Measuring Instruments</w:t>
            </w:r>
          </w:p>
          <w:p w:rsidR="00F8223C" w:rsidRPr="00136A57" w:rsidRDefault="00F8223C" w:rsidP="003E6F3D">
            <w:pPr>
              <w:pStyle w:val="TableText"/>
              <w:numPr>
                <w:ilvl w:val="0"/>
                <w:numId w:val="19"/>
              </w:numPr>
              <w:tabs>
                <w:tab w:val="left" w:pos="252"/>
              </w:tabs>
              <w:spacing w:after="0"/>
              <w:ind w:left="252" w:hanging="270"/>
              <w:rPr>
                <w:b/>
              </w:rPr>
            </w:pPr>
            <w:r w:rsidRPr="00136A57">
              <w:t>R 34 </w:t>
            </w:r>
            <w:r w:rsidRPr="00136A57">
              <w:rPr>
                <w:i/>
              </w:rPr>
              <w:t>Accuracy Classes of Measuring Instruments</w:t>
            </w:r>
          </w:p>
          <w:p w:rsidR="00F8223C" w:rsidRPr="00136A57" w:rsidRDefault="00F8223C" w:rsidP="003E6F3D">
            <w:pPr>
              <w:pStyle w:val="TableText"/>
              <w:numPr>
                <w:ilvl w:val="0"/>
                <w:numId w:val="19"/>
              </w:numPr>
              <w:tabs>
                <w:tab w:val="left" w:pos="252"/>
              </w:tabs>
              <w:spacing w:after="0"/>
              <w:ind w:left="252" w:hanging="270"/>
              <w:rPr>
                <w:b/>
              </w:rPr>
            </w:pPr>
            <w:r w:rsidRPr="00136A57">
              <w:t>R 46 </w:t>
            </w:r>
            <w:r w:rsidRPr="00136A57">
              <w:rPr>
                <w:i/>
              </w:rPr>
              <w:t>Active Electrical Energy Meters for Direct Connection of Class 2</w:t>
            </w:r>
          </w:p>
        </w:tc>
      </w:tr>
      <w:tr w:rsidR="00F8223C" w:rsidTr="003E6F3D">
        <w:tc>
          <w:tcPr>
            <w:tcW w:w="3078" w:type="dxa"/>
            <w:gridSpan w:val="2"/>
            <w:tcBorders>
              <w:left w:val="double" w:sz="6" w:space="0" w:color="000000"/>
              <w:bottom w:val="double" w:sz="6" w:space="0" w:color="000000"/>
            </w:tcBorders>
          </w:tcPr>
          <w:p w:rsidR="00F8223C" w:rsidRPr="00136A57" w:rsidRDefault="00F8223C" w:rsidP="003E6F3D">
            <w:pPr>
              <w:pStyle w:val="TableText"/>
              <w:spacing w:after="0"/>
            </w:pPr>
            <w:r w:rsidRPr="00086342">
              <w:rPr>
                <w:b/>
              </w:rPr>
              <w:t>Ms. Juana Williams –</w:t>
            </w:r>
            <w:r w:rsidRPr="00136A57">
              <w:rPr>
                <w:b/>
              </w:rPr>
              <w:t>LMDP</w:t>
            </w:r>
          </w:p>
          <w:p w:rsidR="00F8223C" w:rsidRPr="00086342" w:rsidRDefault="00F8223C" w:rsidP="003E6F3D">
            <w:pPr>
              <w:pStyle w:val="TableText"/>
              <w:spacing w:after="0"/>
            </w:pPr>
            <w:r w:rsidRPr="00086342">
              <w:t>Phone: (301) 975-3989</w:t>
            </w:r>
          </w:p>
          <w:p w:rsidR="00F8223C" w:rsidRPr="00136A57" w:rsidRDefault="00F8223C" w:rsidP="003E6F3D">
            <w:pPr>
              <w:pStyle w:val="TableText"/>
              <w:spacing w:after="0"/>
              <w:rPr>
                <w:b/>
              </w:rPr>
            </w:pPr>
            <w:r w:rsidRPr="00086342">
              <w:t xml:space="preserve">Email: </w:t>
            </w:r>
            <w:hyperlink r:id="rId24" w:history="1">
              <w:r w:rsidRPr="00086342">
                <w:rPr>
                  <w:rStyle w:val="Hyperlink"/>
                  <w:szCs w:val="20"/>
                </w:rPr>
                <w:t>juana.williams@nist.gov</w:t>
              </w:r>
            </w:hyperlink>
          </w:p>
        </w:tc>
        <w:tc>
          <w:tcPr>
            <w:tcW w:w="6570" w:type="dxa"/>
            <w:gridSpan w:val="3"/>
            <w:tcBorders>
              <w:bottom w:val="double" w:sz="6" w:space="0" w:color="000000"/>
              <w:right w:val="double" w:sz="6" w:space="0" w:color="000000"/>
            </w:tcBorders>
          </w:tcPr>
          <w:p w:rsidR="00F8223C" w:rsidRPr="00136A57" w:rsidRDefault="00F8223C" w:rsidP="003E6F3D">
            <w:pPr>
              <w:pStyle w:val="TableText"/>
              <w:numPr>
                <w:ilvl w:val="0"/>
                <w:numId w:val="19"/>
              </w:numPr>
              <w:tabs>
                <w:tab w:val="left" w:pos="252"/>
              </w:tabs>
              <w:spacing w:after="0"/>
              <w:ind w:left="252" w:hanging="270"/>
              <w:rPr>
                <w:b/>
                <w:spacing w:val="-4"/>
              </w:rPr>
            </w:pPr>
            <w:r w:rsidRPr="00136A57">
              <w:rPr>
                <w:spacing w:val="-4"/>
              </w:rPr>
              <w:t>R 81 Dynamic Measuring Devices and Systems for Cryogenic Liquids</w:t>
            </w:r>
          </w:p>
          <w:p w:rsidR="00F8223C" w:rsidRPr="00136A57" w:rsidRDefault="00F8223C" w:rsidP="003E6F3D">
            <w:pPr>
              <w:pStyle w:val="TableText"/>
              <w:numPr>
                <w:ilvl w:val="0"/>
                <w:numId w:val="19"/>
              </w:numPr>
              <w:tabs>
                <w:tab w:val="left" w:pos="252"/>
              </w:tabs>
              <w:spacing w:after="0"/>
              <w:ind w:left="252" w:hanging="270"/>
              <w:rPr>
                <w:b/>
                <w:spacing w:val="-4"/>
              </w:rPr>
            </w:pPr>
            <w:r w:rsidRPr="00136A57">
              <w:rPr>
                <w:spacing w:val="-4"/>
              </w:rPr>
              <w:t>R 139 Compressed Gaseous Fuels Measuring Systems for Vehicles</w:t>
            </w:r>
          </w:p>
        </w:tc>
      </w:tr>
      <w:tr w:rsidR="00F8223C" w:rsidTr="003E6F3D">
        <w:tc>
          <w:tcPr>
            <w:tcW w:w="9648" w:type="dxa"/>
            <w:gridSpan w:val="5"/>
            <w:tcBorders>
              <w:top w:val="double" w:sz="6" w:space="0" w:color="000000"/>
              <w:left w:val="double" w:sz="6" w:space="0" w:color="000000"/>
              <w:bottom w:val="double" w:sz="6" w:space="0" w:color="000000"/>
              <w:right w:val="double" w:sz="6" w:space="0" w:color="000000"/>
            </w:tcBorders>
          </w:tcPr>
          <w:p w:rsidR="00F8223C" w:rsidRPr="00136A57" w:rsidRDefault="00F8223C" w:rsidP="003E6F3D">
            <w:pPr>
              <w:pStyle w:val="TableText"/>
              <w:keepNext/>
              <w:spacing w:after="0"/>
              <w:jc w:val="center"/>
              <w:rPr>
                <w:b/>
                <w:spacing w:val="-4"/>
                <w:sz w:val="24"/>
                <w:highlight w:val="yellow"/>
              </w:rPr>
            </w:pPr>
            <w:r w:rsidRPr="00136A57">
              <w:rPr>
                <w:b/>
                <w:spacing w:val="-4"/>
                <w:sz w:val="24"/>
              </w:rPr>
              <w:t>List of Acronyms</w:t>
            </w:r>
          </w:p>
        </w:tc>
      </w:tr>
      <w:tr w:rsidR="00F8223C" w:rsidTr="003E6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top w:val="double" w:sz="6" w:space="0" w:color="000000"/>
              <w:left w:val="double" w:sz="6" w:space="0" w:color="000000"/>
            </w:tcBorders>
          </w:tcPr>
          <w:p w:rsidR="00F8223C" w:rsidRPr="004E2A1C" w:rsidRDefault="00F8223C" w:rsidP="003E6F3D">
            <w:pPr>
              <w:pStyle w:val="TableText"/>
              <w:keepNext/>
              <w:spacing w:after="0"/>
              <w:rPr>
                <w:b/>
              </w:rPr>
            </w:pPr>
            <w:r w:rsidRPr="000A1BEE">
              <w:rPr>
                <w:szCs w:val="20"/>
              </w:rPr>
              <w:t>B</w:t>
            </w:r>
          </w:p>
        </w:tc>
        <w:tc>
          <w:tcPr>
            <w:tcW w:w="3960" w:type="dxa"/>
            <w:gridSpan w:val="2"/>
            <w:tcBorders>
              <w:top w:val="double" w:sz="6" w:space="0" w:color="000000"/>
              <w:right w:val="double" w:sz="6" w:space="0" w:color="000000"/>
            </w:tcBorders>
          </w:tcPr>
          <w:p w:rsidR="00F8223C" w:rsidRPr="004E2A1C" w:rsidRDefault="00F8223C" w:rsidP="003E6F3D">
            <w:pPr>
              <w:pStyle w:val="TableText"/>
              <w:keepNext/>
              <w:spacing w:after="0"/>
              <w:rPr>
                <w:b/>
              </w:rPr>
            </w:pPr>
            <w:r w:rsidRPr="000A1BEE">
              <w:rPr>
                <w:szCs w:val="20"/>
              </w:rPr>
              <w:t>Basic Publication</w:t>
            </w:r>
          </w:p>
        </w:tc>
        <w:tc>
          <w:tcPr>
            <w:tcW w:w="1080" w:type="dxa"/>
            <w:tcBorders>
              <w:top w:val="double" w:sz="6" w:space="0" w:color="000000"/>
              <w:left w:val="double" w:sz="6" w:space="0" w:color="000000"/>
            </w:tcBorders>
          </w:tcPr>
          <w:p w:rsidR="00F8223C" w:rsidRPr="00136A57" w:rsidRDefault="00F8223C" w:rsidP="003E6F3D">
            <w:pPr>
              <w:pStyle w:val="TableText"/>
              <w:keepNext/>
              <w:spacing w:after="0"/>
              <w:jc w:val="center"/>
              <w:rPr>
                <w:b/>
                <w:spacing w:val="-4"/>
                <w:highlight w:val="yellow"/>
              </w:rPr>
            </w:pPr>
            <w:r>
              <w:rPr>
                <w:szCs w:val="20"/>
              </w:rPr>
              <w:t>LMDP</w:t>
            </w:r>
          </w:p>
        </w:tc>
        <w:tc>
          <w:tcPr>
            <w:tcW w:w="3690" w:type="dxa"/>
            <w:tcBorders>
              <w:top w:val="double" w:sz="6" w:space="0" w:color="000000"/>
              <w:right w:val="double" w:sz="6" w:space="0" w:color="000000"/>
            </w:tcBorders>
          </w:tcPr>
          <w:p w:rsidR="00F8223C" w:rsidRPr="004539BD" w:rsidRDefault="00F8223C" w:rsidP="003E6F3D">
            <w:pPr>
              <w:pStyle w:val="TableText"/>
              <w:keepNext/>
              <w:spacing w:after="0"/>
              <w:jc w:val="both"/>
              <w:rPr>
                <w:spacing w:val="-4"/>
                <w:highlight w:val="yellow"/>
              </w:rPr>
            </w:pPr>
            <w:r w:rsidRPr="000A1BEE">
              <w:rPr>
                <w:szCs w:val="20"/>
              </w:rPr>
              <w:t xml:space="preserve">Legal Metrology Devices </w:t>
            </w:r>
            <w:r>
              <w:rPr>
                <w:szCs w:val="20"/>
              </w:rPr>
              <w:t>Program</w:t>
            </w:r>
          </w:p>
        </w:tc>
      </w:tr>
      <w:tr w:rsidR="00F8223C" w:rsidTr="003E6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left w:val="double" w:sz="6" w:space="0" w:color="000000"/>
            </w:tcBorders>
          </w:tcPr>
          <w:p w:rsidR="00F8223C" w:rsidRPr="004E2A1C" w:rsidRDefault="00F8223C" w:rsidP="003E6F3D">
            <w:pPr>
              <w:pStyle w:val="TableText"/>
              <w:keepNext/>
              <w:spacing w:after="0"/>
              <w:rPr>
                <w:b/>
              </w:rPr>
            </w:pPr>
            <w:r w:rsidRPr="000A1BEE">
              <w:rPr>
                <w:szCs w:val="20"/>
              </w:rPr>
              <w:t>CIML</w:t>
            </w:r>
          </w:p>
        </w:tc>
        <w:tc>
          <w:tcPr>
            <w:tcW w:w="3960" w:type="dxa"/>
            <w:gridSpan w:val="2"/>
            <w:tcBorders>
              <w:right w:val="double" w:sz="6" w:space="0" w:color="000000"/>
            </w:tcBorders>
          </w:tcPr>
          <w:p w:rsidR="00F8223C" w:rsidRPr="004E2A1C" w:rsidRDefault="00F8223C" w:rsidP="003E6F3D">
            <w:pPr>
              <w:pStyle w:val="TableText"/>
              <w:keepNext/>
              <w:spacing w:after="0"/>
              <w:rPr>
                <w:b/>
              </w:rPr>
            </w:pPr>
            <w:r w:rsidRPr="000A1BEE">
              <w:rPr>
                <w:szCs w:val="20"/>
              </w:rPr>
              <w:t>International Committee of Legal Metrology</w:t>
            </w:r>
          </w:p>
        </w:tc>
        <w:tc>
          <w:tcPr>
            <w:tcW w:w="1080" w:type="dxa"/>
            <w:tcBorders>
              <w:left w:val="double" w:sz="6" w:space="0" w:color="000000"/>
            </w:tcBorders>
          </w:tcPr>
          <w:p w:rsidR="00F8223C" w:rsidRPr="00136A57" w:rsidRDefault="00F8223C" w:rsidP="003E6F3D">
            <w:pPr>
              <w:pStyle w:val="TableText"/>
              <w:keepNext/>
              <w:spacing w:after="0"/>
              <w:jc w:val="center"/>
              <w:rPr>
                <w:b/>
                <w:spacing w:val="-4"/>
                <w:highlight w:val="yellow"/>
              </w:rPr>
            </w:pPr>
            <w:r w:rsidRPr="000A1BEE">
              <w:rPr>
                <w:szCs w:val="20"/>
              </w:rPr>
              <w:t>P</w:t>
            </w:r>
          </w:p>
        </w:tc>
        <w:tc>
          <w:tcPr>
            <w:tcW w:w="3690" w:type="dxa"/>
            <w:tcBorders>
              <w:right w:val="double" w:sz="6" w:space="0" w:color="000000"/>
            </w:tcBorders>
          </w:tcPr>
          <w:p w:rsidR="00F8223C" w:rsidRPr="00136A57" w:rsidRDefault="00F8223C" w:rsidP="003E6F3D">
            <w:pPr>
              <w:pStyle w:val="TableText"/>
              <w:keepNext/>
              <w:spacing w:after="0"/>
              <w:jc w:val="both"/>
              <w:rPr>
                <w:b/>
                <w:spacing w:val="-4"/>
                <w:highlight w:val="yellow"/>
              </w:rPr>
            </w:pPr>
            <w:r w:rsidRPr="000A1BEE">
              <w:rPr>
                <w:szCs w:val="20"/>
              </w:rPr>
              <w:t>Project</w:t>
            </w:r>
          </w:p>
        </w:tc>
      </w:tr>
      <w:tr w:rsidR="00F8223C" w:rsidTr="003E6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left w:val="double" w:sz="6" w:space="0" w:color="000000"/>
            </w:tcBorders>
          </w:tcPr>
          <w:p w:rsidR="00F8223C" w:rsidRPr="004E2A1C" w:rsidRDefault="00F8223C" w:rsidP="003E6F3D">
            <w:pPr>
              <w:pStyle w:val="TableText"/>
              <w:keepNext/>
              <w:spacing w:after="0"/>
              <w:rPr>
                <w:b/>
              </w:rPr>
            </w:pPr>
            <w:r w:rsidRPr="000A1BEE">
              <w:rPr>
                <w:szCs w:val="20"/>
              </w:rPr>
              <w:t>D</w:t>
            </w:r>
          </w:p>
        </w:tc>
        <w:tc>
          <w:tcPr>
            <w:tcW w:w="3960" w:type="dxa"/>
            <w:gridSpan w:val="2"/>
            <w:tcBorders>
              <w:right w:val="double" w:sz="6" w:space="0" w:color="000000"/>
            </w:tcBorders>
          </w:tcPr>
          <w:p w:rsidR="00F8223C" w:rsidRPr="004E2A1C" w:rsidRDefault="00F8223C" w:rsidP="003E6F3D">
            <w:pPr>
              <w:pStyle w:val="TableText"/>
              <w:keepNext/>
              <w:spacing w:after="0"/>
              <w:rPr>
                <w:b/>
              </w:rPr>
            </w:pPr>
            <w:r w:rsidRPr="000A1BEE">
              <w:rPr>
                <w:szCs w:val="20"/>
              </w:rPr>
              <w:t>Document</w:t>
            </w:r>
          </w:p>
        </w:tc>
        <w:tc>
          <w:tcPr>
            <w:tcW w:w="1080" w:type="dxa"/>
            <w:tcBorders>
              <w:left w:val="double" w:sz="6" w:space="0" w:color="000000"/>
            </w:tcBorders>
          </w:tcPr>
          <w:p w:rsidR="00F8223C" w:rsidRPr="00136A57" w:rsidRDefault="00F8223C" w:rsidP="003E6F3D">
            <w:pPr>
              <w:pStyle w:val="TableText"/>
              <w:keepNext/>
              <w:spacing w:after="0"/>
              <w:jc w:val="center"/>
              <w:rPr>
                <w:b/>
                <w:spacing w:val="-4"/>
                <w:highlight w:val="yellow"/>
              </w:rPr>
            </w:pPr>
            <w:r w:rsidRPr="000A1BEE">
              <w:rPr>
                <w:szCs w:val="20"/>
              </w:rPr>
              <w:t>R</w:t>
            </w:r>
          </w:p>
        </w:tc>
        <w:tc>
          <w:tcPr>
            <w:tcW w:w="3690" w:type="dxa"/>
            <w:tcBorders>
              <w:right w:val="double" w:sz="6" w:space="0" w:color="000000"/>
            </w:tcBorders>
          </w:tcPr>
          <w:p w:rsidR="00F8223C" w:rsidRPr="00136A57" w:rsidRDefault="00F8223C" w:rsidP="003E6F3D">
            <w:pPr>
              <w:pStyle w:val="TableText"/>
              <w:keepNext/>
              <w:spacing w:after="0"/>
              <w:jc w:val="both"/>
              <w:rPr>
                <w:b/>
                <w:spacing w:val="-4"/>
                <w:highlight w:val="yellow"/>
              </w:rPr>
            </w:pPr>
            <w:r w:rsidRPr="000A1BEE">
              <w:rPr>
                <w:szCs w:val="20"/>
              </w:rPr>
              <w:t>Recommendation</w:t>
            </w:r>
          </w:p>
        </w:tc>
      </w:tr>
      <w:tr w:rsidR="00F8223C" w:rsidTr="003E6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left w:val="double" w:sz="6" w:space="0" w:color="000000"/>
            </w:tcBorders>
          </w:tcPr>
          <w:p w:rsidR="00F8223C" w:rsidRPr="004E2A1C" w:rsidRDefault="00F8223C" w:rsidP="003E6F3D">
            <w:pPr>
              <w:pStyle w:val="TableText"/>
              <w:keepNext/>
              <w:spacing w:after="0"/>
              <w:rPr>
                <w:b/>
              </w:rPr>
            </w:pPr>
            <w:r>
              <w:rPr>
                <w:szCs w:val="20"/>
              </w:rPr>
              <w:t>ILMP</w:t>
            </w:r>
          </w:p>
        </w:tc>
        <w:tc>
          <w:tcPr>
            <w:tcW w:w="3960" w:type="dxa"/>
            <w:gridSpan w:val="2"/>
            <w:tcBorders>
              <w:right w:val="double" w:sz="6" w:space="0" w:color="000000"/>
            </w:tcBorders>
          </w:tcPr>
          <w:p w:rsidR="00F8223C" w:rsidRPr="004E2A1C" w:rsidRDefault="00F8223C" w:rsidP="003E6F3D">
            <w:pPr>
              <w:pStyle w:val="TableText"/>
              <w:keepNext/>
              <w:spacing w:after="0"/>
              <w:rPr>
                <w:b/>
              </w:rPr>
            </w:pPr>
            <w:r w:rsidRPr="000A1BEE">
              <w:rPr>
                <w:szCs w:val="20"/>
              </w:rPr>
              <w:t xml:space="preserve">International Legal Metrology </w:t>
            </w:r>
            <w:r>
              <w:rPr>
                <w:szCs w:val="20"/>
              </w:rPr>
              <w:t>Program</w:t>
            </w:r>
          </w:p>
        </w:tc>
        <w:tc>
          <w:tcPr>
            <w:tcW w:w="1080" w:type="dxa"/>
            <w:tcBorders>
              <w:left w:val="double" w:sz="6" w:space="0" w:color="000000"/>
            </w:tcBorders>
          </w:tcPr>
          <w:p w:rsidR="00F8223C" w:rsidRPr="00136A57" w:rsidRDefault="00F8223C" w:rsidP="003E6F3D">
            <w:pPr>
              <w:pStyle w:val="TableText"/>
              <w:keepNext/>
              <w:spacing w:after="0"/>
              <w:jc w:val="center"/>
              <w:rPr>
                <w:b/>
                <w:spacing w:val="-4"/>
                <w:highlight w:val="yellow"/>
              </w:rPr>
            </w:pPr>
            <w:r w:rsidRPr="000A1BEE">
              <w:rPr>
                <w:szCs w:val="20"/>
              </w:rPr>
              <w:t>SC</w:t>
            </w:r>
          </w:p>
        </w:tc>
        <w:tc>
          <w:tcPr>
            <w:tcW w:w="3690" w:type="dxa"/>
            <w:tcBorders>
              <w:right w:val="double" w:sz="6" w:space="0" w:color="000000"/>
            </w:tcBorders>
          </w:tcPr>
          <w:p w:rsidR="00F8223C" w:rsidRPr="00136A57" w:rsidRDefault="00F8223C" w:rsidP="003E6F3D">
            <w:pPr>
              <w:pStyle w:val="TableText"/>
              <w:keepNext/>
              <w:spacing w:after="0"/>
              <w:jc w:val="both"/>
              <w:rPr>
                <w:b/>
                <w:spacing w:val="-4"/>
                <w:highlight w:val="yellow"/>
              </w:rPr>
            </w:pPr>
            <w:r w:rsidRPr="000A1BEE">
              <w:rPr>
                <w:szCs w:val="20"/>
              </w:rPr>
              <w:t xml:space="preserve">Subcommittee </w:t>
            </w:r>
          </w:p>
        </w:tc>
      </w:tr>
      <w:tr w:rsidR="00F8223C" w:rsidTr="003E6F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 w:type="dxa"/>
            <w:tcBorders>
              <w:left w:val="double" w:sz="6" w:space="0" w:color="000000"/>
              <w:bottom w:val="double" w:sz="6" w:space="0" w:color="000000"/>
            </w:tcBorders>
          </w:tcPr>
          <w:p w:rsidR="00F8223C" w:rsidRPr="004E2A1C" w:rsidRDefault="00F8223C" w:rsidP="003E6F3D">
            <w:pPr>
              <w:pStyle w:val="TableText"/>
              <w:keepNext/>
              <w:spacing w:after="0"/>
              <w:rPr>
                <w:b/>
              </w:rPr>
            </w:pPr>
            <w:r>
              <w:rPr>
                <w:szCs w:val="20"/>
              </w:rPr>
              <w:t>LMP</w:t>
            </w:r>
          </w:p>
        </w:tc>
        <w:tc>
          <w:tcPr>
            <w:tcW w:w="3960" w:type="dxa"/>
            <w:gridSpan w:val="2"/>
            <w:tcBorders>
              <w:bottom w:val="double" w:sz="6" w:space="0" w:color="000000"/>
              <w:right w:val="double" w:sz="6" w:space="0" w:color="000000"/>
            </w:tcBorders>
          </w:tcPr>
          <w:p w:rsidR="00F8223C" w:rsidRPr="004E2A1C" w:rsidRDefault="00F8223C" w:rsidP="003E6F3D">
            <w:pPr>
              <w:pStyle w:val="TableText"/>
              <w:keepNext/>
              <w:spacing w:after="0"/>
              <w:rPr>
                <w:b/>
              </w:rPr>
            </w:pPr>
            <w:r w:rsidRPr="000A1BEE">
              <w:rPr>
                <w:szCs w:val="20"/>
              </w:rPr>
              <w:t xml:space="preserve">Laws and Metrics </w:t>
            </w:r>
            <w:r>
              <w:rPr>
                <w:szCs w:val="20"/>
              </w:rPr>
              <w:t>Program</w:t>
            </w:r>
          </w:p>
        </w:tc>
        <w:tc>
          <w:tcPr>
            <w:tcW w:w="1080" w:type="dxa"/>
            <w:tcBorders>
              <w:left w:val="double" w:sz="6" w:space="0" w:color="000000"/>
              <w:bottom w:val="double" w:sz="6" w:space="0" w:color="000000"/>
            </w:tcBorders>
          </w:tcPr>
          <w:p w:rsidR="00F8223C" w:rsidRPr="00136A57" w:rsidRDefault="00F8223C" w:rsidP="003E6F3D">
            <w:pPr>
              <w:pStyle w:val="TableText"/>
              <w:keepNext/>
              <w:spacing w:after="0"/>
              <w:jc w:val="center"/>
              <w:rPr>
                <w:b/>
                <w:spacing w:val="-4"/>
                <w:highlight w:val="yellow"/>
              </w:rPr>
            </w:pPr>
            <w:r w:rsidRPr="000A1BEE">
              <w:rPr>
                <w:szCs w:val="20"/>
              </w:rPr>
              <w:t>TC</w:t>
            </w:r>
          </w:p>
        </w:tc>
        <w:tc>
          <w:tcPr>
            <w:tcW w:w="3690" w:type="dxa"/>
            <w:tcBorders>
              <w:bottom w:val="double" w:sz="6" w:space="0" w:color="000000"/>
              <w:right w:val="double" w:sz="6" w:space="0" w:color="000000"/>
            </w:tcBorders>
          </w:tcPr>
          <w:p w:rsidR="00F8223C" w:rsidRPr="00136A57" w:rsidRDefault="00F8223C" w:rsidP="003E6F3D">
            <w:pPr>
              <w:pStyle w:val="TableText"/>
              <w:keepNext/>
              <w:spacing w:after="0"/>
              <w:jc w:val="both"/>
              <w:rPr>
                <w:b/>
                <w:spacing w:val="-4"/>
                <w:highlight w:val="yellow"/>
              </w:rPr>
            </w:pPr>
            <w:r w:rsidRPr="000A1BEE">
              <w:rPr>
                <w:szCs w:val="20"/>
              </w:rPr>
              <w:t>Technical Committee</w:t>
            </w:r>
          </w:p>
        </w:tc>
      </w:tr>
    </w:tbl>
    <w:p w:rsidR="006E22A3" w:rsidRDefault="006E22A3" w:rsidP="003E6F3D">
      <w:pPr>
        <w:spacing w:before="240"/>
      </w:pPr>
      <w:r>
        <w:t>The WWMA and the SWMA support these issues and the related device activities as an Informational Item.</w:t>
      </w:r>
      <w:r w:rsidR="000A077E">
        <w:t xml:space="preserve">  </w:t>
      </w:r>
      <w:r>
        <w:t>At the 2011 NEWMA Interim Meeting it was noted that Dr. Ehrlich does a great job at annual and interim meetings explaining OIML issues.  NEWMA supports the efforts of NIST to harmonize with OIML wherever possible to create a marketplace that reflects the global marketplace of today.</w:t>
      </w:r>
    </w:p>
    <w:p w:rsidR="00C005CB" w:rsidRDefault="00C005CB" w:rsidP="00D67BAC">
      <w:pPr>
        <w:pStyle w:val="ItemHeading"/>
      </w:pPr>
      <w:bookmarkStart w:id="44" w:name="_Toc334183646"/>
      <w:r>
        <w:lastRenderedPageBreak/>
        <w:t>360-2</w:t>
      </w:r>
      <w:r w:rsidR="005427AE">
        <w:tab/>
      </w:r>
      <w:r w:rsidR="00CF2825">
        <w:t>D</w:t>
      </w:r>
      <w:r w:rsidR="00CF2825">
        <w:tab/>
      </w:r>
      <w:r>
        <w:t xml:space="preserve">G-S.1. </w:t>
      </w:r>
      <w:r w:rsidR="00595ABF">
        <w:t xml:space="preserve"> </w:t>
      </w:r>
      <w:r>
        <w:t>Identification. – (Software)</w:t>
      </w:r>
      <w:bookmarkEnd w:id="44"/>
    </w:p>
    <w:p w:rsidR="00C005CB" w:rsidRDefault="00C005CB" w:rsidP="00D67BAC">
      <w:pPr>
        <w:pStyle w:val="BoldHeading"/>
        <w:keepNext/>
        <w:spacing w:after="0"/>
      </w:pPr>
      <w:r>
        <w:t xml:space="preserve">Source:  </w:t>
      </w:r>
    </w:p>
    <w:p w:rsidR="00C005CB" w:rsidRDefault="00C005CB" w:rsidP="00D67BAC">
      <w:pPr>
        <w:keepNext/>
      </w:pPr>
      <w:r>
        <w:t xml:space="preserve">2010 Carryover Item 310-3.  This item originated from the </w:t>
      </w:r>
      <w:r w:rsidR="00C12B80">
        <w:t>NTETC</w:t>
      </w:r>
      <w:r>
        <w:t xml:space="preserve"> Software Sector and first appeared on </w:t>
      </w:r>
      <w:r w:rsidR="000A077E">
        <w:t xml:space="preserve">NCWM S&amp;T </w:t>
      </w:r>
      <w:r>
        <w:t>Committee’s 2007 agenda as Developing Item Part 1, Item 1.</w:t>
      </w:r>
    </w:p>
    <w:p w:rsidR="00C005CB" w:rsidRDefault="00C005CB" w:rsidP="003E6F3D">
      <w:pPr>
        <w:pStyle w:val="BoldHeading"/>
        <w:spacing w:after="0"/>
      </w:pPr>
      <w:r>
        <w:t xml:space="preserve">Purpose:  </w:t>
      </w:r>
    </w:p>
    <w:p w:rsidR="00C005CB" w:rsidRDefault="006B336F" w:rsidP="00C005CB">
      <w:r>
        <w:t xml:space="preserve">Provide marking requirements that enable field verification of the appropriate version or revision for metrological software, including methods </w:t>
      </w:r>
      <w:r w:rsidR="00C005CB">
        <w:t xml:space="preserve">other than “permanently marked,” for providing the required information. </w:t>
      </w:r>
    </w:p>
    <w:p w:rsidR="00C005CB" w:rsidRDefault="00C005CB" w:rsidP="003E6F3D">
      <w:pPr>
        <w:pStyle w:val="BoldHeading"/>
        <w:spacing w:after="0"/>
      </w:pPr>
      <w:r>
        <w:t xml:space="preserve">Item Under Consideration:  </w:t>
      </w:r>
    </w:p>
    <w:p w:rsidR="00C005CB" w:rsidRDefault="00C005CB" w:rsidP="00C005CB">
      <w:r>
        <w:t xml:space="preserve">Amend </w:t>
      </w:r>
      <w:r w:rsidRPr="003E6F3D">
        <w:t>NIST Handbook 44</w:t>
      </w:r>
      <w:r w:rsidR="0096785F">
        <w:rPr>
          <w:i/>
        </w:rPr>
        <w:t>,</w:t>
      </w:r>
      <w:r>
        <w:rPr>
          <w:i/>
        </w:rPr>
        <w:t xml:space="preserve"> </w:t>
      </w:r>
      <w:r w:rsidR="00D67BAC">
        <w:t xml:space="preserve">Section 1.10. General Code, </w:t>
      </w:r>
      <w:r>
        <w:t>G</w:t>
      </w:r>
      <w:r w:rsidR="00D67BAC">
        <w:t>-</w:t>
      </w:r>
      <w:r>
        <w:t>S.1. Identification and G S.1.1. Location of Marking Information for Not-Built-for-Purpose, So</w:t>
      </w:r>
      <w:r w:rsidR="00877869">
        <w:t>ftware-Based Devices as follows:</w:t>
      </w:r>
      <w:r>
        <w:t xml:space="preserve"> </w:t>
      </w:r>
    </w:p>
    <w:p w:rsidR="00C005CB" w:rsidRDefault="00C005CB" w:rsidP="003E6F3D">
      <w:pPr>
        <w:pStyle w:val="I-Normalreg"/>
        <w:tabs>
          <w:tab w:val="left" w:pos="1080"/>
        </w:tabs>
        <w:spacing w:after="0"/>
      </w:pPr>
      <w:r w:rsidRPr="00800405">
        <w:rPr>
          <w:b/>
        </w:rPr>
        <w:t>G</w:t>
      </w:r>
      <w:r w:rsidR="00D67BAC">
        <w:rPr>
          <w:b/>
        </w:rPr>
        <w:t>-</w:t>
      </w:r>
      <w:r w:rsidRPr="00800405">
        <w:rPr>
          <w:b/>
        </w:rPr>
        <w:t>S.1</w:t>
      </w:r>
      <w:r w:rsidR="00595ABF" w:rsidRPr="00800405">
        <w:rPr>
          <w:b/>
        </w:rPr>
        <w:t>.</w:t>
      </w:r>
      <w:r w:rsidR="00595ABF">
        <w:rPr>
          <w:b/>
        </w:rPr>
        <w:tab/>
      </w:r>
      <w:r w:rsidRPr="00800405">
        <w:rPr>
          <w:b/>
        </w:rPr>
        <w:t>Identification.</w:t>
      </w:r>
      <w:r>
        <w:t xml:space="preserve"> – All equipment, except weights</w:t>
      </w:r>
      <w:r w:rsidRPr="00800405">
        <w:rPr>
          <w:b/>
          <w:u w:val="single"/>
        </w:rPr>
        <w:t>,</w:t>
      </w:r>
      <w:r>
        <w:t xml:space="preserve"> </w:t>
      </w:r>
      <w:r w:rsidRPr="00800405">
        <w:rPr>
          <w:b/>
          <w:strike/>
        </w:rPr>
        <w:t>and</w:t>
      </w:r>
      <w:r>
        <w:t xml:space="preserve"> separate parts necessary to the measurement process but not having any metrological effect, </w:t>
      </w:r>
      <w:r w:rsidRPr="00800405">
        <w:rPr>
          <w:b/>
          <w:i/>
          <w:u w:val="single"/>
        </w:rPr>
        <w:t>and software-based devices covered in G-S.1.1. Location of Marking Information*</w:t>
      </w:r>
      <w:r>
        <w:t xml:space="preserve">, shall be clearly and permanently marked for the purposes of identification with the following information: </w:t>
      </w:r>
    </w:p>
    <w:p w:rsidR="00C005CB" w:rsidRPr="00800405" w:rsidRDefault="00C005CB" w:rsidP="003E6F3D">
      <w:pPr>
        <w:pStyle w:val="I-Normalreg"/>
        <w:spacing w:after="60"/>
        <w:rPr>
          <w:b/>
          <w:i/>
          <w:u w:val="single"/>
        </w:rPr>
      </w:pPr>
      <w:r w:rsidRPr="00800405">
        <w:rPr>
          <w:b/>
          <w:i/>
          <w:u w:val="single"/>
        </w:rPr>
        <w:t>[*Nonretroactive as of January 1, 20XX]</w:t>
      </w:r>
    </w:p>
    <w:p w:rsidR="00C005CB" w:rsidRPr="00800405" w:rsidRDefault="00C005CB" w:rsidP="00C005CB">
      <w:pPr>
        <w:pStyle w:val="I-Normal-bold"/>
        <w:rPr>
          <w:u w:val="single"/>
        </w:rPr>
      </w:pPr>
      <w:r>
        <w:rPr>
          <w:u w:val="single"/>
        </w:rPr>
        <w:t>(Amended 20X</w:t>
      </w:r>
      <w:r w:rsidRPr="00800405">
        <w:rPr>
          <w:u w:val="single"/>
        </w:rPr>
        <w:t>X)</w:t>
      </w:r>
    </w:p>
    <w:p w:rsidR="00C005CB" w:rsidRDefault="00A94241" w:rsidP="00595ABF">
      <w:pPr>
        <w:pStyle w:val="I-Normal1indent"/>
        <w:ind w:left="1080" w:hanging="360"/>
      </w:pPr>
      <w:r>
        <w:t>(a)</w:t>
      </w:r>
      <w:r>
        <w:tab/>
      </w:r>
      <w:r w:rsidR="00C005CB">
        <w:t>the name, initials, or trademark of the manufacturer or distributor;</w:t>
      </w:r>
    </w:p>
    <w:p w:rsidR="00C005CB" w:rsidRPr="00A94241" w:rsidRDefault="00A94241" w:rsidP="00595ABF">
      <w:pPr>
        <w:pStyle w:val="I-Normal1indent"/>
        <w:ind w:left="1080" w:hanging="360"/>
      </w:pPr>
      <w:r>
        <w:t>(b)</w:t>
      </w:r>
      <w:r>
        <w:tab/>
      </w:r>
      <w:r w:rsidR="00C005CB" w:rsidRPr="00A94241">
        <w:t>a model identifier that positively identifies the pattern or design of the device;</w:t>
      </w:r>
    </w:p>
    <w:p w:rsidR="00C005CB" w:rsidRPr="00A94241" w:rsidRDefault="00A94241" w:rsidP="003E6F3D">
      <w:pPr>
        <w:pStyle w:val="I-Normal2indent"/>
        <w:spacing w:after="0"/>
        <w:ind w:left="1440" w:hanging="360"/>
        <w:rPr>
          <w:i/>
        </w:rPr>
      </w:pPr>
      <w:r w:rsidRPr="00A94241">
        <w:rPr>
          <w:i/>
        </w:rPr>
        <w:t>(1)</w:t>
      </w:r>
      <w:r>
        <w:rPr>
          <w:i/>
        </w:rPr>
        <w:tab/>
      </w:r>
      <w:r w:rsidR="00C005CB" w:rsidRPr="00A94241">
        <w:rPr>
          <w:i/>
        </w:rPr>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w:t>
      </w:r>
    </w:p>
    <w:p w:rsidR="00C005CB" w:rsidRPr="003E6F3D" w:rsidRDefault="00C005CB" w:rsidP="009D59C4">
      <w:pPr>
        <w:pStyle w:val="I-Normal2indent"/>
        <w:spacing w:after="60"/>
        <w:ind w:left="1440"/>
        <w:rPr>
          <w:i/>
        </w:rPr>
      </w:pPr>
      <w:r w:rsidRPr="003E6F3D">
        <w:rPr>
          <w:i/>
        </w:rPr>
        <w:t>[Nonretroactive as of January 1, 2003]</w:t>
      </w:r>
    </w:p>
    <w:p w:rsidR="00C005CB" w:rsidRPr="00A94241" w:rsidRDefault="00C005CB" w:rsidP="0096785F">
      <w:pPr>
        <w:pStyle w:val="I-Normal2indent"/>
        <w:ind w:left="1440"/>
      </w:pPr>
      <w:r w:rsidRPr="00A94241">
        <w:t>(Added 2000) (Amended 2001)</w:t>
      </w:r>
    </w:p>
    <w:p w:rsidR="00C005CB" w:rsidRPr="00A94241" w:rsidRDefault="00A94241" w:rsidP="003E6F3D">
      <w:pPr>
        <w:pStyle w:val="I-Normal1indent"/>
        <w:keepNext/>
        <w:spacing w:after="0"/>
        <w:ind w:left="1080" w:hanging="360"/>
        <w:rPr>
          <w:i/>
        </w:rPr>
      </w:pPr>
      <w:r w:rsidRPr="00A94241">
        <w:rPr>
          <w:i/>
        </w:rPr>
        <w:t>(c)</w:t>
      </w:r>
      <w:r w:rsidRPr="00A94241">
        <w:rPr>
          <w:i/>
        </w:rPr>
        <w:tab/>
      </w:r>
      <w:r w:rsidR="00C005CB" w:rsidRPr="00A94241">
        <w:rPr>
          <w:i/>
        </w:rPr>
        <w:t xml:space="preserve">a non-repetitive serial number, except for equipment with no moving or electronic component parts </w:t>
      </w:r>
      <w:r w:rsidR="00C005CB" w:rsidRPr="00A94241">
        <w:rPr>
          <w:b/>
          <w:i/>
          <w:strike/>
        </w:rPr>
        <w:t>and not built-for-purpose software-based software device</w:t>
      </w:r>
      <w:r w:rsidR="00C005CB" w:rsidRPr="00A94241">
        <w:rPr>
          <w:i/>
        </w:rPr>
        <w:t>;</w:t>
      </w:r>
    </w:p>
    <w:p w:rsidR="00C005CB" w:rsidRPr="003E6F3D" w:rsidRDefault="00C005CB" w:rsidP="003E6F3D">
      <w:pPr>
        <w:pStyle w:val="I-Normal2indent"/>
        <w:keepNext/>
        <w:spacing w:after="60"/>
        <w:ind w:left="1080"/>
        <w:rPr>
          <w:i/>
        </w:rPr>
      </w:pPr>
      <w:r w:rsidRPr="003E6F3D">
        <w:rPr>
          <w:i/>
        </w:rPr>
        <w:t>[Nonretroactive as of January 1, 1968]</w:t>
      </w:r>
    </w:p>
    <w:p w:rsidR="00C005CB" w:rsidRDefault="00C005CB" w:rsidP="003E6F3D">
      <w:pPr>
        <w:pStyle w:val="I-Normal2indent"/>
        <w:keepNext/>
        <w:ind w:left="1080"/>
      </w:pPr>
      <w:r>
        <w:t xml:space="preserve">(Amended 2003 </w:t>
      </w:r>
      <w:r w:rsidRPr="0095754B">
        <w:rPr>
          <w:b/>
          <w:u w:val="single"/>
        </w:rPr>
        <w:t>and 20XX</w:t>
      </w:r>
      <w:r>
        <w:t>)</w:t>
      </w:r>
    </w:p>
    <w:p w:rsidR="00C005CB" w:rsidRPr="0095754B" w:rsidRDefault="00C005CB" w:rsidP="003E6F3D">
      <w:pPr>
        <w:pStyle w:val="I-s"/>
        <w:numPr>
          <w:ilvl w:val="0"/>
          <w:numId w:val="8"/>
        </w:numPr>
        <w:spacing w:after="0"/>
        <w:ind w:left="1440"/>
        <w:rPr>
          <w:i/>
        </w:rPr>
      </w:pPr>
      <w:r w:rsidRPr="0095754B">
        <w:rPr>
          <w:i/>
        </w:rPr>
        <w:t>The serial number shall be prefaced by words, an abbreviation, or a symbol, that clearly identifies the number as the required serial number.</w:t>
      </w:r>
    </w:p>
    <w:p w:rsidR="00C005CB" w:rsidRPr="0095754B" w:rsidRDefault="00C005CB" w:rsidP="00C005CB">
      <w:pPr>
        <w:pStyle w:val="I-s"/>
        <w:numPr>
          <w:ilvl w:val="0"/>
          <w:numId w:val="0"/>
        </w:numPr>
        <w:ind w:left="1440"/>
        <w:rPr>
          <w:i/>
        </w:rPr>
      </w:pPr>
      <w:r w:rsidRPr="0095754B">
        <w:rPr>
          <w:i/>
        </w:rPr>
        <w:t>[Nonretroactive as of January 1, 1986]</w:t>
      </w:r>
    </w:p>
    <w:p w:rsidR="00C005CB" w:rsidRPr="0095754B" w:rsidRDefault="00C005CB" w:rsidP="003E6F3D">
      <w:pPr>
        <w:pStyle w:val="I-s"/>
        <w:spacing w:after="0"/>
        <w:rPr>
          <w:i/>
        </w:rPr>
      </w:pPr>
      <w:r w:rsidRPr="0095754B">
        <w:rPr>
          <w:i/>
        </w:rPr>
        <w:t>Abbreviations for the word “Serial” shall, as a minimum, begin with the letter “S,” and abbreviations for the word “Number” shall, as a minimum, begin with the letter “N” (e.g., S/N, SN, Ser. No., and S. No.).</w:t>
      </w:r>
    </w:p>
    <w:p w:rsidR="00C005CB" w:rsidRPr="0095754B" w:rsidRDefault="00C005CB" w:rsidP="00C005CB">
      <w:pPr>
        <w:pStyle w:val="I-s"/>
        <w:numPr>
          <w:ilvl w:val="0"/>
          <w:numId w:val="0"/>
        </w:numPr>
        <w:ind w:left="1440"/>
        <w:rPr>
          <w:i/>
        </w:rPr>
      </w:pPr>
      <w:r w:rsidRPr="0095754B">
        <w:rPr>
          <w:i/>
        </w:rPr>
        <w:t>[Nonretroactive as of January 1, 2001]</w:t>
      </w:r>
    </w:p>
    <w:p w:rsidR="00C005CB" w:rsidRPr="00A94241" w:rsidRDefault="00A94241" w:rsidP="003E6F3D">
      <w:pPr>
        <w:pStyle w:val="I-Normal1indent"/>
        <w:spacing w:after="0"/>
        <w:ind w:left="1080" w:hanging="360"/>
        <w:rPr>
          <w:i/>
        </w:rPr>
      </w:pPr>
      <w:r w:rsidRPr="00A94241">
        <w:rPr>
          <w:i/>
        </w:rPr>
        <w:t>(d</w:t>
      </w:r>
      <w:r w:rsidR="00050EDD" w:rsidRPr="00A94241">
        <w:rPr>
          <w:i/>
        </w:rPr>
        <w:t>)</w:t>
      </w:r>
      <w:r w:rsidR="00050EDD">
        <w:rPr>
          <w:i/>
        </w:rPr>
        <w:tab/>
      </w:r>
      <w:r w:rsidR="00C005CB" w:rsidRPr="00A94241">
        <w:rPr>
          <w:i/>
        </w:rPr>
        <w:t xml:space="preserve">the current software version or revision identifier for </w:t>
      </w:r>
      <w:r w:rsidR="00C005CB" w:rsidRPr="00A94241">
        <w:rPr>
          <w:b/>
          <w:i/>
          <w:strike/>
        </w:rPr>
        <w:t>not-built-for-purpose</w:t>
      </w:r>
      <w:r w:rsidR="00C005CB" w:rsidRPr="00A94241">
        <w:rPr>
          <w:i/>
        </w:rPr>
        <w:t xml:space="preserve"> </w:t>
      </w:r>
      <w:r w:rsidR="00C005CB" w:rsidRPr="00A94241">
        <w:rPr>
          <w:b/>
          <w:i/>
          <w:u w:val="single"/>
        </w:rPr>
        <w:t>software-based electronic</w:t>
      </w:r>
      <w:r w:rsidR="00C005CB" w:rsidRPr="00A94241">
        <w:rPr>
          <w:i/>
        </w:rPr>
        <w:t xml:space="preserve"> devices;</w:t>
      </w:r>
    </w:p>
    <w:p w:rsidR="00C005CB" w:rsidRPr="00A94241" w:rsidRDefault="00C005CB" w:rsidP="003E6F3D">
      <w:pPr>
        <w:pStyle w:val="I-Normal2indent"/>
        <w:spacing w:after="60"/>
        <w:ind w:left="360" w:firstLine="720"/>
        <w:rPr>
          <w:i/>
        </w:rPr>
      </w:pPr>
      <w:r w:rsidRPr="00A94241">
        <w:rPr>
          <w:i/>
        </w:rPr>
        <w:t>[Nonretroactive as of January 1, 2004]</w:t>
      </w:r>
    </w:p>
    <w:p w:rsidR="00C005CB" w:rsidRDefault="00C005CB" w:rsidP="003E6F3D">
      <w:pPr>
        <w:pStyle w:val="I-Normal2indent"/>
        <w:ind w:left="360" w:firstLine="720"/>
      </w:pPr>
      <w:r>
        <w:t xml:space="preserve">(Added 2003) </w:t>
      </w:r>
      <w:r w:rsidRPr="00A94241">
        <w:rPr>
          <w:b/>
          <w:u w:val="single"/>
        </w:rPr>
        <w:t>(Amended 20XX)</w:t>
      </w:r>
    </w:p>
    <w:p w:rsidR="00C005CB" w:rsidRPr="0095754B" w:rsidRDefault="00C005CB" w:rsidP="003E6F3D">
      <w:pPr>
        <w:pStyle w:val="I-s"/>
        <w:numPr>
          <w:ilvl w:val="0"/>
          <w:numId w:val="9"/>
        </w:numPr>
        <w:spacing w:after="0"/>
        <w:ind w:left="1440"/>
        <w:rPr>
          <w:i/>
        </w:rPr>
      </w:pPr>
      <w:r w:rsidRPr="0095754B">
        <w:rPr>
          <w:i/>
        </w:rPr>
        <w:t>The version or revision identifier shall be prefaced by words, an abbreviation, or a symbol, that clearly identifies the number as the required version or revision.</w:t>
      </w:r>
    </w:p>
    <w:p w:rsidR="00C005CB" w:rsidRPr="0095754B" w:rsidRDefault="00C005CB" w:rsidP="003E6F3D">
      <w:pPr>
        <w:pStyle w:val="I-s"/>
        <w:numPr>
          <w:ilvl w:val="0"/>
          <w:numId w:val="0"/>
        </w:numPr>
        <w:spacing w:after="60"/>
        <w:ind w:left="1440"/>
        <w:rPr>
          <w:i/>
        </w:rPr>
      </w:pPr>
      <w:r w:rsidRPr="0095754B">
        <w:rPr>
          <w:i/>
        </w:rPr>
        <w:lastRenderedPageBreak/>
        <w:t>[Nonretroactive as of January 1, 2007]</w:t>
      </w:r>
    </w:p>
    <w:p w:rsidR="00C005CB" w:rsidRDefault="00C005CB" w:rsidP="00C005CB">
      <w:pPr>
        <w:pStyle w:val="I-s"/>
        <w:numPr>
          <w:ilvl w:val="0"/>
          <w:numId w:val="0"/>
        </w:numPr>
        <w:ind w:left="1440"/>
      </w:pPr>
      <w:r>
        <w:t>(Added 2006)</w:t>
      </w:r>
    </w:p>
    <w:p w:rsidR="00C005CB" w:rsidRPr="0095754B" w:rsidRDefault="00C005CB" w:rsidP="003E6F3D">
      <w:pPr>
        <w:pStyle w:val="I-s"/>
        <w:spacing w:after="0"/>
        <w:rPr>
          <w:i/>
        </w:rPr>
      </w:pPr>
      <w:r w:rsidRPr="0095754B">
        <w:rPr>
          <w:i/>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p>
    <w:p w:rsidR="00C005CB" w:rsidRPr="0095754B" w:rsidRDefault="00C005CB" w:rsidP="003E6F3D">
      <w:pPr>
        <w:pStyle w:val="I-s"/>
        <w:numPr>
          <w:ilvl w:val="0"/>
          <w:numId w:val="0"/>
        </w:numPr>
        <w:spacing w:after="60"/>
        <w:ind w:left="1440"/>
        <w:rPr>
          <w:i/>
        </w:rPr>
      </w:pPr>
      <w:r w:rsidRPr="0095754B">
        <w:rPr>
          <w:i/>
        </w:rPr>
        <w:t>[Nonretroactive as of January 1, 2007]</w:t>
      </w:r>
    </w:p>
    <w:p w:rsidR="00C005CB" w:rsidRDefault="00C005CB" w:rsidP="00C005CB">
      <w:pPr>
        <w:pStyle w:val="I-s"/>
        <w:numPr>
          <w:ilvl w:val="0"/>
          <w:numId w:val="0"/>
        </w:numPr>
        <w:ind w:left="1440"/>
      </w:pPr>
      <w:r>
        <w:t>(Added 2006)</w:t>
      </w:r>
    </w:p>
    <w:p w:rsidR="00C005CB" w:rsidRPr="00A94241" w:rsidRDefault="00A94241" w:rsidP="003E6F3D">
      <w:pPr>
        <w:pStyle w:val="I-Normal1indent"/>
        <w:spacing w:after="0"/>
        <w:ind w:left="1080" w:hanging="360"/>
        <w:rPr>
          <w:i/>
        </w:rPr>
      </w:pPr>
      <w:r w:rsidRPr="00A94241">
        <w:rPr>
          <w:i/>
        </w:rPr>
        <w:t>(e)</w:t>
      </w:r>
      <w:r w:rsidRPr="00A94241">
        <w:rPr>
          <w:i/>
        </w:rPr>
        <w:tab/>
      </w:r>
      <w:r w:rsidR="00C005CB" w:rsidRPr="00A94241">
        <w:rPr>
          <w:i/>
        </w:rPr>
        <w:t>an NTEP CC number or a corresponding CC Addendum Number for devices that have a CC.  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rsidR="00C005CB" w:rsidRPr="00A94241" w:rsidRDefault="00C005CB" w:rsidP="003E6F3D">
      <w:pPr>
        <w:pStyle w:val="I-Normal2indent"/>
        <w:ind w:left="360" w:firstLine="720"/>
        <w:rPr>
          <w:i/>
        </w:rPr>
      </w:pPr>
      <w:r w:rsidRPr="00A94241">
        <w:rPr>
          <w:i/>
        </w:rPr>
        <w:t>[Nonretroactive as of January 1, 2003]</w:t>
      </w:r>
    </w:p>
    <w:p w:rsidR="00C005CB" w:rsidRDefault="00C005CB" w:rsidP="003E6F3D">
      <w:pPr>
        <w:pStyle w:val="I-Normalreg"/>
        <w:spacing w:after="60"/>
      </w:pPr>
      <w:r>
        <w:t>The required information shall be so located that it is readily observable without the necessity of the disassembly of a part requiring the use of any means separate from the device.</w:t>
      </w:r>
    </w:p>
    <w:p w:rsidR="00C005CB" w:rsidRDefault="00C005CB" w:rsidP="00C005CB">
      <w:pPr>
        <w:pStyle w:val="I-Normalreg"/>
      </w:pPr>
      <w:r>
        <w:t xml:space="preserve">(Amended 1985, 1991, 1999, 2000, 2001, 2003, </w:t>
      </w:r>
      <w:r w:rsidRPr="0095754B">
        <w:rPr>
          <w:b/>
          <w:strike/>
        </w:rPr>
        <w:t>and,</w:t>
      </w:r>
      <w:r>
        <w:t xml:space="preserve"> 2006</w:t>
      </w:r>
      <w:r w:rsidRPr="0095754B">
        <w:rPr>
          <w:b/>
          <w:u w:val="single"/>
        </w:rPr>
        <w:t>,</w:t>
      </w:r>
      <w:r>
        <w:rPr>
          <w:b/>
          <w:u w:val="single"/>
        </w:rPr>
        <w:t xml:space="preserve"> and 20X</w:t>
      </w:r>
      <w:r w:rsidRPr="0095754B">
        <w:rPr>
          <w:b/>
          <w:u w:val="single"/>
        </w:rPr>
        <w:t>X</w:t>
      </w:r>
      <w:r>
        <w:t>)</w:t>
      </w:r>
    </w:p>
    <w:p w:rsidR="00C005CB" w:rsidRPr="00157D27" w:rsidRDefault="00C005CB" w:rsidP="003E6F3D">
      <w:pPr>
        <w:pStyle w:val="I-Normalreg"/>
        <w:tabs>
          <w:tab w:val="left" w:pos="1260"/>
        </w:tabs>
        <w:rPr>
          <w:i/>
        </w:rPr>
      </w:pPr>
      <w:r w:rsidRPr="00157D27">
        <w:rPr>
          <w:b/>
          <w:i/>
        </w:rPr>
        <w:t>G-S.1.1</w:t>
      </w:r>
      <w:r w:rsidR="00050EDD" w:rsidRPr="00157D27">
        <w:rPr>
          <w:b/>
          <w:i/>
        </w:rPr>
        <w:t>.</w:t>
      </w:r>
      <w:r w:rsidR="00050EDD">
        <w:rPr>
          <w:b/>
          <w:i/>
        </w:rPr>
        <w:tab/>
      </w:r>
      <w:r w:rsidRPr="00157D27">
        <w:rPr>
          <w:b/>
          <w:i/>
        </w:rPr>
        <w:t xml:space="preserve">Location of Marking Information for </w:t>
      </w:r>
      <w:r w:rsidRPr="00157D27">
        <w:rPr>
          <w:b/>
          <w:i/>
          <w:strike/>
        </w:rPr>
        <w:t>Not-Built-For-Purpose</w:t>
      </w:r>
      <w:r w:rsidRPr="00157D27">
        <w:rPr>
          <w:b/>
          <w:i/>
        </w:rPr>
        <w:t xml:space="preserve"> </w:t>
      </w:r>
      <w:r w:rsidRPr="00157D27">
        <w:rPr>
          <w:b/>
          <w:i/>
          <w:u w:val="single"/>
        </w:rPr>
        <w:t>all</w:t>
      </w:r>
      <w:r w:rsidRPr="00157D27">
        <w:rPr>
          <w:b/>
          <w:i/>
        </w:rPr>
        <w:t xml:space="preserve"> Software-Based Devices.</w:t>
      </w:r>
      <w:r w:rsidRPr="00157D27">
        <w:rPr>
          <w:i/>
        </w:rPr>
        <w:t xml:space="preserve"> – For </w:t>
      </w:r>
      <w:r w:rsidRPr="00157D27">
        <w:rPr>
          <w:b/>
          <w:i/>
          <w:strike/>
        </w:rPr>
        <w:t>not-built-for-purpose,</w:t>
      </w:r>
      <w:r w:rsidRPr="00157D27">
        <w:rPr>
          <w:i/>
        </w:rPr>
        <w:t xml:space="preserve"> software-based devices, either:</w:t>
      </w:r>
    </w:p>
    <w:p w:rsidR="00C005CB" w:rsidRPr="00157D27" w:rsidRDefault="00C005CB" w:rsidP="0096785F">
      <w:pPr>
        <w:pStyle w:val="I-LetterAreg"/>
        <w:numPr>
          <w:ilvl w:val="0"/>
          <w:numId w:val="10"/>
        </w:numPr>
        <w:ind w:left="1080"/>
        <w:rPr>
          <w:i/>
        </w:rPr>
      </w:pPr>
      <w:r w:rsidRPr="00157D27">
        <w:rPr>
          <w:i/>
        </w:rPr>
        <w:t xml:space="preserve">The required information in G S.1. Identification. </w:t>
      </w:r>
      <w:r w:rsidRPr="00157D27">
        <w:rPr>
          <w:b/>
          <w:i/>
          <w:strike/>
        </w:rPr>
        <w:t>(a), (b), (d), and (e)</w:t>
      </w:r>
      <w:r w:rsidRPr="00157D27">
        <w:rPr>
          <w:i/>
        </w:rPr>
        <w:t xml:space="preserve"> shall be permanently marked or continuously displayed on the device; or</w:t>
      </w:r>
    </w:p>
    <w:p w:rsidR="00C005CB" w:rsidRPr="00157D27" w:rsidRDefault="00C005CB" w:rsidP="0096785F">
      <w:pPr>
        <w:pStyle w:val="I-LetterAreg"/>
        <w:ind w:left="1080"/>
        <w:rPr>
          <w:i/>
        </w:rPr>
      </w:pPr>
      <w:r w:rsidRPr="00157D27">
        <w:rPr>
          <w:i/>
        </w:rPr>
        <w:t xml:space="preserve">The </w:t>
      </w:r>
      <w:r>
        <w:rPr>
          <w:i/>
        </w:rPr>
        <w:t>Certificate of Conformance (</w:t>
      </w:r>
      <w:r w:rsidRPr="00157D27">
        <w:rPr>
          <w:i/>
        </w:rPr>
        <w:t>CC</w:t>
      </w:r>
      <w:r>
        <w:rPr>
          <w:i/>
        </w:rPr>
        <w:t>)</w:t>
      </w:r>
      <w:r w:rsidRPr="00157D27">
        <w:rPr>
          <w:i/>
        </w:rPr>
        <w:t xml:space="preserve"> Number shall be:</w:t>
      </w:r>
    </w:p>
    <w:p w:rsidR="00C005CB" w:rsidRPr="00157D27" w:rsidRDefault="00C005CB" w:rsidP="0096785F">
      <w:pPr>
        <w:pStyle w:val="I-s"/>
        <w:numPr>
          <w:ilvl w:val="0"/>
          <w:numId w:val="11"/>
        </w:numPr>
        <w:ind w:left="1440"/>
        <w:rPr>
          <w:i/>
        </w:rPr>
      </w:pPr>
      <w:r w:rsidRPr="00157D27">
        <w:rPr>
          <w:i/>
        </w:rPr>
        <w:t>permanently marked on the device;</w:t>
      </w:r>
    </w:p>
    <w:p w:rsidR="00C005CB" w:rsidRPr="00157D27" w:rsidRDefault="00C005CB" w:rsidP="0096785F">
      <w:pPr>
        <w:pStyle w:val="I-s"/>
        <w:rPr>
          <w:i/>
        </w:rPr>
      </w:pPr>
      <w:r w:rsidRPr="00157D27">
        <w:rPr>
          <w:i/>
        </w:rPr>
        <w:t>continuously displayed; or</w:t>
      </w:r>
    </w:p>
    <w:p w:rsidR="00C005CB" w:rsidRPr="00157D27" w:rsidRDefault="00C005CB" w:rsidP="00C005CB">
      <w:pPr>
        <w:pStyle w:val="I-s"/>
        <w:rPr>
          <w:i/>
        </w:rPr>
      </w:pPr>
      <w:r w:rsidRPr="00157D27">
        <w:rPr>
          <w:i/>
        </w:rPr>
        <w:t xml:space="preserve">accessible through </w:t>
      </w:r>
      <w:r w:rsidRPr="007D3C51">
        <w:rPr>
          <w:b/>
          <w:i/>
          <w:strike/>
        </w:rPr>
        <w:t>an easily recognized menu and, if necessary, a submenu.  Examples of menu and submenu identification include, but are not limited to, “Help,” “System Identification,” “G S.1. Identification,” or “Weights and Measures Identification.”</w:t>
      </w:r>
      <w:r w:rsidRPr="007D3C51">
        <w:rPr>
          <w:i/>
        </w:rPr>
        <w:t xml:space="preserve"> </w:t>
      </w:r>
      <w:r w:rsidRPr="007D3C51">
        <w:rPr>
          <w:b/>
          <w:i/>
          <w:u w:val="single"/>
        </w:rPr>
        <w:t>one or, at most, two levels of access.</w:t>
      </w:r>
    </w:p>
    <w:p w:rsidR="00C005CB" w:rsidRPr="007D3C51" w:rsidRDefault="00C005CB" w:rsidP="00C005CB">
      <w:pPr>
        <w:pStyle w:val="I-iis"/>
        <w:rPr>
          <w:b/>
          <w:i/>
          <w:u w:val="single"/>
        </w:rPr>
      </w:pPr>
      <w:r w:rsidRPr="007D3C51">
        <w:rPr>
          <w:b/>
          <w:i/>
          <w:u w:val="single"/>
        </w:rPr>
        <w:t>For menu based systems, “Metrology,” “System Identification,” or “Help.”</w:t>
      </w:r>
    </w:p>
    <w:p w:rsidR="00C005CB" w:rsidRPr="007D3C51" w:rsidRDefault="00C005CB" w:rsidP="00C005CB">
      <w:pPr>
        <w:pStyle w:val="I-iis"/>
        <w:rPr>
          <w:b/>
          <w:i/>
          <w:u w:val="single"/>
        </w:rPr>
      </w:pPr>
      <w:r w:rsidRPr="007D3C51">
        <w:rPr>
          <w:b/>
          <w:i/>
          <w:u w:val="single"/>
        </w:rPr>
        <w:t>For systems using icons, a metrology symbol “(M)”, “(SI),” or a help symbol (“?,” “i,” or an “i" within a magnifying glass).</w:t>
      </w:r>
    </w:p>
    <w:p w:rsidR="00C005CB" w:rsidRPr="007D3C51" w:rsidRDefault="00C005CB" w:rsidP="003E6F3D">
      <w:pPr>
        <w:pStyle w:val="I-Normal1indent"/>
        <w:spacing w:after="0"/>
        <w:ind w:left="360"/>
        <w:rPr>
          <w:i/>
        </w:rPr>
      </w:pPr>
      <w:r w:rsidRPr="003E6F3D">
        <w:rPr>
          <w:rFonts w:ascii="Arial Narrow" w:hAnsi="Arial Narrow"/>
          <w:b/>
          <w:i/>
        </w:rPr>
        <w:t>Note:</w:t>
      </w:r>
      <w:r w:rsidRPr="003E6F3D">
        <w:rPr>
          <w:rFonts w:ascii="Arial Narrow" w:hAnsi="Arial Narrow"/>
          <w:i/>
        </w:rPr>
        <w:t xml:space="preserve">  For (b), clear instructions for accessing the information required in G S.1. (a), (b), and (d) shall be listed on the CC, including information necessary to identify that the software in the device is the same type that was evaluated</w:t>
      </w:r>
      <w:r w:rsidRPr="007D3C51">
        <w:rPr>
          <w:i/>
        </w:rPr>
        <w:t>.</w:t>
      </w:r>
    </w:p>
    <w:p w:rsidR="00C005CB" w:rsidRPr="007D3C51" w:rsidRDefault="00C005CB" w:rsidP="003E6F3D">
      <w:pPr>
        <w:pStyle w:val="I-Normalreg"/>
        <w:spacing w:after="60"/>
        <w:rPr>
          <w:i/>
        </w:rPr>
      </w:pPr>
      <w:r w:rsidRPr="007D3C51">
        <w:rPr>
          <w:i/>
        </w:rPr>
        <w:t>[Nonretroactive as of January 1, 2004]</w:t>
      </w:r>
    </w:p>
    <w:p w:rsidR="00C005CB" w:rsidRDefault="00C005CB" w:rsidP="00C005CB">
      <w:pPr>
        <w:pStyle w:val="I-Normalreg"/>
      </w:pPr>
      <w:r>
        <w:t xml:space="preserve">(Added 2003) (Amended 2006 </w:t>
      </w:r>
      <w:r w:rsidRPr="007D3C51">
        <w:rPr>
          <w:b/>
          <w:u w:val="single"/>
        </w:rPr>
        <w:t>and 20XX</w:t>
      </w:r>
      <w:r>
        <w:t>)</w:t>
      </w:r>
    </w:p>
    <w:p w:rsidR="00C005CB" w:rsidRDefault="00C005CB" w:rsidP="003E6F3D">
      <w:pPr>
        <w:pStyle w:val="BoldHeading"/>
        <w:spacing w:after="0"/>
      </w:pPr>
      <w:r>
        <w:t xml:space="preserve">Background/Discussion:  </w:t>
      </w:r>
    </w:p>
    <w:p w:rsidR="00C005CB" w:rsidRDefault="000A077E" w:rsidP="00C005CB">
      <w:r>
        <w:t xml:space="preserve">Among other tasks, the </w:t>
      </w:r>
      <w:r w:rsidR="00C005CB">
        <w:t>NTETC Software Sector</w:t>
      </w:r>
      <w:r>
        <w:t xml:space="preserve"> was</w:t>
      </w:r>
      <w:r w:rsidRPr="00C62956">
        <w:t xml:space="preserve"> charged by </w:t>
      </w:r>
      <w:r w:rsidR="00D77143">
        <w:t xml:space="preserve">the </w:t>
      </w:r>
      <w:r w:rsidRPr="00C62956">
        <w:t>NCWM Board of Directors</w:t>
      </w:r>
      <w:r w:rsidR="00C005CB">
        <w:t xml:space="preserve"> to recommend </w:t>
      </w:r>
      <w:r w:rsidR="00C005CB" w:rsidRPr="003E6F3D">
        <w:t>NIST Handbook 44</w:t>
      </w:r>
      <w:r w:rsidR="00C005CB">
        <w:t xml:space="preserve"> specifications and requirements for software incorporated into weighing and measuring devices, which may include tools used for software identification.</w:t>
      </w:r>
      <w:r w:rsidR="001C6424">
        <w:t xml:space="preserve">  </w:t>
      </w:r>
      <w:r w:rsidR="00C005CB">
        <w:t xml:space="preserve">During its October 2007 meeting, the </w:t>
      </w:r>
      <w:r w:rsidR="00BD3477">
        <w:t xml:space="preserve">Sector </w:t>
      </w:r>
      <w:r w:rsidR="00C005CB">
        <w:t>discussed the value and merits of required markings for software</w:t>
      </w:r>
      <w:r w:rsidR="00B90667">
        <w:t xml:space="preserve">, </w:t>
      </w:r>
      <w:r w:rsidR="001C6424">
        <w:t xml:space="preserve">including </w:t>
      </w:r>
      <w:r w:rsidR="00C005CB">
        <w:t xml:space="preserve">possible differences in some types of software-based </w:t>
      </w:r>
      <w:r w:rsidR="00C005CB">
        <w:lastRenderedPageBreak/>
        <w:t xml:space="preserve">devices and methods of marking requirements.  After hearing several proposals, the </w:t>
      </w:r>
      <w:r w:rsidR="00BD3477">
        <w:t xml:space="preserve">Sector </w:t>
      </w:r>
      <w:r w:rsidR="00C005CB">
        <w:t>agreed to the following technical requirements applicable to the marking of software:</w:t>
      </w:r>
    </w:p>
    <w:p w:rsidR="00C005CB" w:rsidRDefault="00C005CB" w:rsidP="00B77FD2">
      <w:pPr>
        <w:pStyle w:val="numberedlist"/>
        <w:numPr>
          <w:ilvl w:val="0"/>
          <w:numId w:val="26"/>
        </w:numPr>
      </w:pPr>
      <w:r>
        <w:t xml:space="preserve">The </w:t>
      </w:r>
      <w:r w:rsidR="00C12B80">
        <w:t>NTEP</w:t>
      </w:r>
      <w:r>
        <w:t xml:space="preserve"> </w:t>
      </w:r>
      <w:r w:rsidR="001B7738">
        <w:t>CC</w:t>
      </w:r>
      <w:r>
        <w:t xml:space="preserve"> Number must be continuously displayed or hard-marked;</w:t>
      </w:r>
    </w:p>
    <w:p w:rsidR="00C005CB" w:rsidRDefault="00C005CB" w:rsidP="00C005CB">
      <w:pPr>
        <w:pStyle w:val="numberedlist"/>
      </w:pPr>
      <w:r>
        <w:t>The version must be software-generated and shall not be hard-marked;</w:t>
      </w:r>
    </w:p>
    <w:p w:rsidR="00C005CB" w:rsidRDefault="00C005CB" w:rsidP="00C005CB">
      <w:pPr>
        <w:pStyle w:val="numberedlist"/>
      </w:pPr>
      <w:r>
        <w:t>The version is required for embedded (Type P) software;</w:t>
      </w:r>
    </w:p>
    <w:p w:rsidR="00C005CB" w:rsidRDefault="00C005CB" w:rsidP="00C005CB">
      <w:pPr>
        <w:pStyle w:val="numberedlist"/>
      </w:pPr>
      <w:r>
        <w:t>Printing the required identification information can be an option;</w:t>
      </w:r>
    </w:p>
    <w:p w:rsidR="00C005CB" w:rsidRDefault="00C005CB" w:rsidP="00C005CB">
      <w:pPr>
        <w:pStyle w:val="numberedlist"/>
      </w:pPr>
      <w:r>
        <w:t>Command or operator action can be considered as an option in lieu of a continuous display of the required information; and</w:t>
      </w:r>
    </w:p>
    <w:p w:rsidR="00C005CB" w:rsidRDefault="00C005CB" w:rsidP="00C005CB">
      <w:pPr>
        <w:pStyle w:val="numberedlist"/>
      </w:pPr>
      <w:r>
        <w:t>Devices with Type P (embedded) software must display or hard-mark the device make, model, and serial number to comply with G S.1. Identification.</w:t>
      </w:r>
    </w:p>
    <w:p w:rsidR="001C6424" w:rsidRPr="00C62956" w:rsidRDefault="001C6424" w:rsidP="001C6424">
      <w:r w:rsidRPr="00C62956">
        <w:t xml:space="preserve">In 2008, the </w:t>
      </w:r>
      <w:r w:rsidR="002A0FD3">
        <w:t>S</w:t>
      </w:r>
      <w:r w:rsidR="002A0FD3" w:rsidRPr="00C62956">
        <w:t xml:space="preserve">ector </w:t>
      </w:r>
      <w:r w:rsidRPr="00C62956">
        <w:t>developed and submitted a proposal to</w:t>
      </w:r>
      <w:r>
        <w:t xml:space="preserve"> </w:t>
      </w:r>
      <w:r w:rsidR="00D77143">
        <w:t xml:space="preserve">the </w:t>
      </w:r>
      <w:r>
        <w:t>NCWM S&amp;T Committee to</w:t>
      </w:r>
      <w:r w:rsidRPr="00C62956">
        <w:t xml:space="preserve"> modify G-S.1. and associated paragraphs to reflect these technical requirements.  Between 2008 and 2011, this item appeared on the S&amp;T Committee’s main agenda and the </w:t>
      </w:r>
      <w:r w:rsidR="00BD3477">
        <w:t>C</w:t>
      </w:r>
      <w:r w:rsidR="00BD3477" w:rsidRPr="00C62956">
        <w:t xml:space="preserve">ommittee </w:t>
      </w:r>
      <w:r w:rsidRPr="00C62956">
        <w:t xml:space="preserve">and the </w:t>
      </w:r>
      <w:r w:rsidR="00BD3477">
        <w:t>S</w:t>
      </w:r>
      <w:r w:rsidR="00BD3477" w:rsidRPr="00C62956">
        <w:t xml:space="preserve">ector </w:t>
      </w:r>
      <w:r w:rsidRPr="00C62956">
        <w:t xml:space="preserve">received numerous comments and suggestions relative to the proposal.  The </w:t>
      </w:r>
      <w:r w:rsidR="00BD3477">
        <w:t>S</w:t>
      </w:r>
      <w:r w:rsidR="00BD3477" w:rsidRPr="00C62956">
        <w:t xml:space="preserve">ector </w:t>
      </w:r>
      <w:r w:rsidRPr="00C62956">
        <w:t>developed and presented several alternatives based on feedback from weights and measures officials and manufacturers.  Among the key points and concerns raised during discussions over this period were how to address the following:</w:t>
      </w:r>
    </w:p>
    <w:p w:rsidR="001C6424" w:rsidRDefault="005E45FA" w:rsidP="00B90667">
      <w:pPr>
        <w:pStyle w:val="I-Normalreg"/>
        <w:ind w:left="720" w:hanging="360"/>
      </w:pPr>
      <w:r>
        <w:t>1.</w:t>
      </w:r>
      <w:r w:rsidR="001C6424">
        <w:tab/>
      </w:r>
      <w:r w:rsidR="001C6424" w:rsidRPr="00B90667">
        <w:rPr>
          <w:b/>
        </w:rPr>
        <w:t xml:space="preserve">Limited Character Sets and Space. </w:t>
      </w:r>
      <w:r w:rsidR="001C6424">
        <w:t>– How to address devices that have limited character sets or restricted space for marking.</w:t>
      </w:r>
    </w:p>
    <w:p w:rsidR="001C6424" w:rsidRDefault="005E45FA" w:rsidP="00B90667">
      <w:pPr>
        <w:pStyle w:val="I-Normalreg"/>
        <w:ind w:left="720" w:hanging="360"/>
      </w:pPr>
      <w:r>
        <w:t>2.</w:t>
      </w:r>
      <w:r w:rsidR="001C6424">
        <w:tab/>
      </w:r>
      <w:r w:rsidR="001C6424" w:rsidRPr="00B90667">
        <w:rPr>
          <w:b/>
        </w:rPr>
        <w:t>Buil</w:t>
      </w:r>
      <w:r w:rsidR="00D77143">
        <w:rPr>
          <w:b/>
        </w:rPr>
        <w:t>t-for-Purpose vs. Not-Built-for-</w:t>
      </w:r>
      <w:r w:rsidR="001C6424" w:rsidRPr="00B90667">
        <w:rPr>
          <w:b/>
        </w:rPr>
        <w:t>Purpose.</w:t>
      </w:r>
      <w:r w:rsidR="001C6424">
        <w:t xml:space="preserve"> </w:t>
      </w:r>
      <w:r w:rsidR="00FA4D97">
        <w:t>–</w:t>
      </w:r>
      <w:r w:rsidR="001C6424">
        <w:t xml:space="preserve"> Whether or not these should be treated differently.</w:t>
      </w:r>
    </w:p>
    <w:p w:rsidR="001C6424" w:rsidRDefault="005E45FA" w:rsidP="00B90667">
      <w:pPr>
        <w:pStyle w:val="I-Normalreg"/>
        <w:ind w:left="720" w:hanging="360"/>
      </w:pPr>
      <w:r>
        <w:t>3.</w:t>
      </w:r>
      <w:r w:rsidR="001C6424">
        <w:tab/>
      </w:r>
      <w:r w:rsidR="001C6424" w:rsidRPr="00B90667">
        <w:rPr>
          <w:b/>
        </w:rPr>
        <w:t>Ease of Access.</w:t>
      </w:r>
      <w:r w:rsidR="001C6424">
        <w:t xml:space="preserve"> – Ease of accessing marking information in the field.</w:t>
      </w:r>
    </w:p>
    <w:p w:rsidR="001C6424" w:rsidRDefault="001C6424" w:rsidP="00B90667">
      <w:pPr>
        <w:pStyle w:val="bulletedlist"/>
        <w:ind w:left="1080"/>
      </w:pPr>
      <w:r>
        <w:t>Complexity of locating the marking information</w:t>
      </w:r>
    </w:p>
    <w:p w:rsidR="001C6424" w:rsidRDefault="001C6424" w:rsidP="00B90667">
      <w:pPr>
        <w:pStyle w:val="bulletedlist"/>
        <w:ind w:left="1080"/>
      </w:pPr>
      <w:r>
        <w:t>Use of menus for accessing the marking information electronically</w:t>
      </w:r>
    </w:p>
    <w:p w:rsidR="001C6424" w:rsidRDefault="001C6424" w:rsidP="00B90667">
      <w:pPr>
        <w:pStyle w:val="bulletedlist"/>
        <w:ind w:left="1080"/>
      </w:pPr>
      <w:r>
        <w:t>Limits on the number of levels required to access information electronically</w:t>
      </w:r>
    </w:p>
    <w:p w:rsidR="001C6424" w:rsidRDefault="001C6424" w:rsidP="00B90667">
      <w:pPr>
        <w:pStyle w:val="bulletedlist"/>
        <w:ind w:left="1080"/>
      </w:pPr>
      <w:r>
        <w:t>Possibility of single, uniform method of access</w:t>
      </w:r>
    </w:p>
    <w:p w:rsidR="001C6424" w:rsidRDefault="005E45FA" w:rsidP="001C6424">
      <w:pPr>
        <w:ind w:left="720" w:hanging="360"/>
      </w:pPr>
      <w:r>
        <w:t>4.</w:t>
      </w:r>
      <w:r w:rsidR="001C6424">
        <w:tab/>
      </w:r>
      <w:r w:rsidR="001C6424" w:rsidRPr="00B90667">
        <w:rPr>
          <w:b/>
        </w:rPr>
        <w:t>Hard Marking vs. Electronic.</w:t>
      </w:r>
      <w:r w:rsidR="001C6424">
        <w:t xml:space="preserve"> – Whether or not some information should be required to be hard marked on the device.</w:t>
      </w:r>
    </w:p>
    <w:p w:rsidR="001C6424" w:rsidRDefault="005E45FA" w:rsidP="001C6424">
      <w:pPr>
        <w:ind w:left="720" w:hanging="360"/>
      </w:pPr>
      <w:r>
        <w:t>5.</w:t>
      </w:r>
      <w:r w:rsidR="001C6424">
        <w:tab/>
      </w:r>
      <w:r w:rsidR="001C6424" w:rsidRPr="00B90667">
        <w:rPr>
          <w:b/>
        </w:rPr>
        <w:t>Continuous Display.</w:t>
      </w:r>
      <w:r w:rsidR="001C6424">
        <w:t xml:space="preserve"> – Whether or not required markings must be continuously displayed.</w:t>
      </w:r>
    </w:p>
    <w:p w:rsidR="001C6424" w:rsidRDefault="005E45FA" w:rsidP="001C6424">
      <w:pPr>
        <w:ind w:left="720" w:hanging="360"/>
      </w:pPr>
      <w:r>
        <w:t>6.</w:t>
      </w:r>
      <w:r w:rsidR="001C6424">
        <w:tab/>
      </w:r>
      <w:r w:rsidR="001C6424" w:rsidRPr="00B90667">
        <w:rPr>
          <w:b/>
        </w:rPr>
        <w:t>Abbreviations and Icons.</w:t>
      </w:r>
      <w:r w:rsidR="001C6424">
        <w:t xml:space="preserve"> – Establishment of unique abbreviations, identifiers, and icons and how to codify those.</w:t>
      </w:r>
    </w:p>
    <w:p w:rsidR="001C6424" w:rsidRDefault="005E45FA" w:rsidP="001C6424">
      <w:pPr>
        <w:ind w:left="720" w:hanging="360"/>
      </w:pPr>
      <w:r>
        <w:t>7.</w:t>
      </w:r>
      <w:r w:rsidR="001C6424">
        <w:tab/>
      </w:r>
      <w:r w:rsidR="001C6424" w:rsidRPr="00B90667">
        <w:rPr>
          <w:b/>
        </w:rPr>
        <w:t>Certificate of Conformance Information.</w:t>
      </w:r>
      <w:r w:rsidR="001C6424">
        <w:t xml:space="preserve"> – How to facilitate correlation of software version information to a CC, including the use of possible icons.</w:t>
      </w:r>
    </w:p>
    <w:p w:rsidR="001C6424" w:rsidRDefault="001C6424" w:rsidP="001C6424">
      <w:r>
        <w:t xml:space="preserve">Further details on the alternatives considered can be found in the </w:t>
      </w:r>
      <w:r w:rsidR="00BD3477">
        <w:t xml:space="preserve">Committee’s </w:t>
      </w:r>
      <w:r>
        <w:t>Final Reports from 2008 to 2011.</w:t>
      </w:r>
    </w:p>
    <w:p w:rsidR="00C005CB" w:rsidRDefault="00C005CB" w:rsidP="00A87BB4">
      <w:r>
        <w:t xml:space="preserve">At the 2011 </w:t>
      </w:r>
      <w:r w:rsidR="006B336F">
        <w:t xml:space="preserve">NCWM </w:t>
      </w:r>
      <w:r>
        <w:t xml:space="preserve">Interim Meeting, </w:t>
      </w:r>
      <w:r w:rsidR="006B336F">
        <w:t xml:space="preserve">the </w:t>
      </w:r>
      <w:r>
        <w:t xml:space="preserve">S&amp;T Committee </w:t>
      </w:r>
      <w:r w:rsidR="001C6424">
        <w:t xml:space="preserve">concurred with the Software Sector Chair that </w:t>
      </w:r>
      <w:r>
        <w:t xml:space="preserve">this item is not ready to move forward as a Voting Item.  The </w:t>
      </w:r>
      <w:r w:rsidR="00BD3477">
        <w:t xml:space="preserve">Committee </w:t>
      </w:r>
      <w:r w:rsidR="001C6424">
        <w:t xml:space="preserve">recommended </w:t>
      </w:r>
      <w:r>
        <w:t xml:space="preserve">the </w:t>
      </w:r>
      <w:r w:rsidR="001C6424">
        <w:t>s</w:t>
      </w:r>
      <w:r>
        <w:t xml:space="preserve">ector review </w:t>
      </w:r>
      <w:r w:rsidR="001C6424">
        <w:t xml:space="preserve">a number of specific </w:t>
      </w:r>
      <w:r>
        <w:t>comments and points</w:t>
      </w:r>
      <w:r w:rsidR="001C6424">
        <w:t xml:space="preserve"> (see the </w:t>
      </w:r>
      <w:r w:rsidR="00BD3477">
        <w:t xml:space="preserve">Committee’s </w:t>
      </w:r>
      <w:r w:rsidR="001C6424">
        <w:t>2011 Final Report for details.)</w:t>
      </w:r>
    </w:p>
    <w:p w:rsidR="006B336F" w:rsidRDefault="006B336F" w:rsidP="00C005CB">
      <w:r>
        <w:lastRenderedPageBreak/>
        <w:t>At</w:t>
      </w:r>
      <w:r w:rsidR="00C005CB">
        <w:t xml:space="preserve"> the 2011 NCWM Annual Meeting, the </w:t>
      </w:r>
      <w:r w:rsidR="00BD3477">
        <w:t xml:space="preserve">Committee </w:t>
      </w:r>
      <w:r>
        <w:t xml:space="preserve">heard </w:t>
      </w:r>
      <w:r w:rsidRPr="00C62956">
        <w:t xml:space="preserve">support </w:t>
      </w:r>
      <w:r w:rsidR="0056019A">
        <w:t xml:space="preserve">for </w:t>
      </w:r>
      <w:r w:rsidRPr="00C62956">
        <w:t xml:space="preserve">the continued work of the </w:t>
      </w:r>
      <w:r w:rsidR="00BD3477">
        <w:t>S</w:t>
      </w:r>
      <w:r w:rsidR="00BD3477" w:rsidRPr="00C62956">
        <w:t>ector</w:t>
      </w:r>
      <w:r w:rsidR="0056019A">
        <w:t xml:space="preserve">.  </w:t>
      </w:r>
      <w:r w:rsidRPr="006273B2">
        <w:rPr>
          <w:rFonts w:cs="Times New Roman"/>
        </w:rPr>
        <w:t>The 20</w:t>
      </w:r>
      <w:r>
        <w:rPr>
          <w:rFonts w:cs="Times New Roman"/>
        </w:rPr>
        <w:t>11</w:t>
      </w:r>
      <w:r w:rsidRPr="006273B2">
        <w:rPr>
          <w:rFonts w:cs="Times New Roman"/>
        </w:rPr>
        <w:t xml:space="preserve"> </w:t>
      </w:r>
      <w:r>
        <w:rPr>
          <w:rFonts w:cs="Times New Roman"/>
        </w:rPr>
        <w:t>S&amp;T</w:t>
      </w:r>
      <w:r w:rsidRPr="006273B2">
        <w:rPr>
          <w:rFonts w:cs="Times New Roman"/>
        </w:rPr>
        <w:t xml:space="preserve"> Committee designated this item as </w:t>
      </w:r>
      <w:r>
        <w:rPr>
          <w:rFonts w:cs="Times New Roman"/>
        </w:rPr>
        <w:t xml:space="preserve">a </w:t>
      </w:r>
      <w:r w:rsidRPr="006273B2">
        <w:rPr>
          <w:rFonts w:cs="Times New Roman"/>
        </w:rPr>
        <w:t>Developing</w:t>
      </w:r>
      <w:r>
        <w:rPr>
          <w:rFonts w:cs="Times New Roman"/>
        </w:rPr>
        <w:t xml:space="preserve"> Item</w:t>
      </w:r>
      <w:r w:rsidRPr="00C62956" w:rsidDel="00F703F2">
        <w:t xml:space="preserve"> </w:t>
      </w:r>
      <w:r w:rsidR="0056019A">
        <w:t xml:space="preserve">to provide the Software Sector additional time to more fully develop the item.  The </w:t>
      </w:r>
      <w:r w:rsidR="00BD3477">
        <w:t xml:space="preserve">Committee </w:t>
      </w:r>
      <w:r w:rsidR="0068485D" w:rsidRPr="00C62956">
        <w:t>look</w:t>
      </w:r>
      <w:r>
        <w:t>ed</w:t>
      </w:r>
      <w:r w:rsidR="0068485D" w:rsidRPr="00C62956">
        <w:t xml:space="preserve"> forward to considering the </w:t>
      </w:r>
      <w:r w:rsidR="0068485D">
        <w:t>s</w:t>
      </w:r>
      <w:r w:rsidR="0068485D" w:rsidRPr="00C62956">
        <w:t xml:space="preserve">ector’s future recommendations.  </w:t>
      </w:r>
    </w:p>
    <w:p w:rsidR="00C005CB" w:rsidRDefault="0068485D" w:rsidP="00C005CB">
      <w:r w:rsidRPr="00C62956">
        <w:t xml:space="preserve">At the </w:t>
      </w:r>
      <w:r w:rsidR="00D77143">
        <w:t>f</w:t>
      </w:r>
      <w:r w:rsidRPr="00C62956">
        <w:t xml:space="preserve">all 2011 </w:t>
      </w:r>
      <w:r w:rsidR="006B336F">
        <w:t xml:space="preserve">regional </w:t>
      </w:r>
      <w:r w:rsidRPr="00C62956">
        <w:t>meetings, the regional weights and measures associations no</w:t>
      </w:r>
      <w:r w:rsidR="00761953">
        <w:t xml:space="preserve">ted the importance of this work.  All regional associations </w:t>
      </w:r>
      <w:r w:rsidR="00761953" w:rsidRPr="006273B2">
        <w:rPr>
          <w:rFonts w:cs="Times New Roman"/>
        </w:rPr>
        <w:t>recommended that the item remain as a Developing Item</w:t>
      </w:r>
      <w:r w:rsidR="00761953" w:rsidRPr="00C62956">
        <w:t xml:space="preserve"> </w:t>
      </w:r>
      <w:r w:rsidRPr="00C62956">
        <w:t xml:space="preserve">to allow the </w:t>
      </w:r>
      <w:r w:rsidR="00BD3477">
        <w:t>S</w:t>
      </w:r>
      <w:r w:rsidR="00BD3477" w:rsidRPr="00C62956">
        <w:t xml:space="preserve">ector </w:t>
      </w:r>
      <w:r w:rsidRPr="00C62956">
        <w:t>to further develop the issue</w:t>
      </w:r>
      <w:r>
        <w:t>.</w:t>
      </w:r>
    </w:p>
    <w:p w:rsidR="006E22A3" w:rsidRDefault="006E22A3">
      <w:pPr>
        <w:pStyle w:val="ItemHeading"/>
      </w:pPr>
      <w:bookmarkStart w:id="45" w:name="_Toc334183647"/>
      <w:r>
        <w:t>360-</w:t>
      </w:r>
      <w:r w:rsidR="00C005CB">
        <w:t>3</w:t>
      </w:r>
      <w:r>
        <w:tab/>
      </w:r>
      <w:r w:rsidR="00BC22DE">
        <w:t>D</w:t>
      </w:r>
      <w:r w:rsidR="00BC22DE">
        <w:tab/>
      </w:r>
      <w:r>
        <w:t xml:space="preserve">Part 2.20.  Weigh-In-Motion Vehicle Scales for Law Enforcement </w:t>
      </w:r>
      <w:r w:rsidR="00057F3B">
        <w:t xml:space="preserve">- </w:t>
      </w:r>
      <w:r>
        <w:t>Work Group</w:t>
      </w:r>
      <w:bookmarkEnd w:id="45"/>
    </w:p>
    <w:p w:rsidR="006E22A3" w:rsidRDefault="006E22A3" w:rsidP="003E6F3D">
      <w:pPr>
        <w:pStyle w:val="BoldHeading"/>
        <w:spacing w:after="0"/>
      </w:pPr>
      <w:r>
        <w:t xml:space="preserve">Source:  </w:t>
      </w:r>
    </w:p>
    <w:p w:rsidR="006E22A3" w:rsidRDefault="006E22A3" w:rsidP="006E22A3">
      <w:r>
        <w:t>NIST</w:t>
      </w:r>
      <w:r w:rsidR="005E1866">
        <w:t>, OWM</w:t>
      </w:r>
      <w:r>
        <w:t>, Mr. Richard Harshman, on behalf of the U.S. Federal Highway Administration (FHWA)</w:t>
      </w:r>
      <w:r w:rsidR="0015610D">
        <w:t xml:space="preserve"> (2011)</w:t>
      </w:r>
    </w:p>
    <w:p w:rsidR="006E22A3" w:rsidRDefault="006E22A3" w:rsidP="003E6F3D">
      <w:pPr>
        <w:pStyle w:val="BoldHeading"/>
        <w:spacing w:after="0"/>
      </w:pPr>
      <w:r>
        <w:t xml:space="preserve">Purpose:  </w:t>
      </w:r>
    </w:p>
    <w:p w:rsidR="006E22A3" w:rsidRDefault="006E22A3" w:rsidP="006E22A3">
      <w:r>
        <w:t xml:space="preserve">Keep the weights and measures community apprised of work to develop standards for Weigh-In-Motion (WIM) scale systems and to encourage their participation in this work.  </w:t>
      </w:r>
    </w:p>
    <w:p w:rsidR="006E22A3" w:rsidRDefault="006E22A3" w:rsidP="003E6F3D">
      <w:pPr>
        <w:pStyle w:val="BoldHeading"/>
        <w:spacing w:after="0"/>
      </w:pPr>
      <w:r>
        <w:t xml:space="preserve">Item under Consideration: </w:t>
      </w:r>
    </w:p>
    <w:p w:rsidR="006E22A3" w:rsidRDefault="006E22A3" w:rsidP="006E22A3">
      <w:r>
        <w:t>This item is under development.  Comments and inquiries may be directe</w:t>
      </w:r>
      <w:r w:rsidR="0067557B">
        <w:t>d to Mr. Rick Harshman, NIST, OWM</w:t>
      </w:r>
      <w:r>
        <w:t xml:space="preserve"> at (301) 975-8107 or </w:t>
      </w:r>
      <w:r w:rsidRPr="006E22A3">
        <w:rPr>
          <w:rStyle w:val="Hyperlink"/>
        </w:rPr>
        <w:t>richard.harshman@nist.gov</w:t>
      </w:r>
      <w:r>
        <w:t>.</w:t>
      </w:r>
    </w:p>
    <w:p w:rsidR="004629CC" w:rsidRDefault="006E22A3" w:rsidP="00B77FD2">
      <w:pPr>
        <w:rPr>
          <w:b/>
        </w:rPr>
      </w:pPr>
      <w:r>
        <w:t xml:space="preserve">The FHWA is forming a USNWG to develop proposed standards that would apply to WIM scale systems used to screen or sort commercial vehicles for possible violations of legal roadway weight limits with the ultimate goal of bringing the proposed standards before the weights and measures community for possible inclusion in </w:t>
      </w:r>
      <w:r w:rsidRPr="003E6F3D">
        <w:t>NIST Handbook 44</w:t>
      </w:r>
      <w:r>
        <w:t>.  FHWA has been collaborating with NIST, OWM and the commercial vehicle enforcement community to identify industry experts, device users, regulatory officials, and others interested in participating in the work group.  The work group plans to develop proposed specifications, tolerance, and other technical requirements applicable to WIM scale systems used in official use for the enforcement of law or for the collection of statistical information by government agencies.</w:t>
      </w:r>
    </w:p>
    <w:p w:rsidR="006E22A3" w:rsidRDefault="006E22A3" w:rsidP="006E22A3">
      <w:pPr>
        <w:pStyle w:val="BoldHeading"/>
      </w:pPr>
      <w:r>
        <w:t xml:space="preserve">Background/Discussion:  </w:t>
      </w:r>
    </w:p>
    <w:p w:rsidR="006E22A3" w:rsidRDefault="006E22A3" w:rsidP="006E22A3">
      <w:r>
        <w:t xml:space="preserve">The </w:t>
      </w:r>
      <w:r w:rsidRPr="00057F3B">
        <w:t>nation’s</w:t>
      </w:r>
      <w:r>
        <w:t xml:space="preserve"> highways, freight transportation system, and enforcement resources are being strained by the volume of freight being moved and the corresponding number of commercial vehicles operating on its roads.  Traditional, manual-based vehicle inspection activities simply cannot keep pace with anticipated truck volume increases.  Current U.S. Department of Transportation (DOT) forecasts project freight volumes to double by 2035 and commercial vehicles to travel an additional </w:t>
      </w:r>
      <w:r w:rsidR="00057F3B">
        <w:t>100 </w:t>
      </w:r>
      <w:r>
        <w:t xml:space="preserve">billion miles per year by 2020.  WIM technology has been targeted by FHWA and Federal Motor Carrier Safety Administration to a technology capable of supporting more effective and efficient truck weight enforcement programs. </w:t>
      </w:r>
    </w:p>
    <w:p w:rsidR="006E22A3" w:rsidRDefault="006E22A3" w:rsidP="006E22A3">
      <w:r>
        <w:t xml:space="preserve">Several DOT efforts are underway and planned for the future to maintain adequate levels of enforcement that ensure equity in the trucking industry market and protection of highway infrastructure.  Judicial support for enforcement decisions to apply more intense enforcement actions on specific trucks depends on support from the U.S. legal metrology community.  Standards are needed in </w:t>
      </w:r>
      <w:r w:rsidRPr="003E6F3D">
        <w:t>NIST Handbook 44</w:t>
      </w:r>
      <w:r>
        <w:t xml:space="preserve"> to address the design, installation, accuracy, and use of WIM systems used in a screening/sorting application.  The implementation of a uniform set of standards will greatly improve the overall efficiency of the nation’s commercial vehicle enforcement process.  </w:t>
      </w:r>
    </w:p>
    <w:p w:rsidR="006E22A3" w:rsidRDefault="006E22A3" w:rsidP="006E22A3">
      <w:r>
        <w:t>Once adopted by the truck weight enforcement community, these requirements will enhance the accuracy of the nation’s WIM scale systems, serve as a sound basis for judicial support of next-generation truck weight enforcement programs and result in fewer legally loaded vehicles being delayed at static weigh station locations, thus reducing traffic congestion and non-productive fuel consumption and improving the movement of freight on our nation’s roadways.</w:t>
      </w:r>
    </w:p>
    <w:p w:rsidR="006E22A3" w:rsidRDefault="006E22A3" w:rsidP="006E22A3">
      <w:r>
        <w:t>At the 2010 CWMA Interim Meeting, a comment</w:t>
      </w:r>
      <w:r w:rsidR="00761953">
        <w:t>er said</w:t>
      </w:r>
      <w:r>
        <w:t xml:space="preserve"> that WIM scales could be used for enforcement issues and evaluating or assessing fines to overweight trucks.  Currently most of these scales are used for audit purposes only.  </w:t>
      </w:r>
      <w:r>
        <w:lastRenderedPageBreak/>
        <w:t xml:space="preserve">The </w:t>
      </w:r>
      <w:r w:rsidR="00BD3477">
        <w:t xml:space="preserve">Committee </w:t>
      </w:r>
      <w:r>
        <w:t>believes that the efforts to establish requirements for WIM scales has merit, and when fully developed,  will assist in expediting commerce by not having to reweigh clearly legal highway vehicles while protecting roadways from vehicles that exceed legal highway load limits.</w:t>
      </w:r>
    </w:p>
    <w:p w:rsidR="006E22A3" w:rsidRDefault="006E22A3" w:rsidP="006E22A3">
      <w:r>
        <w:t xml:space="preserve">At the 2010 WWMA Annual Technical Conference, Mr. Langford, Cardinal Scales Manufacturing Co., stated that he is a member of the work group and supports adding language defining performance parameters of WIM devices for use in law enforcement.  Mr. Langford added that the work group will </w:t>
      </w:r>
      <w:r w:rsidR="00761953">
        <w:t>consider</w:t>
      </w:r>
      <w:r>
        <w:t xml:space="preserve"> other existing standards to help develop the language in </w:t>
      </w:r>
      <w:r w:rsidRPr="003E6F3D">
        <w:t>NIST Handbook 44</w:t>
      </w:r>
      <w:r>
        <w:t xml:space="preserve"> (e.g., OIML </w:t>
      </w:r>
      <w:r w:rsidR="00B73C86">
        <w:t>Recommendation (</w:t>
      </w:r>
      <w:r>
        <w:t>R</w:t>
      </w:r>
      <w:r w:rsidR="00B73C86">
        <w:t>)</w:t>
      </w:r>
      <w:r>
        <w:t xml:space="preserve"> 134 </w:t>
      </w:r>
      <w:r w:rsidRPr="003E6F3D">
        <w:t>Automatic Instruments for Weighing Road Vehicles in Motion and Measuring Axle Loads</w:t>
      </w:r>
      <w:r>
        <w:t>).  Mr. Floren, Los Angeles County</w:t>
      </w:r>
      <w:r w:rsidR="003E118D">
        <w:t xml:space="preserve"> </w:t>
      </w:r>
      <w:r w:rsidR="003E118D" w:rsidRPr="003E118D">
        <w:t>Agricultural Commissioner/Weights and Measures</w:t>
      </w:r>
      <w:r>
        <w:t xml:space="preserve">, added that even though these devices are </w:t>
      </w:r>
      <w:r w:rsidR="00B73C86">
        <w:t>non-commercial</w:t>
      </w:r>
      <w:r>
        <w:t xml:space="preserve"> they are covered under the scope of </w:t>
      </w:r>
      <w:r w:rsidR="00B73C86" w:rsidRPr="003E6F3D">
        <w:t>NIST Handbook 44</w:t>
      </w:r>
      <w:r>
        <w:t xml:space="preserve"> General Code Application paragraph G-A.1.(c) Commercial and Law Enforcement Equipment. </w:t>
      </w:r>
    </w:p>
    <w:p w:rsidR="006E22A3" w:rsidRDefault="006E22A3" w:rsidP="006E22A3">
      <w:r>
        <w:t>At the 2010 SWMA Annual Meeting</w:t>
      </w:r>
      <w:r w:rsidR="00761953">
        <w:t>,</w:t>
      </w:r>
      <w:r>
        <w:t xml:space="preserve"> Mr. Langford support</w:t>
      </w:r>
      <w:r w:rsidR="00761953">
        <w:t>ed</w:t>
      </w:r>
      <w:r>
        <w:t xml:space="preserve"> the direction of this work group.  Mr. Langford noted that these WIM scales are not currently used to levy fines, but rather to screen for overweight trucks.  He noted that the </w:t>
      </w:r>
      <w:r w:rsidR="00B73C86">
        <w:t>work group</w:t>
      </w:r>
      <w:r>
        <w:t xml:space="preserve"> is just getting started and that </w:t>
      </w:r>
      <w:r w:rsidR="00B73C86">
        <w:t>Cardinal Manufacturing Co.</w:t>
      </w:r>
      <w:r>
        <w:t xml:space="preserve"> is looking forward to participating in this work.  Mr. Gray, </w:t>
      </w:r>
      <w:r w:rsidR="003E118D" w:rsidRPr="003E118D">
        <w:t>Florida Department of Agriculture and Consumer Services</w:t>
      </w:r>
      <w:r>
        <w:t xml:space="preserve">, questioned whether putting requirements for highway WIM devices in </w:t>
      </w:r>
      <w:r w:rsidR="00B73C86" w:rsidRPr="003E6F3D">
        <w:t>NIST Handbook 44</w:t>
      </w:r>
      <w:r>
        <w:t xml:space="preserve"> would obligate jurisdictions to conduct tests of these devices.  While he doesn’t oppose the inclusion of requirements in general, he questioned the availability of resources to accommodate the additional workload given the extreme budget restrictions many jurisdictions are facing.  Ms. </w:t>
      </w:r>
      <w:r w:rsidR="00B73C86">
        <w:t xml:space="preserve">Butcher, NIST, </w:t>
      </w:r>
      <w:r>
        <w:t xml:space="preserve">OWM, noted that DOT reported that highway weight enforcement officials are concerned that the use of the scales in screening will be challenged without reference to a recognized standard.  Since many of these agencies reference </w:t>
      </w:r>
      <w:r w:rsidR="00B73C86" w:rsidRPr="003E6F3D">
        <w:t>NIST Handbook 44</w:t>
      </w:r>
      <w:r>
        <w:t xml:space="preserve">, they </w:t>
      </w:r>
      <w:r w:rsidR="00761953">
        <w:t>believed</w:t>
      </w:r>
      <w:r>
        <w:t xml:space="preserve"> that recognition of these devices in </w:t>
      </w:r>
      <w:r w:rsidR="00B73C86" w:rsidRPr="003E6F3D">
        <w:t>NIST Handbook 44</w:t>
      </w:r>
      <w:r>
        <w:t xml:space="preserve"> as law enforcement equipment would lend credibility and consistency to the design, use, accuracy, and application of this equipment.  </w:t>
      </w:r>
    </w:p>
    <w:p w:rsidR="006E22A3" w:rsidRDefault="006E22A3" w:rsidP="006E22A3">
      <w:r>
        <w:t xml:space="preserve">The SWMA </w:t>
      </w:r>
      <w:r w:rsidR="00EA5A2D">
        <w:t xml:space="preserve">S&amp;T Committee </w:t>
      </w:r>
      <w:r>
        <w:t>support</w:t>
      </w:r>
      <w:r w:rsidR="00761953">
        <w:t>ed</w:t>
      </w:r>
      <w:r>
        <w:t xml:space="preserve"> efforts of the </w:t>
      </w:r>
      <w:r w:rsidR="00B73C86">
        <w:t>work group</w:t>
      </w:r>
      <w:r>
        <w:t>.  However, given some of the concerns and questions raised at the Open Hearings about resources for testing, the committee did not want to take a position on this issue until it has more information about the direction of the work group.</w:t>
      </w:r>
    </w:p>
    <w:p w:rsidR="006E22A3" w:rsidRDefault="006E22A3" w:rsidP="006E22A3">
      <w:r>
        <w:t xml:space="preserve">At the 2010 NEWMA Interim Meeting comments were heard supporting the formation of the </w:t>
      </w:r>
      <w:r w:rsidR="00B73C86">
        <w:t>work group</w:t>
      </w:r>
      <w:r>
        <w:t xml:space="preserve"> but questioned what role existed for NCWM S&amp;T Committee at this time.</w:t>
      </w:r>
    </w:p>
    <w:p w:rsidR="006E22A3" w:rsidRDefault="00B73C86" w:rsidP="006E22A3">
      <w:r>
        <w:t xml:space="preserve">At the </w:t>
      </w:r>
      <w:r w:rsidR="006E22A3">
        <w:t>2011 NCWM Interim Meeting, Ms.</w:t>
      </w:r>
      <w:r w:rsidR="00FA4D97">
        <w:t xml:space="preserve"> Juana</w:t>
      </w:r>
      <w:r w:rsidR="006E22A3">
        <w:t xml:space="preserve"> </w:t>
      </w:r>
      <w:r>
        <w:t xml:space="preserve">Williams, NIST, </w:t>
      </w:r>
      <w:r w:rsidR="006E22A3">
        <w:t xml:space="preserve">OWM, provided the following update on the progress of </w:t>
      </w:r>
      <w:r>
        <w:t>WIM</w:t>
      </w:r>
      <w:r w:rsidR="006E22A3">
        <w:t xml:space="preserve"> standards development: </w:t>
      </w:r>
    </w:p>
    <w:p w:rsidR="00B73C86" w:rsidRDefault="006E22A3" w:rsidP="003E6F3D">
      <w:pPr>
        <w:pStyle w:val="BoldHeading"/>
        <w:spacing w:after="0"/>
      </w:pPr>
      <w:r>
        <w:t xml:space="preserve">Purpose of the Project:  </w:t>
      </w:r>
    </w:p>
    <w:p w:rsidR="006E22A3" w:rsidRDefault="006E22A3" w:rsidP="00B73C86">
      <w:r>
        <w:t xml:space="preserve">The </w:t>
      </w:r>
      <w:r w:rsidR="00B73C86">
        <w:t>FHWA’s</w:t>
      </w:r>
      <w:r>
        <w:t xml:space="preserve"> Office of Freight Management and Operations recognized a need to encourage uniformity in the design, testing, installation, and performance of WIM technology and subsequently encourage acceptance by prosecution agencies (administrative or judicial) regarding the validity of WIM technology’s role in supporting </w:t>
      </w:r>
      <w:r w:rsidR="00D77143">
        <w:t>c</w:t>
      </w:r>
      <w:r>
        <w:t xml:space="preserve">ommercial </w:t>
      </w:r>
      <w:r w:rsidR="00D77143">
        <w:t>m</w:t>
      </w:r>
      <w:r>
        <w:t xml:space="preserve">otor </w:t>
      </w:r>
      <w:r w:rsidR="00D77143">
        <w:t>v</w:t>
      </w:r>
      <w:r>
        <w:t>ehicle weight enforcement.</w:t>
      </w:r>
    </w:p>
    <w:p w:rsidR="006E22A3" w:rsidRDefault="006E22A3" w:rsidP="006E22A3">
      <w:r>
        <w:t xml:space="preserve">In response to this need and recognizing the credibility of having a standard included in </w:t>
      </w:r>
      <w:r w:rsidR="00B73C86" w:rsidRPr="003E6F3D">
        <w:t>NIST Handbook 44</w:t>
      </w:r>
      <w:r>
        <w:t xml:space="preserve"> because it lends integrity and is more recognizable in legal actions, the FHWA seeks to integrate WIM</w:t>
      </w:r>
      <w:r w:rsidR="00B73C86">
        <w:t xml:space="preserve"> technology into the handbook.  </w:t>
      </w:r>
      <w:r>
        <w:t>The FHWA recently contracted the services of the Texas Transportation Institute—The Texas A&amp;M University System and Battelle (a private company) to begin this process.  Additionally, a small oversight committee was formed by the FHWA, made up of three representatives from the FHWA, a NIST Technical Advisor, and a representative of a U.S. manufacturer of WIM equipment to validate that each contract deliverable is completed according to contract.</w:t>
      </w:r>
    </w:p>
    <w:p w:rsidR="006E22A3" w:rsidRDefault="006E22A3" w:rsidP="006E22A3">
      <w:r>
        <w:t>The intended application of the proposed new code is for screening purposes only (i.e., for screening/sorting commercial vehicles for possible violations of FHWA vehicle weight requirements).  It is anticipated that as WIM technology continues to advance, this code may have a much broader application sometime in the future.</w:t>
      </w:r>
    </w:p>
    <w:p w:rsidR="006E22A3" w:rsidRDefault="006E22A3" w:rsidP="006E22A3">
      <w:r>
        <w:lastRenderedPageBreak/>
        <w:t xml:space="preserve">As a first step in this effort, the contracted team was tasked to develop an initial, detailed Project Work Plan intended to guide activities and establish lines of communication from project inception to project completion.  This deliverable has been completed and was recently submitted to the </w:t>
      </w:r>
      <w:r w:rsidR="00EA5A2D">
        <w:t xml:space="preserve">FHWA </w:t>
      </w:r>
      <w:r>
        <w:t>Project Oversight Committee for consideration.</w:t>
      </w:r>
    </w:p>
    <w:p w:rsidR="006E22A3" w:rsidRDefault="006E22A3" w:rsidP="006E22A3">
      <w:r>
        <w:t xml:space="preserve">The next step will be to establish a </w:t>
      </w:r>
      <w:r w:rsidR="00B73C86">
        <w:t>work group</w:t>
      </w:r>
      <w:r>
        <w:t xml:space="preserve"> from the WIM technology stakeholder community.  This process is already underway and the WG will be comprised of representatives from state departments of transportation, state law enforcement agencies, weights and measures officials, WIM technology manufacturers and vendors, academic researchers, and others.  The initial meeting of the </w:t>
      </w:r>
      <w:r w:rsidR="00B73C86">
        <w:t>work group</w:t>
      </w:r>
      <w:r>
        <w:t xml:space="preserve"> is planned, although not yet scheduled, for the middle of February </w:t>
      </w:r>
      <w:r w:rsidRPr="00B73C86">
        <w:t>2011</w:t>
      </w:r>
      <w:r w:rsidR="00B73C86">
        <w:t xml:space="preserve">.  </w:t>
      </w:r>
      <w:r>
        <w:t>It is anticipated that a final draft code will be ready for cons</w:t>
      </w:r>
      <w:r w:rsidR="00B73C86">
        <w:t>ideration by NCWM in 2012.</w:t>
      </w:r>
    </w:p>
    <w:p w:rsidR="006E22A3" w:rsidRDefault="006E22A3" w:rsidP="006E22A3">
      <w:r w:rsidRPr="00B73C86">
        <w:t>Mr. Gray, commented that although he didn’t have any issues regarding developing</w:t>
      </w:r>
      <w:r>
        <w:t xml:space="preserve"> standards for WIM systems, he did not believe that inclusion of a new WIM code into </w:t>
      </w:r>
      <w:r w:rsidR="00B73C86" w:rsidRPr="003E6F3D">
        <w:t>NIST Handbook 44</w:t>
      </w:r>
      <w:r>
        <w:t xml:space="preserve"> was appropriate because the application of the proposed code was for screening purposes only.  </w:t>
      </w:r>
    </w:p>
    <w:p w:rsidR="006E22A3" w:rsidRDefault="006E22A3" w:rsidP="006E22A3">
      <w:r>
        <w:t xml:space="preserve">Mr. Langford supported the development of the standard and stated that the “Application” section of the General Code not only applies to commercial equipment, but also equipment used in law-enforcement and for the collection of statistical information by government agencies.  He also stated that it was too early to make a determination on how much work would be involved in the testing of WIM systems because the </w:t>
      </w:r>
      <w:r w:rsidR="00B73C86">
        <w:t>work group</w:t>
      </w:r>
      <w:r>
        <w:t xml:space="preserve"> had yet to be formed. </w:t>
      </w:r>
    </w:p>
    <w:p w:rsidR="006E22A3" w:rsidRDefault="006E22A3" w:rsidP="006E22A3">
      <w:r>
        <w:t xml:space="preserve">At the 2011 NCWM Annual Meeting Mr. </w:t>
      </w:r>
      <w:r w:rsidR="00FA4D97">
        <w:t xml:space="preserve">Rick </w:t>
      </w:r>
      <w:r>
        <w:t>Harshman</w:t>
      </w:r>
      <w:r w:rsidR="003E118D">
        <w:t>, NIST, OWM</w:t>
      </w:r>
      <w:r w:rsidR="00F256C3">
        <w:t>,</w:t>
      </w:r>
      <w:r>
        <w:t xml:space="preserve"> provided an update on the progress of the WIM Work Group.</w:t>
      </w:r>
    </w:p>
    <w:p w:rsidR="006E22A3" w:rsidRDefault="006E22A3" w:rsidP="006E22A3">
      <w:r>
        <w:t>At th</w:t>
      </w:r>
      <w:r w:rsidR="00B73C86">
        <w:t xml:space="preserve">e 2011 WWMA Annual Meeting Mr. </w:t>
      </w:r>
      <w:r>
        <w:t>Cook, NIST</w:t>
      </w:r>
      <w:r w:rsidR="001208AC">
        <w:t>, OWM</w:t>
      </w:r>
      <w:r>
        <w:t xml:space="preserve">, provided the following update on the activities </w:t>
      </w:r>
      <w:r w:rsidR="001208AC">
        <w:t xml:space="preserve">of the WIM </w:t>
      </w:r>
      <w:r>
        <w:t xml:space="preserve">Vehicle Scales </w:t>
      </w:r>
      <w:r w:rsidR="00D77143">
        <w:t>W</w:t>
      </w:r>
      <w:r w:rsidR="00B73C86">
        <w:t xml:space="preserve">ork </w:t>
      </w:r>
      <w:r w:rsidR="00D77143">
        <w:t>G</w:t>
      </w:r>
      <w:r w:rsidR="00B73C86">
        <w:t>roup</w:t>
      </w:r>
      <w:r w:rsidR="00FA4D97">
        <w:t xml:space="preserve">: Mr. Harshman </w:t>
      </w:r>
      <w:r>
        <w:t xml:space="preserve">is the NIST Technical Advisor to the </w:t>
      </w:r>
      <w:r w:rsidR="001208AC">
        <w:t xml:space="preserve">work group </w:t>
      </w:r>
      <w:r>
        <w:t>and participated in the discussions and offered technical positions on the various items during its first meeting in July 2011.  Mr. Harshman presented an overview of the process to develop the technical content of a new WIM code</w:t>
      </w:r>
      <w:r w:rsidR="0056019A">
        <w:t>.</w:t>
      </w:r>
      <w:r>
        <w:t xml:space="preserve"> </w:t>
      </w:r>
      <w:r w:rsidR="0056019A">
        <w:t xml:space="preserve"> He </w:t>
      </w:r>
      <w:r>
        <w:t xml:space="preserve">explained how </w:t>
      </w:r>
      <w:r w:rsidRPr="003E6F3D">
        <w:t>NIST Handbook 44</w:t>
      </w:r>
      <w:r>
        <w:t xml:space="preserve"> was organized, and how requirements developed by the </w:t>
      </w:r>
      <w:r w:rsidR="001208AC">
        <w:t xml:space="preserve">work </w:t>
      </w:r>
      <w:r w:rsidR="0015610D">
        <w:t>group</w:t>
      </w:r>
      <w:r>
        <w:t xml:space="preserve"> would fit into the various sections of a new </w:t>
      </w:r>
      <w:r w:rsidR="001208AC" w:rsidRPr="003E6F3D">
        <w:t>NIST Handbook 44</w:t>
      </w:r>
      <w:r w:rsidR="001208AC">
        <w:t xml:space="preserve"> </w:t>
      </w:r>
      <w:r>
        <w:t xml:space="preserve">code.  He also provided an overview of the standards development process and discussed the benefits of the </w:t>
      </w:r>
      <w:r w:rsidR="001208AC">
        <w:t>work group</w:t>
      </w:r>
      <w:r>
        <w:t xml:space="preserve"> using a “straw man,” which he has already created to </w:t>
      </w:r>
      <w:r w:rsidR="0015610D">
        <w:t xml:space="preserve">develop the new draft code.  </w:t>
      </w:r>
      <w:r>
        <w:t xml:space="preserve">Mr. Langford gave a presentation on the </w:t>
      </w:r>
      <w:r w:rsidR="001208AC" w:rsidRPr="003E6F3D">
        <w:t>NIST Handbook 44</w:t>
      </w:r>
      <w:r w:rsidR="001208AC">
        <w:t xml:space="preserve"> </w:t>
      </w:r>
      <w:r>
        <w:t xml:space="preserve">amendment process which detailed the various steps the </w:t>
      </w:r>
      <w:r w:rsidR="001208AC">
        <w:t>work group</w:t>
      </w:r>
      <w:r>
        <w:t xml:space="preserve"> would need to complete to add a new device code to </w:t>
      </w:r>
      <w:r w:rsidR="001208AC" w:rsidRPr="003E6F3D">
        <w:t>NIST Handbook 44</w:t>
      </w:r>
      <w:r>
        <w:t xml:space="preserve">.  </w:t>
      </w:r>
    </w:p>
    <w:p w:rsidR="006E22A3" w:rsidRDefault="006E22A3" w:rsidP="0015610D">
      <w:r>
        <w:t>Several concerns</w:t>
      </w:r>
      <w:r w:rsidR="00057F3B">
        <w:t xml:space="preserve"> and </w:t>
      </w:r>
      <w:r>
        <w:t xml:space="preserve">questions were raised by participants during a scheduled open discussion of the </w:t>
      </w:r>
      <w:r w:rsidR="001208AC">
        <w:t>work group</w:t>
      </w:r>
      <w:r w:rsidR="0015610D">
        <w:t xml:space="preserve">.  </w:t>
      </w:r>
      <w:r>
        <w:t>The following are some of the more important concerns/questions discussed:</w:t>
      </w:r>
    </w:p>
    <w:p w:rsidR="006E22A3" w:rsidRDefault="006E22A3" w:rsidP="00B77FD2">
      <w:pPr>
        <w:pStyle w:val="numberedlist"/>
        <w:numPr>
          <w:ilvl w:val="0"/>
          <w:numId w:val="25"/>
        </w:numPr>
      </w:pPr>
      <w:r>
        <w:t>The application section of the code is critical.</w:t>
      </w:r>
      <w:r w:rsidR="001208AC">
        <w:t xml:space="preserve"> </w:t>
      </w:r>
      <w:r>
        <w:t xml:space="preserve"> The types of WIM systems in which the code does and does not apply will significantly impact all other sections of the code.  </w:t>
      </w:r>
    </w:p>
    <w:p w:rsidR="006E22A3" w:rsidRDefault="006E22A3" w:rsidP="001208AC">
      <w:pPr>
        <w:pStyle w:val="numberedlist"/>
      </w:pPr>
      <w:r>
        <w:t xml:space="preserve">What tolerance should be specified in the draft code?  An important related question is: What degree of accuracy will the judicial system (courts) accept as being sufficiently accurate enough to screen commercial vehicles for possible overweight violations?  The degree of accuracy required will have a large impact on the kinds of systems that get included or excluded in the application section of the code.  </w:t>
      </w:r>
    </w:p>
    <w:p w:rsidR="006E22A3" w:rsidRDefault="006E22A3" w:rsidP="001208AC">
      <w:pPr>
        <w:pStyle w:val="numberedlist"/>
      </w:pPr>
      <w:r>
        <w:t>There needs to be a separation of requirements, i.e., those that apply to virtual weigh stations and those that apply to WIM systems installed at weigh stations having a static scale.</w:t>
      </w:r>
    </w:p>
    <w:p w:rsidR="006E22A3" w:rsidRDefault="001208AC" w:rsidP="001208AC">
      <w:pPr>
        <w:pStyle w:val="numberedlist"/>
      </w:pPr>
      <w:r>
        <w:t xml:space="preserve">To </w:t>
      </w:r>
      <w:r w:rsidR="006E22A3">
        <w:t xml:space="preserve">adopt a draft code at the national level, two things must happen: </w:t>
      </w:r>
      <w:r w:rsidR="00057F3B">
        <w:t xml:space="preserve"> </w:t>
      </w:r>
      <w:r w:rsidR="006E22A3">
        <w:t>1) A legitimate test procedure is needed to enable states to test these systems, and 2) federal funding is needed to help cover the cost of testing.</w:t>
      </w:r>
    </w:p>
    <w:p w:rsidR="006E22A3" w:rsidRDefault="006E22A3" w:rsidP="001208AC">
      <w:pPr>
        <w:pStyle w:val="numberedlist"/>
      </w:pPr>
      <w:r>
        <w:t xml:space="preserve">Will </w:t>
      </w:r>
      <w:r w:rsidR="001208AC" w:rsidRPr="003E6F3D">
        <w:t xml:space="preserve">NCWM Publication </w:t>
      </w:r>
      <w:r w:rsidRPr="003E6F3D">
        <w:t>14</w:t>
      </w:r>
      <w:r w:rsidRPr="001208AC">
        <w:rPr>
          <w:i/>
        </w:rPr>
        <w:t xml:space="preserve"> </w:t>
      </w:r>
      <w:r>
        <w:t xml:space="preserve">type evaluation criteria be needed since these systems are not commercial and are unlike other devices typically covered by </w:t>
      </w:r>
      <w:r w:rsidR="001208AC" w:rsidRPr="003E6F3D">
        <w:t>NIST Handbook 44</w:t>
      </w:r>
      <w:r>
        <w:t>?</w:t>
      </w:r>
    </w:p>
    <w:p w:rsidR="006E22A3" w:rsidRDefault="006E22A3" w:rsidP="006E22A3">
      <w:r>
        <w:lastRenderedPageBreak/>
        <w:t xml:space="preserve">Mr. </w:t>
      </w:r>
      <w:r w:rsidR="001208AC">
        <w:t>Flocken, Mettler-</w:t>
      </w:r>
      <w:r>
        <w:t>Toledo</w:t>
      </w:r>
      <w:r w:rsidR="001208AC">
        <w:t xml:space="preserve">, </w:t>
      </w:r>
      <w:r w:rsidR="0023142E">
        <w:t>LLC</w:t>
      </w:r>
      <w:r>
        <w:t xml:space="preserve">, accepted the position as the WIM </w:t>
      </w:r>
      <w:r w:rsidR="001208AC">
        <w:t>work group</w:t>
      </w:r>
      <w:r>
        <w:t xml:space="preserve"> </w:t>
      </w:r>
      <w:r w:rsidR="00D77143">
        <w:t>c</w:t>
      </w:r>
      <w:r>
        <w:t xml:space="preserve">hair, and encouraged </w:t>
      </w:r>
      <w:r w:rsidR="00761953">
        <w:t>stakeholders to submit</w:t>
      </w:r>
      <w:r>
        <w:t xml:space="preserve"> comments to the work group.  These questions</w:t>
      </w:r>
      <w:r w:rsidR="00057F3B">
        <w:t xml:space="preserve"> and </w:t>
      </w:r>
      <w:r>
        <w:t xml:space="preserve">concerns and others are to be discussed during the next meeting of the </w:t>
      </w:r>
      <w:r w:rsidR="001208AC">
        <w:t>work group</w:t>
      </w:r>
      <w:r>
        <w:t xml:space="preserve">.  The next meeting date has not yet been decided.  </w:t>
      </w:r>
    </w:p>
    <w:p w:rsidR="006E22A3" w:rsidRDefault="006E22A3" w:rsidP="006E22A3">
      <w:r>
        <w:t>At the 2011 NEWMA Interim Meeting</w:t>
      </w:r>
      <w:r w:rsidR="0023142E">
        <w:t>,</w:t>
      </w:r>
      <w:r>
        <w:t xml:space="preserve"> it was </w:t>
      </w:r>
      <w:r w:rsidR="0015610D">
        <w:t>suggested that</w:t>
      </w:r>
      <w:r>
        <w:t xml:space="preserve"> resources </w:t>
      </w:r>
      <w:r w:rsidR="0015610D">
        <w:t xml:space="preserve">may </w:t>
      </w:r>
      <w:r>
        <w:t>be</w:t>
      </w:r>
      <w:r w:rsidR="0015610D">
        <w:t xml:space="preserve"> too</w:t>
      </w:r>
      <w:r>
        <w:t xml:space="preserve"> limited to enforce and conduct inspections on these devices </w:t>
      </w:r>
      <w:r w:rsidR="007755D9">
        <w:t xml:space="preserve">once the </w:t>
      </w:r>
      <w:r>
        <w:t xml:space="preserve">code </w:t>
      </w:r>
      <w:r w:rsidR="001208AC">
        <w:t xml:space="preserve">is developed.  </w:t>
      </w:r>
      <w:r w:rsidR="007755D9">
        <w:t xml:space="preserve">The </w:t>
      </w:r>
      <w:r w:rsidR="0023142E">
        <w:t xml:space="preserve">NEWMA S&amp;T Committee </w:t>
      </w:r>
      <w:r w:rsidR="007755D9">
        <w:t xml:space="preserve">recognized, however, that the traffic </w:t>
      </w:r>
      <w:r>
        <w:t xml:space="preserve">at truck stops </w:t>
      </w:r>
      <w:r w:rsidR="007755D9">
        <w:t xml:space="preserve">can be backed up </w:t>
      </w:r>
      <w:r>
        <w:t xml:space="preserve">and this technology </w:t>
      </w:r>
      <w:r w:rsidR="00761953">
        <w:t>would</w:t>
      </w:r>
      <w:r>
        <w:t xml:space="preserve"> help to ease that problem.  </w:t>
      </w:r>
      <w:r w:rsidR="007755D9">
        <w:t xml:space="preserve">They would also be easier to set up </w:t>
      </w:r>
      <w:r w:rsidR="0067557B">
        <w:t>than axle-</w:t>
      </w:r>
      <w:r w:rsidR="007755D9" w:rsidRPr="00402F99">
        <w:t xml:space="preserve">load weighers.  While the </w:t>
      </w:r>
      <w:r w:rsidR="00BD3477">
        <w:t>C</w:t>
      </w:r>
      <w:r w:rsidR="00BD3477" w:rsidRPr="00402F99">
        <w:t xml:space="preserve">ommittee </w:t>
      </w:r>
      <w:r w:rsidR="007755D9" w:rsidRPr="00402F99">
        <w:t>heard some support for WIM scales, there are also questions.</w:t>
      </w:r>
      <w:r w:rsidR="007755D9">
        <w:t xml:space="preserve"> </w:t>
      </w:r>
      <w:r>
        <w:t xml:space="preserve"> </w:t>
      </w:r>
      <w:r w:rsidR="007755D9">
        <w:t>Would</w:t>
      </w:r>
      <w:r>
        <w:t xml:space="preserve"> the</w:t>
      </w:r>
      <w:r w:rsidR="00057F3B">
        <w:t xml:space="preserve"> WIM</w:t>
      </w:r>
      <w:r>
        <w:t xml:space="preserve"> </w:t>
      </w:r>
      <w:r w:rsidR="00F256C3">
        <w:t xml:space="preserve">scales </w:t>
      </w:r>
      <w:r w:rsidR="007755D9">
        <w:t>be</w:t>
      </w:r>
      <w:r>
        <w:t xml:space="preserve"> located </w:t>
      </w:r>
      <w:r w:rsidR="001208AC">
        <w:t xml:space="preserve">at </w:t>
      </w:r>
      <w:r w:rsidR="007755D9">
        <w:t>permanent or temporary locations?</w:t>
      </w:r>
      <w:r w:rsidR="001208AC">
        <w:t xml:space="preserve"> </w:t>
      </w:r>
      <w:r w:rsidR="007755D9">
        <w:t xml:space="preserve"> </w:t>
      </w:r>
      <w:r>
        <w:t>Will fine</w:t>
      </w:r>
      <w:r w:rsidR="007755D9">
        <w:t>s be issued off of these scales?  H</w:t>
      </w:r>
      <w:r>
        <w:t>ow ofte</w:t>
      </w:r>
      <w:r w:rsidR="001208AC">
        <w:t>n will</w:t>
      </w:r>
      <w:r w:rsidR="00F256C3">
        <w:t xml:space="preserve"> the</w:t>
      </w:r>
      <w:r w:rsidR="001208AC">
        <w:t xml:space="preserve"> scales need to be tested?</w:t>
      </w:r>
      <w:r>
        <w:t xml:space="preserve">  The </w:t>
      </w:r>
      <w:r w:rsidR="00BD3477">
        <w:t xml:space="preserve">Committee </w:t>
      </w:r>
      <w:r>
        <w:t>recommend</w:t>
      </w:r>
      <w:r w:rsidR="00761953">
        <w:t>ed</w:t>
      </w:r>
      <w:r>
        <w:t xml:space="preserve"> continuing to collect data and comments on this new technology.</w:t>
      </w:r>
    </w:p>
    <w:p w:rsidR="006E22A3" w:rsidRDefault="006E22A3" w:rsidP="006E22A3">
      <w:r>
        <w:t>At the 2011 SWMA Annual Meeting</w:t>
      </w:r>
      <w:r w:rsidR="00761953">
        <w:t>,</w:t>
      </w:r>
      <w:r>
        <w:t xml:space="preserve"> Mr. </w:t>
      </w:r>
      <w:r w:rsidR="001208AC">
        <w:t>Flocken, Mettler-</w:t>
      </w:r>
      <w:r>
        <w:t>Toledo</w:t>
      </w:r>
      <w:r w:rsidR="001208AC">
        <w:t xml:space="preserve">, </w:t>
      </w:r>
      <w:r w:rsidR="00B93A2D">
        <w:t>LLC</w:t>
      </w:r>
      <w:r>
        <w:t xml:space="preserve">, </w:t>
      </w:r>
      <w:r w:rsidR="00761953">
        <w:t>reported</w:t>
      </w:r>
      <w:r>
        <w:t xml:space="preserve"> that he has been appointed </w:t>
      </w:r>
      <w:r w:rsidR="00750DD3">
        <w:t xml:space="preserve">Chair </w:t>
      </w:r>
      <w:r>
        <w:t xml:space="preserve">of the </w:t>
      </w:r>
      <w:r w:rsidR="001208AC">
        <w:t>USNWG</w:t>
      </w:r>
      <w:r w:rsidR="00761953">
        <w:t xml:space="preserve"> and that </w:t>
      </w:r>
      <w:r>
        <w:t xml:space="preserve">the </w:t>
      </w:r>
      <w:r w:rsidR="001208AC">
        <w:t>work group</w:t>
      </w:r>
      <w:r>
        <w:t xml:space="preserve"> h</w:t>
      </w:r>
      <w:r w:rsidR="001208AC">
        <w:t xml:space="preserve">eld its first meeting in July.  </w:t>
      </w:r>
      <w:r>
        <w:t>He also not</w:t>
      </w:r>
      <w:r w:rsidR="001208AC">
        <w:t xml:space="preserve">ed that Mr. Harshman, NIST, </w:t>
      </w:r>
      <w:r>
        <w:t xml:space="preserve">OWM, prepared a draft code for the </w:t>
      </w:r>
      <w:r w:rsidR="001208AC">
        <w:t>work group</w:t>
      </w:r>
      <w:r>
        <w:t xml:space="preserve"> to consider as a starting point.  Mr. Flocken has created a checklist that he proposes to distribute to the </w:t>
      </w:r>
      <w:r w:rsidR="001208AC">
        <w:t>w</w:t>
      </w:r>
      <w:r>
        <w:t xml:space="preserve">ork </w:t>
      </w:r>
      <w:r w:rsidR="001208AC">
        <w:t>g</w:t>
      </w:r>
      <w:r>
        <w:t xml:space="preserve">roup along with the draft code; he plans to ask </w:t>
      </w:r>
      <w:r w:rsidR="001208AC">
        <w:t>work group</w:t>
      </w:r>
      <w:r>
        <w:t xml:space="preserve"> members to complete the checklist as they review the code, identifying sections which they </w:t>
      </w:r>
      <w:r w:rsidR="007755D9">
        <w:t>believe</w:t>
      </w:r>
      <w:r>
        <w:t xml:space="preserve"> need additional work.  He hopes that this review process can be completed by mid-December, after which time the </w:t>
      </w:r>
      <w:r w:rsidR="001208AC">
        <w:t>work group</w:t>
      </w:r>
      <w:r>
        <w:t xml:space="preserve"> will meet to review the input from members.  Mr. Flocken noted that if the timing is appropriate, it may be possible to hold a </w:t>
      </w:r>
      <w:r w:rsidR="001208AC">
        <w:t>work group</w:t>
      </w:r>
      <w:r>
        <w:t xml:space="preserve"> meeting in conjunction with </w:t>
      </w:r>
      <w:r w:rsidR="00D77143">
        <w:t xml:space="preserve">the </w:t>
      </w:r>
      <w:r>
        <w:t xml:space="preserve">NCWM Interim Meeting.  Mr. Flocken will submit his proposed next steps to </w:t>
      </w:r>
      <w:r w:rsidR="0023142E">
        <w:t xml:space="preserve">the FHWA’s Project </w:t>
      </w:r>
      <w:r>
        <w:t xml:space="preserve">Oversight Committee for approval.  He also asked that the community be patient while this work group gets underway and he will look forward to bringing specific proposals to the </w:t>
      </w:r>
      <w:r w:rsidR="00711C33">
        <w:t xml:space="preserve">Committee </w:t>
      </w:r>
      <w:r>
        <w:t xml:space="preserve">as work progresses further.  The </w:t>
      </w:r>
      <w:r w:rsidR="00750DD3">
        <w:t xml:space="preserve">Committee </w:t>
      </w:r>
      <w:r>
        <w:t xml:space="preserve">recognizes that this work is still in the developmental stages and agrees that additional time is needed before any proposals can be considered by the </w:t>
      </w:r>
      <w:r w:rsidR="00750DD3">
        <w:t>Committee</w:t>
      </w:r>
      <w:r>
        <w:t>.</w:t>
      </w:r>
    </w:p>
    <w:p w:rsidR="0023142E" w:rsidRDefault="00D77143">
      <w:r>
        <w:t>A</w:t>
      </w:r>
      <w:r w:rsidR="0023142E">
        <w:t xml:space="preserve">t the 2012 Interim Meeting, </w:t>
      </w:r>
      <w:r w:rsidR="00761953">
        <w:t>Mr. Flocken, M</w:t>
      </w:r>
      <w:r w:rsidR="0056019A">
        <w:t>ettler-Toledo, LLC, new</w:t>
      </w:r>
      <w:r>
        <w:t xml:space="preserve"> c</w:t>
      </w:r>
      <w:r w:rsidR="00761953">
        <w:t>hair of the Weigh-In-Motion Work Group</w:t>
      </w:r>
      <w:r w:rsidR="00761953" w:rsidDel="00CB556F">
        <w:t xml:space="preserve"> </w:t>
      </w:r>
      <w:r w:rsidR="00761953">
        <w:t xml:space="preserve">provided </w:t>
      </w:r>
      <w:r w:rsidR="0023142E">
        <w:t xml:space="preserve">an update on the standards </w:t>
      </w:r>
      <w:r w:rsidR="00761953">
        <w:t xml:space="preserve">development </w:t>
      </w:r>
      <w:r w:rsidR="0023142E">
        <w:t xml:space="preserve">for </w:t>
      </w:r>
      <w:r w:rsidR="0023142E" w:rsidRPr="001B7738">
        <w:t>WIM</w:t>
      </w:r>
      <w:r w:rsidR="0023142E">
        <w:t xml:space="preserve"> scale systems.  Mr. Flocken reported that the work group held its first face to face meeting in July 2011 to launch the project, get participants involved, and discuss some of the more important tasks at hand.  Mr. Harshman</w:t>
      </w:r>
      <w:r w:rsidR="00FA4D97">
        <w:t>,</w:t>
      </w:r>
      <w:r w:rsidR="0023142E">
        <w:t xml:space="preserve"> Advisor to the work group</w:t>
      </w:r>
      <w:r w:rsidR="00FA4D97">
        <w:t>,</w:t>
      </w:r>
      <w:r w:rsidR="0023142E">
        <w:t xml:space="preserve"> had prepared a draft code for participants of the work group to consider as a starting point.  That draft code, as well as a checklist that Mr. Flocken created, had been distributed to participants of the work group.  Participants were asked to complete the checklist as they reviewed the draft code, identifying sections which they believed needed additional work.  Based upon the comments indicated on completed checklists that have been returned thus far, it </w:t>
      </w:r>
      <w:r w:rsidR="00761953">
        <w:t>wa</w:t>
      </w:r>
      <w:r w:rsidR="0023142E">
        <w:t xml:space="preserve">s evident that participants of the work group have very diverse ideas concerning the standards that should go into a new draft code.  For that reason, Mr. Flocken and Mr. Harshman met earlier during the week to talk about how best to proceed.  </w:t>
      </w:r>
      <w:r w:rsidR="00761953">
        <w:t>They</w:t>
      </w:r>
      <w:r w:rsidR="0023142E">
        <w:t xml:space="preserve"> decided </w:t>
      </w:r>
      <w:r w:rsidR="00761953">
        <w:t xml:space="preserve">to arrange a </w:t>
      </w:r>
      <w:r w:rsidR="0023142E">
        <w:t xml:space="preserve">teleconference meeting with members of the FHWA’s Project Oversight Committee to seek guidance </w:t>
      </w:r>
      <w:r w:rsidR="00761953">
        <w:t>on</w:t>
      </w:r>
      <w:r w:rsidR="0023142E">
        <w:t xml:space="preserve"> the scope of the project.  Mr. Flocken planned to schedule that conference within a few weeks following conclusion of the </w:t>
      </w:r>
      <w:r w:rsidR="00761953">
        <w:t xml:space="preserve">2012 </w:t>
      </w:r>
      <w:r w:rsidR="0023142E">
        <w:t xml:space="preserve">Interim Meeting.  </w:t>
      </w:r>
      <w:r w:rsidR="0056019A">
        <w:t>T</w:t>
      </w:r>
      <w:r w:rsidR="0023142E">
        <w:t>here is a mix of support an</w:t>
      </w:r>
      <w:r w:rsidR="0056019A">
        <w:t>d opposition to this project and Mr. Flocken</w:t>
      </w:r>
      <w:r w:rsidR="0023142E">
        <w:t xml:space="preserve"> requested that the community be patient.  He looked forward to bringing specific proposals to the </w:t>
      </w:r>
      <w:r w:rsidR="00F256C3">
        <w:t xml:space="preserve">Committee </w:t>
      </w:r>
      <w:r w:rsidR="0023142E">
        <w:t xml:space="preserve">as work progresses further.  </w:t>
      </w:r>
    </w:p>
    <w:p w:rsidR="00D96E47" w:rsidRDefault="00D96E47" w:rsidP="00D96E47">
      <w:r>
        <w:t>At its 2012 Annual Meeting, NEWMA recommended that the status of this item remain as “Developing.”  NEWMA maintains a neutral position on this item and is awaiting further proposals from the WG.  At its 2012 Annual Meeting, the CWMA did not take a position on this item.  At both the NEWMA and CWMA meetings, Mr. Flocken, speaking as Chairman of the WIM Work Group, provided an update on the progress of the WG, noting that work has been delayed pending the resolution of funding issues within the FHWA.</w:t>
      </w:r>
    </w:p>
    <w:p w:rsidR="00D96E47" w:rsidRDefault="00D96E47" w:rsidP="00D96E47">
      <w:r>
        <w:t>At the 2012 NCWM Annual meeting, the Committee heard an update from the WG Chairman, Mr. Flocken, who noted that the WG had not been able to meet due to funding issues, but those issues have been resolved and the WG will now be able to move ahead with its work.</w:t>
      </w:r>
    </w:p>
    <w:p w:rsidR="00D96E47" w:rsidRDefault="00D96E47" w:rsidP="00D96E47">
      <w:r>
        <w:t>Mr. Steve Langford spoke as a member of the WG Oversight Committee.  He apologized for the delays in being able to progress with this work, citing factors outside of the WG’s control, but echoed Mr. Flocken’s assurances that the work is once again progressing.</w:t>
      </w:r>
    </w:p>
    <w:p w:rsidR="00D96E47" w:rsidRDefault="00D96E47" w:rsidP="00D96E47">
      <w:r>
        <w:t>The Committee expresse</w:t>
      </w:r>
      <w:r w:rsidR="009C030B">
        <w:t>d</w:t>
      </w:r>
      <w:r>
        <w:t xml:space="preserve"> its appreciation for updates on this issue and looks forward to further progress by the WG.</w:t>
      </w:r>
    </w:p>
    <w:p w:rsidR="002744BA" w:rsidRDefault="002744BA">
      <w:pPr>
        <w:pStyle w:val="ItemHeading"/>
        <w:tabs>
          <w:tab w:val="left" w:pos="1440"/>
        </w:tabs>
        <w:ind w:left="1440" w:hanging="1440"/>
      </w:pPr>
      <w:bookmarkStart w:id="46" w:name="_Toc334183648"/>
      <w:r>
        <w:lastRenderedPageBreak/>
        <w:t>360-</w:t>
      </w:r>
      <w:r w:rsidR="00C005CB">
        <w:t>4</w:t>
      </w:r>
      <w:r>
        <w:tab/>
      </w:r>
      <w:r w:rsidR="0068485D">
        <w:t>D</w:t>
      </w:r>
      <w:r w:rsidR="0068485D">
        <w:tab/>
      </w:r>
      <w:r>
        <w:t xml:space="preserve">Part 3.30. </w:t>
      </w:r>
      <w:r w:rsidR="007F09DD">
        <w:t xml:space="preserve"> </w:t>
      </w:r>
      <w:r>
        <w:t>Price Posting and Computing Capability and Requirements for a Retail Motor-Fuel Dispenser (RMFD)</w:t>
      </w:r>
      <w:bookmarkEnd w:id="46"/>
    </w:p>
    <w:p w:rsidR="002744BA" w:rsidRDefault="002744BA" w:rsidP="003E6F3D">
      <w:pPr>
        <w:pStyle w:val="BoldHeading"/>
        <w:spacing w:after="0"/>
      </w:pPr>
      <w:r>
        <w:t xml:space="preserve">Source:  </w:t>
      </w:r>
    </w:p>
    <w:p w:rsidR="002744BA" w:rsidRDefault="002744BA" w:rsidP="002744BA">
      <w:r>
        <w:t xml:space="preserve">NIST, OWM and the </w:t>
      </w:r>
      <w:r w:rsidR="007755D9">
        <w:t>R</w:t>
      </w:r>
      <w:r>
        <w:t xml:space="preserve">egional </w:t>
      </w:r>
      <w:r w:rsidR="007755D9">
        <w:t>Associations (2008)</w:t>
      </w:r>
    </w:p>
    <w:p w:rsidR="002744BA" w:rsidRDefault="002744BA" w:rsidP="003E6F3D">
      <w:pPr>
        <w:pStyle w:val="BoldHeading"/>
        <w:spacing w:after="0"/>
      </w:pPr>
      <w:r>
        <w:t xml:space="preserve">Purpose:  </w:t>
      </w:r>
    </w:p>
    <w:p w:rsidR="002744BA" w:rsidRDefault="00761953" w:rsidP="002744BA">
      <w:r>
        <w:t>R</w:t>
      </w:r>
      <w:r w:rsidR="002744BA">
        <w:t>eview and update criteria in the</w:t>
      </w:r>
      <w:r w:rsidR="00BA4921">
        <w:t xml:space="preserve"> </w:t>
      </w:r>
      <w:r w:rsidR="002744BA">
        <w:t xml:space="preserve">LMD Code </w:t>
      </w:r>
      <w:r w:rsidR="001B79AA">
        <w:t xml:space="preserve">(Section 3.30.) </w:t>
      </w:r>
      <w:r w:rsidR="002744BA">
        <w:t xml:space="preserve">related to price posting and computing capability of RMFDs to reflect current market practices. </w:t>
      </w:r>
    </w:p>
    <w:p w:rsidR="002744BA" w:rsidRDefault="002744BA" w:rsidP="003E6F3D">
      <w:pPr>
        <w:pStyle w:val="BoldHeading"/>
        <w:spacing w:after="0"/>
      </w:pPr>
      <w:r>
        <w:t xml:space="preserve">Item under Consideration:  </w:t>
      </w:r>
    </w:p>
    <w:p w:rsidR="002744BA" w:rsidRDefault="0068485D" w:rsidP="002744BA">
      <w:r>
        <w:t xml:space="preserve">NCWM Task Group on Retail Motor Fuel Dispenser Price Posting and Computer Capability </w:t>
      </w:r>
      <w:r w:rsidRPr="00EF4FF0">
        <w:t>developed specific proposals for modifying the LMD Code to address price posting and computing requirements for RMFDs.  These proposals can be</w:t>
      </w:r>
      <w:r>
        <w:t xml:space="preserve"> found under Item 330-1 of the </w:t>
      </w:r>
      <w:r w:rsidR="007F09DD">
        <w:t>C</w:t>
      </w:r>
      <w:r w:rsidR="007F09DD" w:rsidRPr="00EF4FF0">
        <w:t xml:space="preserve">ommittee’s </w:t>
      </w:r>
      <w:r w:rsidRPr="00EF4FF0">
        <w:t xml:space="preserve">agenda.  </w:t>
      </w:r>
      <w:r w:rsidR="002A1B0B">
        <w:t>I</w:t>
      </w:r>
      <w:r w:rsidRPr="00EF4FF0">
        <w:t>tem 360-4 is being retained as a Developing Item pending any additional assign</w:t>
      </w:r>
      <w:r>
        <w:t xml:space="preserve">ments that may be given by the </w:t>
      </w:r>
      <w:r w:rsidR="00750DD3">
        <w:t>C</w:t>
      </w:r>
      <w:r w:rsidR="00750DD3" w:rsidRPr="00EF4FF0">
        <w:t xml:space="preserve">ommittee </w:t>
      </w:r>
      <w:r w:rsidRPr="00EF4FF0">
        <w:t xml:space="preserve">to the Task Group relative to the implementation of new code requirements that </w:t>
      </w:r>
      <w:r>
        <w:t>may be</w:t>
      </w:r>
      <w:r w:rsidRPr="00EF4FF0">
        <w:t xml:space="preserve"> adopted.</w:t>
      </w:r>
      <w:r>
        <w:t xml:space="preserve">  </w:t>
      </w:r>
      <w:r w:rsidR="002744BA">
        <w:t>Comments or inquiries may be directed to NIST Technical Advisor, Ms. Juana Williams, at (301</w:t>
      </w:r>
      <w:r w:rsidR="00F256C3">
        <w:t>) </w:t>
      </w:r>
      <w:r w:rsidR="002744BA">
        <w:t xml:space="preserve">975-3989 or </w:t>
      </w:r>
      <w:r w:rsidR="002744BA" w:rsidRPr="00145729">
        <w:rPr>
          <w:rStyle w:val="Hyperlink"/>
        </w:rPr>
        <w:t>juana.williams@nist.gov</w:t>
      </w:r>
      <w:r w:rsidR="002744BA">
        <w:t>.</w:t>
      </w:r>
    </w:p>
    <w:p w:rsidR="00145729" w:rsidRDefault="002744BA" w:rsidP="003E6F3D">
      <w:pPr>
        <w:pStyle w:val="BoldHeading"/>
        <w:spacing w:after="0"/>
      </w:pPr>
      <w:r>
        <w:t xml:space="preserve">Background/Discussion:  </w:t>
      </w:r>
    </w:p>
    <w:p w:rsidR="0068485D" w:rsidRDefault="002744BA" w:rsidP="0068485D">
      <w:r>
        <w:t xml:space="preserve">In the early 1990s, various sections of the LMD Code in </w:t>
      </w:r>
      <w:r w:rsidR="00145729" w:rsidRPr="003E6F3D">
        <w:t>NIST Handbook 44</w:t>
      </w:r>
      <w:r w:rsidR="00145729">
        <w:t xml:space="preserve"> </w:t>
      </w:r>
      <w:r>
        <w:t xml:space="preserve">were modified to address multi-tier pricing applications in instances where the same product is offered at different unit prices based on the method of payment </w:t>
      </w:r>
      <w:r w:rsidR="0068485D" w:rsidRPr="00C62956">
        <w:t xml:space="preserve">(such as cash or credit) </w:t>
      </w:r>
      <w:r>
        <w:t xml:space="preserve">or other conditions of the sale.  Since that time, marketing practices have evolved to include the addition of new practices, such as frequent shopper discounts and club member discounts.  Numerous questions have been posed to </w:t>
      </w:r>
      <w:r w:rsidR="00145729">
        <w:t>NIST, OWM</w:t>
      </w:r>
      <w:r>
        <w:t xml:space="preserve"> and </w:t>
      </w:r>
      <w:r w:rsidR="00145729">
        <w:t>w</w:t>
      </w:r>
      <w:r>
        <w:t xml:space="preserve">eights and </w:t>
      </w:r>
      <w:r w:rsidR="00145729">
        <w:t>m</w:t>
      </w:r>
      <w:r>
        <w:t>easures officials regarding the requirements for posting unit prices, calculation of total price, customer-operated controls, and other related topics, such as the definitions for associated terminology.</w:t>
      </w:r>
      <w:r w:rsidR="0068485D">
        <w:t xml:space="preserve">  </w:t>
      </w:r>
      <w:r>
        <w:t xml:space="preserve">It is clear from these questions that changes are needed to </w:t>
      </w:r>
      <w:r w:rsidR="00145729" w:rsidRPr="003E6F3D">
        <w:t xml:space="preserve">NIST </w:t>
      </w:r>
      <w:r w:rsidR="007F09DD" w:rsidRPr="003E6F3D">
        <w:t>Handbook</w:t>
      </w:r>
      <w:r w:rsidR="007F09DD">
        <w:t> </w:t>
      </w:r>
      <w:r w:rsidR="00145729" w:rsidRPr="003E6F3D">
        <w:t>44</w:t>
      </w:r>
      <w:r>
        <w:t xml:space="preserve"> to ensure the requirements adequately address current marketplace conditions and practices. </w:t>
      </w:r>
      <w:r w:rsidR="0068485D" w:rsidRPr="0068485D">
        <w:t xml:space="preserve"> </w:t>
      </w:r>
      <w:r w:rsidR="0068485D">
        <w:t xml:space="preserve">The </w:t>
      </w:r>
      <w:r w:rsidR="00750DD3">
        <w:t>C</w:t>
      </w:r>
      <w:r w:rsidR="00750DD3" w:rsidRPr="00C62956">
        <w:t xml:space="preserve">ommittee </w:t>
      </w:r>
      <w:r w:rsidR="0068485D" w:rsidRPr="00C62956">
        <w:t>agreed that changes are needed to the LMD Code relative to these issues and, in 2010, established a task group to further develop this issue and present an alternative recommendation for its consideration.</w:t>
      </w:r>
    </w:p>
    <w:p w:rsidR="009C030B" w:rsidRDefault="009C030B" w:rsidP="009C030B">
      <w:r w:rsidRPr="00C62956">
        <w:t xml:space="preserve">Additional details on this item can be found in the </w:t>
      </w:r>
      <w:r w:rsidR="007F09DD">
        <w:t>C</w:t>
      </w:r>
      <w:r w:rsidR="007F09DD" w:rsidRPr="00C62956">
        <w:t xml:space="preserve">ommittee’s </w:t>
      </w:r>
      <w:r w:rsidRPr="00C62956">
        <w:t>2008</w:t>
      </w:r>
      <w:r w:rsidR="007F09DD">
        <w:t xml:space="preserve"> to </w:t>
      </w:r>
      <w:r w:rsidRPr="00C62956">
        <w:t>2011 Final Reports.</w:t>
      </w:r>
    </w:p>
    <w:p w:rsidR="009C030B" w:rsidRDefault="009C030B" w:rsidP="009C030B">
      <w:r w:rsidRPr="00B77FD2">
        <w:t>The Committee notes that, should the proposed changes in Item 330-1 be adopted, the work of the Task Group may be completed.  Should questions arise regarding the application of the proposed changes, the Committee hopes that it may call on individual members of the Task Group to assist in responding to those questions.</w:t>
      </w:r>
    </w:p>
    <w:p w:rsidR="0068485D" w:rsidRDefault="0068485D">
      <w:pPr>
        <w:pStyle w:val="ItemHeading"/>
      </w:pPr>
      <w:bookmarkStart w:id="47" w:name="_Toc334183649"/>
      <w:r>
        <w:t>360-5</w:t>
      </w:r>
      <w:r>
        <w:tab/>
        <w:t>D</w:t>
      </w:r>
      <w:r>
        <w:tab/>
        <w:t xml:space="preserve">S.5. </w:t>
      </w:r>
      <w:r w:rsidR="008D045B">
        <w:t xml:space="preserve"> </w:t>
      </w:r>
      <w:r>
        <w:t>Provision for Security Seals</w:t>
      </w:r>
      <w:bookmarkEnd w:id="47"/>
    </w:p>
    <w:p w:rsidR="0068485D" w:rsidRPr="00B77FD2" w:rsidRDefault="0068485D" w:rsidP="0068485D">
      <w:pPr>
        <w:rPr>
          <w:i/>
        </w:rPr>
      </w:pPr>
      <w:r w:rsidRPr="00B77FD2">
        <w:rPr>
          <w:i/>
        </w:rPr>
        <w:t>This item originally appeared as</w:t>
      </w:r>
      <w:r w:rsidR="003E6F3D">
        <w:rPr>
          <w:i/>
        </w:rPr>
        <w:t xml:space="preserve"> </w:t>
      </w:r>
      <w:r w:rsidR="00F256C3">
        <w:rPr>
          <w:i/>
        </w:rPr>
        <w:t>Item</w:t>
      </w:r>
      <w:r w:rsidRPr="00B77FD2">
        <w:rPr>
          <w:i/>
        </w:rPr>
        <w:t xml:space="preserve"> 354-1 in the </w:t>
      </w:r>
      <w:r w:rsidR="00750DD3">
        <w:rPr>
          <w:i/>
        </w:rPr>
        <w:t>C</w:t>
      </w:r>
      <w:r w:rsidR="00750DD3" w:rsidRPr="00B77FD2">
        <w:rPr>
          <w:i/>
        </w:rPr>
        <w:t xml:space="preserve">ommittee’s </w:t>
      </w:r>
      <w:r w:rsidRPr="00B77FD2">
        <w:rPr>
          <w:i/>
        </w:rPr>
        <w:t>2012 Interim Agenda.</w:t>
      </w:r>
    </w:p>
    <w:p w:rsidR="0068485D" w:rsidRDefault="0068485D" w:rsidP="003A1663">
      <w:pPr>
        <w:pStyle w:val="BoldHeading"/>
        <w:spacing w:after="0"/>
      </w:pPr>
      <w:r>
        <w:t xml:space="preserve">Source: </w:t>
      </w:r>
      <w:r>
        <w:tab/>
      </w:r>
      <w:r>
        <w:tab/>
      </w:r>
    </w:p>
    <w:p w:rsidR="0068485D" w:rsidRDefault="0068485D" w:rsidP="0068485D">
      <w:r>
        <w:t>Frias Transportation Infrastructure LLC (2012)</w:t>
      </w:r>
    </w:p>
    <w:p w:rsidR="0068485D" w:rsidRDefault="0068485D" w:rsidP="003A1663">
      <w:pPr>
        <w:pStyle w:val="BoldHeading"/>
        <w:spacing w:after="0"/>
      </w:pPr>
      <w:r>
        <w:t xml:space="preserve">Purpose: </w:t>
      </w:r>
      <w:r>
        <w:tab/>
      </w:r>
    </w:p>
    <w:p w:rsidR="0068485D" w:rsidRDefault="0068485D" w:rsidP="0068485D">
      <w:r>
        <w:t>Allow for a more advanced and secure method of sealing a Taximeter.</w:t>
      </w:r>
    </w:p>
    <w:p w:rsidR="0068485D" w:rsidRDefault="0068485D" w:rsidP="003A1663">
      <w:pPr>
        <w:pStyle w:val="BoldHeading"/>
        <w:spacing w:after="0"/>
      </w:pPr>
      <w:r>
        <w:t xml:space="preserve">Item Under Consideration: </w:t>
      </w:r>
    </w:p>
    <w:p w:rsidR="0068485D" w:rsidRDefault="0068485D" w:rsidP="0068485D">
      <w:r>
        <w:t xml:space="preserve">Amend </w:t>
      </w:r>
      <w:r w:rsidRPr="003A1663">
        <w:t>NIST Handbook 44</w:t>
      </w:r>
      <w:r>
        <w:t>, Taximeter Code as follows:</w:t>
      </w:r>
    </w:p>
    <w:p w:rsidR="0068485D" w:rsidRDefault="0068485D" w:rsidP="003A1663">
      <w:pPr>
        <w:pStyle w:val="I-Normalreg"/>
        <w:tabs>
          <w:tab w:val="left" w:pos="900"/>
        </w:tabs>
      </w:pPr>
      <w:r w:rsidRPr="00B90667">
        <w:rPr>
          <w:b/>
        </w:rPr>
        <w:t>S.5.</w:t>
      </w:r>
      <w:r w:rsidRPr="00B90667">
        <w:rPr>
          <w:b/>
        </w:rPr>
        <w:tab/>
        <w:t>Provision for Security Seals.</w:t>
      </w:r>
      <w:r>
        <w:t xml:space="preserve"> – Adequate provision shall be made to provide security for a taximeter.  Security may be provided </w:t>
      </w:r>
      <w:r w:rsidRPr="00B90667">
        <w:rPr>
          <w:b/>
          <w:strike/>
        </w:rPr>
        <w:t>either</w:t>
      </w:r>
      <w:r>
        <w:t xml:space="preserve"> by:</w:t>
      </w:r>
    </w:p>
    <w:p w:rsidR="0068485D" w:rsidRDefault="0068485D" w:rsidP="007F09DD">
      <w:pPr>
        <w:pStyle w:val="I-Normal1indent"/>
        <w:ind w:left="1080" w:hanging="360"/>
      </w:pPr>
      <w:r>
        <w:t>(a)</w:t>
      </w:r>
      <w:r>
        <w:tab/>
        <w:t xml:space="preserve">Affixing security seals to the taximeter and to all other components required for service operation of a complete installation on a vehicle, so that no adjustments, alterations, or replacements affecting </w:t>
      </w:r>
      <w:r>
        <w:lastRenderedPageBreak/>
        <w:t xml:space="preserve">accuracy or indications of the device or the assembly can be made without mutilating the seal or seals; </w:t>
      </w:r>
      <w:r w:rsidRPr="00B90667">
        <w:rPr>
          <w:b/>
          <w:strike/>
        </w:rPr>
        <w:t>or</w:t>
      </w:r>
    </w:p>
    <w:p w:rsidR="0068485D" w:rsidRDefault="0068485D" w:rsidP="007F09DD">
      <w:pPr>
        <w:pStyle w:val="I-Normal1indent"/>
        <w:ind w:left="1080" w:hanging="360"/>
      </w:pPr>
      <w:r>
        <w:t>(b)</w:t>
      </w:r>
      <w:r>
        <w:tab/>
        <w:t>Using a combination of security seals described in paragraph (a) and, in the case of a component that may be removed from a vehicle (e.g., slide mounting the taximeter), providing a physical or electronic link between components affecting accuracy or indications of the device to ensure that its performance is not affected and operation is permitted only with those components having the same unique properties</w:t>
      </w:r>
      <w:r w:rsidRPr="00B90667">
        <w:rPr>
          <w:b/>
          <w:u w:val="single"/>
        </w:rPr>
        <w:t>; or</w:t>
      </w:r>
    </w:p>
    <w:p w:rsidR="0068485D" w:rsidRPr="00B90667" w:rsidRDefault="0068485D" w:rsidP="007F09DD">
      <w:pPr>
        <w:pStyle w:val="I-Normal1indent"/>
        <w:ind w:left="1080" w:hanging="360"/>
        <w:rPr>
          <w:b/>
          <w:u w:val="single"/>
        </w:rPr>
      </w:pPr>
      <w:r w:rsidRPr="00B90667">
        <w:rPr>
          <w:b/>
          <w:u w:val="single"/>
        </w:rPr>
        <w:t>(c)</w:t>
      </w:r>
      <w:r w:rsidRPr="00B90667">
        <w:rPr>
          <w:b/>
        </w:rPr>
        <w:tab/>
      </w:r>
      <w:r w:rsidRPr="00B90667">
        <w:rPr>
          <w:b/>
          <w:u w:val="single"/>
        </w:rPr>
        <w:t>Using a combination of security seals described in paragraph (a) and, (b) and, in the case of a component that is electronic data affecting accuracy or indications of the taximeter, providing a unique electronic security seal on the electronic data that is encrypted and protected by an audited authentication and authorization mechanism, so that no adjustments, alterations, or replacements affecting the component can be made without the authentication and authorization. (Encryption algorithm for electronic seals must meet NIST AES ADVANCED ENCRYPTION STANDARD.)</w:t>
      </w:r>
    </w:p>
    <w:p w:rsidR="0068485D" w:rsidRDefault="0068485D" w:rsidP="003A1663">
      <w:pPr>
        <w:pStyle w:val="I-Normal1indent"/>
        <w:spacing w:after="60"/>
        <w:ind w:left="1080"/>
      </w:pPr>
      <w:r>
        <w:t>The sealing means shall be such that it is not necessary to disassemble or remove any part of the device or of the vehicle to apply or inspect the seals.</w:t>
      </w:r>
    </w:p>
    <w:p w:rsidR="0068485D" w:rsidRDefault="0068485D" w:rsidP="00B90667">
      <w:pPr>
        <w:pStyle w:val="I-Normalreg"/>
      </w:pPr>
      <w:r>
        <w:t xml:space="preserve">(Amended 1988, </w:t>
      </w:r>
      <w:r w:rsidRPr="00B90667">
        <w:rPr>
          <w:b/>
          <w:strike/>
        </w:rPr>
        <w:t>and</w:t>
      </w:r>
      <w:r>
        <w:t xml:space="preserve"> 2000</w:t>
      </w:r>
      <w:r w:rsidRPr="00B90667">
        <w:rPr>
          <w:b/>
          <w:u w:val="single"/>
        </w:rPr>
        <w:t>, and 20XX</w:t>
      </w:r>
      <w:r>
        <w:t>)</w:t>
      </w:r>
    </w:p>
    <w:p w:rsidR="0068485D" w:rsidRPr="00D138A7" w:rsidRDefault="0068485D" w:rsidP="003A1663">
      <w:pPr>
        <w:pStyle w:val="BoldHeading"/>
        <w:spacing w:after="0"/>
      </w:pPr>
      <w:r w:rsidRPr="00D138A7">
        <w:t>Background/Discussion:</w:t>
      </w:r>
    </w:p>
    <w:p w:rsidR="0068485D" w:rsidRDefault="0068485D" w:rsidP="00A87BB4">
      <w:r w:rsidRPr="00D138A7">
        <w:t>The submitter of this proposal noted that, per the Taxicab Limousine and Paratransit Association in the United States, there are approximately 6300 companies operating 171</w:t>
      </w:r>
      <w:r w:rsidR="008D045B" w:rsidRPr="00D138A7">
        <w:t> </w:t>
      </w:r>
      <w:r w:rsidRPr="00D138A7">
        <w:t xml:space="preserve">000 taxicabs.  More than </w:t>
      </w:r>
      <w:r w:rsidR="008D045B" w:rsidRPr="00D138A7">
        <w:t>80 </w:t>
      </w:r>
      <w:r w:rsidRPr="00D138A7">
        <w:t xml:space="preserve">% of these companies operate less than </w:t>
      </w:r>
      <w:r w:rsidR="008D045B" w:rsidRPr="00D138A7">
        <w:t>50 </w:t>
      </w:r>
      <w:r w:rsidRPr="00D138A7">
        <w:t xml:space="preserve">vehicles while </w:t>
      </w:r>
      <w:r w:rsidR="007F09DD" w:rsidRPr="00D138A7">
        <w:t>6 </w:t>
      </w:r>
      <w:r w:rsidRPr="00D138A7">
        <w:t xml:space="preserve">% of taxicab operations have more than </w:t>
      </w:r>
      <w:r w:rsidR="008D045B" w:rsidRPr="00D138A7">
        <w:t>100 </w:t>
      </w:r>
      <w:r w:rsidRPr="00D138A7">
        <w:t>vehicles in service.  Taxicab companies provide work for 350</w:t>
      </w:r>
      <w:r w:rsidR="008D045B" w:rsidRPr="00D138A7">
        <w:t> </w:t>
      </w:r>
      <w:r w:rsidRPr="00D138A7">
        <w:t>000 people and transport 1.</w:t>
      </w:r>
      <w:r w:rsidR="008D045B" w:rsidRPr="00D138A7">
        <w:t>4 </w:t>
      </w:r>
      <w:r w:rsidRPr="00D138A7">
        <w:t xml:space="preserve">billion passengers annually for purposes that primarily include business, travel, and community transportation.  A vast majority of these taxicabs </w:t>
      </w:r>
      <w:r w:rsidR="00761953" w:rsidRPr="00D138A7">
        <w:t xml:space="preserve">are required by a regulatory authority to have </w:t>
      </w:r>
      <w:r w:rsidRPr="00D138A7">
        <w:t>a sealed taximeter.</w:t>
      </w:r>
    </w:p>
    <w:p w:rsidR="0084790D" w:rsidRDefault="0068485D" w:rsidP="00B77FD2">
      <w:r>
        <w:t xml:space="preserve">The last amendments made to </w:t>
      </w:r>
      <w:r w:rsidRPr="003A1663">
        <w:t>NIST Handbook 44</w:t>
      </w:r>
      <w:r w:rsidR="008D045B">
        <w:t>,</w:t>
      </w:r>
      <w:r>
        <w:t xml:space="preserve"> Section 5.54</w:t>
      </w:r>
      <w:r w:rsidR="008D045B">
        <w:t>. </w:t>
      </w:r>
      <w:r>
        <w:t xml:space="preserve">Taximeters paragraph S.5. were made in </w:t>
      </w:r>
      <w:r w:rsidR="00D138A7">
        <w:t xml:space="preserve">1988 </w:t>
      </w:r>
      <w:r>
        <w:t xml:space="preserve">and </w:t>
      </w:r>
      <w:r w:rsidR="00D138A7">
        <w:t>2000</w:t>
      </w:r>
      <w:r>
        <w:t>.  Since then</w:t>
      </w:r>
      <w:r w:rsidR="007F09DD">
        <w:t>,</w:t>
      </w:r>
      <w:r>
        <w:t xml:space="preserve"> </w:t>
      </w:r>
      <w:r w:rsidR="003A1663">
        <w:t>much advancement</w:t>
      </w:r>
      <w:r>
        <w:t xml:space="preserve"> have been made in the security of electronic data to eliminate the need for a physical security seal </w:t>
      </w:r>
      <w:r w:rsidR="00761953">
        <w:t>on</w:t>
      </w:r>
      <w:r>
        <w:t xml:space="preserve"> a manual programming button used to program the way in which a taximeter can operate.  Furthermore, </w:t>
      </w:r>
      <w:r w:rsidR="00761953">
        <w:t xml:space="preserve">the new technology without physical seals </w:t>
      </w:r>
      <w:r>
        <w:t xml:space="preserve">may remove the need for any programming buttons on the actual taximeter itself </w:t>
      </w:r>
      <w:r w:rsidR="00761953">
        <w:t>creating</w:t>
      </w:r>
      <w:r>
        <w:t xml:space="preserve"> a more secure and tamper resistant device.</w:t>
      </w:r>
    </w:p>
    <w:p w:rsidR="0068485D" w:rsidRDefault="0068485D" w:rsidP="00A87BB4">
      <w:r>
        <w:t>Use of a physical security seal allow</w:t>
      </w:r>
      <w:r w:rsidR="00761953">
        <w:t>s the possibility for</w:t>
      </w:r>
      <w:r>
        <w:t xml:space="preserve"> personnel </w:t>
      </w:r>
      <w:r w:rsidR="00761953">
        <w:t>who</w:t>
      </w:r>
      <w:r>
        <w:t xml:space="preserve"> have access to such seals (like a taximeter shop) to compromised </w:t>
      </w:r>
      <w:r w:rsidR="00761953">
        <w:t xml:space="preserve">the seal and use </w:t>
      </w:r>
      <w:r>
        <w:t xml:space="preserve">incorrect programming of a taximeter resulting in unfair rates </w:t>
      </w:r>
      <w:r w:rsidR="00761953">
        <w:t xml:space="preserve">for </w:t>
      </w:r>
      <w:r>
        <w:t>the traveling public.  By using an encrypted data packet that is sealed by an audited authentication and authorization mechanism, only certain personnel would be allowed to make such changes to a taximeter providing additionally for a complete audit trail of all changes</w:t>
      </w:r>
      <w:r w:rsidR="00761953">
        <w:t xml:space="preserve">. </w:t>
      </w:r>
      <w:r>
        <w:t xml:space="preserve"> </w:t>
      </w:r>
      <w:r w:rsidR="00761953">
        <w:t>If</w:t>
      </w:r>
      <w:r>
        <w:t xml:space="preserve"> inconsistent or flawed parameters were to be programmed to a taximeter one could assess who, when</w:t>
      </w:r>
      <w:r w:rsidR="00D138A7">
        <w:t>,</w:t>
      </w:r>
      <w:r>
        <w:t xml:space="preserve"> and why such changes were made.</w:t>
      </w:r>
    </w:p>
    <w:p w:rsidR="0068485D" w:rsidRDefault="0068485D" w:rsidP="00A87BB4">
      <w:r>
        <w:t>The removal and placement of physical seals along with programming of a taximeter can also be a tremendous burden on taxi drivers, taxi operators, as well as the taxpayer.  Every time a rate change or fuel surcharge is approved by the regulatory body, the regulatory body must oversee the removal and replacement of new taximeter seals</w:t>
      </w:r>
      <w:r w:rsidR="00761953">
        <w:t>.</w:t>
      </w:r>
      <w:r>
        <w:t xml:space="preserve"> </w:t>
      </w:r>
      <w:r w:rsidR="00761953">
        <w:t xml:space="preserve"> D</w:t>
      </w:r>
      <w:r>
        <w:t xml:space="preserve">rivers and operators also face significant downtime while such changes are made to the taximeters.  By </w:t>
      </w:r>
      <w:r w:rsidR="00761953">
        <w:t>using</w:t>
      </w:r>
      <w:r>
        <w:t xml:space="preserve"> electronic seal</w:t>
      </w:r>
      <w:r w:rsidR="00761953">
        <w:t>s</w:t>
      </w:r>
      <w:r>
        <w:t xml:space="preserve"> the time it takes to change seals and program a taximeter would</w:t>
      </w:r>
      <w:r w:rsidR="00761953">
        <w:t xml:space="preserve"> be reduced </w:t>
      </w:r>
      <w:r>
        <w:t>from 5</w:t>
      </w:r>
      <w:r w:rsidR="00F1603A">
        <w:t xml:space="preserve"> minutes</w:t>
      </w:r>
      <w:r>
        <w:t xml:space="preserve"> to 10 minutes per car to seconds per car.</w:t>
      </w:r>
    </w:p>
    <w:p w:rsidR="0068485D" w:rsidRDefault="0068485D" w:rsidP="00A87BB4">
      <w:r>
        <w:t>For the purpose of this proposal, the submitter made reference to NIST Advanced Encryption Standard (</w:t>
      </w:r>
      <w:r w:rsidRPr="001B7738">
        <w:t>AES</w:t>
      </w:r>
      <w:r>
        <w:t xml:space="preserve">).  AES (FIPS </w:t>
      </w:r>
      <w:r w:rsidR="00F1603A">
        <w:t>PUB </w:t>
      </w:r>
      <w:r>
        <w:t>197) believes that the encryption algorithm for such a security seal on a taximeter should meet this standard.</w:t>
      </w:r>
    </w:p>
    <w:p w:rsidR="0068485D" w:rsidRDefault="0068485D" w:rsidP="00A87BB4">
      <w:r>
        <w:lastRenderedPageBreak/>
        <w:t xml:space="preserve">The submitter also pointed out that Nevada is one of the only states that do not reference </w:t>
      </w:r>
      <w:r w:rsidRPr="003A1663">
        <w:t xml:space="preserve">NIST </w:t>
      </w:r>
      <w:r w:rsidR="00F1603A" w:rsidRPr="003A1663">
        <w:t>Handbook</w:t>
      </w:r>
      <w:r w:rsidR="00F1603A">
        <w:t> </w:t>
      </w:r>
      <w:r w:rsidRPr="003A1663">
        <w:t>44</w:t>
      </w:r>
      <w:r>
        <w:t xml:space="preserve"> on Taximeters.  To correct this problem</w:t>
      </w:r>
      <w:r w:rsidR="00D77143">
        <w:t>,</w:t>
      </w:r>
      <w:r>
        <w:t xml:space="preserve"> alternate language was </w:t>
      </w:r>
      <w:r w:rsidR="00761953">
        <w:t xml:space="preserve">introduced in the 2011 legislative session </w:t>
      </w:r>
      <w:r>
        <w:t>to allow for the electronic sealing of a taximeter.  This bill was signed</w:t>
      </w:r>
      <w:r w:rsidR="00761953">
        <w:t xml:space="preserve"> into law</w:t>
      </w:r>
      <w:r>
        <w:t xml:space="preserve"> by the Governor of Nevada on June 16, 2011.</w:t>
      </w:r>
    </w:p>
    <w:p w:rsidR="0068485D" w:rsidRDefault="0068485D" w:rsidP="00A87BB4">
      <w:r>
        <w:t>It is difficult to estimate cost savings accurately as every regulatory body that oversees the taxicab industry has different rules on operations</w:t>
      </w:r>
      <w:r w:rsidR="00761953">
        <w:t>.  There are also</w:t>
      </w:r>
      <w:r>
        <w:t xml:space="preserve"> differences in who owns or maintains the vehicle or equipment.  </w:t>
      </w:r>
      <w:r w:rsidR="0056019A">
        <w:t>T</w:t>
      </w:r>
      <w:r>
        <w:t>his new way of sealing a taximeter w</w:t>
      </w:r>
      <w:r w:rsidR="00761953">
        <w:t>ould</w:t>
      </w:r>
      <w:r w:rsidR="00F1603A">
        <w:t>,</w:t>
      </w:r>
      <w:r>
        <w:t xml:space="preserve"> however, allow for such an option by a regulatory body or an operator to install new equipment that w</w:t>
      </w:r>
      <w:r w:rsidR="00761953">
        <w:t>ould</w:t>
      </w:r>
      <w:r>
        <w:t xml:space="preserve"> benefit all parties dependent on such rulemaking.</w:t>
      </w:r>
    </w:p>
    <w:p w:rsidR="0068485D" w:rsidRDefault="0068485D" w:rsidP="00A87BB4">
      <w:r>
        <w:t>The submitter suggested the following benefits to stakeholders:</w:t>
      </w:r>
    </w:p>
    <w:p w:rsidR="0068485D" w:rsidRDefault="0068485D" w:rsidP="00B90667">
      <w:pPr>
        <w:pStyle w:val="bulletedlist"/>
      </w:pPr>
      <w:r>
        <w:t>Additional level of security for taximeter</w:t>
      </w:r>
      <w:r w:rsidR="00F1603A">
        <w:t>;</w:t>
      </w:r>
    </w:p>
    <w:p w:rsidR="0068485D" w:rsidRDefault="0068485D" w:rsidP="00B90667">
      <w:pPr>
        <w:pStyle w:val="bulletedlist"/>
      </w:pPr>
      <w:r>
        <w:t>Audit trail for all changes made to taximeter programming</w:t>
      </w:r>
      <w:r w:rsidR="00F1603A">
        <w:t>;</w:t>
      </w:r>
    </w:p>
    <w:p w:rsidR="0068485D" w:rsidRDefault="0068485D" w:rsidP="00B90667">
      <w:pPr>
        <w:pStyle w:val="bulletedlist"/>
      </w:pPr>
      <w:r>
        <w:t>Fast implementation of approved rate changes by regulatory bodies</w:t>
      </w:r>
      <w:r w:rsidR="00F1603A">
        <w:t>;</w:t>
      </w:r>
      <w:r>
        <w:t xml:space="preserve">  (In some jurisdictions</w:t>
      </w:r>
      <w:r w:rsidR="00F1603A">
        <w:t>,</w:t>
      </w:r>
      <w:r>
        <w:t xml:space="preserve"> operators or drivers may have to wait weeks to implement fuel surcharges </w:t>
      </w:r>
      <w:r w:rsidR="00761953">
        <w:t xml:space="preserve">because the process for </w:t>
      </w:r>
      <w:r>
        <w:t xml:space="preserve">changing rates and seals under current standards </w:t>
      </w:r>
      <w:r w:rsidR="00761953">
        <w:t>is</w:t>
      </w:r>
      <w:r>
        <w:t xml:space="preserve"> time consuming</w:t>
      </w:r>
      <w:r w:rsidR="00F1603A">
        <w:t>.</w:t>
      </w:r>
      <w:r>
        <w:t>)</w:t>
      </w:r>
    </w:p>
    <w:p w:rsidR="0068485D" w:rsidRDefault="0068485D" w:rsidP="00B90667">
      <w:pPr>
        <w:pStyle w:val="bulletedlist"/>
      </w:pPr>
      <w:r>
        <w:t>Reduction in costly observational enforcement to industry</w:t>
      </w:r>
      <w:r w:rsidR="00F1603A">
        <w:t xml:space="preserve">;  </w:t>
      </w:r>
      <w:r>
        <w:t>(Currently</w:t>
      </w:r>
      <w:r w:rsidR="00F1603A">
        <w:t>,</w:t>
      </w:r>
      <w:r>
        <w:t xml:space="preserve"> the only way a regulator can determine if an operator has a broken seal or has tampered with a taximeter is through observational enforcement</w:t>
      </w:r>
      <w:r w:rsidR="00F1603A">
        <w:t xml:space="preserve">.  </w:t>
      </w:r>
      <w:r>
        <w:t>An electronic seal would allow for real time reporting as to the condition of such a seal, as well as the programming of the taximeter</w:t>
      </w:r>
      <w:r w:rsidR="00F1603A">
        <w:t>.</w:t>
      </w:r>
      <w:r>
        <w:t>)</w:t>
      </w:r>
    </w:p>
    <w:p w:rsidR="0068485D" w:rsidRDefault="0068485D" w:rsidP="00B90667">
      <w:pPr>
        <w:pStyle w:val="bulletedlist"/>
      </w:pPr>
      <w:r>
        <w:t>Reduction in overcharg</w:t>
      </w:r>
      <w:r w:rsidR="00761953">
        <w:t xml:space="preserve">es to </w:t>
      </w:r>
      <w:r>
        <w:t>customers by compromised drivers, and operators</w:t>
      </w:r>
      <w:r w:rsidR="00F1603A">
        <w:t>; and</w:t>
      </w:r>
    </w:p>
    <w:p w:rsidR="0068485D" w:rsidRDefault="0068485D" w:rsidP="00B90667">
      <w:pPr>
        <w:pStyle w:val="bulletedlist"/>
      </w:pPr>
      <w:r>
        <w:t>Allow for new more advanced ways of programming a taximeter and delivery of such programming onto a taximeter.</w:t>
      </w:r>
    </w:p>
    <w:p w:rsidR="00C005CB" w:rsidRDefault="0068485D" w:rsidP="0068485D">
      <w:r>
        <w:t>The submitter offered the following individuals as contacts.  Additionally, a letter of support was presented by Mr</w:t>
      </w:r>
      <w:r w:rsidR="007F09DD">
        <w:t>. </w:t>
      </w:r>
      <w:r>
        <w:t>Daus, President of the International Association of Transportation Regulators (</w:t>
      </w:r>
      <w:r w:rsidRPr="001B7738">
        <w:t>IATR</w:t>
      </w:r>
      <w:r>
        <w:t>) and former Commissioner of the NYC Taxi and Limousine Commission.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2988"/>
        <w:gridCol w:w="3060"/>
        <w:gridCol w:w="3528"/>
      </w:tblGrid>
      <w:tr w:rsidR="001867E0" w:rsidRPr="00F0151F" w:rsidTr="003A1663">
        <w:tc>
          <w:tcPr>
            <w:tcW w:w="2988" w:type="dxa"/>
          </w:tcPr>
          <w:p w:rsidR="001867E0" w:rsidRDefault="001867E0" w:rsidP="003A1663">
            <w:pPr>
              <w:pStyle w:val="TableText"/>
              <w:spacing w:after="0"/>
              <w:rPr>
                <w:b/>
              </w:rPr>
            </w:pPr>
            <w:r w:rsidRPr="00455CAD">
              <w:rPr>
                <w:b/>
              </w:rPr>
              <w:t>Chief Information Officer</w:t>
            </w:r>
          </w:p>
          <w:p w:rsidR="00893A4B" w:rsidRPr="00455CAD" w:rsidRDefault="00893A4B" w:rsidP="003A1663">
            <w:pPr>
              <w:pStyle w:val="TableText"/>
              <w:spacing w:after="0"/>
              <w:rPr>
                <w:b/>
              </w:rPr>
            </w:pPr>
          </w:p>
          <w:p w:rsidR="001867E0" w:rsidRPr="00455CAD" w:rsidRDefault="001867E0" w:rsidP="003A1663">
            <w:pPr>
              <w:pStyle w:val="TableText"/>
              <w:spacing w:after="0"/>
            </w:pPr>
            <w:r w:rsidRPr="00455CAD">
              <w:t>Mr. James Wisniewski</w:t>
            </w:r>
          </w:p>
          <w:p w:rsidR="001867E0" w:rsidRPr="00455CAD" w:rsidRDefault="001867E0" w:rsidP="003A1663">
            <w:pPr>
              <w:pStyle w:val="TableText"/>
              <w:spacing w:after="0"/>
            </w:pPr>
            <w:r w:rsidRPr="00455CAD">
              <w:t>Frias Transportation Infrastructure</w:t>
            </w:r>
          </w:p>
          <w:p w:rsidR="001867E0" w:rsidRPr="00455CAD" w:rsidRDefault="001867E0" w:rsidP="003A1663">
            <w:pPr>
              <w:pStyle w:val="TableText"/>
              <w:spacing w:after="0"/>
            </w:pPr>
            <w:r w:rsidRPr="00455CAD">
              <w:t>5010 S Valley View Blvd</w:t>
            </w:r>
          </w:p>
          <w:p w:rsidR="001867E0" w:rsidRPr="00455CAD" w:rsidRDefault="001867E0" w:rsidP="003A1663">
            <w:pPr>
              <w:pStyle w:val="TableText"/>
              <w:spacing w:after="0"/>
            </w:pPr>
            <w:r w:rsidRPr="00455CAD">
              <w:t>Las Vegas, NV 89118</w:t>
            </w:r>
          </w:p>
          <w:p w:rsidR="001867E0" w:rsidRPr="00455CAD" w:rsidRDefault="001867E0" w:rsidP="003A1663">
            <w:pPr>
              <w:pStyle w:val="TableText"/>
              <w:spacing w:after="0"/>
            </w:pPr>
            <w:r w:rsidRPr="00455CAD">
              <w:t>Phone: (702) 210-6176</w:t>
            </w:r>
          </w:p>
        </w:tc>
        <w:tc>
          <w:tcPr>
            <w:tcW w:w="3060" w:type="dxa"/>
          </w:tcPr>
          <w:p w:rsidR="001867E0" w:rsidRDefault="001867E0" w:rsidP="003A1663">
            <w:pPr>
              <w:pStyle w:val="TableText"/>
              <w:spacing w:after="0"/>
              <w:rPr>
                <w:b/>
              </w:rPr>
            </w:pPr>
            <w:r w:rsidRPr="00455CAD">
              <w:rPr>
                <w:b/>
              </w:rPr>
              <w:t>Chief Technology Officer</w:t>
            </w:r>
          </w:p>
          <w:p w:rsidR="00893A4B" w:rsidRPr="00455CAD" w:rsidRDefault="00893A4B" w:rsidP="003A1663">
            <w:pPr>
              <w:pStyle w:val="TableText"/>
              <w:spacing w:after="0"/>
              <w:rPr>
                <w:b/>
              </w:rPr>
            </w:pPr>
          </w:p>
          <w:p w:rsidR="001867E0" w:rsidRPr="00455CAD" w:rsidRDefault="001867E0" w:rsidP="003A1663">
            <w:pPr>
              <w:pStyle w:val="TableText"/>
              <w:spacing w:after="0"/>
            </w:pPr>
            <w:r w:rsidRPr="00455CAD">
              <w:t>Mr. Mike Pinkus</w:t>
            </w:r>
          </w:p>
          <w:p w:rsidR="001867E0" w:rsidRPr="00455CAD" w:rsidRDefault="001867E0" w:rsidP="003A1663">
            <w:pPr>
              <w:pStyle w:val="TableText"/>
              <w:spacing w:after="0"/>
            </w:pPr>
            <w:r w:rsidRPr="00455CAD">
              <w:t>Frias Transportation Infrastructure</w:t>
            </w:r>
          </w:p>
          <w:p w:rsidR="001867E0" w:rsidRPr="00455CAD" w:rsidRDefault="001867E0" w:rsidP="003A1663">
            <w:pPr>
              <w:pStyle w:val="TableText"/>
              <w:spacing w:after="0"/>
            </w:pPr>
            <w:r w:rsidRPr="00455CAD">
              <w:t>5010 S Valley View Blvd</w:t>
            </w:r>
          </w:p>
          <w:p w:rsidR="001867E0" w:rsidRPr="00455CAD" w:rsidRDefault="001867E0" w:rsidP="003A1663">
            <w:pPr>
              <w:pStyle w:val="TableText"/>
              <w:spacing w:after="0"/>
            </w:pPr>
            <w:r w:rsidRPr="00455CAD">
              <w:t>Las Vegas, NV 89118</w:t>
            </w:r>
          </w:p>
          <w:p w:rsidR="001867E0" w:rsidRPr="00455CAD" w:rsidRDefault="001867E0" w:rsidP="003A1663">
            <w:pPr>
              <w:pStyle w:val="TableText"/>
              <w:spacing w:after="0"/>
            </w:pPr>
            <w:r w:rsidRPr="00455CAD">
              <w:t>Phone: (702) 210-4896</w:t>
            </w:r>
          </w:p>
        </w:tc>
        <w:tc>
          <w:tcPr>
            <w:tcW w:w="3528" w:type="dxa"/>
          </w:tcPr>
          <w:p w:rsidR="001867E0" w:rsidRDefault="001867E0" w:rsidP="003A1663">
            <w:pPr>
              <w:pStyle w:val="TableText"/>
              <w:spacing w:after="0"/>
              <w:rPr>
                <w:b/>
              </w:rPr>
            </w:pPr>
            <w:r w:rsidRPr="00455CAD">
              <w:rPr>
                <w:b/>
              </w:rPr>
              <w:t>President of the IATR</w:t>
            </w:r>
          </w:p>
          <w:p w:rsidR="00893A4B" w:rsidRPr="00455CAD" w:rsidRDefault="00893A4B" w:rsidP="003A1663">
            <w:pPr>
              <w:pStyle w:val="TableText"/>
              <w:spacing w:after="0"/>
              <w:rPr>
                <w:b/>
              </w:rPr>
            </w:pPr>
          </w:p>
          <w:p w:rsidR="001867E0" w:rsidRPr="00455CAD" w:rsidRDefault="001867E0" w:rsidP="003A1663">
            <w:pPr>
              <w:pStyle w:val="TableText"/>
              <w:spacing w:after="0"/>
            </w:pPr>
            <w:r w:rsidRPr="00455CAD">
              <w:t>Mr. Matthew W. Daus</w:t>
            </w:r>
          </w:p>
          <w:p w:rsidR="001867E0" w:rsidRPr="00455CAD" w:rsidRDefault="001867E0" w:rsidP="003A1663">
            <w:pPr>
              <w:pStyle w:val="TableText"/>
              <w:spacing w:after="0"/>
              <w:rPr>
                <w:spacing w:val="-2"/>
              </w:rPr>
            </w:pPr>
            <w:r w:rsidRPr="00455CAD">
              <w:rPr>
                <w:spacing w:val="-2"/>
              </w:rPr>
              <w:t>Windels Marx Lane and Mittendorf, LLP</w:t>
            </w:r>
          </w:p>
          <w:p w:rsidR="001867E0" w:rsidRPr="00455CAD" w:rsidRDefault="001867E0" w:rsidP="003A1663">
            <w:pPr>
              <w:pStyle w:val="TableText"/>
              <w:spacing w:after="0"/>
            </w:pPr>
            <w:r w:rsidRPr="00455CAD">
              <w:t>156 West 56</w:t>
            </w:r>
            <w:r w:rsidRPr="00455CAD">
              <w:rPr>
                <w:vertAlign w:val="superscript"/>
              </w:rPr>
              <w:t>th</w:t>
            </w:r>
            <w:r w:rsidRPr="00455CAD">
              <w:t xml:space="preserve"> St</w:t>
            </w:r>
          </w:p>
          <w:p w:rsidR="001867E0" w:rsidRPr="00455CAD" w:rsidRDefault="001867E0" w:rsidP="003A1663">
            <w:pPr>
              <w:pStyle w:val="TableText"/>
              <w:spacing w:after="0"/>
            </w:pPr>
            <w:r w:rsidRPr="00455CAD">
              <w:t>New York, NY 10019</w:t>
            </w:r>
          </w:p>
          <w:p w:rsidR="001867E0" w:rsidRPr="00455CAD" w:rsidRDefault="001867E0" w:rsidP="003A1663">
            <w:pPr>
              <w:pStyle w:val="TableText"/>
              <w:spacing w:after="0"/>
            </w:pPr>
            <w:r w:rsidRPr="00455CAD">
              <w:t>Phone: (212) 237-1106</w:t>
            </w:r>
          </w:p>
        </w:tc>
      </w:tr>
    </w:tbl>
    <w:p w:rsidR="001867E0" w:rsidRDefault="001867E0" w:rsidP="003A1663">
      <w:pPr>
        <w:spacing w:before="240"/>
      </w:pPr>
      <w:r>
        <w:t>At the 2011 NEWMA Interim Meeting</w:t>
      </w:r>
      <w:r w:rsidR="00893A4B">
        <w:t>,</w:t>
      </w:r>
      <w:r>
        <w:t xml:space="preserve"> it was noted that there is no prototype yet.  The submitter </w:t>
      </w:r>
      <w:r w:rsidR="00761953">
        <w:t>explained</w:t>
      </w:r>
      <w:r>
        <w:t xml:space="preserve"> that there is an electronic data component that is to be sealed.  </w:t>
      </w:r>
      <w:r w:rsidR="00761953">
        <w:t xml:space="preserve">An </w:t>
      </w:r>
      <w:r>
        <w:t xml:space="preserve">official questioned how the data would get to the </w:t>
      </w:r>
      <w:r w:rsidR="00761953">
        <w:t>regulatory agency</w:t>
      </w:r>
      <w:r>
        <w:t>.  Comments were made that a cloud-based system could be used.  Officials were told that no physical seal is needed if this is implemented.  An industry member commented that there should still be some type of security seal used.  There would be a comfort level for consumers but not for weights and measures officials.  Some questioned what would happen with regard to accessing the data if the company goes out of business.  NEWMA recommends that this item be presented to the Taximeter Work Group being formed by NIST, OWM for further development</w:t>
      </w:r>
      <w:r w:rsidR="00761953">
        <w:t xml:space="preserve">.  NEWMA </w:t>
      </w:r>
      <w:r w:rsidR="00761953" w:rsidRPr="006273B2">
        <w:rPr>
          <w:rFonts w:cs="Times New Roman"/>
        </w:rPr>
        <w:t>did not forward the item to NCWM</w:t>
      </w:r>
      <w:r>
        <w:t xml:space="preserve">.   </w:t>
      </w:r>
    </w:p>
    <w:p w:rsidR="001867E0" w:rsidRDefault="001867E0" w:rsidP="001867E0">
      <w:r>
        <w:t>At the 2011 SWMA Annual Meeting</w:t>
      </w:r>
      <w:r w:rsidR="0056019A">
        <w:t>,</w:t>
      </w:r>
      <w:r>
        <w:t xml:space="preserve"> Mr. Wisniewski, Frias Transportation Infrastructure, </w:t>
      </w:r>
      <w:r w:rsidR="00761953">
        <w:t>recommend</w:t>
      </w:r>
      <w:r w:rsidR="0056019A">
        <w:t>ed</w:t>
      </w:r>
      <w:r w:rsidR="00761953">
        <w:t xml:space="preserve"> </w:t>
      </w:r>
      <w:r>
        <w:t>Developing</w:t>
      </w:r>
      <w:r w:rsidR="00761953">
        <w:t xml:space="preserve"> status for this item</w:t>
      </w:r>
      <w:r>
        <w:t xml:space="preserve">.  Mr. Wisniewski </w:t>
      </w:r>
      <w:r w:rsidR="00761953">
        <w:t>explained</w:t>
      </w:r>
      <w:r>
        <w:t xml:space="preserve"> that NIST, OWM and NCWM are exploring the formation of a Taximeter Work Group to develop proposed changes to the </w:t>
      </w:r>
      <w:r w:rsidR="00D77143">
        <w:t>c</w:t>
      </w:r>
      <w:r>
        <w:t xml:space="preserve">ode to reflect current technologies.  He indicated that </w:t>
      </w:r>
      <w:r w:rsidRPr="001867E0">
        <w:t>Frias Transportation Infrastructure</w:t>
      </w:r>
      <w:r>
        <w:t xml:space="preserve"> plans to work with other manufacturers and regulators in the </w:t>
      </w:r>
      <w:r>
        <w:lastRenderedPageBreak/>
        <w:t xml:space="preserve">taximeter community as well as NIST, OWM to further develop this issue through this work group.  </w:t>
      </w:r>
      <w:r w:rsidR="00761953">
        <w:rPr>
          <w:rFonts w:cs="Times New Roman"/>
        </w:rPr>
        <w:t xml:space="preserve">SWMA </w:t>
      </w:r>
      <w:r w:rsidR="00761953" w:rsidRPr="006273B2">
        <w:rPr>
          <w:rFonts w:cs="Times New Roman"/>
        </w:rPr>
        <w:t>fo</w:t>
      </w:r>
      <w:r w:rsidR="00761953">
        <w:rPr>
          <w:rFonts w:cs="Times New Roman"/>
        </w:rPr>
        <w:t>rwarded the item to NCWM, recommending it as a Developing</w:t>
      </w:r>
      <w:r w:rsidR="00761953" w:rsidRPr="006273B2">
        <w:rPr>
          <w:rFonts w:cs="Times New Roman"/>
        </w:rPr>
        <w:t xml:space="preserve"> Item</w:t>
      </w:r>
      <w:r>
        <w:t xml:space="preserve">, with the provision that the submitter will work with the </w:t>
      </w:r>
      <w:r w:rsidR="00D77143">
        <w:t>Taximeter W</w:t>
      </w:r>
      <w:r>
        <w:t xml:space="preserve">ork </w:t>
      </w:r>
      <w:r w:rsidR="00D77143">
        <w:t>G</w:t>
      </w:r>
      <w:r>
        <w:t>roup being and further develop the issue through that venue.</w:t>
      </w:r>
    </w:p>
    <w:p w:rsidR="001867E0" w:rsidRDefault="00761953" w:rsidP="001867E0">
      <w:r>
        <w:t>A</w:t>
      </w:r>
      <w:r w:rsidR="001867E0">
        <w:t xml:space="preserve">t the 2012 NCWM Interim Meeting, Mr. McGrath, </w:t>
      </w:r>
      <w:r w:rsidR="001867E0" w:rsidRPr="001867E0">
        <w:t>Boston ISD Weights and Measure</w:t>
      </w:r>
      <w:r w:rsidR="001867E0">
        <w:t>, expressed concerns about the lack of a physical security seal on taximeters</w:t>
      </w:r>
      <w:r w:rsidR="0056019A">
        <w:t>.</w:t>
      </w:r>
      <w:r w:rsidR="001867E0">
        <w:t xml:space="preserve"> </w:t>
      </w:r>
      <w:r w:rsidR="0056019A">
        <w:t xml:space="preserve"> H</w:t>
      </w:r>
      <w:r w:rsidR="001867E0">
        <w:t xml:space="preserve">e cited difficulty tracking down drivers for the purposes of monitoring the use of adjustments and suggested withdrawing the item as presented.  Ms. Macey, </w:t>
      </w:r>
      <w:r w:rsidR="001867E0" w:rsidRPr="001867E0">
        <w:t>California Division of Measurement Standards</w:t>
      </w:r>
      <w:r w:rsidR="001867E0">
        <w:t xml:space="preserve">, expressed concerns about the resources required to train inspectors to apply the standards referenced in the proposal and she does not believe the item is sufficiently developed as presented to go forward on the </w:t>
      </w:r>
      <w:r w:rsidR="00750DD3">
        <w:t xml:space="preserve">Committee’s </w:t>
      </w:r>
      <w:r w:rsidR="001867E0">
        <w:t>agenda.  Ms. Williams, NIST, OWM, reported that a small group, including Mr.</w:t>
      </w:r>
      <w:r w:rsidR="003A1663">
        <w:t> </w:t>
      </w:r>
      <w:r w:rsidR="001867E0">
        <w:t>Barton, NIST, OWM</w:t>
      </w:r>
      <w:r w:rsidR="00F1603A">
        <w:t>,</w:t>
      </w:r>
      <w:r w:rsidR="001867E0">
        <w:t xml:space="preserve"> and herself, along with Mr. Nelson, </w:t>
      </w:r>
      <w:r w:rsidR="001867E0" w:rsidRPr="001867E0">
        <w:t>California Division of Measurement Standards</w:t>
      </w:r>
      <w:r w:rsidR="001867E0">
        <w:t xml:space="preserve">, Mr. </w:t>
      </w:r>
      <w:r w:rsidR="00140450">
        <w:t> T</w:t>
      </w:r>
      <w:r w:rsidR="001867E0">
        <w:t xml:space="preserve">hompson, </w:t>
      </w:r>
      <w:r w:rsidR="001867E0" w:rsidRPr="001867E0">
        <w:t>California Division of Measurement Standards</w:t>
      </w:r>
      <w:r w:rsidR="001867E0">
        <w:t xml:space="preserve">, and Mr. Fishman, retired NY Bureau of Weights and Measures metrologist met to begin identifying areas of the code </w:t>
      </w:r>
      <w:r>
        <w:t xml:space="preserve">that need to be </w:t>
      </w:r>
      <w:r w:rsidR="001867E0">
        <w:t>updat</w:t>
      </w:r>
      <w:r>
        <w:t>ed</w:t>
      </w:r>
      <w:r w:rsidR="001867E0">
        <w:t>, including requirements relative to device security.  Ms. Williams confirmed that NIST, OWM plan</w:t>
      </w:r>
      <w:r>
        <w:t>s</w:t>
      </w:r>
      <w:r w:rsidR="001867E0">
        <w:t xml:space="preserve"> to establish a formal work group to examine issues such as these relative to updating the code to reflect current technology and practices.  Citing the concerns raised by NEWMA and SWMA, Ms. Williams suggested that this item might be best undertaken by that work group.  </w:t>
      </w:r>
    </w:p>
    <w:p w:rsidR="001867E0" w:rsidRPr="009C030B" w:rsidRDefault="001867E0" w:rsidP="001867E0">
      <w:r>
        <w:t xml:space="preserve">The </w:t>
      </w:r>
      <w:r w:rsidR="00750DD3">
        <w:t xml:space="preserve">Committee </w:t>
      </w:r>
      <w:r>
        <w:t xml:space="preserve">agreed with the Open Hearing comments that this item needs additional work.  The </w:t>
      </w:r>
      <w:r w:rsidR="00750DD3">
        <w:t xml:space="preserve">Committee </w:t>
      </w:r>
      <w:r>
        <w:t>supports the formation of the work group by NIST, OWM and looks forward to further development of this issue</w:t>
      </w:r>
      <w:r w:rsidR="00761953">
        <w:t xml:space="preserve">.  </w:t>
      </w:r>
      <w:r w:rsidR="00761953" w:rsidRPr="006273B2">
        <w:rPr>
          <w:rFonts w:cs="Times New Roman"/>
        </w:rPr>
        <w:t>The 20</w:t>
      </w:r>
      <w:r w:rsidR="00761953">
        <w:rPr>
          <w:rFonts w:cs="Times New Roman"/>
        </w:rPr>
        <w:t>12</w:t>
      </w:r>
      <w:r w:rsidR="00761953" w:rsidRPr="006273B2">
        <w:rPr>
          <w:rFonts w:cs="Times New Roman"/>
        </w:rPr>
        <w:t xml:space="preserve"> </w:t>
      </w:r>
      <w:r w:rsidR="00761953">
        <w:rPr>
          <w:rFonts w:cs="Times New Roman"/>
        </w:rPr>
        <w:t>S&amp;T</w:t>
      </w:r>
      <w:r w:rsidR="00761953" w:rsidRPr="006273B2">
        <w:rPr>
          <w:rFonts w:cs="Times New Roman"/>
        </w:rPr>
        <w:t xml:space="preserve"> Committee designated this item as </w:t>
      </w:r>
      <w:r w:rsidR="00761953">
        <w:rPr>
          <w:rFonts w:cs="Times New Roman"/>
        </w:rPr>
        <w:t xml:space="preserve">a </w:t>
      </w:r>
      <w:r w:rsidR="00761953" w:rsidRPr="006273B2">
        <w:rPr>
          <w:rFonts w:cs="Times New Roman"/>
        </w:rPr>
        <w:t>Developing</w:t>
      </w:r>
      <w:r w:rsidR="00761953">
        <w:rPr>
          <w:rFonts w:cs="Times New Roman"/>
        </w:rPr>
        <w:t xml:space="preserve"> Item</w:t>
      </w:r>
      <w:r>
        <w:t xml:space="preserve">.  </w:t>
      </w:r>
    </w:p>
    <w:p w:rsidR="00F8223C" w:rsidRPr="009C030B" w:rsidRDefault="00F8223C" w:rsidP="00F8223C">
      <w:r w:rsidRPr="009C030B">
        <w:t>At its 2012 Annual Meeting, the CWMA took no position on this item.  At its 2012 Annual Meeting, NEWMA maintained a neutral position on this item and designated this item as “Developmental.”  Mrs. Tina Butcher, NIST OWM, reported that NIST has formed a work group on taximeters and that group h</w:t>
      </w:r>
      <w:r w:rsidR="0058287B">
        <w:t>e</w:t>
      </w:r>
      <w:r w:rsidRPr="009C030B">
        <w:t>ld its first meeting in May.  NEWMA looks forward to the work of the NIST Taximeter Work Group and any proposals that are generate from that group.</w:t>
      </w:r>
    </w:p>
    <w:p w:rsidR="00F8223C" w:rsidRPr="009C030B" w:rsidRDefault="00F8223C" w:rsidP="00F8223C">
      <w:r w:rsidRPr="009C030B">
        <w:t xml:space="preserve">At the 2012 NCWM Annual Meeting, the Committee heard an update from Ms. Juana Williams, NIST OWM, regarding the formation of a NIST Work Group on Taximeters.  Ms. Williams reported that </w:t>
      </w:r>
      <w:r w:rsidRPr="009C030B">
        <w:rPr>
          <w:rFonts w:eastAsia="Times New Roman"/>
          <w:szCs w:val="20"/>
        </w:rPr>
        <w:t xml:space="preserve">NIST OWM issued a Federal Register notice in April 2012 announcing formation of a NIST US National Working Group (USNWG) on Taximeters.  Mr. John Barton, NIST OWM, is the contact for this USNWG.  Anyone interested in participating in the Work Group should contact Mr. Barton by e-mail at </w:t>
      </w:r>
      <w:hyperlink r:id="rId25" w:history="1">
        <w:r w:rsidRPr="009C030B">
          <w:rPr>
            <w:rStyle w:val="Hyperlink"/>
            <w:rFonts w:eastAsia="Times New Roman"/>
            <w:noProof w:val="0"/>
            <w:szCs w:val="20"/>
          </w:rPr>
          <w:t>john.barton@nist.gov</w:t>
        </w:r>
      </w:hyperlink>
      <w:r w:rsidRPr="009C030B">
        <w:rPr>
          <w:rFonts w:eastAsia="Times New Roman"/>
          <w:szCs w:val="20"/>
        </w:rPr>
        <w:t xml:space="preserve"> or by telephone at </w:t>
      </w:r>
      <w:r w:rsidR="007F09DD">
        <w:rPr>
          <w:rFonts w:eastAsia="Times New Roman"/>
          <w:szCs w:val="20"/>
        </w:rPr>
        <w:t>(</w:t>
      </w:r>
      <w:r w:rsidRPr="009C030B">
        <w:rPr>
          <w:rFonts w:eastAsia="Times New Roman"/>
          <w:szCs w:val="20"/>
        </w:rPr>
        <w:t>301</w:t>
      </w:r>
      <w:r w:rsidR="007F09DD">
        <w:rPr>
          <w:rFonts w:eastAsia="Times New Roman"/>
          <w:szCs w:val="20"/>
        </w:rPr>
        <w:t>) </w:t>
      </w:r>
      <w:r w:rsidRPr="009C030B">
        <w:rPr>
          <w:rFonts w:eastAsia="Times New Roman"/>
          <w:szCs w:val="20"/>
        </w:rPr>
        <w:t>975</w:t>
      </w:r>
      <w:r w:rsidR="007F09DD">
        <w:rPr>
          <w:rFonts w:eastAsia="Times New Roman"/>
          <w:szCs w:val="20"/>
        </w:rPr>
        <w:noBreakHyphen/>
      </w:r>
      <w:r w:rsidRPr="009C030B">
        <w:rPr>
          <w:rFonts w:eastAsia="Times New Roman"/>
          <w:szCs w:val="20"/>
        </w:rPr>
        <w:t>4002.  The USNWG held a preliminary web-based meeting in May 2012 to establish the working structure, review the USNWG charter, and lay out tasks to be completed.  NIST distributed proposed revisions to the existing Taximeters Code as a “straw</w:t>
      </w:r>
      <w:r w:rsidR="007F09DD">
        <w:rPr>
          <w:rFonts w:eastAsia="Times New Roman"/>
          <w:szCs w:val="20"/>
        </w:rPr>
        <w:t xml:space="preserve"> </w:t>
      </w:r>
      <w:r w:rsidRPr="009C030B">
        <w:rPr>
          <w:rFonts w:eastAsia="Times New Roman"/>
          <w:szCs w:val="20"/>
        </w:rPr>
        <w:t>man” for the USNWG to consider.  The revisions were based on a meeting with NTEP laboratories and other legal metrology experts.  Comments were due to Mr. Barton by June 30, 2102.  After addressing the comments in the proposed revisions, Mr. Barton will distribute a revised draft to work group members and interested observers.  The USNWG plans to hold its next meeting in September 2012.</w:t>
      </w:r>
    </w:p>
    <w:p w:rsidR="00F8223C" w:rsidRPr="000F351F" w:rsidRDefault="00F8223C" w:rsidP="00F8223C">
      <w:r w:rsidRPr="009C030B">
        <w:t xml:space="preserve">The Committee expressed appreciation to </w:t>
      </w:r>
      <w:r w:rsidR="00630D94">
        <w:t xml:space="preserve">NIST, </w:t>
      </w:r>
      <w:r w:rsidRPr="009C030B">
        <w:t>OWM for the update and looks forward to future recommendations from the Work Group.</w:t>
      </w:r>
    </w:p>
    <w:p w:rsidR="001867E0" w:rsidRDefault="001867E0">
      <w:pPr>
        <w:pStyle w:val="ItemHeading"/>
      </w:pPr>
      <w:bookmarkStart w:id="48" w:name="_Toc334183650"/>
      <w:r>
        <w:t>360-6</w:t>
      </w:r>
      <w:r>
        <w:tab/>
        <w:t>D</w:t>
      </w:r>
      <w:r>
        <w:tab/>
        <w:t>Global Positioning Systems for Taximeters</w:t>
      </w:r>
      <w:bookmarkEnd w:id="48"/>
    </w:p>
    <w:p w:rsidR="001867E0" w:rsidRPr="00B77FD2" w:rsidRDefault="001867E0" w:rsidP="001867E0">
      <w:pPr>
        <w:rPr>
          <w:i/>
        </w:rPr>
      </w:pPr>
      <w:r w:rsidRPr="00B77FD2">
        <w:rPr>
          <w:i/>
        </w:rPr>
        <w:t xml:space="preserve">This item originally appeared as </w:t>
      </w:r>
      <w:r w:rsidR="001B79AA">
        <w:rPr>
          <w:i/>
        </w:rPr>
        <w:t xml:space="preserve">Item </w:t>
      </w:r>
      <w:r w:rsidRPr="00B77FD2">
        <w:rPr>
          <w:i/>
        </w:rPr>
        <w:t xml:space="preserve">354-2 in the </w:t>
      </w:r>
      <w:r w:rsidR="001B79AA">
        <w:rPr>
          <w:i/>
        </w:rPr>
        <w:t>C</w:t>
      </w:r>
      <w:r w:rsidRPr="00B77FD2">
        <w:rPr>
          <w:i/>
        </w:rPr>
        <w:t>ommittee’s 2012 Interim Agenda.</w:t>
      </w:r>
    </w:p>
    <w:p w:rsidR="001867E0" w:rsidRDefault="001867E0" w:rsidP="00140450">
      <w:pPr>
        <w:pStyle w:val="BoldHeading"/>
        <w:spacing w:after="0"/>
      </w:pPr>
      <w:r>
        <w:t xml:space="preserve">Source: </w:t>
      </w:r>
      <w:r>
        <w:tab/>
      </w:r>
      <w:r>
        <w:tab/>
      </w:r>
    </w:p>
    <w:p w:rsidR="001867E0" w:rsidRDefault="001867E0" w:rsidP="001867E0">
      <w:r>
        <w:t>Consumer Affairs Unit, City of Seattle (2012)</w:t>
      </w:r>
    </w:p>
    <w:p w:rsidR="001867E0" w:rsidRDefault="001867E0" w:rsidP="00140450">
      <w:pPr>
        <w:pStyle w:val="BoldHeading"/>
        <w:spacing w:after="0"/>
      </w:pPr>
      <w:r>
        <w:t xml:space="preserve">Purpose: </w:t>
      </w:r>
      <w:r>
        <w:tab/>
      </w:r>
    </w:p>
    <w:p w:rsidR="001867E0" w:rsidRDefault="001867E0" w:rsidP="001867E0">
      <w:r>
        <w:t xml:space="preserve">Amend </w:t>
      </w:r>
      <w:r w:rsidRPr="00140450">
        <w:t>NIST Handbook 44</w:t>
      </w:r>
      <w:r>
        <w:t>, Section 5.54</w:t>
      </w:r>
      <w:r w:rsidR="00893A4B">
        <w:t>.</w:t>
      </w:r>
      <w:r>
        <w:t xml:space="preserve"> Taximeters to make it specifically apply to Global Positioning System </w:t>
      </w:r>
      <w:r w:rsidRPr="001B7738">
        <w:t>(GPS)</w:t>
      </w:r>
      <w:r>
        <w:t xml:space="preserve"> system applications used commercially to compute fares based upon distance and/or time measurements. </w:t>
      </w:r>
    </w:p>
    <w:p w:rsidR="001867E0" w:rsidRDefault="001867E0" w:rsidP="001B79AA">
      <w:pPr>
        <w:pStyle w:val="BoldHeading"/>
        <w:keepNext/>
        <w:spacing w:after="0"/>
      </w:pPr>
      <w:r>
        <w:lastRenderedPageBreak/>
        <w:t xml:space="preserve">Item Under Consideration: </w:t>
      </w:r>
    </w:p>
    <w:p w:rsidR="0084790D" w:rsidRDefault="001867E0" w:rsidP="001B79AA">
      <w:pPr>
        <w:keepNext/>
        <w:rPr>
          <w:b/>
        </w:rPr>
      </w:pPr>
      <w:r>
        <w:t>A specific proposal was not submitted.</w:t>
      </w:r>
    </w:p>
    <w:p w:rsidR="001867E0" w:rsidRDefault="001867E0" w:rsidP="00140450">
      <w:pPr>
        <w:pStyle w:val="BoldHeading"/>
        <w:spacing w:after="0"/>
      </w:pPr>
      <w:r>
        <w:t>Background/Discussion:</w:t>
      </w:r>
    </w:p>
    <w:p w:rsidR="001867E0" w:rsidRDefault="001867E0" w:rsidP="001867E0">
      <w:r>
        <w:t xml:space="preserve">GPS system applications designed to compute fares based upon distance and/or time measurements are being introduced into the for-hire industry (e.g., taxicabs, limousines) in major U.S. cities.  </w:t>
      </w:r>
      <w:r w:rsidR="00761953">
        <w:t xml:space="preserve">Regulatory officials need </w:t>
      </w:r>
      <w:r>
        <w:t>up-to-date technical standards to protect the consumer from being charged inaccurate fares.  The absence of NCWM standards may encourage fraudulent practices by some users just as some taxicab drivers are known to use “zappers” on traditional electronic taximeters, or intentionally us</w:t>
      </w:r>
      <w:r w:rsidR="00761953">
        <w:t>e</w:t>
      </w:r>
      <w:r>
        <w:t xml:space="preserve"> the wrong rate (recent wides</w:t>
      </w:r>
      <w:r w:rsidR="00D77143">
        <w:t xml:space="preserve">pread problem in New York City and </w:t>
      </w:r>
      <w:r>
        <w:t>Los Angeles).  The potential for fraud using computer programs and wireless technology was amply demonstrated by the “pulser” unit substitutions in retail motor-fuel dispensers at a very large number of gas stations in Los Angeles a few years ago.  Section 5.54</w:t>
      </w:r>
      <w:r w:rsidR="00893A4B">
        <w:t>.</w:t>
      </w:r>
      <w:r>
        <w:t xml:space="preserve"> Taximeters must be completely rewritten to reflect the new technology represented by “virtual taximeters.”  The test methods (i.e., measured mile, dynamometer) and tolerances are probably satisfactory but the remainder of Section 5.54</w:t>
      </w:r>
      <w:r w:rsidR="00893A4B">
        <w:t>.</w:t>
      </w:r>
      <w:r>
        <w:t xml:space="preserve"> must be updated to account for “virtual taximeter “technology.</w:t>
      </w:r>
    </w:p>
    <w:p w:rsidR="001867E0" w:rsidRDefault="001867E0" w:rsidP="001867E0">
      <w:r>
        <w:t xml:space="preserve">GPS system applications used commercially to compute fares based upon distance and/or time measurements are: </w:t>
      </w:r>
      <w:r w:rsidR="0058287B">
        <w:t xml:space="preserve"> </w:t>
      </w:r>
      <w:r>
        <w:t>(1) performing the same functio</w:t>
      </w:r>
      <w:r w:rsidR="0056019A">
        <w:t>ns of traditional taximeters (</w:t>
      </w:r>
      <w:r>
        <w:t>e.</w:t>
      </w:r>
      <w:r w:rsidR="0056019A">
        <w:t>g.</w:t>
      </w:r>
      <w:r>
        <w:t>, computing distance and time charges, determining “crossover” speeds</w:t>
      </w:r>
      <w:r w:rsidR="0056019A">
        <w:t>)</w:t>
      </w:r>
      <w:r>
        <w:t>; (2) “virtual taximeters” replacing traditional (“black box”) taximeters; and (3) substituting computer programs and wireless technology to replace electronic taximeters – just as electronic taximeters replaced mechanical taximeters some time ago.  These “virtual taximeters” are the next generation of measuring devices employed by taxicabs – and now limousines.  The “devices” consist of computer software that resides in a “black box” somewhere remote from the taxicab instead of inside the taxicab.  However, the challenges for consu</w:t>
      </w:r>
      <w:r w:rsidR="0056019A">
        <w:t>mer protection remain (</w:t>
      </w:r>
      <w:r>
        <w:t>e.</w:t>
      </w:r>
      <w:r w:rsidR="0056019A">
        <w:t>g.</w:t>
      </w:r>
      <w:r>
        <w:t>, accuracy, security of calibration components</w:t>
      </w:r>
      <w:r w:rsidR="00D77143">
        <w:t xml:space="preserve"> and</w:t>
      </w:r>
      <w:r>
        <w:t xml:space="preserve"> display of measurements at the point of sale where the decision to buy is made</w:t>
      </w:r>
      <w:r w:rsidR="0056019A">
        <w:t>)</w:t>
      </w:r>
      <w:r w:rsidR="0058287B">
        <w:t>.</w:t>
      </w:r>
      <w:r>
        <w:t xml:space="preserve">  </w:t>
      </w:r>
    </w:p>
    <w:p w:rsidR="001867E0" w:rsidRDefault="001867E0" w:rsidP="001867E0">
      <w:r>
        <w:t xml:space="preserve">NCWM, as a standard-setting body, has three goals: </w:t>
      </w:r>
      <w:r w:rsidR="00A64F69">
        <w:t xml:space="preserve"> </w:t>
      </w:r>
      <w:r>
        <w:t>(1) consumer protection</w:t>
      </w:r>
      <w:r w:rsidR="00A64F69">
        <w:t>;</w:t>
      </w:r>
      <w:r>
        <w:t xml:space="preserve"> (2) uniformity of standards and en</w:t>
      </w:r>
      <w:r w:rsidR="00D77143">
        <w:t>forcement</w:t>
      </w:r>
      <w:r w:rsidR="00A64F69">
        <w:t xml:space="preserve">; </w:t>
      </w:r>
      <w:r w:rsidR="00D77143">
        <w:t>and (3) providing a level playing field</w:t>
      </w:r>
      <w:r>
        <w:t xml:space="preserve"> for </w:t>
      </w:r>
      <w:r w:rsidR="00761953">
        <w:t>businesses</w:t>
      </w:r>
      <w:r>
        <w:t xml:space="preserve"> to fairly compete.  This proposal to amend </w:t>
      </w:r>
      <w:r w:rsidRPr="00140450">
        <w:t>NIST Handbook 44</w:t>
      </w:r>
      <w:r w:rsidRPr="00750DD3">
        <w:t xml:space="preserve"> </w:t>
      </w:r>
      <w:r>
        <w:t xml:space="preserve">is aimed at all of these goals.  Producers of traditional taximeters meet </w:t>
      </w:r>
      <w:r w:rsidRPr="00140450">
        <w:t>NIST Handbook 44</w:t>
      </w:r>
      <w:r w:rsidR="00140450">
        <w:t>,</w:t>
      </w:r>
      <w:r>
        <w:t xml:space="preserve"> </w:t>
      </w:r>
      <w:r w:rsidR="00A64F69">
        <w:t>Section </w:t>
      </w:r>
      <w:r>
        <w:t>5.54</w:t>
      </w:r>
      <w:r w:rsidR="00A64F69">
        <w:t>.</w:t>
      </w:r>
      <w:r>
        <w:t xml:space="preserve"> (e.g., Centrodyne), but their competitors selling GPS system applications used commercially to compute fares based upon distance and/or time measurements (e.g., Uber) do not meet any standards.  </w:t>
      </w:r>
    </w:p>
    <w:p w:rsidR="001867E0" w:rsidRDefault="001867E0" w:rsidP="001867E0">
      <w:r>
        <w:t>According to media coverage and product web sites, easily available by a search of the internet, new technology is being introduced to the taxicab and limousine industry for both dispatching and determining fares.  There are several new applications for smart phones that dispatch a taxicab passenger based upon inputs from the taxicab computer dispatch system (e.g., Taxi Magic) but the passenger enters the taximeter fare on the smart phone application in order to pay electronically.  The GPS system applications actually determine the fare based upon distance inputs from GPS such as Google Maps (e.g., Uber).  Uber is active in San Francisco, New York</w:t>
      </w:r>
      <w:r w:rsidR="0058287B">
        <w:t>,</w:t>
      </w:r>
      <w:r>
        <w:t xml:space="preserve"> and Seattle. </w:t>
      </w:r>
    </w:p>
    <w:p w:rsidR="001867E0" w:rsidRDefault="001867E0" w:rsidP="001867E0">
      <w:r>
        <w:t>New technology using GPS inputs and computer programming to measure distance and time in order to compute fares is growing very rapidly.  If NCWM does not promptly begin to examine the GPS system applications</w:t>
      </w:r>
      <w:r w:rsidR="00D77143">
        <w:t xml:space="preserve"> </w:t>
      </w:r>
      <w:r w:rsidR="00BB25A3">
        <w:t>(</w:t>
      </w:r>
      <w:r>
        <w:t>virtual taximeters</w:t>
      </w:r>
      <w:r w:rsidR="00BB25A3">
        <w:t>)</w:t>
      </w:r>
      <w:r>
        <w:t xml:space="preserve"> as measuring devices</w:t>
      </w:r>
      <w:r w:rsidR="001B79AA">
        <w:t>,</w:t>
      </w:r>
      <w:r>
        <w:t xml:space="preserve"> then the consumer is not being protected and the taximeter i</w:t>
      </w:r>
      <w:r w:rsidR="00D77143">
        <w:t>ndustry will not be afforded a level playing field.</w:t>
      </w:r>
    </w:p>
    <w:p w:rsidR="001867E0" w:rsidRDefault="00761953" w:rsidP="001867E0">
      <w:r>
        <w:t>At the</w:t>
      </w:r>
      <w:r w:rsidR="001867E0">
        <w:t xml:space="preserve"> 2011 NEWMA</w:t>
      </w:r>
      <w:r>
        <w:t xml:space="preserve"> Interim Meeting</w:t>
      </w:r>
      <w:r w:rsidR="001867E0">
        <w:t xml:space="preserve"> and </w:t>
      </w:r>
      <w:r>
        <w:t xml:space="preserve">2011 </w:t>
      </w:r>
      <w:r w:rsidR="001867E0">
        <w:t xml:space="preserve">SWMA </w:t>
      </w:r>
      <w:r>
        <w:t>Annual Meeting, b</w:t>
      </w:r>
      <w:r w:rsidR="001867E0">
        <w:t xml:space="preserve">oth regions agreed that the issue should be taken up by a </w:t>
      </w:r>
      <w:r w:rsidR="00336EF6">
        <w:t>w</w:t>
      </w:r>
      <w:r w:rsidR="001867E0">
        <w:t xml:space="preserve">ork </w:t>
      </w:r>
      <w:r w:rsidR="00336EF6">
        <w:t>g</w:t>
      </w:r>
      <w:r w:rsidR="001867E0">
        <w:t xml:space="preserve">roup </w:t>
      </w:r>
      <w:r w:rsidR="00336EF6">
        <w:t xml:space="preserve">being formed by NIST, </w:t>
      </w:r>
      <w:r w:rsidR="001867E0">
        <w:t xml:space="preserve">OWM and NCWM.  SWMA further commented that the submitter should work with that work group and also noted that the use of technologies and devices such as GPS need to be reviewed and addressed by </w:t>
      </w:r>
      <w:r w:rsidR="001867E0" w:rsidRPr="00140450">
        <w:t>NIST Handbook 44</w:t>
      </w:r>
      <w:r w:rsidR="001867E0">
        <w:t xml:space="preserve"> for applications (such as that described by the submitter) where they will be used to generate commercial measurements.</w:t>
      </w:r>
      <w:r>
        <w:t xml:space="preserve"> </w:t>
      </w:r>
      <w:r>
        <w:rPr>
          <w:rFonts w:cs="Times New Roman"/>
        </w:rPr>
        <w:t xml:space="preserve"> NEWMA and SWMA </w:t>
      </w:r>
      <w:r w:rsidRPr="006273B2">
        <w:rPr>
          <w:rFonts w:cs="Times New Roman"/>
        </w:rPr>
        <w:t>fo</w:t>
      </w:r>
      <w:r>
        <w:rPr>
          <w:rFonts w:cs="Times New Roman"/>
        </w:rPr>
        <w:t>rwarded the item to NCWM, recommending it as a Developing</w:t>
      </w:r>
      <w:r w:rsidRPr="006273B2">
        <w:rPr>
          <w:rFonts w:cs="Times New Roman"/>
        </w:rPr>
        <w:t xml:space="preserve"> Item</w:t>
      </w:r>
      <w:r>
        <w:rPr>
          <w:rFonts w:cs="Times New Roman"/>
        </w:rPr>
        <w:t>.</w:t>
      </w:r>
    </w:p>
    <w:p w:rsidR="001867E0" w:rsidRDefault="00761953" w:rsidP="001867E0">
      <w:r>
        <w:t>A</w:t>
      </w:r>
      <w:r w:rsidR="001867E0">
        <w:t>t the 2012 NCWM Interim Meeting</w:t>
      </w:r>
      <w:r w:rsidR="00336EF6">
        <w:t xml:space="preserve">, NIST, </w:t>
      </w:r>
      <w:r w:rsidR="001867E0">
        <w:t xml:space="preserve">OWM </w:t>
      </w:r>
      <w:r>
        <w:t xml:space="preserve">reported </w:t>
      </w:r>
      <w:r w:rsidR="001867E0">
        <w:t xml:space="preserve">that NCWM and NIST had agreed that a </w:t>
      </w:r>
      <w:r w:rsidR="00336EF6">
        <w:t>work group</w:t>
      </w:r>
      <w:r w:rsidR="001867E0">
        <w:t xml:space="preserve"> is needed to review and revise the </w:t>
      </w:r>
      <w:r w:rsidR="001867E0" w:rsidRPr="00140450">
        <w:t>NIST Handbook 44</w:t>
      </w:r>
      <w:r w:rsidR="001867E0">
        <w:t xml:space="preserve"> Taximeters Code to better reflect current technology and practices.  After consultation with </w:t>
      </w:r>
      <w:r w:rsidR="00336EF6">
        <w:t xml:space="preserve">NCWM, NIST, </w:t>
      </w:r>
      <w:r w:rsidR="001867E0">
        <w:t xml:space="preserve">OWM agreed to establish a </w:t>
      </w:r>
      <w:r w:rsidR="00336EF6">
        <w:t>work group</w:t>
      </w:r>
      <w:r w:rsidR="001867E0">
        <w:t xml:space="preserve"> and held a meeting o</w:t>
      </w:r>
      <w:r w:rsidR="00336EF6">
        <w:t xml:space="preserve">f NTEP representatives and NIST, </w:t>
      </w:r>
      <w:r w:rsidR="001867E0">
        <w:t>OWM representatives to identify areas of the code that require revision.  Once a draft revision of the code (a “</w:t>
      </w:r>
      <w:r w:rsidR="00E42CDF">
        <w:t>straw man</w:t>
      </w:r>
      <w:r w:rsidR="00336EF6">
        <w:t xml:space="preserve">”) has been prepared, NIST, OWM </w:t>
      </w:r>
      <w:r w:rsidR="001867E0">
        <w:t xml:space="preserve">will expand the </w:t>
      </w:r>
      <w:r w:rsidR="00336EF6">
        <w:t>work group</w:t>
      </w:r>
      <w:r w:rsidR="001867E0">
        <w:t xml:space="preserve"> by extending </w:t>
      </w:r>
      <w:r w:rsidR="001867E0">
        <w:lastRenderedPageBreak/>
        <w:t>an invitation for other interested parties, including regulators, manufacturers, and users to begin review and discussion of the draft.</w:t>
      </w:r>
    </w:p>
    <w:p w:rsidR="001867E0" w:rsidRDefault="00336EF6" w:rsidP="001867E0">
      <w:r>
        <w:t xml:space="preserve">NIST, </w:t>
      </w:r>
      <w:r w:rsidR="001867E0">
        <w:t xml:space="preserve">OWM noted that this item on GPS-based systems needs additional work and review and suggested that the </w:t>
      </w:r>
      <w:r>
        <w:t>work group</w:t>
      </w:r>
      <w:r w:rsidR="001867E0">
        <w:t xml:space="preserve"> might further develop this issue.  The </w:t>
      </w:r>
      <w:r w:rsidR="0058287B">
        <w:t xml:space="preserve">Committee </w:t>
      </w:r>
      <w:r w:rsidR="001867E0">
        <w:t xml:space="preserve">also heard from representatives of two jurisdictions who expressed concerns about the ability to regulate these systems to ensure that consumers have adequate information and the ability to do value comparisons.  Both cited recent examples of numerous consumer complaints during New Year’s Eve when fares were raised significantly.  Conventional taximeters </w:t>
      </w:r>
      <w:r w:rsidR="00761953">
        <w:t>m</w:t>
      </w:r>
      <w:r w:rsidR="00BB25A3">
        <w:t>us</w:t>
      </w:r>
      <w:r w:rsidR="00761953">
        <w:t>t</w:t>
      </w:r>
      <w:r w:rsidR="001867E0">
        <w:t xml:space="preserve"> to conform to the requirements of </w:t>
      </w:r>
      <w:r w:rsidR="001867E0" w:rsidRPr="00140450">
        <w:t>NIST Handbook 44</w:t>
      </w:r>
      <w:r w:rsidR="001867E0">
        <w:t xml:space="preserve"> with regard to accuracy, operation, fare changes, and posting requirements.  These systems are competing with conventional taximeter, yet changes in fare can be made at any time without any control by </w:t>
      </w:r>
      <w:r w:rsidR="00761953">
        <w:t xml:space="preserve">regulatory </w:t>
      </w:r>
      <w:r w:rsidR="001867E0">
        <w:t>authorit</w:t>
      </w:r>
      <w:r w:rsidR="00761953">
        <w:t>y</w:t>
      </w:r>
      <w:r w:rsidR="001867E0">
        <w:t xml:space="preserve">.  </w:t>
      </w:r>
      <w:r w:rsidR="00761953">
        <w:t>An official</w:t>
      </w:r>
      <w:r w:rsidR="001867E0">
        <w:t xml:space="preserve"> acknowledged the advantages that such systems can bring for consumers and </w:t>
      </w:r>
      <w:r w:rsidR="00761953">
        <w:t xml:space="preserve">encouraged the work group in its efforts to establish requirements for these systems, stating </w:t>
      </w:r>
      <w:r w:rsidR="001867E0">
        <w:t xml:space="preserve">that weights and measures requirements should not inhibit new technology.  A retired official </w:t>
      </w:r>
      <w:r w:rsidR="00761953">
        <w:t>also</w:t>
      </w:r>
      <w:r w:rsidR="001867E0">
        <w:t xml:space="preserve"> encouraged the </w:t>
      </w:r>
      <w:r>
        <w:t>work group</w:t>
      </w:r>
      <w:r w:rsidR="001867E0">
        <w:t xml:space="preserve"> to take on these issues and urged the </w:t>
      </w:r>
      <w:r>
        <w:t>work group</w:t>
      </w:r>
      <w:r w:rsidR="001867E0">
        <w:t xml:space="preserve"> to carefully study these systems to ensure that appropriate safeguards are put into place to </w:t>
      </w:r>
      <w:r w:rsidR="00761953">
        <w:t>protect</w:t>
      </w:r>
      <w:r w:rsidR="001867E0">
        <w:t xml:space="preserve"> consumer</w:t>
      </w:r>
      <w:r w:rsidR="00761953">
        <w:t>s</w:t>
      </w:r>
      <w:r w:rsidR="001867E0">
        <w:t xml:space="preserve"> without placing a significant cost burden on</w:t>
      </w:r>
      <w:r w:rsidR="00761953">
        <w:t xml:space="preserve"> design of</w:t>
      </w:r>
      <w:r w:rsidR="001867E0">
        <w:t xml:space="preserve"> the equipment.</w:t>
      </w:r>
    </w:p>
    <w:p w:rsidR="00443F2D" w:rsidRDefault="00443F2D" w:rsidP="00443F2D">
      <w:r>
        <w:t>At the 2012 NCWM Interim Meeting, t</w:t>
      </w:r>
      <w:r w:rsidR="00C25E99">
        <w:t>he C</w:t>
      </w:r>
      <w:r>
        <w:t>ommittee agreed with the comments that this item needs additional work and supported the formation of the Work Group by NIST, OWM.</w:t>
      </w:r>
      <w:r w:rsidRPr="00443F2D">
        <w:rPr>
          <w:rFonts w:cs="Times New Roman"/>
        </w:rPr>
        <w:t xml:space="preserve"> </w:t>
      </w:r>
      <w:r w:rsidR="00544930">
        <w:rPr>
          <w:rFonts w:cs="Times New Roman"/>
        </w:rPr>
        <w:t xml:space="preserve"> </w:t>
      </w:r>
      <w:r w:rsidR="00C25E99">
        <w:rPr>
          <w:rFonts w:cs="Times New Roman"/>
        </w:rPr>
        <w:t xml:space="preserve">The </w:t>
      </w:r>
      <w:r w:rsidRPr="006273B2">
        <w:rPr>
          <w:rFonts w:cs="Times New Roman"/>
        </w:rPr>
        <w:t xml:space="preserve">Committee designated this item as </w:t>
      </w:r>
      <w:r>
        <w:rPr>
          <w:rFonts w:cs="Times New Roman"/>
        </w:rPr>
        <w:t xml:space="preserve">a </w:t>
      </w:r>
      <w:r w:rsidRPr="006273B2">
        <w:rPr>
          <w:rFonts w:cs="Times New Roman"/>
        </w:rPr>
        <w:t>Developing</w:t>
      </w:r>
      <w:r>
        <w:rPr>
          <w:rFonts w:cs="Times New Roman"/>
        </w:rPr>
        <w:t xml:space="preserve"> Item</w:t>
      </w:r>
      <w:r>
        <w:t>.</w:t>
      </w:r>
    </w:p>
    <w:p w:rsidR="00443F2D" w:rsidRPr="000F351F" w:rsidRDefault="00443F2D" w:rsidP="00443F2D">
      <w:r w:rsidRPr="000F351F">
        <w:t>At its 2012 Annual Meeting, CWMA received no comments on this issue and took no position on it.</w:t>
      </w:r>
    </w:p>
    <w:p w:rsidR="00443F2D" w:rsidRPr="000F351F" w:rsidRDefault="00443F2D" w:rsidP="00443F2D">
      <w:r w:rsidRPr="000F351F">
        <w:t>At its 2012 Annual Meeting, NEWMA maintained a neutral position on this item and de</w:t>
      </w:r>
      <w:r w:rsidR="001B79AA">
        <w:t>signated it as “Developing.”  M</w:t>
      </w:r>
      <w:r w:rsidRPr="000F351F">
        <w:t>s. Tina Butcher, NIST</w:t>
      </w:r>
      <w:r w:rsidR="00F7648E">
        <w:t>,</w:t>
      </w:r>
      <w:r w:rsidRPr="000F351F">
        <w:t xml:space="preserve"> OWM, reported that NIST has formed a work group on taximeters and that group will hold its first meeting in May.  NEWMA looks forward to the work of the NIST Taximeter Work Group and any proposals that are generate from that group.</w:t>
      </w:r>
    </w:p>
    <w:p w:rsidR="00443F2D" w:rsidRPr="000F351F" w:rsidRDefault="00443F2D" w:rsidP="00443F2D">
      <w:r w:rsidRPr="000F351F">
        <w:t>At the Committee’s 2012 NCWM Annual Meeting Open Hearings, Ms. Williams, reiterated the comments offered by NIST</w:t>
      </w:r>
      <w:r w:rsidR="00F7648E">
        <w:t>,</w:t>
      </w:r>
      <w:r w:rsidRPr="000F351F">
        <w:t xml:space="preserve"> OWM on Item 360-5 and noted that these comments also apply to this item.</w:t>
      </w:r>
    </w:p>
    <w:p w:rsidR="00F23727" w:rsidRDefault="00443F2D" w:rsidP="001867E0">
      <w:r>
        <w:t xml:space="preserve">The Committee </w:t>
      </w:r>
      <w:r w:rsidRPr="000F351F">
        <w:t xml:space="preserve">expressed appreciation to </w:t>
      </w:r>
      <w:r w:rsidR="00F7648E">
        <w:t xml:space="preserve">NIST, </w:t>
      </w:r>
      <w:r w:rsidRPr="000F351F">
        <w:t xml:space="preserve">OWM for the update and looks forward to </w:t>
      </w:r>
      <w:r>
        <w:t xml:space="preserve">further development of this issue and </w:t>
      </w:r>
      <w:r w:rsidRPr="000F351F">
        <w:t>future recommendations from the Work Group.</w:t>
      </w:r>
      <w:r>
        <w:t xml:space="preserve">  Interested parties should contact Mr. John Barton, Legal Metrology Devices Program, NIST, OWM at (301) 975-4002 at </w:t>
      </w:r>
      <w:hyperlink r:id="rId26" w:history="1">
        <w:r w:rsidRPr="00E72A87">
          <w:rPr>
            <w:rStyle w:val="Hyperlink"/>
          </w:rPr>
          <w:t>john.barton@nist.gov</w:t>
        </w:r>
      </w:hyperlink>
      <w:r w:rsidR="001B79AA">
        <w:t>.</w:t>
      </w:r>
      <w:r w:rsidR="00290C90" w:rsidRPr="00960D99">
        <w:t xml:space="preserve"> </w:t>
      </w:r>
    </w:p>
    <w:bookmarkEnd w:id="3"/>
    <w:bookmarkEnd w:id="4"/>
    <w:bookmarkEnd w:id="5"/>
    <w:bookmarkEnd w:id="6"/>
    <w:bookmarkEnd w:id="7"/>
    <w:bookmarkEnd w:id="8"/>
    <w:bookmarkEnd w:id="9"/>
    <w:bookmarkEnd w:id="10"/>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F3504E" w:rsidTr="00A51EE5">
        <w:tc>
          <w:tcPr>
            <w:tcW w:w="4687" w:type="dxa"/>
            <w:tcBorders>
              <w:top w:val="nil"/>
              <w:left w:val="nil"/>
              <w:bottom w:val="single" w:sz="8" w:space="0" w:color="auto"/>
              <w:right w:val="nil"/>
            </w:tcBorders>
          </w:tcPr>
          <w:p w:rsidR="00A51EE5" w:rsidRDefault="00A51EE5" w:rsidP="00140450">
            <w:pPr>
              <w:pStyle w:val="TableText"/>
              <w:keepNext/>
            </w:pPr>
          </w:p>
          <w:p w:rsidR="001B79AA" w:rsidRDefault="001B79AA" w:rsidP="00140450">
            <w:pPr>
              <w:pStyle w:val="TableText"/>
              <w:keepNext/>
            </w:pPr>
          </w:p>
          <w:p w:rsidR="001B79AA" w:rsidRDefault="001B79AA" w:rsidP="00140450">
            <w:pPr>
              <w:pStyle w:val="TableText"/>
              <w:keepNext/>
            </w:pPr>
          </w:p>
          <w:p w:rsidR="001B79AA" w:rsidRPr="00F3504E" w:rsidRDefault="001B79AA" w:rsidP="00140450">
            <w:pPr>
              <w:pStyle w:val="TableText"/>
              <w:keepNext/>
            </w:pPr>
          </w:p>
        </w:tc>
      </w:tr>
    </w:tbl>
    <w:p w:rsidR="00AB5C37" w:rsidRPr="00F3504E" w:rsidRDefault="00AB1518" w:rsidP="00140450">
      <w:pPr>
        <w:pStyle w:val="CommitteeMemberNames"/>
        <w:keepNext/>
        <w:spacing w:before="120" w:after="0"/>
      </w:pPr>
      <w:r>
        <w:t>Mr. Steve Giguere, Maine</w:t>
      </w:r>
      <w:r w:rsidR="00F3504E">
        <w:t xml:space="preserve"> </w:t>
      </w:r>
      <w:r w:rsidR="00AB5C37" w:rsidRPr="00F3504E">
        <w:t>|</w:t>
      </w:r>
      <w:r w:rsidR="00A51EE5" w:rsidRPr="00F3504E">
        <w:t xml:space="preserve"> </w:t>
      </w:r>
      <w:r>
        <w:t>Committee Chair</w:t>
      </w:r>
    </w:p>
    <w:p w:rsidR="009D2989" w:rsidRPr="00F3504E" w:rsidRDefault="009D2989" w:rsidP="009D2989">
      <w:pPr>
        <w:pStyle w:val="CommitteeMemberNames"/>
        <w:keepNext/>
        <w:spacing w:after="0"/>
      </w:pPr>
      <w:r>
        <w:t>Mr. Mahesh Albuquerque, Colorado</w:t>
      </w:r>
      <w:r w:rsidRPr="00F3504E">
        <w:t xml:space="preserve"> | </w:t>
      </w:r>
      <w:r>
        <w:t>Member</w:t>
      </w:r>
    </w:p>
    <w:p w:rsidR="009D2989" w:rsidRPr="00F3504E" w:rsidRDefault="009D2989" w:rsidP="009D2989">
      <w:pPr>
        <w:pStyle w:val="CommitteeMemberNames"/>
        <w:keepNext/>
        <w:spacing w:after="0"/>
      </w:pPr>
      <w:r>
        <w:t>Mr. Brett Gurney, Utah</w:t>
      </w:r>
      <w:r w:rsidRPr="00F3504E">
        <w:t xml:space="preserve"> | </w:t>
      </w:r>
      <w:r>
        <w:t>Member</w:t>
      </w:r>
      <w:r w:rsidRPr="00F3504E">
        <w:t xml:space="preserve"> </w:t>
      </w:r>
    </w:p>
    <w:p w:rsidR="009D2989" w:rsidRPr="00F3504E" w:rsidRDefault="009D2989" w:rsidP="009D2989">
      <w:pPr>
        <w:pStyle w:val="CommitteeMemberNames"/>
        <w:keepNext/>
        <w:spacing w:after="0"/>
      </w:pPr>
      <w:r>
        <w:t>Mr. Paul Moyer, Nebraska</w:t>
      </w:r>
      <w:r w:rsidRPr="00F3504E">
        <w:t xml:space="preserve"> | </w:t>
      </w:r>
      <w:r>
        <w:t>Member</w:t>
      </w:r>
    </w:p>
    <w:p w:rsidR="00A51EE5" w:rsidRPr="00F3504E" w:rsidRDefault="00AB1518" w:rsidP="00140450">
      <w:pPr>
        <w:pStyle w:val="CommitteeMemberNames"/>
        <w:keepNext/>
        <w:spacing w:after="0"/>
      </w:pPr>
      <w:r>
        <w:t>Mr. Kenneth Ramsburg, Maryland</w:t>
      </w:r>
      <w:r w:rsidR="00AB5C37" w:rsidRPr="00F3504E">
        <w:t xml:space="preserve"> | </w:t>
      </w:r>
      <w:r>
        <w:t>Member</w:t>
      </w:r>
    </w:p>
    <w:p w:rsidR="00AB5C37" w:rsidRPr="00F3504E" w:rsidRDefault="00AB1518" w:rsidP="00140450">
      <w:pPr>
        <w:pStyle w:val="CommitteeMemberNames"/>
        <w:keepNext/>
        <w:spacing w:after="0"/>
      </w:pPr>
      <w:r>
        <w:t>Mr. Ted Kingsbury, Measurement Canada</w:t>
      </w:r>
      <w:r w:rsidR="00AB5C37" w:rsidRPr="00F3504E">
        <w:t xml:space="preserve"> | </w:t>
      </w:r>
      <w:r>
        <w:t>Canadian Technical Advisor</w:t>
      </w:r>
    </w:p>
    <w:p w:rsidR="00AB5C37" w:rsidRPr="00F3504E" w:rsidRDefault="00AB1518" w:rsidP="00140450">
      <w:pPr>
        <w:pStyle w:val="CommitteeMemberNames"/>
        <w:keepNext/>
        <w:spacing w:after="0"/>
      </w:pPr>
      <w:r>
        <w:t xml:space="preserve">Ms. Tina Butcher, NIST, </w:t>
      </w:r>
      <w:r w:rsidR="005E1866">
        <w:t>OWM</w:t>
      </w:r>
      <w:r w:rsidR="00AB5C37" w:rsidRPr="00F3504E">
        <w:t xml:space="preserve"> | </w:t>
      </w:r>
      <w:r>
        <w:t>NIST Technical Advisor</w:t>
      </w:r>
    </w:p>
    <w:p w:rsidR="00AB5C37" w:rsidRDefault="00AB1518" w:rsidP="00140450">
      <w:pPr>
        <w:pStyle w:val="CommitteeMemberNames"/>
        <w:keepNext/>
        <w:spacing w:after="0"/>
      </w:pPr>
      <w:r>
        <w:t xml:space="preserve">Mr. Rick Harshman, NIST, </w:t>
      </w:r>
      <w:r w:rsidR="005E1866">
        <w:t>OWM</w:t>
      </w:r>
      <w:r w:rsidR="00AB5C37" w:rsidRPr="00F3504E">
        <w:t xml:space="preserve"> | </w:t>
      </w:r>
      <w:r>
        <w:t>NIST Technical Advisor</w:t>
      </w:r>
    </w:p>
    <w:p w:rsidR="0002147D" w:rsidRDefault="0002147D" w:rsidP="00140450">
      <w:pPr>
        <w:pStyle w:val="CommitteeMemberNames"/>
        <w:keepNext/>
        <w:spacing w:after="0"/>
      </w:pPr>
      <w:r>
        <w:t>Ms. Juana Williams, NIST, OWM</w:t>
      </w:r>
      <w:r w:rsidRPr="00F3504E">
        <w:t xml:space="preserve"> | </w:t>
      </w:r>
      <w:r>
        <w:t>NIST Technical Advisor</w:t>
      </w:r>
    </w:p>
    <w:p w:rsidR="00AB5C37" w:rsidRPr="00F3504E" w:rsidRDefault="00AB5C37" w:rsidP="00AB5C37">
      <w:pPr>
        <w:pStyle w:val="CommitteeMemberNames"/>
      </w:pPr>
    </w:p>
    <w:p w:rsidR="00F23727" w:rsidRPr="00140450" w:rsidRDefault="00AB1518" w:rsidP="00B77FD2">
      <w:pPr>
        <w:pStyle w:val="CommitteeMemberNames"/>
        <w:jc w:val="left"/>
        <w:rPr>
          <w:sz w:val="24"/>
          <w:szCs w:val="24"/>
        </w:rPr>
      </w:pPr>
      <w:r w:rsidRPr="00140450">
        <w:rPr>
          <w:b/>
          <w:sz w:val="24"/>
          <w:szCs w:val="24"/>
        </w:rPr>
        <w:t>Specifi</w:t>
      </w:r>
      <w:r w:rsidR="005940C2" w:rsidRPr="00140450">
        <w:rPr>
          <w:b/>
          <w:sz w:val="24"/>
          <w:szCs w:val="24"/>
        </w:rPr>
        <w:t xml:space="preserve">cations and Tolerances </w:t>
      </w:r>
      <w:r w:rsidR="006D4907" w:rsidRPr="00140450">
        <w:rPr>
          <w:b/>
          <w:sz w:val="24"/>
          <w:szCs w:val="24"/>
        </w:rPr>
        <w:t>Committee</w:t>
      </w:r>
    </w:p>
    <w:p w:rsidR="001B79AA" w:rsidRDefault="001B79AA">
      <w:pPr>
        <w:spacing w:after="200" w:line="276" w:lineRule="auto"/>
        <w:jc w:val="left"/>
      </w:pPr>
    </w:p>
    <w:p w:rsidR="00B467BA" w:rsidRDefault="00B467BA">
      <w:pPr>
        <w:pStyle w:val="CommitteeMemberNames"/>
        <w:jc w:val="left"/>
      </w:pPr>
    </w:p>
    <w:p w:rsidR="004B522A" w:rsidRDefault="004B522A">
      <w:pPr>
        <w:pStyle w:val="CommitteeMemberNames"/>
        <w:jc w:val="left"/>
      </w:pPr>
    </w:p>
    <w:p w:rsidR="004B522A" w:rsidRDefault="004B522A">
      <w:pPr>
        <w:pStyle w:val="CommitteeMemberNames"/>
        <w:jc w:val="left"/>
      </w:pPr>
    </w:p>
    <w:p w:rsidR="004B522A" w:rsidRDefault="004B522A">
      <w:pPr>
        <w:pStyle w:val="CommitteeMemberNames"/>
        <w:jc w:val="left"/>
      </w:pPr>
    </w:p>
    <w:p w:rsidR="004B522A" w:rsidRDefault="004B522A">
      <w:pPr>
        <w:pStyle w:val="CommitteeMemberNames"/>
        <w:jc w:val="left"/>
      </w:pPr>
    </w:p>
    <w:p w:rsidR="00594950" w:rsidRDefault="00594950">
      <w:pPr>
        <w:pStyle w:val="CommitteeMemberNames"/>
        <w:jc w:val="left"/>
      </w:pPr>
    </w:p>
    <w:p w:rsidR="004B522A" w:rsidRDefault="004B522A">
      <w:pPr>
        <w:pStyle w:val="CommitteeMemberNames"/>
        <w:jc w:val="left"/>
      </w:pPr>
    </w:p>
    <w:p w:rsidR="004B522A" w:rsidRDefault="004B522A">
      <w:pPr>
        <w:pStyle w:val="CommitteeMemberNames"/>
        <w:jc w:val="left"/>
      </w:pPr>
    </w:p>
    <w:p w:rsidR="004B522A" w:rsidRDefault="004B522A">
      <w:pPr>
        <w:pStyle w:val="CommitteeMemberNames"/>
        <w:jc w:val="left"/>
      </w:pPr>
    </w:p>
    <w:p w:rsidR="004B522A" w:rsidRDefault="004B522A">
      <w:pPr>
        <w:pStyle w:val="CommitteeMemberNames"/>
        <w:jc w:val="left"/>
      </w:pPr>
    </w:p>
    <w:p w:rsidR="004B522A" w:rsidRPr="00B467BA" w:rsidRDefault="004B522A" w:rsidP="009D59C4">
      <w:pPr>
        <w:pStyle w:val="CommitteeMemberNames"/>
        <w:jc w:val="center"/>
      </w:pPr>
      <w:r>
        <w:t>THIS PAGE INTENTIONALLY LEFT BLANK</w:t>
      </w:r>
    </w:p>
    <w:sectPr w:rsidR="004B522A" w:rsidRPr="00B467BA" w:rsidSect="00833D40">
      <w:headerReference w:type="even" r:id="rId27"/>
      <w:headerReference w:type="default" r:id="rId28"/>
      <w:footerReference w:type="even" r:id="rId29"/>
      <w:footerReference w:type="default" r:id="rId30"/>
      <w:pgSz w:w="12240" w:h="15840"/>
      <w:pgMar w:top="1440" w:right="1440" w:bottom="1440" w:left="1440" w:header="720" w:footer="720" w:gutter="0"/>
      <w:pgNumType w:start="2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A27" w:rsidRDefault="00DF0A27" w:rsidP="0082263A">
      <w:r>
        <w:separator/>
      </w:r>
    </w:p>
  </w:endnote>
  <w:endnote w:type="continuationSeparator" w:id="0">
    <w:p w:rsidR="00DF0A27" w:rsidRDefault="00DF0A27"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merType Md BT">
    <w:altName w:val="Century"/>
    <w:charset w:val="00"/>
    <w:family w:val="roman"/>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601811"/>
      <w:docPartObj>
        <w:docPartGallery w:val="Page Numbers (Bottom of Page)"/>
        <w:docPartUnique/>
      </w:docPartObj>
    </w:sdtPr>
    <w:sdtEndPr/>
    <w:sdtContent>
      <w:p w:rsidR="00110D23" w:rsidRPr="00787052" w:rsidRDefault="00110D23" w:rsidP="009F592C">
        <w:pPr>
          <w:pStyle w:val="Footer1"/>
          <w:spacing w:after="0"/>
        </w:pPr>
        <w:r>
          <w:t xml:space="preserve">S&amp;T - </w:t>
        </w:r>
        <w:r w:rsidRPr="00787052">
          <w:fldChar w:fldCharType="begin"/>
        </w:r>
        <w:r w:rsidRPr="00787052">
          <w:instrText xml:space="preserve"> PAGE   \* MERGEFORMAT </w:instrText>
        </w:r>
        <w:r w:rsidRPr="00787052">
          <w:fldChar w:fldCharType="separate"/>
        </w:r>
        <w:r w:rsidR="006E083F">
          <w:rPr>
            <w:noProof/>
          </w:rPr>
          <w:t>4</w:t>
        </w:r>
        <w:r w:rsidRPr="00787052">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606500"/>
      <w:docPartObj>
        <w:docPartGallery w:val="Page Numbers (Bottom of Page)"/>
        <w:docPartUnique/>
      </w:docPartObj>
    </w:sdtPr>
    <w:sdtEndPr/>
    <w:sdtContent>
      <w:p w:rsidR="00110D23" w:rsidRDefault="00110D23" w:rsidP="009F592C">
        <w:pPr>
          <w:pStyle w:val="Footer1"/>
          <w:spacing w:after="0"/>
        </w:pPr>
        <w:r>
          <w:t xml:space="preserve">S&amp;T - </w:t>
        </w:r>
        <w:r w:rsidRPr="00787052">
          <w:fldChar w:fldCharType="begin"/>
        </w:r>
        <w:r w:rsidRPr="00787052">
          <w:instrText xml:space="preserve"> PAGE   \* MERGEFORMAT </w:instrText>
        </w:r>
        <w:r w:rsidRPr="00787052">
          <w:fldChar w:fldCharType="separate"/>
        </w:r>
        <w:r w:rsidR="006E083F">
          <w:rPr>
            <w:noProof/>
          </w:rPr>
          <w:t>3</w:t>
        </w:r>
        <w:r w:rsidRPr="00787052">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23" w:rsidRPr="00787052" w:rsidRDefault="00110D23" w:rsidP="00EF74FC">
    <w:pPr>
      <w:pStyle w:val="Footer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23" w:rsidRDefault="00110D23" w:rsidP="004D3211">
    <w:pPr>
      <w:pStyle w:val="Footer1"/>
    </w:pPr>
    <w:r>
      <w:rPr>
        <w:noProof/>
      </w:rPr>
      <mc:AlternateContent>
        <mc:Choice Requires="wps">
          <w:drawing>
            <wp:anchor distT="0" distB="0" distL="114300" distR="114300" simplePos="0" relativeHeight="251670528" behindDoc="0" locked="0" layoutInCell="1" allowOverlap="1" wp14:anchorId="39AE12C1" wp14:editId="66123AD2">
              <wp:simplePos x="0" y="0"/>
              <wp:positionH relativeFrom="page">
                <wp:posOffset>9297543</wp:posOffset>
              </wp:positionH>
              <wp:positionV relativeFrom="page">
                <wp:posOffset>4154805</wp:posOffset>
              </wp:positionV>
              <wp:extent cx="356235" cy="2235835"/>
              <wp:effectExtent l="0" t="0" r="5715" b="0"/>
              <wp:wrapNone/>
              <wp:docPr id="13" name="Text Box 13"/>
              <wp:cNvGraphicFramePr/>
              <a:graphic xmlns:a="http://schemas.openxmlformats.org/drawingml/2006/main">
                <a:graphicData uri="http://schemas.microsoft.com/office/word/2010/wordprocessingShape">
                  <wps:wsp>
                    <wps:cNvSpPr txBox="1"/>
                    <wps:spPr>
                      <a:xfrm>
                        <a:off x="0" y="0"/>
                        <a:ext cx="356235" cy="22358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0D23" w:rsidRDefault="00110D23" w:rsidP="00833D40">
                          <w:pPr>
                            <w:ind w:left="1440"/>
                            <w:jc w:val="left"/>
                          </w:pPr>
                          <w:r>
                            <w:t>S&amp;T 2012 Final Report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left:0;text-align:left;margin-left:732.1pt;margin-top:327.15pt;width:28.05pt;height:176.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" fillcolor="white [3201]" stroked="f" strokeweight=".5pt">
              <v:textbox style="layout-flow:vertical">
                <w:txbxContent>
                  <w:p w:rsidR="00110D23" w:rsidRDefault="00110D23" w:rsidP="00833D40">
                    <w:pPr>
                      <w:ind w:left="1440"/>
                      <w:jc w:val="left"/>
                    </w:pPr>
                    <w:r>
                      <w:t>S&amp;T 2012 Final Report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630108"/>
      <w:docPartObj>
        <w:docPartGallery w:val="Page Numbers (Bottom of Page)"/>
        <w:docPartUnique/>
      </w:docPartObj>
    </w:sdtPr>
    <w:sdtEndPr/>
    <w:sdtContent>
      <w:p w:rsidR="00110D23" w:rsidRPr="00787052" w:rsidRDefault="00110D23" w:rsidP="00833D40">
        <w:pPr>
          <w:pStyle w:val="Footer1"/>
          <w:spacing w:after="0"/>
        </w:pPr>
        <w:r>
          <w:t xml:space="preserve">S&amp;T - </w:t>
        </w:r>
        <w:r w:rsidRPr="00787052">
          <w:fldChar w:fldCharType="begin"/>
        </w:r>
        <w:r w:rsidRPr="00787052">
          <w:instrText xml:space="preserve"> PAGE   \* MERGEFORMAT </w:instrText>
        </w:r>
        <w:r w:rsidRPr="00787052">
          <w:fldChar w:fldCharType="separate"/>
        </w:r>
        <w:r w:rsidR="006E083F">
          <w:rPr>
            <w:noProof/>
          </w:rPr>
          <w:t>78</w:t>
        </w:r>
        <w:r w:rsidRPr="00787052">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757938"/>
      <w:docPartObj>
        <w:docPartGallery w:val="Page Numbers (Bottom of Page)"/>
        <w:docPartUnique/>
      </w:docPartObj>
    </w:sdtPr>
    <w:sdtEndPr/>
    <w:sdtContent>
      <w:p w:rsidR="00110D23" w:rsidRDefault="00110D23" w:rsidP="00833D40">
        <w:pPr>
          <w:pStyle w:val="Footer1"/>
          <w:spacing w:after="0"/>
        </w:pPr>
        <w:r>
          <w:t xml:space="preserve">S&amp;T - </w:t>
        </w:r>
        <w:r w:rsidRPr="00787052">
          <w:fldChar w:fldCharType="begin"/>
        </w:r>
        <w:r w:rsidRPr="00787052">
          <w:instrText xml:space="preserve"> PAGE   \* MERGEFORMAT </w:instrText>
        </w:r>
        <w:r w:rsidRPr="00787052">
          <w:fldChar w:fldCharType="separate"/>
        </w:r>
        <w:r w:rsidR="006E083F">
          <w:rPr>
            <w:noProof/>
          </w:rPr>
          <w:t>77</w:t>
        </w:r>
        <w:r w:rsidRPr="00787052">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A27" w:rsidRDefault="00DF0A27" w:rsidP="0082263A">
      <w:r>
        <w:separator/>
      </w:r>
    </w:p>
  </w:footnote>
  <w:footnote w:type="continuationSeparator" w:id="0">
    <w:p w:rsidR="00DF0A27" w:rsidRDefault="00DF0A27"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23" w:rsidRPr="00835D5B" w:rsidRDefault="00110D23" w:rsidP="00FE0A2E">
    <w:pPr>
      <w:pStyle w:val="Header"/>
      <w:tabs>
        <w:tab w:val="clear" w:pos="4680"/>
      </w:tabs>
      <w:spacing w:after="0"/>
      <w:jc w:val="left"/>
    </w:pPr>
    <w:r>
      <w:t>S&amp;T Committee 2012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23" w:rsidRPr="00360EEF" w:rsidRDefault="00110D23" w:rsidP="00FE0A2E">
    <w:pPr>
      <w:pStyle w:val="Header"/>
      <w:tabs>
        <w:tab w:val="clear" w:pos="4680"/>
      </w:tabs>
      <w:spacing w:after="0"/>
      <w:jc w:val="right"/>
    </w:pPr>
    <w:r>
      <w:t>S&amp;T Committee 2012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23" w:rsidRPr="00835D5B" w:rsidRDefault="00110D23" w:rsidP="005940C2">
    <w:pPr>
      <w:pStyle w:val="Header"/>
      <w:tabs>
        <w:tab w:val="clear" w:pos="4680"/>
      </w:tabs>
      <w:jc w:val="left"/>
    </w:pPr>
    <w:r>
      <w:rPr>
        <w:noProof/>
      </w:rPr>
      <mc:AlternateContent>
        <mc:Choice Requires="wps">
          <w:drawing>
            <wp:anchor distT="0" distB="0" distL="114300" distR="114300" simplePos="0" relativeHeight="251672576" behindDoc="0" locked="0" layoutInCell="1" allowOverlap="1" wp14:anchorId="58434748" wp14:editId="281267BB">
              <wp:simplePos x="0" y="0"/>
              <wp:positionH relativeFrom="page">
                <wp:posOffset>9326880</wp:posOffset>
              </wp:positionH>
              <wp:positionV relativeFrom="page">
                <wp:align>bottom</wp:align>
              </wp:positionV>
              <wp:extent cx="356616" cy="6858000"/>
              <wp:effectExtent l="0" t="0" r="5715" b="0"/>
              <wp:wrapNone/>
              <wp:docPr id="15" name="Text Box 15"/>
              <wp:cNvGraphicFramePr/>
              <a:graphic xmlns:a="http://schemas.openxmlformats.org/drawingml/2006/main">
                <a:graphicData uri="http://schemas.microsoft.com/office/word/2010/wordprocessingShape">
                  <wps:wsp>
                    <wps:cNvSpPr txBox="1"/>
                    <wps:spPr>
                      <a:xfrm>
                        <a:off x="0" y="0"/>
                        <a:ext cx="356616" cy="6858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0D23" w:rsidRDefault="00110D23" w:rsidP="00B0517F">
                          <w:pPr>
                            <w:jc w:val="left"/>
                          </w:pPr>
                          <w:r>
                            <w:t>S&amp;T 2012 Final Report</w:t>
                          </w:r>
                        </w:p>
                        <w:p w:rsidR="00110D23" w:rsidRDefault="00110D23" w:rsidP="00B0517F">
                          <w:pPr>
                            <w:jc w:val="left"/>
                          </w:pPr>
                          <w:r>
                            <w:t>ti Report</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margin-left:734.4pt;margin-top:0;width:28.1pt;height:540pt;z-index:25167257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" fillcolor="white [3201]" stroked="f" strokeweight=".5pt">
              <v:textbox style="layout-flow:vertical">
                <w:txbxContent>
                  <w:p w:rsidR="00110D23" w:rsidRDefault="00110D23" w:rsidP="00B0517F">
                    <w:pPr>
                      <w:jc w:val="left"/>
                    </w:pPr>
                    <w:r>
                      <w:t>S&amp;T 2012 Final Report</w:t>
                    </w:r>
                  </w:p>
                  <w:p w:rsidR="00110D23" w:rsidRDefault="00110D23" w:rsidP="00B0517F">
                    <w:pPr>
                      <w:jc w:val="left"/>
                    </w:pPr>
                    <w:proofErr w:type="spellStart"/>
                    <w:proofErr w:type="gramStart"/>
                    <w:r>
                      <w:t>ti</w:t>
                    </w:r>
                    <w:proofErr w:type="spellEnd"/>
                    <w:proofErr w:type="gramEnd"/>
                    <w:r>
                      <w:t xml:space="preserve"> Report</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65222ADA" wp14:editId="6AD2D6B1">
              <wp:simplePos x="0" y="0"/>
              <wp:positionH relativeFrom="column">
                <wp:posOffset>-628963</wp:posOffset>
              </wp:positionH>
              <wp:positionV relativeFrom="page">
                <wp:align>top</wp:align>
              </wp:positionV>
              <wp:extent cx="329184" cy="7781544"/>
              <wp:effectExtent l="0" t="0" r="0" b="0"/>
              <wp:wrapNone/>
              <wp:docPr id="9" name="Text Box 9"/>
              <wp:cNvGraphicFramePr/>
              <a:graphic xmlns:a="http://schemas.openxmlformats.org/drawingml/2006/main">
                <a:graphicData uri="http://schemas.microsoft.com/office/word/2010/wordprocessingShape">
                  <wps:wsp>
                    <wps:cNvSpPr txBox="1"/>
                    <wps:spPr>
                      <a:xfrm>
                        <a:off x="0" y="0"/>
                        <a:ext cx="329184" cy="77815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547455035"/>
                            <w:docPartObj>
                              <w:docPartGallery w:val="Page Numbers (Bottom of Page)"/>
                              <w:docPartUnique/>
                            </w:docPartObj>
                          </w:sdtPr>
                          <w:sdtEndPr>
                            <w:rPr>
                              <w:noProof/>
                            </w:rPr>
                          </w:sdtEndPr>
                          <w:sdtContent>
                            <w:p w:rsidR="00110D23" w:rsidRDefault="00110D23" w:rsidP="004D3211">
                              <w:pPr>
                                <w:pStyle w:val="Footer1"/>
                              </w:pPr>
                              <w:r>
                                <w:t xml:space="preserve">S&amp;T - </w:t>
                              </w:r>
                              <w:r>
                                <w:fldChar w:fldCharType="begin"/>
                              </w:r>
                              <w:r>
                                <w:instrText xml:space="preserve"> PAGE   \* MERGEFORMAT </w:instrText>
                              </w:r>
                              <w:r>
                                <w:fldChar w:fldCharType="separate"/>
                              </w:r>
                              <w:r w:rsidR="00BB2AFB">
                                <w:rPr>
                                  <w:noProof/>
                                </w:rPr>
                                <w:t>22</w:t>
                              </w:r>
                              <w:r>
                                <w:rPr>
                                  <w:noProof/>
                                </w:rPr>
                                <w:fldChar w:fldCharType="end"/>
                              </w:r>
                            </w:p>
                          </w:sdtContent>
                        </w:sdt>
                        <w:p w:rsidR="00110D23" w:rsidRDefault="00110D23" w:rsidP="004D3211">
                          <w:pPr>
                            <w:jc w:val="cent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9.5pt;margin-top:0;width:25.9pt;height:612.7pt;z-index:251663360;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" fillcolor="white [3201]" stroked="f" strokeweight=".5pt">
              <v:textbox style="layout-flow:vertical">
                <w:txbxContent>
                  <w:sdt>
                    <w:sdtPr>
                      <w:id w:val="-547455035"/>
                      <w:docPartObj>
                        <w:docPartGallery w:val="Page Numbers (Bottom of Page)"/>
                        <w:docPartUnique/>
                      </w:docPartObj>
                    </w:sdtPr>
                    <w:sdtEndPr>
                      <w:rPr>
                        <w:noProof/>
                      </w:rPr>
                    </w:sdtEndPr>
                    <w:sdtContent>
                      <w:p w:rsidR="00110D23" w:rsidRDefault="00110D23" w:rsidP="004D3211">
                        <w:pPr>
                          <w:pStyle w:val="Footer1"/>
                        </w:pPr>
                        <w:r>
                          <w:t xml:space="preserve">S&amp;T - </w:t>
                        </w:r>
                        <w:r>
                          <w:fldChar w:fldCharType="begin"/>
                        </w:r>
                        <w:r>
                          <w:instrText xml:space="preserve"> PAGE   \* MERGEFORMAT </w:instrText>
                        </w:r>
                        <w:r>
                          <w:fldChar w:fldCharType="separate"/>
                        </w:r>
                        <w:r w:rsidR="00BB2AFB">
                          <w:rPr>
                            <w:noProof/>
                          </w:rPr>
                          <w:t>22</w:t>
                        </w:r>
                        <w:r>
                          <w:rPr>
                            <w:noProof/>
                          </w:rPr>
                          <w:fldChar w:fldCharType="end"/>
                        </w:r>
                      </w:p>
                    </w:sdtContent>
                  </w:sdt>
                  <w:p w:rsidR="00110D23" w:rsidRDefault="00110D23" w:rsidP="004D3211">
                    <w:pPr>
                      <w:jc w:val="center"/>
                    </w:pPr>
                  </w:p>
                </w:txbxContent>
              </v:textbox>
              <w10:wrap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23" w:rsidRPr="00360EEF" w:rsidRDefault="00110D23" w:rsidP="005940C2">
    <w:pPr>
      <w:pStyle w:val="Header"/>
      <w:tabs>
        <w:tab w:val="clear" w:pos="4680"/>
      </w:tabs>
      <w:jc w:val="right"/>
    </w:pPr>
    <w:r>
      <w:rPr>
        <w:noProof/>
      </w:rPr>
      <mc:AlternateContent>
        <mc:Choice Requires="wps">
          <w:drawing>
            <wp:anchor distT="0" distB="0" distL="114300" distR="114300" simplePos="0" relativeHeight="251669504" behindDoc="0" locked="0" layoutInCell="1" allowOverlap="1" wp14:anchorId="74049642" wp14:editId="6F056134">
              <wp:simplePos x="0" y="0"/>
              <wp:positionH relativeFrom="column">
                <wp:posOffset>-619438</wp:posOffset>
              </wp:positionH>
              <wp:positionV relativeFrom="page">
                <wp:align>top</wp:align>
              </wp:positionV>
              <wp:extent cx="329184" cy="7354026"/>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28930" cy="7354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413752515"/>
                            <w:docPartObj>
                              <w:docPartGallery w:val="Page Numbers (Bottom of Page)"/>
                              <w:docPartUnique/>
                            </w:docPartObj>
                          </w:sdtPr>
                          <w:sdtEndPr>
                            <w:rPr>
                              <w:noProof/>
                            </w:rPr>
                          </w:sdtEndPr>
                          <w:sdtContent>
                            <w:p w:rsidR="00110D23" w:rsidRDefault="00110D23" w:rsidP="004D3211">
                              <w:pPr>
                                <w:pStyle w:val="Footer1"/>
                              </w:pPr>
                              <w:r>
                                <w:t>S&amp;T - 21</w:t>
                              </w:r>
                            </w:p>
                          </w:sdtContent>
                        </w:sdt>
                        <w:p w:rsidR="00110D23" w:rsidRDefault="00110D23" w:rsidP="004D3211">
                          <w:pPr>
                            <w:jc w:val="cente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left:0;text-align:left;margin-left:-48.75pt;margin-top:0;width:25.9pt;height:579.05pt;z-index:251669504;visibility:visible;mso-wrap-style:square;mso-width-percent:0;mso-height-percent:0;mso-wrap-distance-left:9pt;mso-wrap-distance-top:0;mso-wrap-distance-right:9pt;mso-wrap-distance-bottom:0;mso-position-horizontal:absolute;mso-position-horizontal-relative:text;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" fillcolor="white [3201]" stroked="f" strokeweight=".5pt">
              <v:textbox style="layout-flow:vertical">
                <w:txbxContent>
                  <w:sdt>
                    <w:sdtPr>
                      <w:id w:val="413752515"/>
                      <w:docPartObj>
                        <w:docPartGallery w:val="Page Numbers (Bottom of Page)"/>
                        <w:docPartUnique/>
                      </w:docPartObj>
                    </w:sdtPr>
                    <w:sdtEndPr>
                      <w:rPr>
                        <w:noProof/>
                      </w:rPr>
                    </w:sdtEndPr>
                    <w:sdtContent>
                      <w:p w:rsidR="00110D23" w:rsidRDefault="00110D23" w:rsidP="004D3211">
                        <w:pPr>
                          <w:pStyle w:val="Footer1"/>
                        </w:pPr>
                        <w:r>
                          <w:t>S&amp;T - 21</w:t>
                        </w:r>
                      </w:p>
                    </w:sdtContent>
                  </w:sdt>
                  <w:p w:rsidR="00110D23" w:rsidRDefault="00110D23" w:rsidP="004D3211">
                    <w:pPr>
                      <w:jc w:val="center"/>
                    </w:pP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23" w:rsidRPr="00835D5B" w:rsidRDefault="00110D23" w:rsidP="00AE16CE">
    <w:pPr>
      <w:pStyle w:val="Header"/>
      <w:tabs>
        <w:tab w:val="clear" w:pos="4680"/>
      </w:tabs>
      <w:spacing w:after="0"/>
      <w:jc w:val="left"/>
    </w:pPr>
    <w:r>
      <w:t>S&amp;</w:t>
    </w:r>
    <w:r w:rsidR="00775E8B">
      <w:t xml:space="preserve">T Committee </w:t>
    </w:r>
    <w:r>
      <w:t>2012</w:t>
    </w:r>
    <w:r w:rsidR="00775E8B">
      <w:t xml:space="preserve"> </w:t>
    </w:r>
    <w:r>
      <w:t>Final Report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D23" w:rsidRPr="00360EEF" w:rsidRDefault="00110D23" w:rsidP="00AE16CE">
    <w:pPr>
      <w:pStyle w:val="Header"/>
      <w:tabs>
        <w:tab w:val="clear" w:pos="4680"/>
      </w:tabs>
      <w:spacing w:after="0"/>
      <w:jc w:val="right"/>
    </w:pPr>
    <w:r>
      <w:t xml:space="preserve">S&amp;T </w:t>
    </w:r>
    <w:r w:rsidR="00775E8B">
      <w:t xml:space="preserve">Committee </w:t>
    </w:r>
    <w:r>
      <w:t>2012 Final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5F8"/>
    <w:multiLevelType w:val="hybridMultilevel"/>
    <w:tmpl w:val="239E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03493"/>
    <w:multiLevelType w:val="hybridMultilevel"/>
    <w:tmpl w:val="47FC1AAC"/>
    <w:lvl w:ilvl="0" w:tplc="BE28BE94">
      <w:start w:val="1"/>
      <w:numFmt w:val="lowerLetter"/>
      <w:lvlText w:val="(%1)"/>
      <w:lvlJc w:val="left"/>
      <w:pPr>
        <w:ind w:left="1440" w:hanging="360"/>
      </w:pPr>
      <w:rPr>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01CE71B4"/>
    <w:multiLevelType w:val="hybridMultilevel"/>
    <w:tmpl w:val="FB4E8322"/>
    <w:lvl w:ilvl="0" w:tplc="71BC9F96">
      <w:start w:val="1"/>
      <w:numFmt w:val="decimal"/>
      <w:lvlText w:val="(%1)"/>
      <w:lvlJc w:val="right"/>
      <w:pPr>
        <w:ind w:left="144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1FC3D56"/>
    <w:multiLevelType w:val="hybridMultilevel"/>
    <w:tmpl w:val="2F3C8FAA"/>
    <w:lvl w:ilvl="0" w:tplc="4454B3D2">
      <w:start w:val="1"/>
      <w:numFmt w:val="lowerLetter"/>
      <w:lvlText w:val="(%1)"/>
      <w:lvlJc w:val="left"/>
      <w:pPr>
        <w:ind w:left="2160" w:hanging="360"/>
      </w:pPr>
      <w:rPr>
        <w:rFonts w:hint="default"/>
        <w:b/>
        <w:i/>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36145F1"/>
    <w:multiLevelType w:val="multilevel"/>
    <w:tmpl w:val="DEC001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0A9A56F8"/>
    <w:multiLevelType w:val="hybridMultilevel"/>
    <w:tmpl w:val="4232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55D82"/>
    <w:multiLevelType w:val="hybridMultilevel"/>
    <w:tmpl w:val="0372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E1CEB"/>
    <w:multiLevelType w:val="hybridMultilevel"/>
    <w:tmpl w:val="EF287C2A"/>
    <w:lvl w:ilvl="0" w:tplc="71BC9F96">
      <w:start w:val="1"/>
      <w:numFmt w:val="decimal"/>
      <w:lvlText w:val="(%1)"/>
      <w:lvlJc w:val="right"/>
      <w:pPr>
        <w:ind w:left="1440" w:hanging="360"/>
      </w:pPr>
      <w:rPr>
        <w:b w:val="0"/>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1C397F9F"/>
    <w:multiLevelType w:val="hybridMultilevel"/>
    <w:tmpl w:val="B152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AAD7214"/>
    <w:multiLevelType w:val="hybridMultilevel"/>
    <w:tmpl w:val="4F943C16"/>
    <w:lvl w:ilvl="0" w:tplc="8530FA42">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F267CC7"/>
    <w:multiLevelType w:val="hybridMultilevel"/>
    <w:tmpl w:val="5046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956BB2"/>
    <w:multiLevelType w:val="hybridMultilevel"/>
    <w:tmpl w:val="D6CE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1B224E"/>
    <w:multiLevelType w:val="hybridMultilevel"/>
    <w:tmpl w:val="47FC1AAC"/>
    <w:lvl w:ilvl="0" w:tplc="BE28BE94">
      <w:start w:val="1"/>
      <w:numFmt w:val="lowerLetter"/>
      <w:lvlText w:val="(%1)"/>
      <w:lvlJc w:val="left"/>
      <w:pPr>
        <w:ind w:left="1440" w:hanging="360"/>
      </w:pPr>
      <w:rPr>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4F46BD"/>
    <w:multiLevelType w:val="hybridMultilevel"/>
    <w:tmpl w:val="7DD003EE"/>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E10FB"/>
    <w:multiLevelType w:val="hybridMultilevel"/>
    <w:tmpl w:val="C922B6F8"/>
    <w:lvl w:ilvl="0" w:tplc="D3482B3E">
      <w:start w:val="1"/>
      <w:numFmt w:val="decimal"/>
      <w:pStyle w:val="I-s"/>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nsid w:val="496C0B45"/>
    <w:multiLevelType w:val="hybridMultilevel"/>
    <w:tmpl w:val="B30C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2D2EEA"/>
    <w:multiLevelType w:val="hybridMultilevel"/>
    <w:tmpl w:val="CBCCEC84"/>
    <w:lvl w:ilvl="0" w:tplc="1FAA3D56">
      <w:start w:val="1"/>
      <w:numFmt w:val="lowerRoman"/>
      <w:pStyle w:val="I-iis"/>
      <w:lvlText w:val="(%1)"/>
      <w:lvlJc w:val="left"/>
      <w:pPr>
        <w:ind w:left="2070" w:hanging="360"/>
      </w:pPr>
      <w:rPr>
        <w:rFonts w:hint="default"/>
        <w:u w:val="singl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nsid w:val="5503205C"/>
    <w:multiLevelType w:val="hybridMultilevel"/>
    <w:tmpl w:val="BCE8C2A0"/>
    <w:lvl w:ilvl="0" w:tplc="202CADD6">
      <w:start w:val="1"/>
      <w:numFmt w:val="lowerLetter"/>
      <w:pStyle w:val="I-LetterAreg"/>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7F8068E"/>
    <w:multiLevelType w:val="hybridMultilevel"/>
    <w:tmpl w:val="365E0AF6"/>
    <w:lvl w:ilvl="0" w:tplc="AB1CE012">
      <w:start w:val="5"/>
      <w:numFmt w:val="lowerLetter"/>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3">
    <w:nsid w:val="61733BFC"/>
    <w:multiLevelType w:val="hybridMultilevel"/>
    <w:tmpl w:val="E4D8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F12E04"/>
    <w:multiLevelType w:val="hybridMultilevel"/>
    <w:tmpl w:val="3738D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26">
    <w:nsid w:val="77A67924"/>
    <w:multiLevelType w:val="hybridMultilevel"/>
    <w:tmpl w:val="23584AF4"/>
    <w:lvl w:ilvl="0" w:tplc="BE28BE94">
      <w:start w:val="1"/>
      <w:numFmt w:val="lowerLetter"/>
      <w:lvlText w:val="(%1)"/>
      <w:lvlJc w:val="left"/>
      <w:pPr>
        <w:ind w:left="1080" w:hanging="360"/>
      </w:pPr>
      <w:rPr>
        <w:u w:val="single"/>
      </w:rPr>
    </w:lvl>
    <w:lvl w:ilvl="1" w:tplc="34BA4A98">
      <w:start w:val="1"/>
      <w:numFmt w:val="decimal"/>
      <w:lvlText w:val="(%2)"/>
      <w:lvlJc w:val="right"/>
      <w:pPr>
        <w:ind w:left="1800" w:hanging="360"/>
      </w:pPr>
      <w:rPr>
        <w:b w:val="0"/>
        <w: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F3207EE"/>
    <w:multiLevelType w:val="hybridMultilevel"/>
    <w:tmpl w:val="F15E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11"/>
  </w:num>
  <w:num w:numId="4">
    <w:abstractNumId w:val="9"/>
  </w:num>
  <w:num w:numId="5">
    <w:abstractNumId w:val="22"/>
  </w:num>
  <w:num w:numId="6">
    <w:abstractNumId w:val="16"/>
  </w:num>
  <w:num w:numId="7">
    <w:abstractNumId w:val="17"/>
  </w:num>
  <w:num w:numId="8">
    <w:abstractNumId w:val="17"/>
    <w:lvlOverride w:ilvl="0">
      <w:startOverride w:val="1"/>
    </w:lvlOverride>
  </w:num>
  <w:num w:numId="9">
    <w:abstractNumId w:val="17"/>
    <w:lvlOverride w:ilvl="0">
      <w:startOverride w:val="1"/>
    </w:lvlOverride>
  </w:num>
  <w:num w:numId="10">
    <w:abstractNumId w:val="20"/>
    <w:lvlOverride w:ilvl="0">
      <w:startOverride w:val="1"/>
    </w:lvlOverride>
  </w:num>
  <w:num w:numId="11">
    <w:abstractNumId w:val="17"/>
    <w:lvlOverride w:ilvl="0">
      <w:startOverride w:val="1"/>
    </w:lvlOverride>
  </w:num>
  <w:num w:numId="12">
    <w:abstractNumId w:val="19"/>
  </w:num>
  <w:num w:numId="13">
    <w:abstractNumId w:val="20"/>
  </w:num>
  <w:num w:numId="14">
    <w:abstractNumId w:val="20"/>
    <w:lvlOverride w:ilvl="0">
      <w:startOverride w:val="1"/>
    </w:lvlOverride>
  </w:num>
  <w:num w:numId="15">
    <w:abstractNumId w:val="15"/>
    <w:lvlOverride w:ilvl="0">
      <w:startOverride w:val="1"/>
    </w:lvlOverride>
  </w:num>
  <w:num w:numId="16">
    <w:abstractNumId w:val="0"/>
  </w:num>
  <w:num w:numId="17">
    <w:abstractNumId w:val="12"/>
  </w:num>
  <w:num w:numId="18">
    <w:abstractNumId w:val="5"/>
  </w:num>
  <w:num w:numId="19">
    <w:abstractNumId w:val="18"/>
  </w:num>
  <w:num w:numId="20">
    <w:abstractNumId w:val="23"/>
  </w:num>
  <w:num w:numId="21">
    <w:abstractNumId w:val="13"/>
  </w:num>
  <w:num w:numId="22">
    <w:abstractNumId w:val="27"/>
  </w:num>
  <w:num w:numId="23">
    <w:abstractNumId w:val="6"/>
  </w:num>
  <w:num w:numId="24">
    <w:abstractNumId w:val="15"/>
    <w:lvlOverride w:ilvl="0">
      <w:startOverride w:val="1"/>
    </w:lvlOverride>
  </w:num>
  <w:num w:numId="25">
    <w:abstractNumId w:val="15"/>
    <w:lvlOverride w:ilvl="0">
      <w:startOverride w:val="1"/>
    </w:lvlOverride>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8"/>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1"/>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2"/>
  </w:num>
  <w:num w:numId="55">
    <w:abstractNumId w:val="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18"/>
    <w:rsid w:val="000006B8"/>
    <w:rsid w:val="00005743"/>
    <w:rsid w:val="00005885"/>
    <w:rsid w:val="000076FA"/>
    <w:rsid w:val="00012745"/>
    <w:rsid w:val="0002147D"/>
    <w:rsid w:val="0002210F"/>
    <w:rsid w:val="0002289F"/>
    <w:rsid w:val="000279C6"/>
    <w:rsid w:val="0003005F"/>
    <w:rsid w:val="00030AA2"/>
    <w:rsid w:val="00031444"/>
    <w:rsid w:val="000420C6"/>
    <w:rsid w:val="0004695E"/>
    <w:rsid w:val="0004787B"/>
    <w:rsid w:val="00050EDD"/>
    <w:rsid w:val="00053A40"/>
    <w:rsid w:val="00054DBA"/>
    <w:rsid w:val="00056E08"/>
    <w:rsid w:val="00057F3B"/>
    <w:rsid w:val="00063EAA"/>
    <w:rsid w:val="00065E4F"/>
    <w:rsid w:val="00071B5D"/>
    <w:rsid w:val="00074C75"/>
    <w:rsid w:val="00076256"/>
    <w:rsid w:val="000763F6"/>
    <w:rsid w:val="00081D0A"/>
    <w:rsid w:val="000849D0"/>
    <w:rsid w:val="00084BBD"/>
    <w:rsid w:val="00085EAE"/>
    <w:rsid w:val="000864A4"/>
    <w:rsid w:val="00093777"/>
    <w:rsid w:val="00095079"/>
    <w:rsid w:val="000970E1"/>
    <w:rsid w:val="000A077E"/>
    <w:rsid w:val="000A131D"/>
    <w:rsid w:val="000A689B"/>
    <w:rsid w:val="000A7FE4"/>
    <w:rsid w:val="000B0D04"/>
    <w:rsid w:val="000B2C2D"/>
    <w:rsid w:val="000B3FF7"/>
    <w:rsid w:val="000B72C4"/>
    <w:rsid w:val="000C01CA"/>
    <w:rsid w:val="000C247F"/>
    <w:rsid w:val="000C7B7D"/>
    <w:rsid w:val="000D179B"/>
    <w:rsid w:val="000D1ED5"/>
    <w:rsid w:val="000D2FD9"/>
    <w:rsid w:val="000D5649"/>
    <w:rsid w:val="000D6294"/>
    <w:rsid w:val="000D7F4C"/>
    <w:rsid w:val="000E0640"/>
    <w:rsid w:val="000E4EA0"/>
    <w:rsid w:val="000F4B1F"/>
    <w:rsid w:val="000F53F0"/>
    <w:rsid w:val="000F7EF8"/>
    <w:rsid w:val="00105E26"/>
    <w:rsid w:val="00106E99"/>
    <w:rsid w:val="00110186"/>
    <w:rsid w:val="00110D23"/>
    <w:rsid w:val="00112C2D"/>
    <w:rsid w:val="0011315C"/>
    <w:rsid w:val="001136ED"/>
    <w:rsid w:val="0011688E"/>
    <w:rsid w:val="001208AC"/>
    <w:rsid w:val="0012198E"/>
    <w:rsid w:val="00123BF2"/>
    <w:rsid w:val="0012435E"/>
    <w:rsid w:val="00125727"/>
    <w:rsid w:val="001262E2"/>
    <w:rsid w:val="001344E6"/>
    <w:rsid w:val="00136D98"/>
    <w:rsid w:val="00140450"/>
    <w:rsid w:val="00142BAF"/>
    <w:rsid w:val="0014480F"/>
    <w:rsid w:val="00145729"/>
    <w:rsid w:val="001543C1"/>
    <w:rsid w:val="001548BE"/>
    <w:rsid w:val="0015610D"/>
    <w:rsid w:val="00157D27"/>
    <w:rsid w:val="00163A4B"/>
    <w:rsid w:val="001674A3"/>
    <w:rsid w:val="00180B09"/>
    <w:rsid w:val="00181600"/>
    <w:rsid w:val="00181C90"/>
    <w:rsid w:val="0018208B"/>
    <w:rsid w:val="00185A0A"/>
    <w:rsid w:val="001867E0"/>
    <w:rsid w:val="00187C84"/>
    <w:rsid w:val="001913CE"/>
    <w:rsid w:val="001935E5"/>
    <w:rsid w:val="001938C1"/>
    <w:rsid w:val="00195329"/>
    <w:rsid w:val="00197F52"/>
    <w:rsid w:val="001A0F89"/>
    <w:rsid w:val="001A0FEC"/>
    <w:rsid w:val="001A3A3A"/>
    <w:rsid w:val="001A5F28"/>
    <w:rsid w:val="001B7738"/>
    <w:rsid w:val="001B79AA"/>
    <w:rsid w:val="001C0A3D"/>
    <w:rsid w:val="001C6424"/>
    <w:rsid w:val="001D1D7E"/>
    <w:rsid w:val="001D2D62"/>
    <w:rsid w:val="001D4156"/>
    <w:rsid w:val="001D69C8"/>
    <w:rsid w:val="001D7785"/>
    <w:rsid w:val="001E0236"/>
    <w:rsid w:val="001E10B4"/>
    <w:rsid w:val="001E1D87"/>
    <w:rsid w:val="001E30BE"/>
    <w:rsid w:val="001E5075"/>
    <w:rsid w:val="001F49B6"/>
    <w:rsid w:val="001F4A10"/>
    <w:rsid w:val="001F4AF8"/>
    <w:rsid w:val="001F543D"/>
    <w:rsid w:val="00207A80"/>
    <w:rsid w:val="00227A48"/>
    <w:rsid w:val="0023142E"/>
    <w:rsid w:val="002329D4"/>
    <w:rsid w:val="0023324C"/>
    <w:rsid w:val="00233C4C"/>
    <w:rsid w:val="00234537"/>
    <w:rsid w:val="00250046"/>
    <w:rsid w:val="0025054F"/>
    <w:rsid w:val="0025788F"/>
    <w:rsid w:val="002627A8"/>
    <w:rsid w:val="002744BA"/>
    <w:rsid w:val="00275ABA"/>
    <w:rsid w:val="002846CD"/>
    <w:rsid w:val="00284A25"/>
    <w:rsid w:val="00284AAF"/>
    <w:rsid w:val="00290C90"/>
    <w:rsid w:val="002927CC"/>
    <w:rsid w:val="002970AF"/>
    <w:rsid w:val="002A09C9"/>
    <w:rsid w:val="002A0FD3"/>
    <w:rsid w:val="002A1B0B"/>
    <w:rsid w:val="002A42AB"/>
    <w:rsid w:val="002B1F04"/>
    <w:rsid w:val="002C4874"/>
    <w:rsid w:val="002C4E7F"/>
    <w:rsid w:val="002D0076"/>
    <w:rsid w:val="002D176D"/>
    <w:rsid w:val="002D3469"/>
    <w:rsid w:val="002E1244"/>
    <w:rsid w:val="002E1D1D"/>
    <w:rsid w:val="002E2212"/>
    <w:rsid w:val="002E76DC"/>
    <w:rsid w:val="003009AD"/>
    <w:rsid w:val="00306981"/>
    <w:rsid w:val="0031609D"/>
    <w:rsid w:val="003178C2"/>
    <w:rsid w:val="00320BD9"/>
    <w:rsid w:val="00322170"/>
    <w:rsid w:val="0032532B"/>
    <w:rsid w:val="003254FF"/>
    <w:rsid w:val="00334A07"/>
    <w:rsid w:val="00336186"/>
    <w:rsid w:val="003361B8"/>
    <w:rsid w:val="00336EF6"/>
    <w:rsid w:val="0034017E"/>
    <w:rsid w:val="00343ADA"/>
    <w:rsid w:val="00347FEF"/>
    <w:rsid w:val="00350256"/>
    <w:rsid w:val="00352FD4"/>
    <w:rsid w:val="003534D2"/>
    <w:rsid w:val="00360EEF"/>
    <w:rsid w:val="00361AA7"/>
    <w:rsid w:val="00366438"/>
    <w:rsid w:val="00370B7B"/>
    <w:rsid w:val="00372039"/>
    <w:rsid w:val="00372D5F"/>
    <w:rsid w:val="00373DE6"/>
    <w:rsid w:val="003751DC"/>
    <w:rsid w:val="00375AC2"/>
    <w:rsid w:val="0038520D"/>
    <w:rsid w:val="0038573C"/>
    <w:rsid w:val="00387230"/>
    <w:rsid w:val="00392B05"/>
    <w:rsid w:val="00397D96"/>
    <w:rsid w:val="003A1663"/>
    <w:rsid w:val="003B01FA"/>
    <w:rsid w:val="003B1764"/>
    <w:rsid w:val="003B20D6"/>
    <w:rsid w:val="003B306F"/>
    <w:rsid w:val="003B5D9A"/>
    <w:rsid w:val="003B7CB5"/>
    <w:rsid w:val="003B7ED3"/>
    <w:rsid w:val="003C307C"/>
    <w:rsid w:val="003C4B56"/>
    <w:rsid w:val="003C74EE"/>
    <w:rsid w:val="003D0F32"/>
    <w:rsid w:val="003D1DA8"/>
    <w:rsid w:val="003D4E93"/>
    <w:rsid w:val="003E0167"/>
    <w:rsid w:val="003E118D"/>
    <w:rsid w:val="003E26A5"/>
    <w:rsid w:val="003E6380"/>
    <w:rsid w:val="003E6F3D"/>
    <w:rsid w:val="003F0B19"/>
    <w:rsid w:val="003F11D3"/>
    <w:rsid w:val="003F6B16"/>
    <w:rsid w:val="00402F99"/>
    <w:rsid w:val="00405E9B"/>
    <w:rsid w:val="00406CA4"/>
    <w:rsid w:val="00413445"/>
    <w:rsid w:val="0041352C"/>
    <w:rsid w:val="00413C2B"/>
    <w:rsid w:val="00413EC1"/>
    <w:rsid w:val="0041475C"/>
    <w:rsid w:val="00417CA5"/>
    <w:rsid w:val="00420791"/>
    <w:rsid w:val="00427D7B"/>
    <w:rsid w:val="0043528A"/>
    <w:rsid w:val="004372F4"/>
    <w:rsid w:val="004408AC"/>
    <w:rsid w:val="00441F8E"/>
    <w:rsid w:val="0044370C"/>
    <w:rsid w:val="004437DB"/>
    <w:rsid w:val="00443A38"/>
    <w:rsid w:val="00443F2D"/>
    <w:rsid w:val="00453401"/>
    <w:rsid w:val="00457B7A"/>
    <w:rsid w:val="004629CC"/>
    <w:rsid w:val="00462D4E"/>
    <w:rsid w:val="00467186"/>
    <w:rsid w:val="00467C7F"/>
    <w:rsid w:val="00471EDD"/>
    <w:rsid w:val="00483607"/>
    <w:rsid w:val="00485DBF"/>
    <w:rsid w:val="004966C6"/>
    <w:rsid w:val="004A36E1"/>
    <w:rsid w:val="004A6EF2"/>
    <w:rsid w:val="004B1973"/>
    <w:rsid w:val="004B1D04"/>
    <w:rsid w:val="004B522A"/>
    <w:rsid w:val="004B7C9A"/>
    <w:rsid w:val="004B7E37"/>
    <w:rsid w:val="004C031A"/>
    <w:rsid w:val="004C1485"/>
    <w:rsid w:val="004D3211"/>
    <w:rsid w:val="004D4B5C"/>
    <w:rsid w:val="004D64BF"/>
    <w:rsid w:val="004E62FA"/>
    <w:rsid w:val="004E6688"/>
    <w:rsid w:val="00502DB9"/>
    <w:rsid w:val="005065F1"/>
    <w:rsid w:val="00506B74"/>
    <w:rsid w:val="005129FF"/>
    <w:rsid w:val="00517033"/>
    <w:rsid w:val="0051794D"/>
    <w:rsid w:val="00521F91"/>
    <w:rsid w:val="00526C51"/>
    <w:rsid w:val="005300E6"/>
    <w:rsid w:val="00530B61"/>
    <w:rsid w:val="00537C38"/>
    <w:rsid w:val="005427AE"/>
    <w:rsid w:val="00544930"/>
    <w:rsid w:val="00546345"/>
    <w:rsid w:val="005508FC"/>
    <w:rsid w:val="00556E92"/>
    <w:rsid w:val="0056019A"/>
    <w:rsid w:val="005601E3"/>
    <w:rsid w:val="00560353"/>
    <w:rsid w:val="00564971"/>
    <w:rsid w:val="00565D64"/>
    <w:rsid w:val="00565EB6"/>
    <w:rsid w:val="005711E4"/>
    <w:rsid w:val="00576B86"/>
    <w:rsid w:val="0058287B"/>
    <w:rsid w:val="005850C6"/>
    <w:rsid w:val="00587096"/>
    <w:rsid w:val="0059027E"/>
    <w:rsid w:val="005940C2"/>
    <w:rsid w:val="00594950"/>
    <w:rsid w:val="0059553E"/>
    <w:rsid w:val="00595572"/>
    <w:rsid w:val="00595ABF"/>
    <w:rsid w:val="005968F3"/>
    <w:rsid w:val="005A291D"/>
    <w:rsid w:val="005A3015"/>
    <w:rsid w:val="005A4F55"/>
    <w:rsid w:val="005A5535"/>
    <w:rsid w:val="005A6EC6"/>
    <w:rsid w:val="005B068E"/>
    <w:rsid w:val="005B2C7D"/>
    <w:rsid w:val="005B2FC4"/>
    <w:rsid w:val="005B4ED6"/>
    <w:rsid w:val="005B58BE"/>
    <w:rsid w:val="005C531B"/>
    <w:rsid w:val="005D208F"/>
    <w:rsid w:val="005D36E6"/>
    <w:rsid w:val="005D4239"/>
    <w:rsid w:val="005E0695"/>
    <w:rsid w:val="005E1866"/>
    <w:rsid w:val="005E45FA"/>
    <w:rsid w:val="005F1BED"/>
    <w:rsid w:val="005F63AF"/>
    <w:rsid w:val="006045CE"/>
    <w:rsid w:val="006136A4"/>
    <w:rsid w:val="00613C41"/>
    <w:rsid w:val="00620DBF"/>
    <w:rsid w:val="006245D4"/>
    <w:rsid w:val="006272C6"/>
    <w:rsid w:val="00630D94"/>
    <w:rsid w:val="00636695"/>
    <w:rsid w:val="006421BD"/>
    <w:rsid w:val="006436D7"/>
    <w:rsid w:val="00643900"/>
    <w:rsid w:val="00651272"/>
    <w:rsid w:val="00652793"/>
    <w:rsid w:val="00655FE5"/>
    <w:rsid w:val="006638E5"/>
    <w:rsid w:val="006706D6"/>
    <w:rsid w:val="00670A3E"/>
    <w:rsid w:val="006729DC"/>
    <w:rsid w:val="00674785"/>
    <w:rsid w:val="00674E77"/>
    <w:rsid w:val="0067557B"/>
    <w:rsid w:val="0068485D"/>
    <w:rsid w:val="00693E42"/>
    <w:rsid w:val="006A225A"/>
    <w:rsid w:val="006B1637"/>
    <w:rsid w:val="006B336F"/>
    <w:rsid w:val="006B5400"/>
    <w:rsid w:val="006B71DE"/>
    <w:rsid w:val="006C4AB4"/>
    <w:rsid w:val="006D0936"/>
    <w:rsid w:val="006D3B2E"/>
    <w:rsid w:val="006D4907"/>
    <w:rsid w:val="006D5117"/>
    <w:rsid w:val="006D756D"/>
    <w:rsid w:val="006E0091"/>
    <w:rsid w:val="006E083F"/>
    <w:rsid w:val="006E22A3"/>
    <w:rsid w:val="006E6DC2"/>
    <w:rsid w:val="006F0048"/>
    <w:rsid w:val="006F1D68"/>
    <w:rsid w:val="00700647"/>
    <w:rsid w:val="00700796"/>
    <w:rsid w:val="0070265F"/>
    <w:rsid w:val="007048D6"/>
    <w:rsid w:val="00711A70"/>
    <w:rsid w:val="00711C33"/>
    <w:rsid w:val="007145C9"/>
    <w:rsid w:val="00715ED5"/>
    <w:rsid w:val="00717EB5"/>
    <w:rsid w:val="00727DCC"/>
    <w:rsid w:val="00730D6C"/>
    <w:rsid w:val="00731862"/>
    <w:rsid w:val="00732822"/>
    <w:rsid w:val="0073388D"/>
    <w:rsid w:val="00735417"/>
    <w:rsid w:val="00736916"/>
    <w:rsid w:val="007436F6"/>
    <w:rsid w:val="00750DD3"/>
    <w:rsid w:val="00753246"/>
    <w:rsid w:val="00753782"/>
    <w:rsid w:val="00755CCC"/>
    <w:rsid w:val="0075709B"/>
    <w:rsid w:val="00761953"/>
    <w:rsid w:val="00762BCA"/>
    <w:rsid w:val="00762DFC"/>
    <w:rsid w:val="00765FBB"/>
    <w:rsid w:val="00767CC7"/>
    <w:rsid w:val="00771DDB"/>
    <w:rsid w:val="00774033"/>
    <w:rsid w:val="007755D9"/>
    <w:rsid w:val="00775E8B"/>
    <w:rsid w:val="00780255"/>
    <w:rsid w:val="00780C80"/>
    <w:rsid w:val="00782A2D"/>
    <w:rsid w:val="00785F7E"/>
    <w:rsid w:val="00787052"/>
    <w:rsid w:val="00791279"/>
    <w:rsid w:val="00796A90"/>
    <w:rsid w:val="007A375A"/>
    <w:rsid w:val="007A4461"/>
    <w:rsid w:val="007B245B"/>
    <w:rsid w:val="007B4227"/>
    <w:rsid w:val="007C4060"/>
    <w:rsid w:val="007C5108"/>
    <w:rsid w:val="007C6943"/>
    <w:rsid w:val="007D0572"/>
    <w:rsid w:val="007D3C51"/>
    <w:rsid w:val="007D41F2"/>
    <w:rsid w:val="007D45B7"/>
    <w:rsid w:val="007D51E4"/>
    <w:rsid w:val="007D6E76"/>
    <w:rsid w:val="007E07D5"/>
    <w:rsid w:val="007E09CD"/>
    <w:rsid w:val="007E7E62"/>
    <w:rsid w:val="007F09DD"/>
    <w:rsid w:val="007F1416"/>
    <w:rsid w:val="007F2250"/>
    <w:rsid w:val="007F2DEA"/>
    <w:rsid w:val="007F411C"/>
    <w:rsid w:val="007F7505"/>
    <w:rsid w:val="00800405"/>
    <w:rsid w:val="00800ADC"/>
    <w:rsid w:val="00801A8C"/>
    <w:rsid w:val="008048A1"/>
    <w:rsid w:val="00811355"/>
    <w:rsid w:val="00811C3A"/>
    <w:rsid w:val="00813C53"/>
    <w:rsid w:val="00822074"/>
    <w:rsid w:val="00822151"/>
    <w:rsid w:val="0082263A"/>
    <w:rsid w:val="00823AE4"/>
    <w:rsid w:val="008323CC"/>
    <w:rsid w:val="008332AE"/>
    <w:rsid w:val="008335AA"/>
    <w:rsid w:val="00833D40"/>
    <w:rsid w:val="0083510E"/>
    <w:rsid w:val="00835D5B"/>
    <w:rsid w:val="00837197"/>
    <w:rsid w:val="008429F9"/>
    <w:rsid w:val="00843509"/>
    <w:rsid w:val="00844232"/>
    <w:rsid w:val="00845FA2"/>
    <w:rsid w:val="0084790D"/>
    <w:rsid w:val="00851B64"/>
    <w:rsid w:val="008532E1"/>
    <w:rsid w:val="008551BA"/>
    <w:rsid w:val="00870C7E"/>
    <w:rsid w:val="008711E3"/>
    <w:rsid w:val="00877869"/>
    <w:rsid w:val="00880720"/>
    <w:rsid w:val="00882F3E"/>
    <w:rsid w:val="00893A4B"/>
    <w:rsid w:val="00894ACD"/>
    <w:rsid w:val="008A0334"/>
    <w:rsid w:val="008A103B"/>
    <w:rsid w:val="008A31B6"/>
    <w:rsid w:val="008A7BB1"/>
    <w:rsid w:val="008B0AC2"/>
    <w:rsid w:val="008B2A77"/>
    <w:rsid w:val="008B3856"/>
    <w:rsid w:val="008B7A3B"/>
    <w:rsid w:val="008C55B6"/>
    <w:rsid w:val="008D045B"/>
    <w:rsid w:val="008D3C31"/>
    <w:rsid w:val="008D517C"/>
    <w:rsid w:val="008E54BD"/>
    <w:rsid w:val="0090164D"/>
    <w:rsid w:val="0091175A"/>
    <w:rsid w:val="00911FF8"/>
    <w:rsid w:val="0091593D"/>
    <w:rsid w:val="0092056C"/>
    <w:rsid w:val="00922570"/>
    <w:rsid w:val="0093321F"/>
    <w:rsid w:val="00933971"/>
    <w:rsid w:val="009352AD"/>
    <w:rsid w:val="00935C1B"/>
    <w:rsid w:val="00947682"/>
    <w:rsid w:val="00954FE8"/>
    <w:rsid w:val="0095754B"/>
    <w:rsid w:val="0096785F"/>
    <w:rsid w:val="00983723"/>
    <w:rsid w:val="00990D32"/>
    <w:rsid w:val="009917C6"/>
    <w:rsid w:val="009937DF"/>
    <w:rsid w:val="009943AD"/>
    <w:rsid w:val="00997DF7"/>
    <w:rsid w:val="009A61F2"/>
    <w:rsid w:val="009A7732"/>
    <w:rsid w:val="009B0AE1"/>
    <w:rsid w:val="009B58B4"/>
    <w:rsid w:val="009C030B"/>
    <w:rsid w:val="009C1D0A"/>
    <w:rsid w:val="009C2A4D"/>
    <w:rsid w:val="009D2989"/>
    <w:rsid w:val="009D4995"/>
    <w:rsid w:val="009D59C4"/>
    <w:rsid w:val="009D5AE7"/>
    <w:rsid w:val="009E52D7"/>
    <w:rsid w:val="009E7B9C"/>
    <w:rsid w:val="009F276F"/>
    <w:rsid w:val="009F4A43"/>
    <w:rsid w:val="009F54B0"/>
    <w:rsid w:val="009F592C"/>
    <w:rsid w:val="00A0066A"/>
    <w:rsid w:val="00A0545E"/>
    <w:rsid w:val="00A1110A"/>
    <w:rsid w:val="00A11AE5"/>
    <w:rsid w:val="00A155BD"/>
    <w:rsid w:val="00A15903"/>
    <w:rsid w:val="00A24760"/>
    <w:rsid w:val="00A24CA7"/>
    <w:rsid w:val="00A312DA"/>
    <w:rsid w:val="00A329E2"/>
    <w:rsid w:val="00A36DB8"/>
    <w:rsid w:val="00A413BF"/>
    <w:rsid w:val="00A51EE5"/>
    <w:rsid w:val="00A56860"/>
    <w:rsid w:val="00A64F69"/>
    <w:rsid w:val="00A74743"/>
    <w:rsid w:val="00A80F6C"/>
    <w:rsid w:val="00A86D5C"/>
    <w:rsid w:val="00A86DA7"/>
    <w:rsid w:val="00A87BB4"/>
    <w:rsid w:val="00A92962"/>
    <w:rsid w:val="00A94241"/>
    <w:rsid w:val="00A94C85"/>
    <w:rsid w:val="00AA29A2"/>
    <w:rsid w:val="00AA612B"/>
    <w:rsid w:val="00AA76AD"/>
    <w:rsid w:val="00AB1518"/>
    <w:rsid w:val="00AB4EDD"/>
    <w:rsid w:val="00AB5C37"/>
    <w:rsid w:val="00AB6955"/>
    <w:rsid w:val="00AC27BA"/>
    <w:rsid w:val="00AC55B7"/>
    <w:rsid w:val="00AC64A5"/>
    <w:rsid w:val="00AC676A"/>
    <w:rsid w:val="00AD339F"/>
    <w:rsid w:val="00AD57BE"/>
    <w:rsid w:val="00AE16CE"/>
    <w:rsid w:val="00AF2BF8"/>
    <w:rsid w:val="00B0113B"/>
    <w:rsid w:val="00B04907"/>
    <w:rsid w:val="00B0517F"/>
    <w:rsid w:val="00B11FBA"/>
    <w:rsid w:val="00B122A6"/>
    <w:rsid w:val="00B13B2F"/>
    <w:rsid w:val="00B16D53"/>
    <w:rsid w:val="00B27D38"/>
    <w:rsid w:val="00B33811"/>
    <w:rsid w:val="00B3591A"/>
    <w:rsid w:val="00B46706"/>
    <w:rsid w:val="00B467BA"/>
    <w:rsid w:val="00B46A52"/>
    <w:rsid w:val="00B47935"/>
    <w:rsid w:val="00B52195"/>
    <w:rsid w:val="00B54523"/>
    <w:rsid w:val="00B5705B"/>
    <w:rsid w:val="00B60B18"/>
    <w:rsid w:val="00B70CFD"/>
    <w:rsid w:val="00B73C86"/>
    <w:rsid w:val="00B77FD2"/>
    <w:rsid w:val="00B8095D"/>
    <w:rsid w:val="00B820A8"/>
    <w:rsid w:val="00B84EB4"/>
    <w:rsid w:val="00B90667"/>
    <w:rsid w:val="00B93A2D"/>
    <w:rsid w:val="00B97422"/>
    <w:rsid w:val="00BA36C2"/>
    <w:rsid w:val="00BA4921"/>
    <w:rsid w:val="00BA7C2F"/>
    <w:rsid w:val="00BB130B"/>
    <w:rsid w:val="00BB22D1"/>
    <w:rsid w:val="00BB25A3"/>
    <w:rsid w:val="00BB2AFB"/>
    <w:rsid w:val="00BC22DE"/>
    <w:rsid w:val="00BC4500"/>
    <w:rsid w:val="00BC4969"/>
    <w:rsid w:val="00BD290B"/>
    <w:rsid w:val="00BD3477"/>
    <w:rsid w:val="00BD3654"/>
    <w:rsid w:val="00BD5BEB"/>
    <w:rsid w:val="00BE3D88"/>
    <w:rsid w:val="00BE6494"/>
    <w:rsid w:val="00BF3B61"/>
    <w:rsid w:val="00BF5D94"/>
    <w:rsid w:val="00C005CB"/>
    <w:rsid w:val="00C04926"/>
    <w:rsid w:val="00C12B80"/>
    <w:rsid w:val="00C20279"/>
    <w:rsid w:val="00C2191A"/>
    <w:rsid w:val="00C25E99"/>
    <w:rsid w:val="00C27787"/>
    <w:rsid w:val="00C27975"/>
    <w:rsid w:val="00C27EDE"/>
    <w:rsid w:val="00C30579"/>
    <w:rsid w:val="00C32E88"/>
    <w:rsid w:val="00C3417F"/>
    <w:rsid w:val="00C3593C"/>
    <w:rsid w:val="00C359A1"/>
    <w:rsid w:val="00C379A2"/>
    <w:rsid w:val="00C40A3D"/>
    <w:rsid w:val="00C41814"/>
    <w:rsid w:val="00C4402E"/>
    <w:rsid w:val="00C50120"/>
    <w:rsid w:val="00C51CF5"/>
    <w:rsid w:val="00C55861"/>
    <w:rsid w:val="00C56C09"/>
    <w:rsid w:val="00C6498B"/>
    <w:rsid w:val="00C7060B"/>
    <w:rsid w:val="00C7223D"/>
    <w:rsid w:val="00C76925"/>
    <w:rsid w:val="00C9669F"/>
    <w:rsid w:val="00CA2577"/>
    <w:rsid w:val="00CA2A70"/>
    <w:rsid w:val="00CA6857"/>
    <w:rsid w:val="00CA6DC5"/>
    <w:rsid w:val="00CB0AA0"/>
    <w:rsid w:val="00CB63B9"/>
    <w:rsid w:val="00CC0A2D"/>
    <w:rsid w:val="00CC0C9B"/>
    <w:rsid w:val="00CC168F"/>
    <w:rsid w:val="00CC1C7A"/>
    <w:rsid w:val="00CC3C10"/>
    <w:rsid w:val="00CC6B8F"/>
    <w:rsid w:val="00CC6CAE"/>
    <w:rsid w:val="00CC6FE0"/>
    <w:rsid w:val="00CD0D42"/>
    <w:rsid w:val="00CD25AA"/>
    <w:rsid w:val="00CD58C1"/>
    <w:rsid w:val="00CE09EC"/>
    <w:rsid w:val="00CE7CB1"/>
    <w:rsid w:val="00CF21C7"/>
    <w:rsid w:val="00CF2825"/>
    <w:rsid w:val="00CF29A5"/>
    <w:rsid w:val="00D05F61"/>
    <w:rsid w:val="00D138A7"/>
    <w:rsid w:val="00D24E87"/>
    <w:rsid w:val="00D30C53"/>
    <w:rsid w:val="00D31669"/>
    <w:rsid w:val="00D32065"/>
    <w:rsid w:val="00D34C43"/>
    <w:rsid w:val="00D34F51"/>
    <w:rsid w:val="00D419EE"/>
    <w:rsid w:val="00D45A8C"/>
    <w:rsid w:val="00D46EC9"/>
    <w:rsid w:val="00D4762C"/>
    <w:rsid w:val="00D5559D"/>
    <w:rsid w:val="00D57566"/>
    <w:rsid w:val="00D63D07"/>
    <w:rsid w:val="00D66E1F"/>
    <w:rsid w:val="00D673F6"/>
    <w:rsid w:val="00D677D9"/>
    <w:rsid w:val="00D67867"/>
    <w:rsid w:val="00D67AE8"/>
    <w:rsid w:val="00D67BAC"/>
    <w:rsid w:val="00D704BB"/>
    <w:rsid w:val="00D72333"/>
    <w:rsid w:val="00D727C8"/>
    <w:rsid w:val="00D72DCD"/>
    <w:rsid w:val="00D77143"/>
    <w:rsid w:val="00D8673C"/>
    <w:rsid w:val="00D96E47"/>
    <w:rsid w:val="00D97D15"/>
    <w:rsid w:val="00DA5674"/>
    <w:rsid w:val="00DB2EAC"/>
    <w:rsid w:val="00DB3E09"/>
    <w:rsid w:val="00DB7C7D"/>
    <w:rsid w:val="00DC18A7"/>
    <w:rsid w:val="00DC32AD"/>
    <w:rsid w:val="00DC3A37"/>
    <w:rsid w:val="00DD47FF"/>
    <w:rsid w:val="00DE2777"/>
    <w:rsid w:val="00DE2C1D"/>
    <w:rsid w:val="00DE3DD8"/>
    <w:rsid w:val="00DE7AF3"/>
    <w:rsid w:val="00DF07B3"/>
    <w:rsid w:val="00DF0A27"/>
    <w:rsid w:val="00DF2E7B"/>
    <w:rsid w:val="00DF627C"/>
    <w:rsid w:val="00DF76C5"/>
    <w:rsid w:val="00E01275"/>
    <w:rsid w:val="00E03394"/>
    <w:rsid w:val="00E06316"/>
    <w:rsid w:val="00E16DDA"/>
    <w:rsid w:val="00E17520"/>
    <w:rsid w:val="00E20FAA"/>
    <w:rsid w:val="00E23327"/>
    <w:rsid w:val="00E2379E"/>
    <w:rsid w:val="00E252B3"/>
    <w:rsid w:val="00E263F5"/>
    <w:rsid w:val="00E30CDC"/>
    <w:rsid w:val="00E315A1"/>
    <w:rsid w:val="00E42CDF"/>
    <w:rsid w:val="00E51209"/>
    <w:rsid w:val="00E56C1A"/>
    <w:rsid w:val="00E61AC4"/>
    <w:rsid w:val="00E648C3"/>
    <w:rsid w:val="00E7499F"/>
    <w:rsid w:val="00E75038"/>
    <w:rsid w:val="00E77562"/>
    <w:rsid w:val="00E80327"/>
    <w:rsid w:val="00E82EDE"/>
    <w:rsid w:val="00E845DD"/>
    <w:rsid w:val="00E84D96"/>
    <w:rsid w:val="00E85363"/>
    <w:rsid w:val="00E85C9C"/>
    <w:rsid w:val="00E87891"/>
    <w:rsid w:val="00E9281C"/>
    <w:rsid w:val="00E960C2"/>
    <w:rsid w:val="00EA56A6"/>
    <w:rsid w:val="00EA5A2D"/>
    <w:rsid w:val="00EB4C4C"/>
    <w:rsid w:val="00EC12D9"/>
    <w:rsid w:val="00EC3A3C"/>
    <w:rsid w:val="00ED5C7E"/>
    <w:rsid w:val="00EE6892"/>
    <w:rsid w:val="00EE701A"/>
    <w:rsid w:val="00EE7C77"/>
    <w:rsid w:val="00EF4574"/>
    <w:rsid w:val="00EF4909"/>
    <w:rsid w:val="00EF5B43"/>
    <w:rsid w:val="00EF74FC"/>
    <w:rsid w:val="00EF7A99"/>
    <w:rsid w:val="00F017CE"/>
    <w:rsid w:val="00F04420"/>
    <w:rsid w:val="00F12B44"/>
    <w:rsid w:val="00F1603A"/>
    <w:rsid w:val="00F171AD"/>
    <w:rsid w:val="00F17D2C"/>
    <w:rsid w:val="00F20AB5"/>
    <w:rsid w:val="00F22A8D"/>
    <w:rsid w:val="00F236B8"/>
    <w:rsid w:val="00F23727"/>
    <w:rsid w:val="00F256C3"/>
    <w:rsid w:val="00F2702E"/>
    <w:rsid w:val="00F3504E"/>
    <w:rsid w:val="00F40B09"/>
    <w:rsid w:val="00F47843"/>
    <w:rsid w:val="00F52FE8"/>
    <w:rsid w:val="00F537C1"/>
    <w:rsid w:val="00F609E8"/>
    <w:rsid w:val="00F6144D"/>
    <w:rsid w:val="00F62133"/>
    <w:rsid w:val="00F66048"/>
    <w:rsid w:val="00F66083"/>
    <w:rsid w:val="00F667DE"/>
    <w:rsid w:val="00F702BF"/>
    <w:rsid w:val="00F70FD4"/>
    <w:rsid w:val="00F75D5D"/>
    <w:rsid w:val="00F7607C"/>
    <w:rsid w:val="00F7648E"/>
    <w:rsid w:val="00F81098"/>
    <w:rsid w:val="00F815F9"/>
    <w:rsid w:val="00F8223C"/>
    <w:rsid w:val="00F82774"/>
    <w:rsid w:val="00F8395A"/>
    <w:rsid w:val="00F841D3"/>
    <w:rsid w:val="00F873D1"/>
    <w:rsid w:val="00F8763B"/>
    <w:rsid w:val="00F96E42"/>
    <w:rsid w:val="00FA3E8B"/>
    <w:rsid w:val="00FA4D97"/>
    <w:rsid w:val="00FA744F"/>
    <w:rsid w:val="00FB22BD"/>
    <w:rsid w:val="00FB561C"/>
    <w:rsid w:val="00FB6329"/>
    <w:rsid w:val="00FC1086"/>
    <w:rsid w:val="00FC2A0F"/>
    <w:rsid w:val="00FC7C22"/>
    <w:rsid w:val="00FD1464"/>
    <w:rsid w:val="00FD48E4"/>
    <w:rsid w:val="00FD5064"/>
    <w:rsid w:val="00FE0955"/>
    <w:rsid w:val="00FE0A2E"/>
    <w:rsid w:val="00FF14F7"/>
    <w:rsid w:val="00FF16A4"/>
    <w:rsid w:val="00FF20DA"/>
    <w:rsid w:val="00FF529C"/>
    <w:rsid w:val="00F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1935E5"/>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5E5"/>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FD1464"/>
    <w:pPr>
      <w:tabs>
        <w:tab w:val="left" w:pos="1325"/>
        <w:tab w:val="left" w:pos="1714"/>
        <w:tab w:val="right" w:leader="dot" w:pos="9360"/>
      </w:tabs>
      <w:spacing w:after="0"/>
      <w:ind w:left="633" w:hanging="86"/>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648C3"/>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7A4461"/>
    <w:pPr>
      <w:spacing w:before="40" w:after="40"/>
      <w:outlineLvl w:val="9"/>
    </w:pPr>
  </w:style>
  <w:style w:type="paragraph" w:customStyle="1" w:styleId="ItemHeading">
    <w:name w:val="Item Heading"/>
    <w:basedOn w:val="Heading4"/>
    <w:qFormat/>
    <w:rsid w:val="004966C6"/>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62DFC"/>
    <w:pPr>
      <w:numPr>
        <w:numId w:val="1"/>
      </w:numPr>
      <w:contextualSpacing w:val="0"/>
    </w:pPr>
  </w:style>
  <w:style w:type="paragraph" w:customStyle="1" w:styleId="bulletedlist">
    <w:name w:val="bulleted list"/>
    <w:basedOn w:val="ListParagraph"/>
    <w:qFormat/>
    <w:rsid w:val="00762DFC"/>
    <w:pPr>
      <w:numPr>
        <w:numId w:val="6"/>
      </w:numPr>
      <w:contextualSpacing w:val="0"/>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8D3C31"/>
    <w:pPr>
      <w:numPr>
        <w:numId w:val="13"/>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rPr>
      <w:rFonts w:eastAsia="Calibri" w:cs="Times New Roman"/>
    </w:rPr>
  </w:style>
  <w:style w:type="paragraph" w:customStyle="1" w:styleId="I-s">
    <w:name w:val="I - #s"/>
    <w:basedOn w:val="I-Normal2indent"/>
    <w:qFormat/>
    <w:rsid w:val="00800405"/>
    <w:pPr>
      <w:numPr>
        <w:numId w:val="7"/>
      </w:numPr>
      <w:ind w:left="1440"/>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12"/>
      </w:numPr>
      <w:ind w:left="1800"/>
    </w:pPr>
  </w:style>
  <w:style w:type="paragraph" w:customStyle="1" w:styleId="Level3">
    <w:name w:val="Level 3"/>
    <w:basedOn w:val="Normal"/>
    <w:uiPriority w:val="99"/>
    <w:rsid w:val="00735417"/>
    <w:pPr>
      <w:widowControl w:val="0"/>
      <w:autoSpaceDE w:val="0"/>
      <w:autoSpaceDN w:val="0"/>
      <w:adjustRightInd w:val="0"/>
      <w:jc w:val="left"/>
      <w:outlineLvl w:val="2"/>
    </w:pPr>
    <w:rPr>
      <w:rFonts w:eastAsia="Times New Roman" w:cs="Times New Roman"/>
      <w:sz w:val="24"/>
      <w:szCs w:val="24"/>
    </w:rPr>
  </w:style>
  <w:style w:type="character" w:styleId="CommentReference">
    <w:name w:val="annotation reference"/>
    <w:basedOn w:val="DefaultParagraphFont"/>
    <w:uiPriority w:val="99"/>
    <w:semiHidden/>
    <w:unhideWhenUsed/>
    <w:rsid w:val="002C4874"/>
    <w:rPr>
      <w:sz w:val="16"/>
      <w:szCs w:val="16"/>
    </w:rPr>
  </w:style>
  <w:style w:type="paragraph" w:styleId="CommentText">
    <w:name w:val="annotation text"/>
    <w:basedOn w:val="Normal"/>
    <w:link w:val="CommentTextChar"/>
    <w:uiPriority w:val="99"/>
    <w:unhideWhenUsed/>
    <w:rsid w:val="002C4874"/>
    <w:rPr>
      <w:szCs w:val="20"/>
    </w:rPr>
  </w:style>
  <w:style w:type="character" w:customStyle="1" w:styleId="CommentTextChar">
    <w:name w:val="Comment Text Char"/>
    <w:basedOn w:val="DefaultParagraphFont"/>
    <w:link w:val="CommentText"/>
    <w:uiPriority w:val="99"/>
    <w:rsid w:val="002C487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7A99"/>
    <w:rPr>
      <w:b/>
      <w:bCs/>
    </w:rPr>
  </w:style>
  <w:style w:type="character" w:customStyle="1" w:styleId="CommentSubjectChar">
    <w:name w:val="Comment Subject Char"/>
    <w:basedOn w:val="CommentTextChar"/>
    <w:link w:val="CommentSubject"/>
    <w:uiPriority w:val="99"/>
    <w:semiHidden/>
    <w:rsid w:val="00EF7A99"/>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31D"/>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1935E5"/>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5E5"/>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FD1464"/>
    <w:pPr>
      <w:tabs>
        <w:tab w:val="left" w:pos="1325"/>
        <w:tab w:val="left" w:pos="1714"/>
        <w:tab w:val="right" w:leader="dot" w:pos="9360"/>
      </w:tabs>
      <w:spacing w:after="0"/>
      <w:ind w:left="633" w:hanging="86"/>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648C3"/>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7A4461"/>
    <w:pPr>
      <w:spacing w:before="40" w:after="40"/>
      <w:outlineLvl w:val="9"/>
    </w:pPr>
  </w:style>
  <w:style w:type="paragraph" w:customStyle="1" w:styleId="ItemHeading">
    <w:name w:val="Item Heading"/>
    <w:basedOn w:val="Heading4"/>
    <w:qFormat/>
    <w:rsid w:val="004966C6"/>
    <w:pPr>
      <w:spacing w:before="36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62DFC"/>
    <w:pPr>
      <w:numPr>
        <w:numId w:val="1"/>
      </w:numPr>
      <w:contextualSpacing w:val="0"/>
    </w:pPr>
  </w:style>
  <w:style w:type="paragraph" w:customStyle="1" w:styleId="bulletedlist">
    <w:name w:val="bulleted list"/>
    <w:basedOn w:val="ListParagraph"/>
    <w:qFormat/>
    <w:rsid w:val="00762DFC"/>
    <w:pPr>
      <w:numPr>
        <w:numId w:val="6"/>
      </w:numPr>
      <w:contextualSpacing w:val="0"/>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I-bulletedlist">
    <w:name w:val="I - bulleted list"/>
    <w:basedOn w:val="bulletedlist"/>
    <w:qFormat/>
    <w:rsid w:val="00800405"/>
    <w:pPr>
      <w:numPr>
        <w:numId w:val="0"/>
      </w:numPr>
    </w:pPr>
  </w:style>
  <w:style w:type="paragraph" w:customStyle="1" w:styleId="I-bulletedlist1indent">
    <w:name w:val="I - bulleted list 1 indent"/>
    <w:basedOn w:val="I-bulletedlist"/>
    <w:qFormat/>
    <w:rsid w:val="00800405"/>
  </w:style>
  <w:style w:type="paragraph" w:customStyle="1" w:styleId="I-Normal-bold">
    <w:name w:val="I - Normal- bold"/>
    <w:basedOn w:val="Normal"/>
    <w:qFormat/>
    <w:rsid w:val="00800405"/>
    <w:pPr>
      <w:ind w:left="360"/>
    </w:pPr>
    <w:rPr>
      <w:b/>
    </w:rPr>
  </w:style>
  <w:style w:type="paragraph" w:customStyle="1" w:styleId="I-LetterAreg">
    <w:name w:val="I - Letter A reg"/>
    <w:basedOn w:val="I-Normal-bold"/>
    <w:qFormat/>
    <w:rsid w:val="008D3C31"/>
    <w:pPr>
      <w:numPr>
        <w:numId w:val="13"/>
      </w:numPr>
    </w:pPr>
    <w:rPr>
      <w:b w:val="0"/>
    </w:rPr>
  </w:style>
  <w:style w:type="paragraph" w:customStyle="1" w:styleId="I-LetterAbold">
    <w:name w:val="I - Letter A bold"/>
    <w:basedOn w:val="I-LetterAreg"/>
    <w:qFormat/>
    <w:rsid w:val="00800405"/>
    <w:rPr>
      <w:b/>
    </w:rPr>
  </w:style>
  <w:style w:type="paragraph" w:customStyle="1" w:styleId="I-LetterAIndent1">
    <w:name w:val="I - Letter A Indent 1"/>
    <w:basedOn w:val="Normal"/>
    <w:qFormat/>
    <w:rsid w:val="00800405"/>
    <w:pPr>
      <w:ind w:left="1350" w:hanging="360"/>
    </w:pPr>
  </w:style>
  <w:style w:type="paragraph" w:customStyle="1" w:styleId="I-Normalreg">
    <w:name w:val="I - Normal reg"/>
    <w:basedOn w:val="I-Normal-bold"/>
    <w:qFormat/>
    <w:rsid w:val="00800405"/>
    <w:rPr>
      <w:b w:val="0"/>
    </w:rPr>
  </w:style>
  <w:style w:type="paragraph" w:customStyle="1" w:styleId="I-Normal1indent">
    <w:name w:val="I - Normal 1 indent"/>
    <w:basedOn w:val="I-Normalreg"/>
    <w:qFormat/>
    <w:rsid w:val="00800405"/>
    <w:pPr>
      <w:ind w:left="720"/>
    </w:pPr>
  </w:style>
  <w:style w:type="paragraph" w:customStyle="1" w:styleId="I-Normal2indent">
    <w:name w:val="I - Normal 2 indent"/>
    <w:basedOn w:val="I-Normal1indent"/>
    <w:qFormat/>
    <w:rsid w:val="00800405"/>
    <w:pPr>
      <w:ind w:left="1350"/>
    </w:pPr>
  </w:style>
  <w:style w:type="paragraph" w:customStyle="1" w:styleId="I-Normal3indent">
    <w:name w:val="I - Normal 3 indent"/>
    <w:basedOn w:val="I-Normal2indent"/>
    <w:qFormat/>
    <w:rsid w:val="00800405"/>
    <w:pPr>
      <w:ind w:left="2340"/>
    </w:pPr>
    <w:rPr>
      <w:b/>
      <w:u w:val="single"/>
    </w:rPr>
  </w:style>
  <w:style w:type="paragraph" w:customStyle="1" w:styleId="I-numbers">
    <w:name w:val="I - numbers"/>
    <w:basedOn w:val="Normal"/>
    <w:qFormat/>
    <w:rsid w:val="00800405"/>
    <w:pPr>
      <w:spacing w:after="120"/>
    </w:pPr>
    <w:rPr>
      <w:rFonts w:eastAsia="Calibri" w:cs="Times New Roman"/>
    </w:rPr>
  </w:style>
  <w:style w:type="paragraph" w:customStyle="1" w:styleId="I-s">
    <w:name w:val="I - #s"/>
    <w:basedOn w:val="I-Normal2indent"/>
    <w:qFormat/>
    <w:rsid w:val="00800405"/>
    <w:pPr>
      <w:numPr>
        <w:numId w:val="7"/>
      </w:numPr>
      <w:ind w:left="1440"/>
    </w:pPr>
  </w:style>
  <w:style w:type="paragraph" w:customStyle="1" w:styleId="I-noindent">
    <w:name w:val="I - no# indent"/>
    <w:basedOn w:val="I-Normal1indent"/>
    <w:qFormat/>
    <w:rsid w:val="00800405"/>
    <w:pPr>
      <w:ind w:left="1440"/>
    </w:pPr>
  </w:style>
  <w:style w:type="paragraph" w:customStyle="1" w:styleId="I-iis">
    <w:name w:val="I - ii's"/>
    <w:basedOn w:val="I-s"/>
    <w:qFormat/>
    <w:rsid w:val="007D3C51"/>
    <w:pPr>
      <w:numPr>
        <w:numId w:val="12"/>
      </w:numPr>
      <w:ind w:left="1800"/>
    </w:pPr>
  </w:style>
  <w:style w:type="paragraph" w:customStyle="1" w:styleId="Level3">
    <w:name w:val="Level 3"/>
    <w:basedOn w:val="Normal"/>
    <w:uiPriority w:val="99"/>
    <w:rsid w:val="00735417"/>
    <w:pPr>
      <w:widowControl w:val="0"/>
      <w:autoSpaceDE w:val="0"/>
      <w:autoSpaceDN w:val="0"/>
      <w:adjustRightInd w:val="0"/>
      <w:jc w:val="left"/>
      <w:outlineLvl w:val="2"/>
    </w:pPr>
    <w:rPr>
      <w:rFonts w:eastAsia="Times New Roman" w:cs="Times New Roman"/>
      <w:sz w:val="24"/>
      <w:szCs w:val="24"/>
    </w:rPr>
  </w:style>
  <w:style w:type="character" w:styleId="CommentReference">
    <w:name w:val="annotation reference"/>
    <w:basedOn w:val="DefaultParagraphFont"/>
    <w:uiPriority w:val="99"/>
    <w:semiHidden/>
    <w:unhideWhenUsed/>
    <w:rsid w:val="002C4874"/>
    <w:rPr>
      <w:sz w:val="16"/>
      <w:szCs w:val="16"/>
    </w:rPr>
  </w:style>
  <w:style w:type="paragraph" w:styleId="CommentText">
    <w:name w:val="annotation text"/>
    <w:basedOn w:val="Normal"/>
    <w:link w:val="CommentTextChar"/>
    <w:uiPriority w:val="99"/>
    <w:unhideWhenUsed/>
    <w:rsid w:val="002C4874"/>
    <w:rPr>
      <w:szCs w:val="20"/>
    </w:rPr>
  </w:style>
  <w:style w:type="character" w:customStyle="1" w:styleId="CommentTextChar">
    <w:name w:val="Comment Text Char"/>
    <w:basedOn w:val="DefaultParagraphFont"/>
    <w:link w:val="CommentText"/>
    <w:uiPriority w:val="99"/>
    <w:rsid w:val="002C487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F7A99"/>
    <w:rPr>
      <w:b/>
      <w:bCs/>
    </w:rPr>
  </w:style>
  <w:style w:type="character" w:customStyle="1" w:styleId="CommentSubjectChar">
    <w:name w:val="Comment Subject Char"/>
    <w:basedOn w:val="CommentTextChar"/>
    <w:link w:val="CommentSubject"/>
    <w:uiPriority w:val="99"/>
    <w:semiHidden/>
    <w:rsid w:val="00EF7A9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9489">
      <w:bodyDiv w:val="1"/>
      <w:marLeft w:val="0"/>
      <w:marRight w:val="0"/>
      <w:marTop w:val="0"/>
      <w:marBottom w:val="0"/>
      <w:divBdr>
        <w:top w:val="none" w:sz="0" w:space="0" w:color="auto"/>
        <w:left w:val="none" w:sz="0" w:space="0" w:color="auto"/>
        <w:bottom w:val="none" w:sz="0" w:space="0" w:color="auto"/>
        <w:right w:val="none" w:sz="0" w:space="0" w:color="auto"/>
      </w:divBdr>
    </w:div>
    <w:div w:id="1652825207">
      <w:bodyDiv w:val="1"/>
      <w:marLeft w:val="0"/>
      <w:marRight w:val="0"/>
      <w:marTop w:val="0"/>
      <w:marBottom w:val="0"/>
      <w:divBdr>
        <w:top w:val="none" w:sz="0" w:space="0" w:color="auto"/>
        <w:left w:val="none" w:sz="0" w:space="0" w:color="auto"/>
        <w:bottom w:val="none" w:sz="0" w:space="0" w:color="auto"/>
        <w:right w:val="none" w:sz="0" w:space="0" w:color="auto"/>
      </w:divBdr>
    </w:div>
    <w:div w:id="20623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k.butcher@nist.gov" TargetMode="External"/><Relationship Id="rId26" Type="http://schemas.openxmlformats.org/officeDocument/2006/relationships/hyperlink" Target="mailto:john.barton@nist.gov" TargetMode="External"/><Relationship Id="rId3" Type="http://schemas.openxmlformats.org/officeDocument/2006/relationships/styles" Target="styles.xml"/><Relationship Id="rId21" Type="http://schemas.openxmlformats.org/officeDocument/2006/relationships/hyperlink" Target="mailto:diane.lee@nist.gov"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ohn.barton@nist.gov" TargetMode="External"/><Relationship Id="rId25" Type="http://schemas.openxmlformats.org/officeDocument/2006/relationships/hyperlink" Target="mailto:john.barton@nist.go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richard.harshman@nist.gov"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juana.williams@nist.gov"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mailto:ambler@nist.gov"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charles.ehrlich@nist.gov"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ralph.richter@nist.gov" TargetMode="External"/><Relationship Id="rId27" Type="http://schemas.openxmlformats.org/officeDocument/2006/relationships/header" Target="header5.xm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9176-AF6D-400C-871E-0C553A7D6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78</Pages>
  <Words>38426</Words>
  <Characters>219033</Characters>
  <Application>Microsoft Office Word</Application>
  <DocSecurity>0</DocSecurity>
  <Lines>1825</Lines>
  <Paragraphs>513</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256946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Crown, Linda D.</cp:lastModifiedBy>
  <cp:revision>50</cp:revision>
  <cp:lastPrinted>2013-04-04T15:45:00Z</cp:lastPrinted>
  <dcterms:created xsi:type="dcterms:W3CDTF">2013-01-23T16:20:00Z</dcterms:created>
  <dcterms:modified xsi:type="dcterms:W3CDTF">2013-07-02T19:20:00Z</dcterms:modified>
</cp:coreProperties>
</file>