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69" w:rsidRPr="007C6869" w:rsidRDefault="007C6869" w:rsidP="007C6869">
      <w:pPr>
        <w:pBdr>
          <w:top w:val="single" w:sz="36" w:space="1" w:color="auto"/>
          <w:bottom w:val="single" w:sz="12" w:space="1" w:color="auto"/>
        </w:pBdr>
        <w:spacing w:after="0" w:line="240" w:lineRule="auto"/>
        <w:jc w:val="both"/>
        <w:rPr>
          <w:rFonts w:ascii="Times New Roman" w:eastAsia="Times New Roman" w:hAnsi="Times New Roman" w:cs="Times New Roman"/>
          <w:color w:val="000000"/>
          <w:sz w:val="12"/>
          <w:szCs w:val="12"/>
        </w:rPr>
      </w:pPr>
    </w:p>
    <w:p w:rsidR="007C6869" w:rsidRPr="007C6869" w:rsidRDefault="007C6869" w:rsidP="007C6869">
      <w:pPr>
        <w:keepNext/>
        <w:autoSpaceDE w:val="0"/>
        <w:spacing w:before="120" w:after="120" w:line="240" w:lineRule="auto"/>
        <w:jc w:val="center"/>
        <w:outlineLvl w:val="0"/>
        <w:rPr>
          <w:rFonts w:ascii="Times New Roman Bold" w:eastAsia="Times New Roman" w:hAnsi="Times New Roman Bold" w:cs="Times New Roman"/>
          <w:b/>
          <w:bCs/>
          <w:kern w:val="32"/>
          <w:sz w:val="28"/>
          <w:szCs w:val="28"/>
        </w:rPr>
      </w:pPr>
      <w:bookmarkStart w:id="0" w:name="_Toc237416589"/>
      <w:bookmarkStart w:id="1" w:name="_Toc237428831"/>
      <w:bookmarkStart w:id="2" w:name="_Toc325575110"/>
      <w:bookmarkStart w:id="3" w:name="_Toc291667148"/>
      <w:bookmarkStart w:id="4" w:name="_Toc464111552"/>
      <w:bookmarkStart w:id="5" w:name="_Toc464123745"/>
      <w:bookmarkStart w:id="6" w:name="_Toc465167826"/>
      <w:r w:rsidRPr="007C6869">
        <w:rPr>
          <w:rFonts w:ascii="Times New Roman Bold" w:eastAsia="Times New Roman" w:hAnsi="Times New Roman Bold" w:cs="Times New Roman"/>
          <w:b/>
          <w:bCs/>
          <w:kern w:val="32"/>
          <w:sz w:val="28"/>
          <w:szCs w:val="28"/>
        </w:rPr>
        <w:t>Chapter 1.  General Information</w:t>
      </w:r>
      <w:bookmarkEnd w:id="0"/>
      <w:bookmarkEnd w:id="1"/>
      <w:bookmarkEnd w:id="2"/>
      <w:bookmarkEnd w:id="3"/>
      <w:bookmarkEnd w:id="4"/>
      <w:bookmarkEnd w:id="5"/>
      <w:bookmarkEnd w:id="6"/>
    </w:p>
    <w:p w:rsidR="007C6869" w:rsidRPr="007C6869" w:rsidRDefault="007C6869" w:rsidP="007C6869">
      <w:pPr>
        <w:pBdr>
          <w:top w:val="single" w:sz="12" w:space="1" w:color="auto"/>
        </w:pBdr>
        <w:spacing w:after="0" w:line="240" w:lineRule="auto"/>
        <w:jc w:val="both"/>
        <w:rPr>
          <w:rFonts w:ascii="Times New Roman" w:eastAsia="Times New Roman" w:hAnsi="Times New Roman" w:cs="Times New Roman"/>
          <w:color w:val="000000"/>
          <w:szCs w:val="20"/>
        </w:rPr>
      </w:pPr>
    </w:p>
    <w:p w:rsidR="007C6869" w:rsidRPr="007C6869" w:rsidRDefault="00BF79FF"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7" w:name="_Toc237416590"/>
      <w:bookmarkStart w:id="8" w:name="_Toc237428832"/>
      <w:bookmarkStart w:id="9" w:name="_Toc325575111"/>
      <w:bookmarkStart w:id="10" w:name="_Toc291667149"/>
      <w:bookmarkStart w:id="11" w:name="_Toc464111553"/>
      <w:bookmarkStart w:id="12" w:name="_Toc464123746"/>
      <w:bookmarkStart w:id="13" w:name="_Toc465167827"/>
      <w:r>
        <w:rPr>
          <w:rFonts w:ascii="Times New Roman" w:eastAsia="Times New Roman" w:hAnsi="Times New Roman" w:cs="Times New Roman"/>
          <w:b/>
          <w:color w:val="000000"/>
          <w:sz w:val="24"/>
          <w:szCs w:val="20"/>
        </w:rPr>
        <w:t>1.1</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Scope</w:t>
      </w:r>
      <w:bookmarkEnd w:id="7"/>
      <w:bookmarkEnd w:id="8"/>
      <w:bookmarkEnd w:id="9"/>
      <w:bookmarkEnd w:id="10"/>
      <w:bookmarkEnd w:id="11"/>
      <w:bookmarkEnd w:id="12"/>
      <w:bookmarkEnd w:id="13"/>
      <w:r w:rsidR="007C6869" w:rsidRPr="007C6869">
        <w:rPr>
          <w:rFonts w:ascii="Times New Roman" w:eastAsia="Times New Roman" w:hAnsi="Times New Roman" w:cs="Times New Roman"/>
          <w:b/>
          <w:color w:val="000000"/>
          <w:sz w:val="24"/>
          <w:szCs w:val="20"/>
        </w:rPr>
        <w:t xml:space="preserve"> </w:t>
      </w:r>
    </w:p>
    <w:p w:rsidR="007C6869" w:rsidRPr="007C6869" w:rsidRDefault="007C6869" w:rsidP="007C6869">
      <w:pPr>
        <w:spacing w:after="240" w:line="240" w:lineRule="auto"/>
        <w:jc w:val="both"/>
        <w:rPr>
          <w:rFonts w:ascii="Times New Roman" w:eastAsia="Times New Roman" w:hAnsi="Times New Roman" w:cs="Times New Roman"/>
          <w:color w:val="000000"/>
          <w:szCs w:val="20"/>
        </w:rPr>
      </w:pPr>
      <w:r w:rsidRPr="007C6869">
        <w:rPr>
          <w:rFonts w:ascii="Times New Roman" w:eastAsia="Times New Roman" w:hAnsi="Times New Roman" w:cs="Times New Roman"/>
          <w:color w:val="000000"/>
          <w:szCs w:val="20"/>
        </w:rPr>
        <w:t xml:space="preserve">Routine verification of the net contents of packages is an important part of any weights and measures program to facilitate value comparison and fair competition.  Consumers have the right to expect packages to bear accurate net content information.  Those manufacturers whose products are sold in packages have the right to expect that their competitors will be required to adhere to the same laws and regulations.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"Scope:General Information" </w:instrText>
      </w:r>
      <w:r w:rsidRPr="007C6869">
        <w:rPr>
          <w:rFonts w:ascii="Times New Roman" w:eastAsia="Times New Roman" w:hAnsi="Times New Roman" w:cs="Times New Roman"/>
          <w:color w:val="000000"/>
          <w:szCs w:val="20"/>
        </w:rPr>
        <w:fldChar w:fldCharType="end"/>
      </w:r>
    </w:p>
    <w:p w:rsidR="007C6869" w:rsidRPr="007C6869" w:rsidRDefault="007C6869" w:rsidP="007C6869">
      <w:pPr>
        <w:tabs>
          <w:tab w:val="left" w:pos="1080"/>
        </w:tabs>
        <w:spacing w:after="240" w:line="240" w:lineRule="auto"/>
        <w:jc w:val="both"/>
        <w:rPr>
          <w:rFonts w:ascii="Times New Roman" w:eastAsia="Times New Roman" w:hAnsi="Times New Roman" w:cs="Times New Roman"/>
          <w:color w:val="000000"/>
          <w:szCs w:val="20"/>
        </w:rPr>
      </w:pPr>
      <w:r w:rsidRPr="007C6869">
        <w:rPr>
          <w:rFonts w:ascii="Times New Roman" w:eastAsia="Times New Roman" w:hAnsi="Times New Roman" w:cs="Times New Roman"/>
          <w:color w:val="000000"/>
          <w:szCs w:val="20"/>
        </w:rPr>
        <w:t>The procedures in this handbook are recommended for use to verify the net quantity of contents of packages kept, offered, or exposed for sale, or sold by weight, measure (including volume, and dimensions), or count at any location (e.g., at the point-of-pack, in storage warehouses, retail stores, and wholesale outlets).</w:t>
      </w:r>
    </w:p>
    <w:p w:rsidR="007C6869" w:rsidRPr="007C6869" w:rsidRDefault="00212BFE"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4" w:name="_Toc291667150"/>
      <w:bookmarkStart w:id="15" w:name="_Toc237353805"/>
      <w:bookmarkStart w:id="16" w:name="_Toc237415617"/>
      <w:bookmarkStart w:id="17" w:name="_Toc237416591"/>
      <w:bookmarkStart w:id="18" w:name="_Toc237428833"/>
      <w:bookmarkStart w:id="19" w:name="_Toc325575112"/>
      <w:bookmarkStart w:id="20" w:name="_Toc464111554"/>
      <w:bookmarkStart w:id="21" w:name="_Toc464123747"/>
      <w:bookmarkStart w:id="22" w:name="_Toc465167828"/>
      <w:r>
        <w:rPr>
          <w:rFonts w:ascii="Times New Roman" w:eastAsia="Times New Roman" w:hAnsi="Times New Roman" w:cs="Times New Roman"/>
          <w:b/>
          <w:color w:val="000000"/>
          <w:szCs w:val="20"/>
        </w:rPr>
        <w:t>1.1.1</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 xml:space="preserve">When and Where to </w:t>
      </w:r>
      <w:bookmarkEnd w:id="14"/>
      <w:r w:rsidR="007C6869" w:rsidRPr="007C6869">
        <w:rPr>
          <w:rFonts w:ascii="Times New Roman" w:eastAsia="Times New Roman" w:hAnsi="Times New Roman" w:cs="Times New Roman"/>
          <w:b/>
          <w:color w:val="000000"/>
          <w:szCs w:val="20"/>
        </w:rPr>
        <w:t>Use Package Checking Procedures</w:t>
      </w:r>
      <w:bookmarkEnd w:id="15"/>
      <w:bookmarkEnd w:id="16"/>
      <w:bookmarkEnd w:id="17"/>
      <w:bookmarkEnd w:id="18"/>
      <w:bookmarkEnd w:id="19"/>
      <w:bookmarkEnd w:id="20"/>
      <w:bookmarkEnd w:id="21"/>
      <w:bookmarkEnd w:id="22"/>
      <w:r w:rsidR="007C6869" w:rsidRPr="007C6869">
        <w:rPr>
          <w:rFonts w:ascii="Times New Roman" w:eastAsia="Times New Roman" w:hAnsi="Times New Roman" w:cs="Times New Roman"/>
          <w:b/>
          <w:color w:val="000000"/>
          <w:szCs w:val="20"/>
        </w:rPr>
        <w:fldChar w:fldCharType="begin"/>
      </w:r>
      <w:r w:rsidR="007C6869" w:rsidRPr="007C6869">
        <w:rPr>
          <w:rFonts w:ascii="Times New Roman" w:eastAsia="Times New Roman" w:hAnsi="Times New Roman" w:cs="Times New Roman"/>
          <w:b/>
          <w:color w:val="000000"/>
          <w:szCs w:val="20"/>
        </w:rPr>
        <w:instrText xml:space="preserve"> XE "Package Checking Procedures" </w:instrText>
      </w:r>
      <w:r w:rsidR="007C6869" w:rsidRPr="007C6869">
        <w:rPr>
          <w:rFonts w:ascii="Times New Roman" w:eastAsia="Times New Roman" w:hAnsi="Times New Roman" w:cs="Times New Roman"/>
          <w:b/>
          <w:color w:val="000000"/>
          <w:szCs w:val="20"/>
        </w:rPr>
        <w:fldChar w:fldCharType="end"/>
      </w:r>
    </w:p>
    <w:p w:rsidR="007C6869" w:rsidRPr="007C6869" w:rsidRDefault="007C6869" w:rsidP="007C6869">
      <w:pPr>
        <w:spacing w:after="0" w:line="240" w:lineRule="auto"/>
        <w:ind w:left="360" w:hanging="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ab/>
        <w:t>An effective program will typically include testing at each of the following levels.</w:t>
      </w:r>
      <w:bookmarkStart w:id="23" w:name="_Toc237415618"/>
      <w:bookmarkStart w:id="24" w:name="_Toc237416592"/>
      <w:bookmarkStart w:id="25" w:name="_Toc237428834"/>
    </w:p>
    <w:p w:rsidR="007C6869" w:rsidRPr="00212BFE" w:rsidRDefault="007C6869" w:rsidP="00212BFE">
      <w:pPr>
        <w:pStyle w:val="ListParagraph"/>
        <w:numPr>
          <w:ilvl w:val="0"/>
          <w:numId w:val="1"/>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26" w:name="_Toc325575113"/>
      <w:bookmarkStart w:id="27" w:name="_Toc464123748"/>
      <w:bookmarkStart w:id="28" w:name="_Toc465167829"/>
      <w:bookmarkStart w:id="29" w:name="_Toc291667151"/>
      <w:r w:rsidRPr="00212BFE">
        <w:rPr>
          <w:rFonts w:ascii="Times New Roman" w:eastAsia="Times New Roman" w:hAnsi="Times New Roman" w:cs="Times New Roman"/>
          <w:b/>
          <w:color w:val="000000"/>
          <w:szCs w:val="20"/>
          <w14:scene3d>
            <w14:camera w14:prst="orthographicFront"/>
            <w14:lightRig w14:rig="threePt" w14:dir="t">
              <w14:rot w14:lat="0" w14:lon="0" w14:rev="0"/>
            </w14:lightRig>
          </w14:scene3d>
        </w:rPr>
        <w:t>Point-of Pack</w:t>
      </w:r>
      <w:bookmarkEnd w:id="23"/>
      <w:bookmarkEnd w:id="24"/>
      <w:bookmarkEnd w:id="25"/>
      <w:bookmarkEnd w:id="26"/>
      <w:bookmarkEnd w:id="27"/>
      <w:bookmarkEnd w:id="28"/>
      <w:r w:rsidRPr="00212BFE">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p>
    <w:p w:rsidR="007C6869" w:rsidRPr="007C6869" w:rsidRDefault="007C6869" w:rsidP="007C6869">
      <w:pPr>
        <w:autoSpaceDE w:val="0"/>
        <w:spacing w:after="0" w:line="240" w:lineRule="auto"/>
        <w:ind w:left="72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szCs w:val="20"/>
        </w:rPr>
        <w:t>Testing packages at the “point-of-pack</w:t>
      </w:r>
      <w:bookmarkEnd w:id="29"/>
      <w:r w:rsidRPr="007C6869">
        <w:rPr>
          <w:rFonts w:ascii="Times New Roman" w:eastAsia="Times New Roman" w:hAnsi="Times New Roman" w:cs="Times New Roman"/>
          <w:color w:val="000000"/>
          <w:szCs w:val="20"/>
        </w:rPr>
        <w:t xml:space="preserve">” </w:t>
      </w:r>
      <w:r w:rsidRPr="007C6869">
        <w:rPr>
          <w:rFonts w:ascii="Times New Roman" w:eastAsia="Times New Roman" w:hAnsi="Times New Roman" w:cs="Times New Roman"/>
          <w:snapToGrid w:val="0"/>
          <w:color w:val="000000"/>
        </w:rPr>
        <w:fldChar w:fldCharType="begin"/>
      </w:r>
      <w:r w:rsidRPr="007C6869">
        <w:rPr>
          <w:rFonts w:ascii="Times New Roman" w:eastAsia="Times New Roman" w:hAnsi="Times New Roman" w:cs="Times New Roman"/>
          <w:snapToGrid w:val="0"/>
          <w:color w:val="000000"/>
        </w:rPr>
        <w:instrText xml:space="preserve"> XE "Package Checking Procedures:Point-of-pack" </w:instrText>
      </w:r>
      <w:r w:rsidRPr="007C6869">
        <w:rPr>
          <w:rFonts w:ascii="Times New Roman" w:eastAsia="Times New Roman" w:hAnsi="Times New Roman" w:cs="Times New Roman"/>
          <w:snapToGrid w:val="0"/>
          <w:color w:val="000000"/>
        </w:rPr>
        <w:fldChar w:fldCharType="end"/>
      </w:r>
      <w:r w:rsidRPr="007C6869">
        <w:rPr>
          <w:rFonts w:ascii="Times New Roman" w:eastAsia="Times New Roman" w:hAnsi="Times New Roman" w:cs="Times New Roman"/>
          <w:snapToGrid w:val="0"/>
          <w:color w:val="000000"/>
        </w:rPr>
        <w:fldChar w:fldCharType="begin"/>
      </w:r>
      <w:r w:rsidRPr="007C6869">
        <w:rPr>
          <w:rFonts w:ascii="Times New Roman" w:eastAsia="Times New Roman" w:hAnsi="Times New Roman" w:cs="Times New Roman"/>
          <w:snapToGrid w:val="0"/>
          <w:color w:val="000000"/>
        </w:rPr>
        <w:instrText xml:space="preserve"> XE "Point-of-pack" \t "See Package Checking Procedures" \i </w:instrText>
      </w:r>
      <w:r w:rsidRPr="007C6869">
        <w:rPr>
          <w:rFonts w:ascii="Times New Roman" w:eastAsia="Times New Roman" w:hAnsi="Times New Roman" w:cs="Times New Roman"/>
          <w:snapToGrid w:val="0"/>
          <w:color w:val="000000"/>
        </w:rPr>
        <w:fldChar w:fldCharType="end"/>
      </w:r>
      <w:r w:rsidRPr="007C6869">
        <w:rPr>
          <w:rFonts w:ascii="Times New Roman" w:eastAsia="Times New Roman" w:hAnsi="Times New Roman" w:cs="Times New Roman"/>
          <w:color w:val="000000"/>
        </w:rPr>
        <w:t>has an immediate impact on the packaging process.  Usually, a large number of packages of a single product are available for testing at one place.  This allows the inspector to verify that the packer is following current good packaging practices.  Inspection at the point-</w:t>
      </w:r>
      <w:r w:rsidRPr="007C6869">
        <w:rPr>
          <w:rFonts w:ascii="Times New Roman" w:eastAsia="Times New Roman" w:hAnsi="Times New Roman" w:cs="Times New Roman"/>
          <w:bCs/>
          <w:color w:val="000000"/>
          <w:lang w:val="x-none" w:eastAsia="x-none"/>
        </w:rPr>
        <w:t>of-pack also provides the opportunity to educate the packer about the legal requirements that products</w:t>
      </w:r>
      <w:r w:rsidRPr="007C6869">
        <w:rPr>
          <w:rFonts w:ascii="Times New Roman" w:eastAsia="Times New Roman" w:hAnsi="Times New Roman" w:cs="Times New Roman"/>
          <w:color w:val="000000"/>
        </w:rPr>
        <w:t xml:space="preserve"> must meet, and may permit resolution of any net content issues or other problems that arise during the testing.  Point-of-pack</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"Point-of-pack"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xml:space="preserve"> testing is not always possible because packing locations can be in other states or countries.  Work with other state, county, and city jurisdictions to encourage point-of-pack inspection on products manufactured in their geographic jurisdictions.  Point-of-pack inspections cannot entirely replace testing at wholesale or retail outlets, because this type of inspection does not include imported products or the possible effects of product distribution and moisture loss.  Point-of-pack inspections only examine the manufacturing process.  Therefore, an effective testing program will also include testing at wholesale and retail outlets.</w:t>
      </w:r>
    </w:p>
    <w:p w:rsidR="007C6869" w:rsidRPr="00D406C6" w:rsidRDefault="007C6869" w:rsidP="00D406C6">
      <w:pPr>
        <w:pStyle w:val="ListParagraph"/>
        <w:numPr>
          <w:ilvl w:val="0"/>
          <w:numId w:val="1"/>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30" w:name="_Toc486756267"/>
      <w:bookmarkStart w:id="31" w:name="_Toc237415619"/>
      <w:bookmarkStart w:id="32" w:name="_Toc237416593"/>
      <w:bookmarkStart w:id="33" w:name="_Toc237428835"/>
      <w:bookmarkStart w:id="34" w:name="_Toc325575114"/>
      <w:bookmarkStart w:id="35" w:name="_Toc464123749"/>
      <w:bookmarkStart w:id="36" w:name="_Toc465167830"/>
      <w:r w:rsidRPr="00D406C6">
        <w:rPr>
          <w:rFonts w:ascii="Times New Roman" w:eastAsia="Times New Roman" w:hAnsi="Times New Roman" w:cs="Times New Roman"/>
          <w:b/>
          <w:color w:val="000000"/>
          <w:szCs w:val="20"/>
          <w14:scene3d>
            <w14:camera w14:prst="orthographicFront"/>
            <w14:lightRig w14:rig="threePt" w14:dir="t">
              <w14:rot w14:lat="0" w14:lon="0" w14:rev="0"/>
            </w14:lightRig>
          </w14:scene3d>
        </w:rPr>
        <w:t>Wholesale</w:t>
      </w:r>
      <w:bookmarkEnd w:id="30"/>
      <w:bookmarkEnd w:id="31"/>
      <w:bookmarkEnd w:id="32"/>
      <w:bookmarkEnd w:id="33"/>
      <w:bookmarkEnd w:id="34"/>
      <w:bookmarkEnd w:id="35"/>
      <w:bookmarkEnd w:id="36"/>
    </w:p>
    <w:p w:rsidR="007C6869" w:rsidRPr="007C6869" w:rsidRDefault="007C6869" w:rsidP="007C6869">
      <w:pPr>
        <w:autoSpaceDE w:val="0"/>
        <w:spacing w:after="0" w:line="240" w:lineRule="auto"/>
        <w:ind w:left="720"/>
        <w:jc w:val="both"/>
        <w:rPr>
          <w:rFonts w:ascii="Times New Roman" w:eastAsia="Times New Roman" w:hAnsi="Times New Roman" w:cs="Times New Roman"/>
          <w:color w:val="000000"/>
          <w:szCs w:val="20"/>
        </w:rPr>
      </w:pPr>
      <w:r w:rsidRPr="007C6869">
        <w:rPr>
          <w:rFonts w:ascii="Times New Roman" w:eastAsia="Times New Roman" w:hAnsi="Times New Roman" w:cs="Times New Roman"/>
          <w:color w:val="000000"/>
        </w:rPr>
        <w:t>Testing packages at a distribution warehouse is an alternative to testing at the point-of-pack with respect to being able to test large quantities of, and a variety of products.  Wholesale</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"Wholesale"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"Wholesale" \t "</w:instrText>
      </w:r>
      <w:r w:rsidRPr="007C6869">
        <w:rPr>
          <w:rFonts w:ascii="Calibri" w:eastAsia="Times New Roman" w:hAnsi="Calibri" w:cs="Times New Roman"/>
          <w:i/>
          <w:color w:val="000000"/>
          <w:szCs w:val="20"/>
        </w:rPr>
        <w:instrText>See</w:instrText>
      </w:r>
      <w:r w:rsidRPr="007C6869">
        <w:rPr>
          <w:rFonts w:ascii="Calibri" w:eastAsia="Times New Roman" w:hAnsi="Calibri" w:cs="Times New Roman"/>
          <w:color w:val="000000"/>
          <w:szCs w:val="20"/>
        </w:rPr>
        <w:instrText xml:space="preserve"> Package Checking Procedures</w:instrText>
      </w:r>
      <w:r w:rsidRPr="007C6869">
        <w:rPr>
          <w:rFonts w:ascii="Times New Roman" w:eastAsia="Times New Roman" w:hAnsi="Times New Roman" w:cs="Times New Roman"/>
          <w:color w:val="000000"/>
          <w:szCs w:val="20"/>
        </w:rPr>
        <w:instrText xml:space="preserve">"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Checking Procedures:Wholesale"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t xml:space="preserve"> testing is a very good way to monitor products imported from other countries and to follow up on products suspected of being under filled or underweight based on consumer complaints or findings made during other inspections, including those done at retail outlets.</w:t>
      </w:r>
      <w:bookmarkStart w:id="37" w:name="_Toc486756268"/>
      <w:bookmarkStart w:id="38" w:name="_Toc237415621"/>
      <w:bookmarkStart w:id="39" w:name="_Toc237416595"/>
      <w:bookmarkStart w:id="40" w:name="_Toc237428836"/>
    </w:p>
    <w:p w:rsidR="007C6869" w:rsidRPr="00D406C6" w:rsidRDefault="007C6869" w:rsidP="00D406C6">
      <w:pPr>
        <w:pStyle w:val="ListParagraph"/>
        <w:numPr>
          <w:ilvl w:val="0"/>
          <w:numId w:val="1"/>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41" w:name="_Toc325575115"/>
      <w:bookmarkStart w:id="42" w:name="_Toc291667153"/>
      <w:bookmarkStart w:id="43" w:name="_Toc464123750"/>
      <w:bookmarkStart w:id="44" w:name="_Toc465167831"/>
      <w:r w:rsidRPr="00D406C6">
        <w:rPr>
          <w:rFonts w:ascii="Times New Roman" w:eastAsia="Times New Roman" w:hAnsi="Times New Roman" w:cs="Times New Roman"/>
          <w:b/>
          <w:color w:val="000000"/>
          <w:szCs w:val="20"/>
          <w14:scene3d>
            <w14:camera w14:prst="orthographicFront"/>
            <w14:lightRig w14:rig="threePt" w14:dir="t">
              <w14:rot w14:lat="0" w14:lon="0" w14:rev="0"/>
            </w14:lightRig>
          </w14:scene3d>
        </w:rPr>
        <w:t>Retail</w:t>
      </w:r>
      <w:bookmarkEnd w:id="37"/>
      <w:bookmarkEnd w:id="38"/>
      <w:bookmarkEnd w:id="39"/>
      <w:bookmarkEnd w:id="40"/>
      <w:bookmarkEnd w:id="41"/>
      <w:bookmarkEnd w:id="42"/>
      <w:bookmarkEnd w:id="43"/>
      <w:bookmarkEnd w:id="44"/>
    </w:p>
    <w:p w:rsidR="007C6869" w:rsidRPr="007C6869" w:rsidRDefault="007C6869" w:rsidP="007C6869">
      <w:pPr>
        <w:keepNext/>
        <w:tabs>
          <w:tab w:val="left" w:pos="720"/>
        </w:tabs>
        <w:autoSpaceDE w:val="0"/>
        <w:spacing w:after="0" w:line="240" w:lineRule="auto"/>
        <w:ind w:left="72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szCs w:val="20"/>
        </w:rPr>
        <w:t xml:space="preserve">Testing packages </w:t>
      </w:r>
      <w:r w:rsidRPr="007C6869">
        <w:rPr>
          <w:rFonts w:ascii="Times New Roman" w:eastAsia="Times New Roman" w:hAnsi="Times New Roman" w:cs="Times New Roman"/>
          <w:snapToGrid w:val="0"/>
          <w:color w:val="000000"/>
        </w:rPr>
        <w:fldChar w:fldCharType="begin"/>
      </w:r>
      <w:r w:rsidRPr="007C6869">
        <w:rPr>
          <w:rFonts w:ascii="Times New Roman" w:eastAsia="Times New Roman" w:hAnsi="Times New Roman" w:cs="Times New Roman"/>
          <w:snapToGrid w:val="0"/>
          <w:color w:val="000000"/>
        </w:rPr>
        <w:instrText xml:space="preserve"> XE "Package Checking Procedures:Retail" \i </w:instrText>
      </w:r>
      <w:r w:rsidRPr="007C6869">
        <w:rPr>
          <w:rFonts w:ascii="Times New Roman" w:eastAsia="Times New Roman" w:hAnsi="Times New Roman" w:cs="Times New Roman"/>
          <w:snapToGrid w:val="0"/>
          <w:color w:val="000000"/>
        </w:rPr>
        <w:fldChar w:fldCharType="end"/>
      </w:r>
      <w:r w:rsidRPr="007C6869">
        <w:rPr>
          <w:rFonts w:ascii="Times New Roman" w:eastAsia="Times New Roman" w:hAnsi="Times New Roman" w:cs="Times New Roman"/>
          <w:snapToGrid w:val="0"/>
          <w:color w:val="000000"/>
        </w:rPr>
        <w:fldChar w:fldCharType="begin"/>
      </w:r>
      <w:r w:rsidRPr="007C6869">
        <w:rPr>
          <w:rFonts w:ascii="Times New Roman" w:eastAsia="Times New Roman" w:hAnsi="Times New Roman" w:cs="Times New Roman"/>
          <w:snapToGrid w:val="0"/>
          <w:color w:val="000000"/>
        </w:rPr>
        <w:instrText xml:space="preserve"> XE "Retail" \t "See Package Checking Procedures" \i </w:instrText>
      </w:r>
      <w:r w:rsidRPr="007C6869">
        <w:rPr>
          <w:rFonts w:ascii="Times New Roman" w:eastAsia="Times New Roman" w:hAnsi="Times New Roman" w:cs="Times New Roman"/>
          <w:snapToGrid w:val="0"/>
          <w:color w:val="000000"/>
        </w:rPr>
        <w:fldChar w:fldCharType="end"/>
      </w:r>
      <w:r w:rsidRPr="007C6869">
        <w:rPr>
          <w:rFonts w:ascii="Times New Roman" w:eastAsia="Times New Roman" w:hAnsi="Times New Roman" w:cs="Times New Roman"/>
          <w:color w:val="000000"/>
        </w:rPr>
        <w:t>at retail outlets evaluates the soundness of the manufacturing, distributing, and retailing processes of the widest variety of goods at a single location.  It is acceptable and practical for weights and measures jurisdictions to monitor packaging procedures and to detect present or potential problems.  Generally, retail package testing is not conducive to checking large quantities of individual products of any single production lot.  Therefore, follow-up inspections of a particular brand or lot code number at a number of retail and wholesale outlets, and ultimately at the point-</w:t>
      </w:r>
      <w:r w:rsidRPr="007C6869">
        <w:rPr>
          <w:rFonts w:ascii="Times New Roman" w:eastAsia="Times New Roman" w:hAnsi="Times New Roman" w:cs="Times New Roman"/>
          <w:color w:val="000000"/>
        </w:rPr>
        <w:lastRenderedPageBreak/>
        <w:t>of-pack are extremely important aspects in any package-checking scheme.  After the evaluation of an inspection lot is completed, the jurisdiction should consider what, if any, further investigation or follow-up is warranted.  At the point-of-sale</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"Point-of-sale"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a large number of processes may affect the quality or quantity of the product.  Therefore, there may be many reasons for any inspection lot being out 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in order to correct defects is more difficult when retail testing is used.</w:t>
      </w:r>
    </w:p>
    <w:p w:rsidR="007C6869" w:rsidRPr="007C6869" w:rsidRDefault="007C6869" w:rsidP="007C6869">
      <w:pPr>
        <w:spacing w:before="60" w:after="0" w:line="240" w:lineRule="auto"/>
        <w:jc w:val="both"/>
        <w:rPr>
          <w:rFonts w:ascii="Times New Roman" w:eastAsia="Times New Roman" w:hAnsi="Times New Roman" w:cs="Times New Roman"/>
          <w:color w:val="000000"/>
          <w:szCs w:val="20"/>
        </w:rPr>
      </w:pPr>
      <w:r w:rsidRPr="007C6869">
        <w:rPr>
          <w:rFonts w:ascii="Times New Roman" w:eastAsia="Times New Roman" w:hAnsi="Times New Roman" w:cs="Times New Roman"/>
          <w:color w:val="000000"/>
        </w:rPr>
        <w:tab/>
      </w:r>
      <w:r w:rsidRPr="007C6869">
        <w:rPr>
          <w:rFonts w:ascii="Times New Roman" w:eastAsia="Times New Roman" w:hAnsi="Times New Roman" w:cs="Times New Roman"/>
          <w:color w:val="000000"/>
          <w:szCs w:val="20"/>
        </w:rPr>
        <w:t>(Amended 2010)</w:t>
      </w:r>
    </w:p>
    <w:p w:rsidR="007C6869" w:rsidRPr="007C6869" w:rsidRDefault="003C20DB"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5" w:name="_Toc325575116"/>
      <w:bookmarkStart w:id="46" w:name="_Toc464111555"/>
      <w:bookmarkStart w:id="47" w:name="_Toc464123751"/>
      <w:bookmarkStart w:id="48" w:name="_Toc465167832"/>
      <w:r>
        <w:rPr>
          <w:rFonts w:ascii="Times New Roman" w:eastAsia="Times New Roman" w:hAnsi="Times New Roman" w:cs="Times New Roman"/>
          <w:b/>
          <w:color w:val="000000"/>
          <w:szCs w:val="20"/>
        </w:rPr>
        <w:t>1.1.2.</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Selecting a Product for Testing</w:t>
      </w:r>
      <w:bookmarkEnd w:id="45"/>
      <w:bookmarkEnd w:id="46"/>
      <w:bookmarkEnd w:id="47"/>
      <w:bookmarkEnd w:id="48"/>
    </w:p>
    <w:p w:rsidR="007C6869" w:rsidRPr="007C6869" w:rsidRDefault="007C6869" w:rsidP="007C6869">
      <w:pPr>
        <w:suppressAutoHyphens/>
        <w:spacing w:after="240" w:line="240" w:lineRule="auto"/>
        <w:ind w:left="360"/>
        <w:jc w:val="both"/>
        <w:rPr>
          <w:rFonts w:ascii="Times New Roman" w:eastAsia="Times New Roman" w:hAnsi="Times New Roman" w:cs="Times New Roman"/>
          <w:color w:val="000000"/>
          <w:spacing w:val="-2"/>
        </w:rPr>
      </w:pPr>
      <w:r w:rsidRPr="007C6869">
        <w:rPr>
          <w:rFonts w:ascii="Times New Roman" w:eastAsia="Times New Roman" w:hAnsi="Times New Roman" w:cs="Times New Roman"/>
          <w:color w:val="000000"/>
          <w:spacing w:val="-2"/>
        </w:rPr>
        <w:t xml:space="preserve">Any commodity </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pacing w:val="-2"/>
        </w:rPr>
        <w:instrText xml:space="preserve"> XE "Product Testing"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1.3. “Sampling Plans”) to cover as large a product variety as possible at food, farm, drug, hardware stores, or specialty outlets, discount and department stores.  Follow-up of possible problems detected in audit testing or in review of past performance tends to concentrate inspection resources on particular commodity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period of time.  Store packaged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7C6869" w:rsidRPr="007C6869" w:rsidRDefault="007C6869" w:rsidP="007C6869">
      <w:pPr>
        <w:suppressAutoHyphens/>
        <w:spacing w:after="240" w:line="240" w:lineRule="auto"/>
        <w:ind w:left="360"/>
        <w:jc w:val="both"/>
        <w:rPr>
          <w:rFonts w:ascii="Times New Roman" w:eastAsia="Times New Roman" w:hAnsi="Times New Roman" w:cs="Times New Roman"/>
          <w:color w:val="000000"/>
          <w:spacing w:val="-2"/>
        </w:rPr>
      </w:pPr>
      <w:r w:rsidRPr="007C6869">
        <w:rPr>
          <w:rFonts w:ascii="Times New Roman" w:eastAsia="Times New Roman" w:hAnsi="Times New Roman" w:cs="Times New Roman"/>
          <w:color w:val="000000"/>
          <w:spacing w:val="-2"/>
        </w:rPr>
        <w:t>Regardless of where the test occurs, remember that it is the inspector’s presence in the marketplace through routine unannounced testing that ensures equity and fair competition in the manufacturing and distribution process.  Finally, always follow-up on testing to ensure that the problems are corrected; otherwise, the initial testing may be ineffective.</w:t>
      </w:r>
    </w:p>
    <w:p w:rsidR="007C6869" w:rsidRPr="007C6869" w:rsidRDefault="003C20DB"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9" w:name="_Toc446212143"/>
      <w:bookmarkStart w:id="50" w:name="_Toc237353807"/>
      <w:bookmarkStart w:id="51" w:name="_Toc237415622"/>
      <w:bookmarkStart w:id="52" w:name="_Toc237416596"/>
      <w:bookmarkStart w:id="53" w:name="_Toc237428838"/>
      <w:bookmarkStart w:id="54" w:name="_Toc325575117"/>
      <w:bookmarkStart w:id="55" w:name="_Toc291667155"/>
      <w:bookmarkStart w:id="56" w:name="_Toc486756270"/>
      <w:bookmarkStart w:id="57" w:name="_Toc464111556"/>
      <w:bookmarkStart w:id="58" w:name="_Toc464123752"/>
      <w:bookmarkStart w:id="59" w:name="_Toc465167833"/>
      <w:bookmarkStart w:id="60" w:name="_Toc446212133"/>
      <w:r>
        <w:rPr>
          <w:rFonts w:ascii="Times New Roman" w:eastAsia="Times New Roman" w:hAnsi="Times New Roman" w:cs="Times New Roman"/>
          <w:b/>
          <w:color w:val="000000"/>
          <w:sz w:val="24"/>
          <w:szCs w:val="20"/>
        </w:rPr>
        <w:t>1.2</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Package Requirements</w:t>
      </w:r>
      <w:bookmarkEnd w:id="49"/>
      <w:bookmarkEnd w:id="50"/>
      <w:bookmarkEnd w:id="51"/>
      <w:bookmarkEnd w:id="52"/>
      <w:bookmarkEnd w:id="53"/>
      <w:bookmarkEnd w:id="54"/>
      <w:bookmarkEnd w:id="55"/>
      <w:bookmarkEnd w:id="56"/>
      <w:bookmarkEnd w:id="57"/>
      <w:bookmarkEnd w:id="58"/>
      <w:bookmarkEnd w:id="59"/>
    </w:p>
    <w:p w:rsidR="007C6869" w:rsidRPr="007C6869" w:rsidRDefault="007C6869" w:rsidP="007C6869">
      <w:pPr>
        <w:spacing w:after="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The net quantity of content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"Packages:Package Requirements"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statement must be “accurate,” but reasonable variations are permitted.  Variations in package contents may be a result of deviations in filling.  The limits for acceptable variations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Section 1.2.5. “Exceptions to the Average and Individual Package Requirements.”</w:t>
      </w:r>
    </w:p>
    <w:p w:rsidR="007C6869" w:rsidRPr="007C6869" w:rsidRDefault="003C20DB"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61" w:name="_Toc464054776"/>
      <w:bookmarkStart w:id="62" w:name="_Toc464055174"/>
      <w:bookmarkStart w:id="63" w:name="_Toc464055785"/>
      <w:bookmarkStart w:id="64" w:name="_Toc464054779"/>
      <w:bookmarkStart w:id="65" w:name="_Toc464055177"/>
      <w:bookmarkStart w:id="66" w:name="_Toc464055788"/>
      <w:bookmarkStart w:id="67" w:name="_Toc291667156"/>
      <w:bookmarkStart w:id="68" w:name="_Toc486756271"/>
      <w:bookmarkStart w:id="69" w:name="_Toc237428839"/>
      <w:bookmarkStart w:id="70" w:name="_Toc325575118"/>
      <w:bookmarkStart w:id="71" w:name="_Toc464111557"/>
      <w:bookmarkStart w:id="72" w:name="_Toc464123754"/>
      <w:bookmarkStart w:id="73" w:name="_Toc465167834"/>
      <w:bookmarkEnd w:id="61"/>
      <w:bookmarkEnd w:id="62"/>
      <w:bookmarkEnd w:id="63"/>
      <w:bookmarkEnd w:id="64"/>
      <w:bookmarkEnd w:id="65"/>
      <w:bookmarkEnd w:id="66"/>
      <w:r>
        <w:rPr>
          <w:rFonts w:ascii="Times New Roman" w:eastAsia="Times New Roman" w:hAnsi="Times New Roman" w:cs="Times New Roman"/>
          <w:b/>
          <w:color w:val="000000"/>
          <w:szCs w:val="20"/>
        </w:rPr>
        <w:t>1.2.1</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 xml:space="preserve">Inspection </w:t>
      </w:r>
      <w:bookmarkEnd w:id="67"/>
      <w:r w:rsidR="007C6869" w:rsidRPr="007C6869">
        <w:rPr>
          <w:rFonts w:ascii="Times New Roman" w:eastAsia="Times New Roman" w:hAnsi="Times New Roman" w:cs="Times New Roman"/>
          <w:b/>
          <w:color w:val="000000"/>
          <w:szCs w:val="20"/>
        </w:rPr>
        <w:t>Lot</w:t>
      </w:r>
      <w:bookmarkEnd w:id="68"/>
      <w:bookmarkEnd w:id="69"/>
      <w:bookmarkEnd w:id="70"/>
      <w:bookmarkEnd w:id="71"/>
      <w:bookmarkEnd w:id="72"/>
      <w:bookmarkEnd w:id="73"/>
    </w:p>
    <w:p w:rsidR="007C6869" w:rsidRPr="007C6869" w:rsidRDefault="007C6869" w:rsidP="007C6869">
      <w:pPr>
        <w:keepNext/>
        <w:autoSpaceDE w:val="0"/>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An </w:t>
      </w:r>
      <w:r w:rsidRPr="007C6869">
        <w:rPr>
          <w:rFonts w:ascii="Times New Roman" w:eastAsia="Times New Roman" w:hAnsi="Times New Roman" w:cs="Times New Roman"/>
          <w:color w:val="000000"/>
          <w:spacing w:val="-2"/>
        </w:rPr>
        <w:t xml:space="preserve">“inspection lot”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Requirements:Inspection Lot"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"Inspection Lot" \t "See Package Requirement"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pacing w:val="-2"/>
        </w:rPr>
        <w:t xml:space="preserve"> (called a “lot” in this handbook) is defined as a </w:t>
      </w:r>
      <w:r w:rsidRPr="007C6869">
        <w:rPr>
          <w:rFonts w:ascii="Times New Roman" w:eastAsia="Times New Roman" w:hAnsi="Times New Roman" w:cs="Times New Roman"/>
          <w:color w:val="000000"/>
        </w:rPr>
        <w:t xml:space="preserve">collection of identically labeled (except for quantity or identity in the case of random packages) packages available for inspection at one time.  The collection of packages will pass or fail as a whole based on the results of tests on a sample drawn from the lot.  This handbook describes procedures to determine if the packages in an </w:t>
      </w:r>
      <w:r w:rsidRPr="007C6869">
        <w:rPr>
          <w:rFonts w:ascii="Times New Roman" w:eastAsia="Times New Roman" w:hAnsi="Times New Roman" w:cs="Times New Roman"/>
          <w:color w:val="000000"/>
        </w:rPr>
        <w:lastRenderedPageBreak/>
        <w:t>“inspection lot” contain the declared net quantity of contents and if the individual packages’ variations are within acceptable limits.</w:t>
      </w:r>
    </w:p>
    <w:p w:rsidR="007C6869" w:rsidRPr="007C6869" w:rsidRDefault="00C610A1"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74" w:name="_Toc446212146"/>
      <w:bookmarkStart w:id="75" w:name="_Toc486756272"/>
      <w:bookmarkStart w:id="76" w:name="_Toc237428840"/>
      <w:bookmarkStart w:id="77" w:name="_Toc325575119"/>
      <w:bookmarkStart w:id="78" w:name="_Toc291667157"/>
      <w:bookmarkStart w:id="79" w:name="_Toc464111558"/>
      <w:bookmarkStart w:id="80" w:name="_Toc464123755"/>
      <w:bookmarkStart w:id="81" w:name="_Toc465167835"/>
      <w:r>
        <w:rPr>
          <w:rFonts w:ascii="Times New Roman" w:eastAsia="Times New Roman" w:hAnsi="Times New Roman" w:cs="Times New Roman"/>
          <w:b/>
          <w:color w:val="000000"/>
          <w:szCs w:val="20"/>
        </w:rPr>
        <w:t>1.2.2.</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Average Requirement</w:t>
      </w:r>
      <w:bookmarkEnd w:id="74"/>
      <w:bookmarkEnd w:id="75"/>
      <w:bookmarkEnd w:id="76"/>
      <w:bookmarkEnd w:id="77"/>
      <w:bookmarkEnd w:id="78"/>
      <w:bookmarkEnd w:id="79"/>
      <w:bookmarkEnd w:id="80"/>
      <w:bookmarkEnd w:id="81"/>
    </w:p>
    <w:p w:rsidR="007C6869" w:rsidRPr="007C6869" w:rsidRDefault="007C6869" w:rsidP="007C6869">
      <w:pPr>
        <w:spacing w:after="0" w:line="240" w:lineRule="auto"/>
        <w:ind w:left="360"/>
        <w:jc w:val="both"/>
        <w:rPr>
          <w:rFonts w:ascii="Times New Roman" w:eastAsia="Times New Roman" w:hAnsi="Times New Roman" w:cs="Times New Roman"/>
          <w:i/>
          <w:color w:val="000000"/>
        </w:rPr>
      </w:pPr>
      <w:r w:rsidRPr="007C6869">
        <w:rPr>
          <w:rFonts w:ascii="Times New Roman" w:eastAsia="Times New Roman" w:hAnsi="Times New Roman" w:cs="Times New Roman"/>
          <w:color w:val="000000"/>
        </w:rPr>
        <w:t xml:space="preserve">In general, the average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"Average Requirement" \t "See Package Requirement"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Requirements:Average Requirement"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 xml:space="preserve">net quantity of contents of packages in a lot must at least equal the net quantity of contents declared on the label.  </w:t>
      </w:r>
      <w:proofErr w:type="gramStart"/>
      <w:r w:rsidRPr="007C6869">
        <w:rPr>
          <w:rFonts w:ascii="Times New Roman" w:eastAsia="Times New Roman" w:hAnsi="Times New Roman" w:cs="Times New Roman"/>
          <w:color w:val="000000"/>
        </w:rPr>
        <w:t>Plus</w:t>
      </w:r>
      <w:proofErr w:type="gramEnd"/>
      <w:r w:rsidRPr="007C6869">
        <w:rPr>
          <w:rFonts w:ascii="Times New Roman" w:eastAsia="Times New Roman" w:hAnsi="Times New Roman" w:cs="Times New Roman"/>
          <w:color w:val="000000"/>
        </w:rPr>
        <w:t xml:space="preserve">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 commodity or a lot of the commodity that is kept, offered, exposed for sale, or sold, is below the stated quantity.  (See Section 3.6. “Pressed and Blown Glass Tumblers and Stemware” and Section 4.2.1. “Packages Labeled with 50 Items or Fewer” for exceptions to this requirement.)</w:t>
      </w:r>
    </w:p>
    <w:p w:rsidR="007C6869" w:rsidRPr="007C6869" w:rsidRDefault="00C610A1"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82" w:name="_Toc446212147"/>
      <w:bookmarkStart w:id="83" w:name="_Toc486756273"/>
      <w:bookmarkStart w:id="84" w:name="_Toc237428841"/>
      <w:bookmarkStart w:id="85" w:name="_Toc325575120"/>
      <w:bookmarkStart w:id="86" w:name="_Toc291667158"/>
      <w:bookmarkStart w:id="87" w:name="_Toc464111559"/>
      <w:bookmarkStart w:id="88" w:name="_Toc464123756"/>
      <w:bookmarkStart w:id="89" w:name="_Toc465167836"/>
      <w:r>
        <w:rPr>
          <w:rFonts w:ascii="Times New Roman" w:eastAsia="Times New Roman" w:hAnsi="Times New Roman" w:cs="Times New Roman"/>
          <w:b/>
          <w:color w:val="000000"/>
          <w:szCs w:val="20"/>
        </w:rPr>
        <w:t>1.2.3.</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Individual Package Requirement</w:t>
      </w:r>
      <w:bookmarkEnd w:id="82"/>
      <w:bookmarkEnd w:id="83"/>
      <w:bookmarkEnd w:id="84"/>
      <w:bookmarkEnd w:id="85"/>
      <w:bookmarkEnd w:id="86"/>
      <w:bookmarkEnd w:id="87"/>
      <w:bookmarkEnd w:id="88"/>
      <w:bookmarkEnd w:id="89"/>
    </w:p>
    <w:p w:rsidR="007C6869" w:rsidRPr="007C6869" w:rsidRDefault="007C6869" w:rsidP="007C6869">
      <w:pPr>
        <w:autoSpaceDE w:val="0"/>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The variation of individual package contents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Requirements:Individual Package Requirement"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"Individual Package Requirement" \t "See Package Requirements"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from the labeled quantity must not be “unreasonably large.”  In this handbook, packages that are under filled by more than the Maximum Allowable Variation</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"Maximum Allowable Variation (MAV)"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xml:space="preserve"> (MAV) specified for the package are considered unreasonable errors.  Unreasonable shortages are not generally permitted, even when overages in other packages in the same lot, shipment, or delivery compensate for such shortage.  This handbook does not specify limits of overfilling (with the exception of textiles), which is usually controlled by the packer for economic, compliance, and other reasons.</w:t>
      </w:r>
    </w:p>
    <w:p w:rsidR="007C6869" w:rsidRPr="007C6869" w:rsidRDefault="007C6869" w:rsidP="007C6869">
      <w:pPr>
        <w:autoSpaceDE w:val="0"/>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(Amended 2010)</w:t>
      </w:r>
    </w:p>
    <w:p w:rsidR="007C6869" w:rsidRPr="007C6869" w:rsidRDefault="00C610A1"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90" w:name="_Toc446212148"/>
      <w:bookmarkStart w:id="91" w:name="_Toc237428842"/>
      <w:bookmarkStart w:id="92" w:name="_Toc325575121"/>
      <w:bookmarkStart w:id="93" w:name="_Toc291667159"/>
      <w:bookmarkStart w:id="94" w:name="_Toc464111560"/>
      <w:bookmarkStart w:id="95" w:name="_Toc464123757"/>
      <w:bookmarkStart w:id="96" w:name="_Toc465167837"/>
      <w:r>
        <w:rPr>
          <w:rFonts w:ascii="Times New Roman" w:eastAsia="Times New Roman" w:hAnsi="Times New Roman" w:cs="Times New Roman"/>
          <w:b/>
          <w:color w:val="000000"/>
          <w:szCs w:val="20"/>
        </w:rPr>
        <w:t>1.2.4.</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Maximum Allowable Variation</w:t>
      </w:r>
      <w:bookmarkEnd w:id="90"/>
      <w:bookmarkEnd w:id="91"/>
      <w:bookmarkEnd w:id="92"/>
      <w:bookmarkEnd w:id="93"/>
      <w:bookmarkEnd w:id="94"/>
      <w:bookmarkEnd w:id="95"/>
      <w:bookmarkEnd w:id="96"/>
    </w:p>
    <w:p w:rsidR="007C6869" w:rsidRPr="007C6869" w:rsidRDefault="007C6869" w:rsidP="007C6869">
      <w:pPr>
        <w:autoSpaceDE w:val="0"/>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The limit of the</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Requirements:Maximum Allowable Variation (MAV)"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"Maximum Allowable Variation (MAV)" \t "See Package Requirements"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 xml:space="preserve"> “reasonable minus variation</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"Reasonable variation"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for an under filled package is called a “Maximum Allowable Variation</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"Maximum Allowable Variation (MAV)"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(MAV).  An MAV is a deviation from the labeled weight, measure, or count of an individual package beyond which the deficiency is considered an unreasonable minus error.  Each sampling plan limits the number of negative package errors permitted to be greater than the MAV.</w:t>
      </w:r>
    </w:p>
    <w:p w:rsidR="007C6869" w:rsidRPr="007C6869" w:rsidRDefault="007C6869" w:rsidP="007C6869">
      <w:pPr>
        <w:autoSpaceDE w:val="0"/>
        <w:spacing w:before="60"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(Amended 2010)</w:t>
      </w:r>
    </w:p>
    <w:p w:rsidR="007C6869" w:rsidRPr="007C6869" w:rsidRDefault="009B26EA"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97" w:name="_Toc325575122"/>
      <w:bookmarkStart w:id="98" w:name="_Toc464111561"/>
      <w:bookmarkStart w:id="99" w:name="_Toc464123758"/>
      <w:bookmarkStart w:id="100" w:name="_Toc465167838"/>
      <w:r>
        <w:rPr>
          <w:rFonts w:ascii="Times New Roman" w:eastAsia="Times New Roman" w:hAnsi="Times New Roman" w:cs="Times New Roman"/>
          <w:b/>
          <w:color w:val="000000"/>
          <w:szCs w:val="20"/>
        </w:rPr>
        <w:t>1.2.5.</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Exceptions to the Average and Individual Package Requirements</w:t>
      </w:r>
      <w:bookmarkEnd w:id="97"/>
      <w:bookmarkEnd w:id="98"/>
      <w:bookmarkEnd w:id="99"/>
      <w:bookmarkEnd w:id="100"/>
    </w:p>
    <w:p w:rsidR="007C6869" w:rsidRPr="007C6869" w:rsidRDefault="007C6869" w:rsidP="007C6869">
      <w:pPr>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There is an exemption from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Requirements:Exceptions to the Average"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Requirements:Exceptions to the Individual"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the average requirement for packages labeled by count with 50 items or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7C6869" w:rsidRPr="007C6869" w:rsidRDefault="009B26EA"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01" w:name="_Toc446212149"/>
      <w:bookmarkStart w:id="102" w:name="_Toc486756274"/>
      <w:bookmarkStart w:id="103" w:name="_Toc237428843"/>
      <w:bookmarkStart w:id="104" w:name="_Toc325575123"/>
      <w:bookmarkStart w:id="105" w:name="_Toc291667160"/>
      <w:bookmarkStart w:id="106" w:name="_Toc464111562"/>
      <w:bookmarkStart w:id="107" w:name="_Toc464123759"/>
      <w:bookmarkStart w:id="108" w:name="_Toc465167839"/>
      <w:r>
        <w:rPr>
          <w:rFonts w:ascii="Times New Roman" w:eastAsia="Times New Roman" w:hAnsi="Times New Roman" w:cs="Times New Roman"/>
          <w:b/>
          <w:color w:val="000000"/>
          <w:szCs w:val="20"/>
        </w:rPr>
        <w:t>1.2.6.</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Deviations Caused by Moisture Loss or Gain</w:t>
      </w:r>
      <w:bookmarkEnd w:id="101"/>
      <w:bookmarkEnd w:id="102"/>
      <w:bookmarkEnd w:id="103"/>
      <w:bookmarkEnd w:id="104"/>
      <w:bookmarkEnd w:id="105"/>
      <w:bookmarkEnd w:id="106"/>
      <w:bookmarkEnd w:id="107"/>
      <w:bookmarkEnd w:id="108"/>
    </w:p>
    <w:p w:rsidR="007C6869" w:rsidRPr="007C6869" w:rsidRDefault="007C6869" w:rsidP="007C6869">
      <w:pPr>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spacing w:val="-2"/>
        </w:rPr>
        <w:t xml:space="preserve">Deviations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Requirements:Deviations Caused by Moisture Loss or Gain"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"Deviations Caused by Moisture Loss or Gain" \t "See Package Requirements"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"Package Requirements:Moisture Loss or Gain"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"Moisture Loss or Gain" \t "See Package Requirements" \i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pacing w:val="-2"/>
        </w:rPr>
        <w:t xml:space="preserve">from the net quantity of contents caused by the loss or gain of moisture from the package are permitted </w:t>
      </w:r>
      <w:r w:rsidRPr="007C6869">
        <w:rPr>
          <w:rFonts w:ascii="Times New Roman" w:eastAsia="Times New Roman" w:hAnsi="Times New Roman" w:cs="Times New Roman"/>
          <w:color w:val="000000"/>
        </w:rPr>
        <w:t>when they are caused by ordinary and customary exposure to conditions that normally occur in good distribution practice and that unavoidably result in change of weight or measure.  According to regulations adopted by the U.S. Environmental Protection Agency, no moisture loss is recognized on pesticides.  (See Code of Federal Regulations 40 CFR Part 156.10.)</w:t>
      </w:r>
    </w:p>
    <w:p w:rsidR="007C6869" w:rsidRPr="007C6869" w:rsidRDefault="00B2678C" w:rsidP="007C686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109" w:name="_Toc325575124"/>
      <w:bookmarkStart w:id="110" w:name="_Toc464123760"/>
      <w:bookmarkStart w:id="111" w:name="_Toc465167840"/>
      <w:r>
        <w:rPr>
          <w:rFonts w:ascii="Times New Roman" w:eastAsia="Times New Roman" w:hAnsi="Times New Roman" w:cs="Times New Roman"/>
          <w:b/>
        </w:rPr>
        <w:lastRenderedPageBreak/>
        <w:t>1.2.6.1.</w:t>
      </w:r>
      <w:r>
        <w:rPr>
          <w:rFonts w:ascii="Times New Roman" w:eastAsia="Times New Roman" w:hAnsi="Times New Roman" w:cs="Times New Roman"/>
          <w:b/>
        </w:rPr>
        <w:tab/>
      </w:r>
      <w:r w:rsidR="007C6869" w:rsidRPr="007C6869">
        <w:rPr>
          <w:rFonts w:ascii="Times New Roman" w:eastAsia="Times New Roman" w:hAnsi="Times New Roman" w:cs="Times New Roman"/>
          <w:b/>
        </w:rPr>
        <w:t>Applying a Moisture Allowance</w:t>
      </w:r>
      <w:bookmarkEnd w:id="109"/>
      <w:bookmarkEnd w:id="110"/>
      <w:bookmarkEnd w:id="111"/>
    </w:p>
    <w:p w:rsidR="007C6869" w:rsidRPr="007C6869" w:rsidRDefault="007C6869" w:rsidP="007C6869">
      <w:pPr>
        <w:keepNext/>
        <w:autoSpaceDE w:val="0"/>
        <w:spacing w:after="240" w:line="240" w:lineRule="auto"/>
        <w:ind w:left="72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Some packaged products may lose or gain moisture </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"Moisture Allowance:Applying"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and, therefore, lose or gain weight or volume after packaging.  The amount of moisture loss 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sidRPr="007C6869">
        <w:rPr>
          <w:rFonts w:ascii="Times New Roman" w:eastAsia="Times New Roman" w:hAnsi="Times New Roman" w:cs="Times New Roman"/>
        </w:rPr>
        <w:t xml:space="preserve"> </w:t>
      </w:r>
      <w:r w:rsidRPr="007C6869">
        <w:rPr>
          <w:rFonts w:ascii="Times New Roman" w:eastAsia="Times New Roman" w:hAnsi="Times New Roman" w:cs="Times New Roman"/>
          <w:color w:val="000000"/>
        </w:rPr>
        <w:t>the moisture allowances may be applied before or after the package errors are determined.</w:t>
      </w:r>
    </w:p>
    <w:p w:rsidR="007C6869" w:rsidRPr="007C6869" w:rsidRDefault="007C6869" w:rsidP="007C6869">
      <w:pPr>
        <w:autoSpaceDE w:val="0"/>
        <w:spacing w:after="240" w:line="240" w:lineRule="auto"/>
        <w:ind w:left="720"/>
        <w:jc w:val="both"/>
        <w:rPr>
          <w:rFonts w:ascii="Times New Roman" w:eastAsia="Times New Roman" w:hAnsi="Times New Roman" w:cs="Times New Roman"/>
          <w:color w:val="000000"/>
        </w:rPr>
      </w:pPr>
      <w:r w:rsidRPr="007C6869">
        <w:rPr>
          <w:rFonts w:ascii="Times New Roman" w:eastAsia="Times New Roman" w:hAnsi="Times New Roman" w:cs="Times New Roman"/>
        </w:rPr>
        <w:t>T</w:t>
      </w:r>
      <w:r w:rsidRPr="007C6869">
        <w:rPr>
          <w:rFonts w:ascii="Times New Roman" w:eastAsia="Times New Roman" w:hAnsi="Times New Roman" w:cs="Times New Roman"/>
          <w:color w:val="000000"/>
        </w:rPr>
        <w:t>o apply an allowance before determining package errors, adjust the Nominal Gross Weight (see Section 2.3.6. “Determine Nominal Gross Weight and Package Errors”), so the package errors are increased by an amount equal to the moisture allowance.  This approach is used to account for moisture loss in both the average and individual package errors.</w:t>
      </w:r>
    </w:p>
    <w:p w:rsidR="007C6869" w:rsidRPr="007C6869" w:rsidRDefault="007C6869" w:rsidP="007C6869">
      <w:pPr>
        <w:autoSpaceDE w:val="0"/>
        <w:spacing w:after="240" w:line="240" w:lineRule="auto"/>
        <w:ind w:left="720"/>
        <w:jc w:val="both"/>
        <w:rPr>
          <w:rFonts w:ascii="Times New Roman" w:eastAsia="Times New Roman" w:hAnsi="Times New Roman" w:cs="Times New Roman"/>
          <w:color w:val="000000"/>
        </w:rPr>
      </w:pPr>
      <w:r w:rsidRPr="007C6869">
        <w:rPr>
          <w:rFonts w:ascii="Times New Roman" w:eastAsia="Times New Roman" w:hAnsi="Times New Roman" w:cs="Times New Roman"/>
        </w:rPr>
        <w:t>I</w:t>
      </w:r>
      <w:r w:rsidRPr="007C6869">
        <w:rPr>
          <w:rFonts w:ascii="Times New Roman" w:eastAsia="Times New Roman" w:hAnsi="Times New Roman" w:cs="Times New Roman"/>
          <w:color w:val="000000"/>
        </w:rPr>
        <w:t xml:space="preserve">t is also permissible to apply the moisture allowances after individual package errors and average errors are determined.  </w:t>
      </w:r>
    </w:p>
    <w:p w:rsidR="007C6869" w:rsidRPr="007C6869" w:rsidRDefault="007C6869" w:rsidP="007C6869">
      <w:pPr>
        <w:autoSpaceDE w:val="0"/>
        <w:spacing w:after="0" w:line="240" w:lineRule="auto"/>
        <w:ind w:left="1080" w:right="360"/>
        <w:jc w:val="both"/>
        <w:rPr>
          <w:rFonts w:ascii="Times New Roman" w:eastAsia="Times New Roman" w:hAnsi="Times New Roman" w:cs="Times New Roman"/>
          <w:i/>
          <w:color w:val="000000"/>
        </w:rPr>
      </w:pPr>
      <w:r w:rsidRPr="007C6869">
        <w:rPr>
          <w:rFonts w:ascii="Times New Roman" w:eastAsia="Times New Roman" w:hAnsi="Times New Roman" w:cs="Times New Roman"/>
          <w:b/>
          <w:color w:val="000000"/>
        </w:rPr>
        <w:t>Example:</w:t>
      </w:r>
      <w:r w:rsidRPr="007C6869">
        <w:rPr>
          <w:rFonts w:ascii="Times New Roman" w:eastAsia="Times New Roman" w:hAnsi="Times New Roman" w:cs="Times New Roman"/>
          <w:i/>
          <w:color w:val="000000"/>
        </w:rPr>
        <w:t xml:space="preserve">  </w:t>
      </w:r>
    </w:p>
    <w:p w:rsidR="007C6869" w:rsidRPr="007C6869" w:rsidRDefault="007C6869" w:rsidP="007C6869">
      <w:pPr>
        <w:autoSpaceDE w:val="0"/>
        <w:spacing w:after="240" w:line="240" w:lineRule="auto"/>
        <w:ind w:left="1080" w:right="360"/>
        <w:jc w:val="both"/>
        <w:rPr>
          <w:rFonts w:ascii="Times New Roman" w:eastAsia="Times New Roman" w:hAnsi="Times New Roman" w:cs="Times New Roman"/>
          <w:color w:val="000000"/>
        </w:rPr>
      </w:pPr>
      <w:r w:rsidRPr="007C6869">
        <w:rPr>
          <w:rFonts w:ascii="Times New Roman" w:eastAsia="Times New Roman" w:hAnsi="Times New Roman" w:cs="Times New Roman"/>
          <w:i/>
          <w:color w:val="000000"/>
        </w:rPr>
        <w:t xml:space="preserve">A sample of a product that could be subject to moisture loss might fail because the average error is minus or the error in several of the sample packages are found to be unreasonable errors (i.e., the package error is greater than the Maximum Allowable Variation (MAV) permitted for the package’s labeled quantity). </w:t>
      </w:r>
      <w:r w:rsidRPr="007C6869">
        <w:rPr>
          <w:rFonts w:ascii="Times New Roman" w:eastAsia="Times New Roman" w:hAnsi="Times New Roman" w:cs="Times New Roman"/>
          <w:color w:val="000000"/>
        </w:rPr>
        <w:t xml:space="preserve"> </w:t>
      </w:r>
    </w:p>
    <w:p w:rsidR="007C6869" w:rsidRPr="007C6869" w:rsidRDefault="007C6869" w:rsidP="007C6869">
      <w:pPr>
        <w:autoSpaceDE w:val="0"/>
        <w:spacing w:after="60" w:line="240" w:lineRule="auto"/>
        <w:ind w:left="720"/>
        <w:jc w:val="both"/>
        <w:rPr>
          <w:rFonts w:ascii="Times New Roman" w:eastAsia="Times New Roman" w:hAnsi="Times New Roman" w:cs="Times New Roman"/>
          <w:b/>
          <w:color w:val="000000"/>
        </w:rPr>
      </w:pPr>
      <w:r w:rsidRPr="007C6869">
        <w:rPr>
          <w:rFonts w:ascii="Times New Roman" w:eastAsia="Times New Roman" w:hAnsi="Times New Roman" w:cs="Times New Roman"/>
          <w:color w:val="000000"/>
        </w:rPr>
        <w:t xml:space="preserve">You may apply a moisture allowance after determining the package errors by adding the allowance to the Sample Error Limit (SEL) </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szCs w:val="20"/>
        </w:rPr>
        <w:instrText xml:space="preserve"> XE "Sample:Error limit (SEL)"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and then, comparing the average error to the SEL to determine compliance.  The moisture allowance must be added to the MAV before evaluating sample errors to identify unreasonable minus errors</w:t>
      </w:r>
      <w:r w:rsidRPr="007C6869">
        <w:rPr>
          <w:rFonts w:ascii="Times New Roman" w:eastAsia="Times New Roman" w:hAnsi="Times New Roman" w:cs="Times New Roman"/>
          <w:b/>
          <w:color w:val="000000"/>
        </w:rPr>
        <w:t xml:space="preserve">. </w:t>
      </w:r>
    </w:p>
    <w:p w:rsidR="007C6869" w:rsidRPr="007C6869" w:rsidRDefault="007C6869" w:rsidP="007C6869">
      <w:pPr>
        <w:autoSpaceDE w:val="0"/>
        <w:spacing w:after="240" w:line="240" w:lineRule="auto"/>
        <w:ind w:left="72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(Amended 2010)</w:t>
      </w:r>
    </w:p>
    <w:p w:rsidR="007C6869" w:rsidRPr="007C6869" w:rsidRDefault="007C6869" w:rsidP="007C6869">
      <w:pPr>
        <w:spacing w:before="240" w:after="0" w:line="240" w:lineRule="auto"/>
        <w:ind w:left="720"/>
        <w:jc w:val="both"/>
        <w:rPr>
          <w:rFonts w:ascii="Times New Roman" w:eastAsia="Times New Roman" w:hAnsi="Times New Roman" w:cs="Times New Roman"/>
          <w:color w:val="000000"/>
        </w:rPr>
      </w:pPr>
      <w:bookmarkStart w:id="112" w:name="_Toc446212151"/>
      <w:r w:rsidRPr="007C6869">
        <w:rPr>
          <w:rFonts w:ascii="Times New Roman" w:eastAsia="Times New Roman" w:hAnsi="Times New Roman" w:cs="Times New Roman"/>
          <w:color w:val="000000"/>
        </w:rPr>
        <w:t>This handbook provides “moisture allowances” for some meat and poultry products, flour</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"Flour"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pasta, and dry pet food</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szCs w:val="20"/>
        </w:rPr>
        <w:instrText xml:space="preserve"> XE "Pet Food"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(See Chapter 2, Table 2-3. “Moisture Allowances”) These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7C6869" w:rsidRPr="007C6869" w:rsidRDefault="007C6869" w:rsidP="007C6869">
      <w:pPr>
        <w:keepNext/>
        <w:spacing w:before="240" w:after="60" w:line="240" w:lineRule="auto"/>
        <w:ind w:left="720"/>
        <w:jc w:val="both"/>
        <w:rPr>
          <w:rFonts w:ascii="Times New Roman" w:eastAsia="Times New Roman" w:hAnsi="Times New Roman" w:cs="Times New Roman"/>
          <w:bCs/>
          <w:color w:val="000000"/>
        </w:rPr>
      </w:pPr>
      <w:r w:rsidRPr="007C6869">
        <w:rPr>
          <w:rFonts w:ascii="Times New Roman" w:eastAsia="Times New Roman" w:hAnsi="Times New Roman" w:cs="Times New Roman"/>
          <w:bCs/>
          <w:color w:val="000000"/>
        </w:rPr>
        <w:t>Test procedures for flour, some meat, and poultry are based on the concept of a “moisture allowance” also known as a “gray area” or “no decision” area (see Section 2.3.8. “Moisture Allowances”).  When the average net weight of a sample is found to be less than the labeled weight, but not more than the boundary of the “gray area,” the lot is said to be in the “gray” or “no decision” area.  The gray area is not a tolerance.  More information must be collected before lot compliance or noncompliance can be decided.  Appropriate enforcement should be taken on packages found short weight and outside of the “moisture allowance” or “gray area.”</w:t>
      </w:r>
    </w:p>
    <w:p w:rsidR="007C6869" w:rsidRPr="007C6869" w:rsidRDefault="007C6869" w:rsidP="007C6869">
      <w:pPr>
        <w:spacing w:after="0" w:line="240" w:lineRule="auto"/>
        <w:ind w:left="720"/>
        <w:jc w:val="both"/>
        <w:rPr>
          <w:rFonts w:ascii="Times New Roman" w:eastAsia="Times New Roman" w:hAnsi="Times New Roman" w:cs="Times New Roman"/>
          <w:bCs/>
          <w:color w:val="000000"/>
        </w:rPr>
      </w:pPr>
      <w:r w:rsidRPr="007C6869">
        <w:rPr>
          <w:rFonts w:ascii="Times New Roman" w:eastAsia="Times New Roman" w:hAnsi="Times New Roman" w:cs="Times New Roman"/>
          <w:bCs/>
          <w:color w:val="000000"/>
        </w:rPr>
        <w:t>(Amended 2002)</w:t>
      </w:r>
    </w:p>
    <w:p w:rsidR="007C6869" w:rsidRPr="007C6869" w:rsidRDefault="00B2678C"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13" w:name="_Toc486756275"/>
      <w:bookmarkStart w:id="114" w:name="_Toc487504856"/>
      <w:bookmarkStart w:id="115" w:name="_Toc237353809"/>
      <w:bookmarkStart w:id="116" w:name="_Toc237415623"/>
      <w:bookmarkStart w:id="117" w:name="_Toc237416597"/>
      <w:bookmarkStart w:id="118" w:name="_Toc237428846"/>
      <w:bookmarkStart w:id="119" w:name="_Toc325575125"/>
      <w:bookmarkStart w:id="120" w:name="_Toc291667163"/>
      <w:bookmarkStart w:id="121" w:name="_Toc464111563"/>
      <w:bookmarkStart w:id="122" w:name="_Toc464123761"/>
      <w:bookmarkStart w:id="123" w:name="_Toc465167841"/>
      <w:bookmarkEnd w:id="112"/>
      <w:r>
        <w:rPr>
          <w:rFonts w:ascii="Times New Roman" w:eastAsia="Times New Roman" w:hAnsi="Times New Roman" w:cs="Times New Roman"/>
          <w:b/>
          <w:color w:val="000000"/>
          <w:sz w:val="24"/>
          <w:szCs w:val="20"/>
        </w:rPr>
        <w:t>1.3.</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Sampling Plans</w:t>
      </w:r>
      <w:bookmarkEnd w:id="60"/>
      <w:bookmarkEnd w:id="113"/>
      <w:bookmarkEnd w:id="114"/>
      <w:bookmarkEnd w:id="115"/>
      <w:bookmarkEnd w:id="116"/>
      <w:bookmarkEnd w:id="117"/>
      <w:bookmarkEnd w:id="118"/>
      <w:bookmarkEnd w:id="119"/>
      <w:bookmarkEnd w:id="120"/>
      <w:bookmarkEnd w:id="121"/>
      <w:bookmarkEnd w:id="122"/>
      <w:bookmarkEnd w:id="123"/>
      <w:r w:rsidR="007C6869" w:rsidRPr="007C6869">
        <w:rPr>
          <w:rFonts w:ascii="Times New Roman" w:eastAsia="Times New Roman" w:hAnsi="Times New Roman" w:cs="Times New Roman"/>
          <w:b/>
          <w:color w:val="000000"/>
          <w:sz w:val="24"/>
          <w:szCs w:val="20"/>
        </w:rPr>
        <w:fldChar w:fldCharType="begin"/>
      </w:r>
      <w:r w:rsidR="007C6869" w:rsidRPr="007C6869">
        <w:rPr>
          <w:rFonts w:ascii="Times New Roman" w:eastAsia="Times New Roman" w:hAnsi="Times New Roman" w:cs="Times New Roman"/>
          <w:b/>
          <w:color w:val="000000"/>
          <w:sz w:val="24"/>
          <w:szCs w:val="20"/>
        </w:rPr>
        <w:instrText xml:space="preserve"> XE "Sampling:Plan" </w:instrText>
      </w:r>
      <w:r w:rsidR="007C6869" w:rsidRPr="007C6869">
        <w:rPr>
          <w:rFonts w:ascii="Times New Roman" w:eastAsia="Times New Roman" w:hAnsi="Times New Roman" w:cs="Times New Roman"/>
          <w:b/>
          <w:color w:val="000000"/>
          <w:sz w:val="24"/>
          <w:szCs w:val="20"/>
        </w:rPr>
        <w:fldChar w:fldCharType="end"/>
      </w:r>
      <w:bookmarkStart w:id="124" w:name="_Toc446212135"/>
    </w:p>
    <w:bookmarkEnd w:id="124"/>
    <w:p w:rsidR="007C6869" w:rsidRPr="007C6869" w:rsidRDefault="007C6869" w:rsidP="007C6869">
      <w:pPr>
        <w:spacing w:after="24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This handbook contains two sampling plans used to inspect packages</w:t>
      </w:r>
      <w:proofErr w:type="gramStart"/>
      <w:r w:rsidRPr="007C6869">
        <w:rPr>
          <w:rFonts w:ascii="Times New Roman" w:eastAsia="Times New Roman" w:hAnsi="Times New Roman" w:cs="Times New Roman"/>
          <w:color w:val="000000"/>
        </w:rPr>
        <w:t>:  “</w:t>
      </w:r>
      <w:proofErr w:type="gramEnd"/>
      <w:r w:rsidRPr="007C6869">
        <w:rPr>
          <w:rFonts w:ascii="Times New Roman" w:eastAsia="Times New Roman" w:hAnsi="Times New Roman" w:cs="Times New Roman"/>
          <w:color w:val="000000"/>
        </w:rPr>
        <w:t>Category A” and “Category B.”  Use the “Category B” Sampling Plans</w:t>
      </w:r>
      <w:r w:rsidRPr="007C6869">
        <w:rPr>
          <w:rFonts w:ascii="Times New Roman" w:eastAsia="Times New Roman" w:hAnsi="Times New Roman" w:cs="Times New Roman"/>
          <w:color w:val="000000"/>
        </w:rPr>
        <w:fldChar w:fldCharType="begin"/>
      </w:r>
      <w:r w:rsidRPr="007C6869">
        <w:rPr>
          <w:rFonts w:ascii="Times New Roman" w:eastAsia="Times New Roman" w:hAnsi="Times New Roman" w:cs="Times New Roman"/>
          <w:color w:val="000000"/>
        </w:rPr>
        <w:instrText xml:space="preserve"> XE "Sampling:Plan" </w:instrText>
      </w:r>
      <w:r w:rsidRPr="007C6869">
        <w:rPr>
          <w:rFonts w:ascii="Times New Roman" w:eastAsia="Times New Roman" w:hAnsi="Times New Roman" w:cs="Times New Roman"/>
          <w:color w:val="000000"/>
        </w:rPr>
        <w:fldChar w:fldCharType="end"/>
      </w:r>
      <w:r w:rsidRPr="007C6869">
        <w:rPr>
          <w:rFonts w:ascii="Times New Roman" w:eastAsia="Times New Roman" w:hAnsi="Times New Roman" w:cs="Times New Roman"/>
          <w:color w:val="000000"/>
        </w:rPr>
        <w:t xml:space="preserve"> to test meat and poultry products at point-of-pack locations that are </w:t>
      </w:r>
      <w:r w:rsidRPr="007C6869">
        <w:rPr>
          <w:rFonts w:ascii="Times New Roman" w:eastAsia="Times New Roman" w:hAnsi="Times New Roman" w:cs="Times New Roman"/>
          <w:color w:val="000000"/>
        </w:rPr>
        <w:lastRenderedPageBreak/>
        <w:t>subject to U.S. Department of Agriculture Food Safety and Inspection Service (FSIS) requirements.  When testing all other packages, use the “Category A” Sampling Plan.</w:t>
      </w:r>
    </w:p>
    <w:p w:rsidR="007C6869" w:rsidRPr="007C6869" w:rsidRDefault="007C6869" w:rsidP="007C6869">
      <w:pPr>
        <w:spacing w:after="24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 of the package they purchase.  This ensures fair trade practices and maintains a competitive marketplace.  It also encourages manufacturers, distributors, and retailers to follow good manufacturing and distribution practices.</w:t>
      </w:r>
    </w:p>
    <w:p w:rsidR="007C6869" w:rsidRPr="007C6869" w:rsidRDefault="007C6869" w:rsidP="007C6869">
      <w:pPr>
        <w:spacing w:after="24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Testing a “sample” of packages from a lot instead of every package is efficient, but the test results have a “sampling variability” that must be corrected before determining if the lot passes or fails.  The “Category A” sampling plans give acceptable lots a 97.5 %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7C6869" w:rsidRPr="007C6869" w:rsidRDefault="007C6869" w:rsidP="007C6869">
      <w:pPr>
        <w:spacing w:after="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7C6869" w:rsidRPr="007C6869" w:rsidRDefault="00B2678C"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25" w:name="_Toc464054789"/>
      <w:bookmarkStart w:id="126" w:name="_Toc464055187"/>
      <w:bookmarkStart w:id="127" w:name="_Toc464055798"/>
      <w:bookmarkStart w:id="128" w:name="_Toc464056046"/>
      <w:bookmarkStart w:id="129" w:name="_Toc464056294"/>
      <w:bookmarkStart w:id="130" w:name="_Toc464056544"/>
      <w:bookmarkStart w:id="131" w:name="_Toc464108861"/>
      <w:bookmarkStart w:id="132" w:name="_Toc464109209"/>
      <w:bookmarkStart w:id="133" w:name="_Toc464109686"/>
      <w:bookmarkStart w:id="134" w:name="_Toc464123762"/>
      <w:bookmarkStart w:id="135" w:name="_Toc464124004"/>
      <w:bookmarkStart w:id="136" w:name="_Toc464124488"/>
      <w:bookmarkStart w:id="137" w:name="_Toc464054790"/>
      <w:bookmarkStart w:id="138" w:name="_Toc464055188"/>
      <w:bookmarkStart w:id="139" w:name="_Toc464055799"/>
      <w:bookmarkStart w:id="140" w:name="_Toc464056047"/>
      <w:bookmarkStart w:id="141" w:name="_Toc464056295"/>
      <w:bookmarkStart w:id="142" w:name="_Toc464056545"/>
      <w:bookmarkStart w:id="143" w:name="_Toc464108862"/>
      <w:bookmarkStart w:id="144" w:name="_Toc464109210"/>
      <w:bookmarkStart w:id="145" w:name="_Toc464109687"/>
      <w:bookmarkStart w:id="146" w:name="_Toc464123763"/>
      <w:bookmarkStart w:id="147" w:name="_Toc464124005"/>
      <w:bookmarkStart w:id="148" w:name="_Toc464124489"/>
      <w:bookmarkStart w:id="149" w:name="_Toc325575126"/>
      <w:bookmarkStart w:id="150" w:name="_Toc464111564"/>
      <w:bookmarkStart w:id="151" w:name="_Toc464123764"/>
      <w:bookmarkStart w:id="152" w:name="_Toc46516784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Times New Roman" w:eastAsia="Times New Roman" w:hAnsi="Times New Roman" w:cs="Times New Roman"/>
          <w:b/>
          <w:color w:val="000000"/>
          <w:szCs w:val="20"/>
        </w:rPr>
        <w:t>1.3.1.</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Audit Tests</w:t>
      </w:r>
      <w:bookmarkEnd w:id="149"/>
      <w:bookmarkEnd w:id="150"/>
      <w:bookmarkEnd w:id="151"/>
      <w:bookmarkEnd w:id="152"/>
    </w:p>
    <w:p w:rsidR="007C6869" w:rsidRPr="007C6869" w:rsidRDefault="007C6869" w:rsidP="007C6869">
      <w:pPr>
        <w:spacing w:before="240" w:after="24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Audits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"Audits:Test"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"Sampling:Plan:Audit Test"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 xml:space="preserve">may be used to speed the process of detecting possible net content violations.  These audit procedures may include:  </w:t>
      </w:r>
    </w:p>
    <w:p w:rsidR="007C6869" w:rsidRPr="007C6869" w:rsidRDefault="007C6869" w:rsidP="007C6869">
      <w:pPr>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w:t>
      </w:r>
      <w:r w:rsidRPr="007C6869">
        <w:rPr>
          <w:rFonts w:ascii="Times New Roman" w:eastAsia="Times New Roman" w:hAnsi="Times New Roman" w:cs="Times New Roman"/>
          <w:color w:val="000000"/>
        </w:rPr>
        <w:tab/>
        <w:t xml:space="preserve">using smaller sample sizes; </w:t>
      </w:r>
    </w:p>
    <w:p w:rsidR="007C6869" w:rsidRPr="007C6869" w:rsidRDefault="007C6869" w:rsidP="007C6869">
      <w:pPr>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w:t>
      </w:r>
      <w:r w:rsidRPr="007C6869">
        <w:rPr>
          <w:rFonts w:ascii="Times New Roman" w:eastAsia="Times New Roman" w:hAnsi="Times New Roman" w:cs="Times New Roman"/>
          <w:color w:val="000000"/>
        </w:rPr>
        <w:tab/>
        <w:t>using tare lists provided by manufacturers to spot check; or</w:t>
      </w:r>
    </w:p>
    <w:p w:rsidR="007C6869" w:rsidRPr="007C6869" w:rsidRDefault="007C6869" w:rsidP="007C6869">
      <w:pPr>
        <w:spacing w:after="24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w:t>
      </w:r>
      <w:r w:rsidRPr="007C6869">
        <w:rPr>
          <w:rFonts w:ascii="Times New Roman" w:eastAsia="Times New Roman" w:hAnsi="Times New Roman" w:cs="Times New Roman"/>
          <w:color w:val="000000"/>
        </w:rPr>
        <w:tab/>
        <w:t xml:space="preserve">selecting samples without collecting a random sample.  </w:t>
      </w:r>
    </w:p>
    <w:p w:rsidR="007C6869" w:rsidRPr="007C6869" w:rsidRDefault="007C6869" w:rsidP="007C6869">
      <w:pPr>
        <w:spacing w:after="24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These audit procedures allow spot checking of more products than is possible with the more structured techniques, but do not take the place of “Category A” or “Category B” testing. </w:t>
      </w:r>
    </w:p>
    <w:p w:rsidR="007C6869" w:rsidRPr="007C6869" w:rsidRDefault="007C6869" w:rsidP="007C6869">
      <w:pPr>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Do not take enforcement action using audit test results. If, after an audit test, there is suspicion that the package lot is not in compliance, use the appropriate “Category A” or “Category B” sampling plan to determine if the lot complies with the package requirements.</w:t>
      </w:r>
    </w:p>
    <w:p w:rsidR="007C6869" w:rsidRPr="007C6869" w:rsidRDefault="00B2678C"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53" w:name="_Toc486756276"/>
      <w:bookmarkStart w:id="154" w:name="_Toc487504857"/>
      <w:bookmarkStart w:id="155" w:name="_Toc237353815"/>
      <w:bookmarkStart w:id="156" w:name="_Toc237415624"/>
      <w:bookmarkStart w:id="157" w:name="_Toc237416598"/>
      <w:bookmarkStart w:id="158" w:name="_Toc237428852"/>
      <w:bookmarkStart w:id="159" w:name="_Toc325575127"/>
      <w:bookmarkStart w:id="160" w:name="_Toc291667169"/>
      <w:bookmarkStart w:id="161" w:name="_Toc464111565"/>
      <w:bookmarkStart w:id="162" w:name="_Toc464123765"/>
      <w:bookmarkStart w:id="163" w:name="_Toc465167843"/>
      <w:r>
        <w:rPr>
          <w:rFonts w:ascii="Times New Roman" w:eastAsia="Times New Roman" w:hAnsi="Times New Roman" w:cs="Times New Roman"/>
          <w:b/>
          <w:color w:val="000000"/>
          <w:sz w:val="24"/>
          <w:szCs w:val="20"/>
        </w:rPr>
        <w:t>1.4.</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Other Regulatory Agencies Responsible for Package Regulations and Applicable Requirements</w:t>
      </w:r>
      <w:bookmarkEnd w:id="153"/>
      <w:bookmarkEnd w:id="154"/>
      <w:bookmarkEnd w:id="155"/>
      <w:bookmarkEnd w:id="156"/>
      <w:bookmarkEnd w:id="157"/>
      <w:bookmarkEnd w:id="158"/>
      <w:bookmarkEnd w:id="159"/>
      <w:bookmarkEnd w:id="160"/>
      <w:bookmarkEnd w:id="161"/>
      <w:bookmarkEnd w:id="162"/>
      <w:bookmarkEnd w:id="163"/>
      <w:r w:rsidR="007C6869" w:rsidRPr="007C6869">
        <w:rPr>
          <w:rFonts w:ascii="Times New Roman" w:eastAsia="Times New Roman" w:hAnsi="Times New Roman" w:cs="Times New Roman"/>
          <w:b/>
          <w:color w:val="000000"/>
          <w:sz w:val="24"/>
          <w:szCs w:val="20"/>
        </w:rPr>
        <w:t xml:space="preserve"> </w:t>
      </w:r>
    </w:p>
    <w:p w:rsidR="007C6869" w:rsidRPr="007C6869" w:rsidRDefault="007C6869" w:rsidP="007C6869">
      <w:pPr>
        <w:suppressAutoHyphens/>
        <w:spacing w:after="240" w:line="240" w:lineRule="auto"/>
        <w:jc w:val="both"/>
        <w:rPr>
          <w:rFonts w:ascii="Times New Roman" w:eastAsia="Times New Roman" w:hAnsi="Times New Roman" w:cs="Times New Roman"/>
          <w:color w:val="000000"/>
          <w:spacing w:val="-2"/>
        </w:rPr>
      </w:pPr>
      <w:r w:rsidRPr="007C6869">
        <w:rPr>
          <w:rFonts w:ascii="Times New Roman" w:eastAsia="Times New Roman" w:hAnsi="Times New Roman" w:cs="Times New Roman"/>
          <w:color w:val="000000"/>
          <w:spacing w:val="-2"/>
        </w:rPr>
        <w:t>In the United States, several federal agencies issue regulations regarding package labeling and net contents.  The U.S. Department of Agriculture (USDA)</w:t>
      </w:r>
      <w:r w:rsidRPr="007C6869">
        <w:rPr>
          <w:rFonts w:ascii="Times New Roman" w:eastAsia="Times New Roman" w:hAnsi="Times New Roman" w:cs="Times New Roman"/>
          <w:b/>
          <w:color w:val="000000"/>
          <w:szCs w:val="20"/>
        </w:rPr>
        <w:t xml:space="preserve">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"Regulatory Agencies Responsible for Package Regulations and Applicable Requirements"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Agencies:U.S. Department of Agriculture (USDA)"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Agencies:Food and Drug Administration (FDA)"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 xml:space="preserve"> regulates meat and poultry.  The Food and Drug Administration (FDA) regulates food, drugs, cosmetic products, and medical devices under the Food, Drug, and Cosmetic Act (FDCA)</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"Food, Drug, and Cosmetic Act (FDCA)"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 xml:space="preserve"> and the Fair Packaging and Labeling Act (FPLA)</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"Fair Packaging and Labeling Act (FPLA)"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  The Federal Trade Commission (FTC)</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Agencies:Federal Trade Commission (FTC)"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 xml:space="preserve"> regulates most non-food consumer packaged products as part of the agency’s responsibility under the FPLA.  The Environmental Protection Agency (EPA)</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Agencies:Environmental Protection Agency (EPA)"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Agencies:Bureau of Alcohol and Tobacco Tax and Trade Bureau (TTB)"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 xml:space="preserve"> regulates pesticides.  The Bureau of Alcohol and Tobacco Tax and Trade Bureau (TTB) in the U.S. Department of the Treasury </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Agencies:U.S. Department of the Treasury" \i </w:instrText>
      </w:r>
      <w:r w:rsidRPr="007C6869">
        <w:rPr>
          <w:rFonts w:ascii="Times New Roman" w:eastAsia="Times New Roman" w:hAnsi="Times New Roman" w:cs="Times New Roman"/>
          <w:color w:val="000000"/>
          <w:spacing w:val="-2"/>
        </w:rPr>
        <w:fldChar w:fldCharType="end"/>
      </w:r>
      <w:r w:rsidRPr="007C6869">
        <w:rPr>
          <w:rFonts w:ascii="Times New Roman" w:eastAsia="Times New Roman" w:hAnsi="Times New Roman" w:cs="Times New Roman"/>
          <w:color w:val="000000"/>
          <w:spacing w:val="-2"/>
        </w:rPr>
        <w:t xml:space="preserve">promulgates regulations for packaged tobacco and alcoholic beverages as part of its responsibility under the Federal Alcohol Administration Act. </w:t>
      </w:r>
      <w:r w:rsidRPr="007C6869">
        <w:rPr>
          <w:rFonts w:ascii="Times New Roman" w:eastAsia="Times New Roman" w:hAnsi="Times New Roman" w:cs="Times New Roman"/>
          <w:color w:val="000000"/>
          <w:spacing w:val="-2"/>
        </w:rPr>
        <w:fldChar w:fldCharType="begin"/>
      </w:r>
      <w:r w:rsidRPr="007C6869">
        <w:rPr>
          <w:rFonts w:ascii="Times New Roman" w:eastAsia="Times New Roman" w:hAnsi="Times New Roman" w:cs="Times New Roman"/>
          <w:color w:val="000000"/>
          <w:szCs w:val="20"/>
        </w:rPr>
        <w:instrText xml:space="preserve"> XE "Federal Alcohol Administration Act" \i </w:instrText>
      </w:r>
      <w:r w:rsidRPr="007C6869">
        <w:rPr>
          <w:rFonts w:ascii="Times New Roman" w:eastAsia="Times New Roman" w:hAnsi="Times New Roman" w:cs="Times New Roman"/>
          <w:color w:val="000000"/>
          <w:spacing w:val="-2"/>
        </w:rPr>
        <w:fldChar w:fldCharType="end"/>
      </w:r>
    </w:p>
    <w:p w:rsidR="007C6869" w:rsidRPr="007C6869" w:rsidRDefault="007C6869" w:rsidP="007C6869">
      <w:pPr>
        <w:suppressAutoHyphens/>
        <w:spacing w:after="24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spacing w:val="-2"/>
        </w:rPr>
        <w:lastRenderedPageBreak/>
        <w:t>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(See Appendix A, Table 1</w:t>
      </w:r>
      <w:r w:rsidRPr="007C6869">
        <w:rPr>
          <w:rFonts w:ascii="Times New Roman" w:eastAsia="Times New Roman" w:hAnsi="Times New Roman" w:cs="Times New Roman"/>
          <w:color w:val="000000"/>
          <w:spacing w:val="-2"/>
        </w:rPr>
        <w:noBreakHyphen/>
        <w:t>1. “Agencies Responsible for Package Regulations and Applicable Requirements”</w:t>
      </w:r>
      <w:r w:rsidRPr="007C6869">
        <w:rPr>
          <w:rFonts w:ascii="Times New Roman Bold" w:eastAsia="Times New Roman" w:hAnsi="Times New Roman Bold" w:cs="Times New Roman"/>
          <w:color w:val="000000"/>
          <w:spacing w:val="-2"/>
        </w:rPr>
        <w:t xml:space="preserve"> </w:t>
      </w:r>
      <w:r w:rsidRPr="007C6869">
        <w:rPr>
          <w:rFonts w:ascii="Times New Roman" w:eastAsia="Times New Roman" w:hAnsi="Times New Roman" w:cs="Times New Roman"/>
          <w:color w:val="000000"/>
          <w:spacing w:val="-2"/>
        </w:rPr>
        <w:t>for information on the responsible agencies for package regulations.  The requirements of this handbook must be used when testing products concurrently subject to pre-emptive federal regulations.)</w:t>
      </w:r>
    </w:p>
    <w:p w:rsidR="007C6869" w:rsidRPr="007C6869" w:rsidRDefault="006C28D5"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64" w:name="_Toc446212152"/>
      <w:bookmarkStart w:id="165" w:name="_Toc486756277"/>
      <w:bookmarkStart w:id="166" w:name="_Toc487504858"/>
      <w:bookmarkStart w:id="167" w:name="_Toc237353816"/>
      <w:bookmarkStart w:id="168" w:name="_Toc237415625"/>
      <w:bookmarkStart w:id="169" w:name="_Toc237416599"/>
      <w:bookmarkStart w:id="170" w:name="_Toc237428853"/>
      <w:bookmarkStart w:id="171" w:name="_Toc325575128"/>
      <w:bookmarkStart w:id="172" w:name="_Toc291667170"/>
      <w:bookmarkStart w:id="173" w:name="_Toc464111566"/>
      <w:bookmarkStart w:id="174" w:name="_Toc464123766"/>
      <w:bookmarkStart w:id="175" w:name="_Toc465167844"/>
      <w:r>
        <w:rPr>
          <w:rFonts w:ascii="Times New Roman" w:eastAsia="Times New Roman" w:hAnsi="Times New Roman" w:cs="Times New Roman"/>
          <w:b/>
          <w:color w:val="000000"/>
          <w:sz w:val="24"/>
          <w:szCs w:val="20"/>
        </w:rPr>
        <w:t>1.5.</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Assistance in Testing Operations</w:t>
      </w:r>
      <w:bookmarkEnd w:id="164"/>
      <w:bookmarkEnd w:id="165"/>
      <w:bookmarkEnd w:id="166"/>
      <w:bookmarkEnd w:id="167"/>
      <w:bookmarkEnd w:id="168"/>
      <w:bookmarkEnd w:id="169"/>
      <w:bookmarkEnd w:id="170"/>
      <w:bookmarkEnd w:id="171"/>
      <w:bookmarkEnd w:id="172"/>
      <w:bookmarkEnd w:id="173"/>
      <w:bookmarkEnd w:id="174"/>
      <w:bookmarkEnd w:id="175"/>
    </w:p>
    <w:p w:rsidR="007C6869" w:rsidRPr="007C6869" w:rsidRDefault="007C6869" w:rsidP="007C6869">
      <w:pPr>
        <w:spacing w:after="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 xml:space="preserve">If the storage, </w:t>
      </w:r>
      <w:r w:rsidRPr="007C6869">
        <w:rPr>
          <w:rFonts w:ascii="Times New Roman" w:eastAsia="Times New Roman" w:hAnsi="Times New Roman" w:cs="Times New Roman"/>
          <w:color w:val="000000"/>
          <w:szCs w:val="20"/>
        </w:rPr>
        <w:fldChar w:fldCharType="begin"/>
      </w:r>
      <w:r w:rsidRPr="007C6869">
        <w:rPr>
          <w:rFonts w:ascii="Times New Roman" w:eastAsia="Times New Roman" w:hAnsi="Times New Roman" w:cs="Times New Roman"/>
          <w:color w:val="000000"/>
          <w:szCs w:val="20"/>
        </w:rPr>
        <w:instrText xml:space="preserve"> XE "Assistance in Testing Operations" </w:instrText>
      </w:r>
      <w:r w:rsidRPr="007C6869">
        <w:rPr>
          <w:rFonts w:ascii="Times New Roman" w:eastAsia="Times New Roman" w:hAnsi="Times New Roman" w:cs="Times New Roman"/>
          <w:color w:val="000000"/>
          <w:szCs w:val="20"/>
        </w:rPr>
        <w:fldChar w:fldCharType="end"/>
      </w:r>
      <w:r w:rsidRPr="007C6869">
        <w:rPr>
          <w:rFonts w:ascii="Times New Roman" w:eastAsia="Times New Roman" w:hAnsi="Times New Roman" w:cs="Times New Roman"/>
          <w:color w:val="000000"/>
        </w:rPr>
        <w:t>display, or location of any lot of packages requires special equipment or an abnormal amount of labor for inspection, the owner or the operator of the business must supply the equipment and/or labor as required by the weights and measures official.</w:t>
      </w:r>
    </w:p>
    <w:p w:rsidR="007C6869" w:rsidRPr="007C6869" w:rsidRDefault="006C28D5"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76" w:name="_Toc446212154"/>
      <w:bookmarkStart w:id="177" w:name="_Toc486756278"/>
      <w:bookmarkStart w:id="178" w:name="_Toc487504859"/>
      <w:bookmarkStart w:id="179" w:name="_Toc237353817"/>
      <w:bookmarkStart w:id="180" w:name="_Toc237415626"/>
      <w:bookmarkStart w:id="181" w:name="_Toc237416600"/>
      <w:bookmarkStart w:id="182" w:name="_Toc237428854"/>
      <w:bookmarkStart w:id="183" w:name="_Toc325575129"/>
      <w:bookmarkStart w:id="184" w:name="_Toc291667171"/>
      <w:bookmarkStart w:id="185" w:name="_Toc464111567"/>
      <w:bookmarkStart w:id="186" w:name="_Toc464123767"/>
      <w:bookmarkStart w:id="187" w:name="_Toc465167845"/>
      <w:r>
        <w:rPr>
          <w:rFonts w:ascii="Times New Roman" w:eastAsia="Times New Roman" w:hAnsi="Times New Roman" w:cs="Times New Roman"/>
          <w:b/>
          <w:color w:val="000000"/>
          <w:sz w:val="24"/>
          <w:szCs w:val="20"/>
        </w:rPr>
        <w:t>1.6.</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Health and Safety</w:t>
      </w:r>
      <w:bookmarkEnd w:id="176"/>
      <w:bookmarkEnd w:id="177"/>
      <w:bookmarkEnd w:id="178"/>
      <w:bookmarkEnd w:id="179"/>
      <w:bookmarkEnd w:id="180"/>
      <w:bookmarkEnd w:id="181"/>
      <w:bookmarkEnd w:id="182"/>
      <w:bookmarkEnd w:id="183"/>
      <w:bookmarkEnd w:id="184"/>
      <w:bookmarkEnd w:id="185"/>
      <w:bookmarkEnd w:id="186"/>
      <w:bookmarkEnd w:id="187"/>
      <w:r w:rsidR="007C6869" w:rsidRPr="007C6869">
        <w:rPr>
          <w:rFonts w:ascii="Times New Roman" w:eastAsia="Times New Roman" w:hAnsi="Times New Roman" w:cs="Times New Roman"/>
          <w:b/>
          <w:color w:val="000000"/>
          <w:sz w:val="24"/>
          <w:szCs w:val="20"/>
        </w:rPr>
        <w:fldChar w:fldCharType="begin"/>
      </w:r>
      <w:r w:rsidR="007C6869" w:rsidRPr="007C6869">
        <w:rPr>
          <w:rFonts w:ascii="Times New Roman" w:eastAsia="Times New Roman" w:hAnsi="Times New Roman" w:cs="Times New Roman"/>
          <w:b/>
          <w:color w:val="000000"/>
          <w:sz w:val="24"/>
          <w:szCs w:val="20"/>
        </w:rPr>
        <w:instrText xml:space="preserve"> XE "Health and Safety" </w:instrText>
      </w:r>
      <w:r w:rsidR="007C6869" w:rsidRPr="007C6869">
        <w:rPr>
          <w:rFonts w:ascii="Times New Roman" w:eastAsia="Times New Roman" w:hAnsi="Times New Roman" w:cs="Times New Roman"/>
          <w:b/>
          <w:color w:val="000000"/>
          <w:sz w:val="24"/>
          <w:szCs w:val="20"/>
        </w:rPr>
        <w:fldChar w:fldCharType="end"/>
      </w:r>
      <w:r w:rsidR="007C6869" w:rsidRPr="007C6869">
        <w:rPr>
          <w:rFonts w:ascii="Times New Roman" w:eastAsia="Times New Roman" w:hAnsi="Times New Roman" w:cs="Times New Roman"/>
          <w:b/>
          <w:color w:val="000000"/>
          <w:sz w:val="24"/>
          <w:szCs w:val="20"/>
        </w:rPr>
        <w:fldChar w:fldCharType="begin"/>
      </w:r>
      <w:r w:rsidR="007C6869" w:rsidRPr="007C6869">
        <w:rPr>
          <w:rFonts w:ascii="Times New Roman" w:eastAsia="Times New Roman" w:hAnsi="Times New Roman" w:cs="Times New Roman"/>
          <w:b/>
          <w:color w:val="000000"/>
          <w:sz w:val="24"/>
          <w:szCs w:val="20"/>
        </w:rPr>
        <w:instrText xml:space="preserve"> XE "Safety" \t "See Health and Safety" \i </w:instrText>
      </w:r>
      <w:r w:rsidR="007C6869" w:rsidRPr="007C6869">
        <w:rPr>
          <w:rFonts w:ascii="Times New Roman" w:eastAsia="Times New Roman" w:hAnsi="Times New Roman" w:cs="Times New Roman"/>
          <w:b/>
          <w:color w:val="000000"/>
          <w:sz w:val="24"/>
          <w:szCs w:val="20"/>
        </w:rPr>
        <w:fldChar w:fldCharType="end"/>
      </w:r>
    </w:p>
    <w:p w:rsidR="007C6869" w:rsidRPr="007C6869" w:rsidRDefault="007C6869" w:rsidP="007C6869">
      <w:pPr>
        <w:spacing w:after="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This handbook cannot address all of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material safety data sheets (MSDS).  The inspector must also comply with federal, state, and local health and safety laws, and other appropriate requirements in effect at the time and location of the inspection.  Contact your supervisor to obtain information regarding your agency’s health and safety policies and to obtain appropriate safety equipment.</w:t>
      </w:r>
    </w:p>
    <w:p w:rsidR="007C6869" w:rsidRPr="007C6869" w:rsidRDefault="006C28D5" w:rsidP="007C686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88" w:name="_Toc446212156"/>
      <w:bookmarkStart w:id="189" w:name="_Toc486756279"/>
      <w:bookmarkStart w:id="190" w:name="_Toc487504860"/>
      <w:bookmarkStart w:id="191" w:name="_Toc237353818"/>
      <w:bookmarkStart w:id="192" w:name="_Toc237415627"/>
      <w:bookmarkStart w:id="193" w:name="_Toc237416601"/>
      <w:bookmarkStart w:id="194" w:name="_Toc237428855"/>
      <w:bookmarkStart w:id="195" w:name="_Toc325575130"/>
      <w:bookmarkStart w:id="196" w:name="_Toc291667172"/>
      <w:bookmarkStart w:id="197" w:name="_Toc464111568"/>
      <w:bookmarkStart w:id="198" w:name="_Toc464123768"/>
      <w:bookmarkStart w:id="199" w:name="_Toc465167846"/>
      <w:r>
        <w:rPr>
          <w:rFonts w:ascii="Times New Roman" w:eastAsia="Times New Roman" w:hAnsi="Times New Roman" w:cs="Times New Roman"/>
          <w:b/>
          <w:color w:val="000000"/>
          <w:sz w:val="24"/>
          <w:szCs w:val="20"/>
        </w:rPr>
        <w:t>1.7.</w:t>
      </w:r>
      <w:r>
        <w:rPr>
          <w:rFonts w:ascii="Times New Roman" w:eastAsia="Times New Roman" w:hAnsi="Times New Roman" w:cs="Times New Roman"/>
          <w:b/>
          <w:color w:val="000000"/>
          <w:sz w:val="24"/>
          <w:szCs w:val="20"/>
        </w:rPr>
        <w:tab/>
      </w:r>
      <w:r w:rsidR="007C6869" w:rsidRPr="007C6869">
        <w:rPr>
          <w:rFonts w:ascii="Times New Roman" w:eastAsia="Times New Roman" w:hAnsi="Times New Roman" w:cs="Times New Roman"/>
          <w:b/>
          <w:color w:val="000000"/>
          <w:sz w:val="24"/>
          <w:szCs w:val="20"/>
        </w:rPr>
        <w:t>Good Measurement Practices</w:t>
      </w:r>
      <w:bookmarkEnd w:id="188"/>
      <w:bookmarkEnd w:id="189"/>
      <w:bookmarkEnd w:id="190"/>
      <w:bookmarkEnd w:id="191"/>
      <w:bookmarkEnd w:id="192"/>
      <w:bookmarkEnd w:id="193"/>
      <w:bookmarkEnd w:id="194"/>
      <w:bookmarkEnd w:id="195"/>
      <w:bookmarkEnd w:id="196"/>
      <w:bookmarkEnd w:id="197"/>
      <w:bookmarkEnd w:id="198"/>
      <w:bookmarkEnd w:id="199"/>
      <w:r w:rsidR="007C6869" w:rsidRPr="007C6869">
        <w:rPr>
          <w:rFonts w:ascii="Times New Roman" w:eastAsia="Times New Roman" w:hAnsi="Times New Roman" w:cs="Times New Roman"/>
          <w:b/>
          <w:color w:val="000000"/>
          <w:sz w:val="24"/>
          <w:szCs w:val="20"/>
        </w:rPr>
        <w:fldChar w:fldCharType="begin"/>
      </w:r>
      <w:r w:rsidR="007C6869" w:rsidRPr="007C6869">
        <w:rPr>
          <w:rFonts w:ascii="Times New Roman" w:eastAsia="Times New Roman" w:hAnsi="Times New Roman" w:cs="Times New Roman"/>
          <w:b/>
          <w:color w:val="000000"/>
          <w:sz w:val="24"/>
          <w:szCs w:val="20"/>
        </w:rPr>
        <w:instrText xml:space="preserve"> XE "Good Measurement Practices" </w:instrText>
      </w:r>
      <w:r w:rsidR="007C6869" w:rsidRPr="007C6869">
        <w:rPr>
          <w:rFonts w:ascii="Times New Roman" w:eastAsia="Times New Roman" w:hAnsi="Times New Roman" w:cs="Times New Roman"/>
          <w:b/>
          <w:color w:val="000000"/>
          <w:sz w:val="24"/>
          <w:szCs w:val="20"/>
        </w:rPr>
        <w:fldChar w:fldCharType="end"/>
      </w:r>
      <w:r w:rsidR="007C6869" w:rsidRPr="007C6869">
        <w:rPr>
          <w:rFonts w:ascii="Times New Roman" w:eastAsia="Times New Roman" w:hAnsi="Times New Roman" w:cs="Times New Roman"/>
          <w:b/>
          <w:color w:val="000000"/>
          <w:sz w:val="24"/>
          <w:szCs w:val="20"/>
        </w:rPr>
        <w:t xml:space="preserve"> </w:t>
      </w:r>
    </w:p>
    <w:p w:rsidR="007C6869" w:rsidRPr="007C6869" w:rsidRDefault="007C6869" w:rsidP="007C6869">
      <w:pPr>
        <w:keepNext/>
        <w:spacing w:after="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The procedures in this handbook are designed to be technically sound and represent good measurement practices.  To assist in documenting tests, we have included “model” inspection report forms designed to record the information.</w:t>
      </w:r>
    </w:p>
    <w:p w:rsidR="007C6869" w:rsidRPr="007C6869" w:rsidRDefault="006C28D5"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00" w:name="_Toc464054796"/>
      <w:bookmarkStart w:id="201" w:name="_Toc464055194"/>
      <w:bookmarkStart w:id="202" w:name="_Toc464055805"/>
      <w:bookmarkStart w:id="203" w:name="_Toc464056053"/>
      <w:bookmarkStart w:id="204" w:name="_Toc464056301"/>
      <w:bookmarkStart w:id="205" w:name="_Toc464056551"/>
      <w:bookmarkStart w:id="206" w:name="_Toc464108868"/>
      <w:bookmarkStart w:id="207" w:name="_Toc464109216"/>
      <w:bookmarkStart w:id="208" w:name="_Toc464109693"/>
      <w:bookmarkStart w:id="209" w:name="_Toc464123769"/>
      <w:bookmarkStart w:id="210" w:name="_Toc464124011"/>
      <w:bookmarkStart w:id="211" w:name="_Toc464124495"/>
      <w:bookmarkStart w:id="212" w:name="_Toc464054797"/>
      <w:bookmarkStart w:id="213" w:name="_Toc464055195"/>
      <w:bookmarkStart w:id="214" w:name="_Toc464055806"/>
      <w:bookmarkStart w:id="215" w:name="_Toc464056054"/>
      <w:bookmarkStart w:id="216" w:name="_Toc464056302"/>
      <w:bookmarkStart w:id="217" w:name="_Toc464056552"/>
      <w:bookmarkStart w:id="218" w:name="_Toc464108869"/>
      <w:bookmarkStart w:id="219" w:name="_Toc464109217"/>
      <w:bookmarkStart w:id="220" w:name="_Toc464109694"/>
      <w:bookmarkStart w:id="221" w:name="_Toc464123770"/>
      <w:bookmarkStart w:id="222" w:name="_Toc464124012"/>
      <w:bookmarkStart w:id="223" w:name="_Toc464124496"/>
      <w:bookmarkStart w:id="224" w:name="_Toc464054798"/>
      <w:bookmarkStart w:id="225" w:name="_Toc464055196"/>
      <w:bookmarkStart w:id="226" w:name="_Toc464055807"/>
      <w:bookmarkStart w:id="227" w:name="_Toc464056055"/>
      <w:bookmarkStart w:id="228" w:name="_Toc464056303"/>
      <w:bookmarkStart w:id="229" w:name="_Toc464056553"/>
      <w:bookmarkStart w:id="230" w:name="_Toc464108870"/>
      <w:bookmarkStart w:id="231" w:name="_Toc464109218"/>
      <w:bookmarkStart w:id="232" w:name="_Toc464109695"/>
      <w:bookmarkStart w:id="233" w:name="_Toc464123771"/>
      <w:bookmarkStart w:id="234" w:name="_Toc464124013"/>
      <w:bookmarkStart w:id="235" w:name="_Toc464124497"/>
      <w:bookmarkStart w:id="236" w:name="_Toc464054799"/>
      <w:bookmarkStart w:id="237" w:name="_Toc464055197"/>
      <w:bookmarkStart w:id="238" w:name="_Toc464055808"/>
      <w:bookmarkStart w:id="239" w:name="_Toc464056056"/>
      <w:bookmarkStart w:id="240" w:name="_Toc464056304"/>
      <w:bookmarkStart w:id="241" w:name="_Toc464056554"/>
      <w:bookmarkStart w:id="242" w:name="_Toc464108871"/>
      <w:bookmarkStart w:id="243" w:name="_Toc464109219"/>
      <w:bookmarkStart w:id="244" w:name="_Toc464109696"/>
      <w:bookmarkStart w:id="245" w:name="_Toc464123772"/>
      <w:bookmarkStart w:id="246" w:name="_Toc464124014"/>
      <w:bookmarkStart w:id="247" w:name="_Toc464124498"/>
      <w:bookmarkStart w:id="248" w:name="_Toc464054800"/>
      <w:bookmarkStart w:id="249" w:name="_Toc464055198"/>
      <w:bookmarkStart w:id="250" w:name="_Toc464055809"/>
      <w:bookmarkStart w:id="251" w:name="_Toc464056057"/>
      <w:bookmarkStart w:id="252" w:name="_Toc464056305"/>
      <w:bookmarkStart w:id="253" w:name="_Toc464056555"/>
      <w:bookmarkStart w:id="254" w:name="_Toc464108872"/>
      <w:bookmarkStart w:id="255" w:name="_Toc464109220"/>
      <w:bookmarkStart w:id="256" w:name="_Toc464109697"/>
      <w:bookmarkStart w:id="257" w:name="_Toc464123773"/>
      <w:bookmarkStart w:id="258" w:name="_Toc464124015"/>
      <w:bookmarkStart w:id="259" w:name="_Toc464124499"/>
      <w:bookmarkStart w:id="260" w:name="_Toc464054801"/>
      <w:bookmarkStart w:id="261" w:name="_Toc464055199"/>
      <w:bookmarkStart w:id="262" w:name="_Toc464055810"/>
      <w:bookmarkStart w:id="263" w:name="_Toc464056058"/>
      <w:bookmarkStart w:id="264" w:name="_Toc464056306"/>
      <w:bookmarkStart w:id="265" w:name="_Toc464056556"/>
      <w:bookmarkStart w:id="266" w:name="_Toc464108873"/>
      <w:bookmarkStart w:id="267" w:name="_Toc464109221"/>
      <w:bookmarkStart w:id="268" w:name="_Toc464109698"/>
      <w:bookmarkStart w:id="269" w:name="_Toc464123774"/>
      <w:bookmarkStart w:id="270" w:name="_Toc464124016"/>
      <w:bookmarkStart w:id="271" w:name="_Toc464124500"/>
      <w:bookmarkStart w:id="272" w:name="_Toc464054802"/>
      <w:bookmarkStart w:id="273" w:name="_Toc464055200"/>
      <w:bookmarkStart w:id="274" w:name="_Toc464055811"/>
      <w:bookmarkStart w:id="275" w:name="_Toc464056059"/>
      <w:bookmarkStart w:id="276" w:name="_Toc464056307"/>
      <w:bookmarkStart w:id="277" w:name="_Toc464056557"/>
      <w:bookmarkStart w:id="278" w:name="_Toc464108874"/>
      <w:bookmarkStart w:id="279" w:name="_Toc464109222"/>
      <w:bookmarkStart w:id="280" w:name="_Toc464109699"/>
      <w:bookmarkStart w:id="281" w:name="_Toc464123775"/>
      <w:bookmarkStart w:id="282" w:name="_Toc464124017"/>
      <w:bookmarkStart w:id="283" w:name="_Toc464124501"/>
      <w:bookmarkStart w:id="284" w:name="_Toc464054803"/>
      <w:bookmarkStart w:id="285" w:name="_Toc464055201"/>
      <w:bookmarkStart w:id="286" w:name="_Toc464055812"/>
      <w:bookmarkStart w:id="287" w:name="_Toc464056060"/>
      <w:bookmarkStart w:id="288" w:name="_Toc464056308"/>
      <w:bookmarkStart w:id="289" w:name="_Toc464056558"/>
      <w:bookmarkStart w:id="290" w:name="_Toc464108875"/>
      <w:bookmarkStart w:id="291" w:name="_Toc464109223"/>
      <w:bookmarkStart w:id="292" w:name="_Toc464109700"/>
      <w:bookmarkStart w:id="293" w:name="_Toc464123776"/>
      <w:bookmarkStart w:id="294" w:name="_Toc464124018"/>
      <w:bookmarkStart w:id="295" w:name="_Toc464124502"/>
      <w:bookmarkStart w:id="296" w:name="_Toc446212158"/>
      <w:bookmarkStart w:id="297" w:name="_Toc237428856"/>
      <w:bookmarkStart w:id="298" w:name="_Toc325575131"/>
      <w:bookmarkStart w:id="299" w:name="_Toc291667173"/>
      <w:bookmarkStart w:id="300" w:name="_Toc464111569"/>
      <w:bookmarkStart w:id="301" w:name="_Toc464123777"/>
      <w:bookmarkStart w:id="302" w:name="_Toc46516784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ascii="Times New Roman" w:eastAsia="Times New Roman" w:hAnsi="Times New Roman" w:cs="Times New Roman"/>
          <w:b/>
          <w:color w:val="000000"/>
          <w:szCs w:val="20"/>
        </w:rPr>
        <w:t>1.7.1.</w:t>
      </w:r>
      <w:r>
        <w:rPr>
          <w:rFonts w:ascii="Times New Roman" w:eastAsia="Times New Roman" w:hAnsi="Times New Roman" w:cs="Times New Roman"/>
          <w:b/>
          <w:color w:val="000000"/>
          <w:szCs w:val="20"/>
        </w:rPr>
        <w:tab/>
      </w:r>
      <w:r w:rsidR="007C6869" w:rsidRPr="007C6869">
        <w:rPr>
          <w:rFonts w:ascii="Times New Roman" w:eastAsia="Times New Roman" w:hAnsi="Times New Roman" w:cs="Times New Roman"/>
          <w:b/>
          <w:color w:val="000000"/>
          <w:szCs w:val="20"/>
        </w:rPr>
        <w:t>Traceability Requirements for Measurement Standards and Test Equipmen</w:t>
      </w:r>
      <w:bookmarkEnd w:id="296"/>
      <w:r w:rsidR="007C6869" w:rsidRPr="007C6869">
        <w:rPr>
          <w:rFonts w:ascii="Times New Roman" w:eastAsia="Times New Roman" w:hAnsi="Times New Roman" w:cs="Times New Roman"/>
          <w:b/>
          <w:color w:val="000000"/>
          <w:szCs w:val="20"/>
        </w:rPr>
        <w:t>t</w:t>
      </w:r>
      <w:bookmarkEnd w:id="297"/>
      <w:bookmarkEnd w:id="298"/>
      <w:bookmarkEnd w:id="299"/>
      <w:bookmarkEnd w:id="300"/>
      <w:bookmarkEnd w:id="301"/>
      <w:bookmarkEnd w:id="302"/>
      <w:r w:rsidR="007C6869" w:rsidRPr="007C6869">
        <w:rPr>
          <w:rFonts w:ascii="Times New Roman" w:eastAsia="Times New Roman" w:hAnsi="Times New Roman" w:cs="Times New Roman"/>
          <w:b/>
          <w:color w:val="000000"/>
          <w:szCs w:val="20"/>
        </w:rPr>
        <w:t xml:space="preserve"> </w:t>
      </w:r>
      <w:r w:rsidR="007C6869" w:rsidRPr="007C6869">
        <w:rPr>
          <w:rFonts w:ascii="Times New Roman" w:eastAsia="Times New Roman" w:hAnsi="Times New Roman" w:cs="Times New Roman"/>
          <w:b/>
          <w:color w:val="000000"/>
          <w:szCs w:val="20"/>
        </w:rPr>
        <w:fldChar w:fldCharType="begin"/>
      </w:r>
      <w:r w:rsidR="007C6869" w:rsidRPr="007C6869">
        <w:rPr>
          <w:rFonts w:ascii="Times New Roman" w:eastAsia="Times New Roman" w:hAnsi="Times New Roman" w:cs="Times New Roman"/>
          <w:b/>
          <w:color w:val="000000"/>
          <w:szCs w:val="20"/>
        </w:rPr>
        <w:instrText xml:space="preserve"> XE "Measurement Standards and Test Equipment" </w:instrText>
      </w:r>
      <w:r w:rsidR="007C6869" w:rsidRPr="007C6869">
        <w:rPr>
          <w:rFonts w:ascii="Times New Roman" w:eastAsia="Times New Roman" w:hAnsi="Times New Roman" w:cs="Times New Roman"/>
          <w:b/>
          <w:color w:val="000000"/>
          <w:szCs w:val="20"/>
        </w:rPr>
        <w:fldChar w:fldCharType="end"/>
      </w:r>
      <w:r w:rsidR="007C6869" w:rsidRPr="007C6869">
        <w:rPr>
          <w:rFonts w:ascii="Times New Roman" w:eastAsia="Times New Roman" w:hAnsi="Times New Roman" w:cs="Times New Roman"/>
          <w:b/>
          <w:color w:val="000000"/>
          <w:szCs w:val="20"/>
        </w:rPr>
        <w:fldChar w:fldCharType="begin"/>
      </w:r>
      <w:r w:rsidR="007C6869" w:rsidRPr="007C6869">
        <w:rPr>
          <w:rFonts w:ascii="Times New Roman" w:eastAsia="Times New Roman" w:hAnsi="Times New Roman" w:cs="Times New Roman"/>
          <w:b/>
          <w:color w:val="000000"/>
          <w:szCs w:val="20"/>
        </w:rPr>
        <w:instrText xml:space="preserve"> XE "Traceability" </w:instrText>
      </w:r>
      <w:r w:rsidR="007C6869" w:rsidRPr="007C6869">
        <w:rPr>
          <w:rFonts w:ascii="Times New Roman" w:eastAsia="Times New Roman" w:hAnsi="Times New Roman" w:cs="Times New Roman"/>
          <w:b/>
          <w:color w:val="000000"/>
          <w:szCs w:val="20"/>
        </w:rPr>
        <w:fldChar w:fldCharType="end"/>
      </w:r>
      <w:r w:rsidR="007C6869" w:rsidRPr="007C6869">
        <w:rPr>
          <w:rFonts w:ascii="Times New Roman" w:eastAsia="Times New Roman" w:hAnsi="Times New Roman" w:cs="Times New Roman"/>
          <w:b/>
          <w:color w:val="000000"/>
          <w:szCs w:val="20"/>
        </w:rPr>
        <w:fldChar w:fldCharType="begin"/>
      </w:r>
      <w:r w:rsidR="007C6869" w:rsidRPr="007C6869">
        <w:rPr>
          <w:rFonts w:ascii="Times New Roman" w:eastAsia="Times New Roman" w:hAnsi="Times New Roman" w:cs="Times New Roman"/>
          <w:b/>
          <w:color w:val="000000"/>
          <w:szCs w:val="20"/>
        </w:rPr>
        <w:instrText xml:space="preserve"> XE "Traceability" \i </w:instrText>
      </w:r>
      <w:r w:rsidR="007C6869" w:rsidRPr="007C6869">
        <w:rPr>
          <w:rFonts w:ascii="Times New Roman" w:eastAsia="Times New Roman" w:hAnsi="Times New Roman" w:cs="Times New Roman"/>
          <w:b/>
          <w:color w:val="000000"/>
          <w:szCs w:val="20"/>
        </w:rPr>
        <w:fldChar w:fldCharType="end"/>
      </w:r>
    </w:p>
    <w:p w:rsidR="007C6869" w:rsidRPr="007C6869" w:rsidRDefault="007C6869" w:rsidP="007C6869">
      <w:pPr>
        <w:spacing w:after="0" w:line="240" w:lineRule="auto"/>
        <w:ind w:left="360"/>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t>Each test procedure presented in this handbook includes a list of the equipment needed to perform the inspection.  The scales and other measurement standards used (e.g., balances, mass standards, volumetric, and linear measures) to conduct any test must be traceable to the International System of Units (SI), usually through the National Institute of Standards and Technology (NIST).  Standards must be used in the manner for which they were designed and calibrated.</w:t>
      </w:r>
    </w:p>
    <w:p w:rsidR="007C6869" w:rsidRPr="007C6869" w:rsidRDefault="006C28D5" w:rsidP="007C686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03" w:name="_Toc446212160"/>
      <w:bookmarkStart w:id="304" w:name="_Toc237428857"/>
      <w:bookmarkStart w:id="305" w:name="_Toc325575132"/>
      <w:bookmarkStart w:id="306" w:name="_Toc291667174"/>
      <w:bookmarkStart w:id="307" w:name="_Toc464111570"/>
      <w:bookmarkStart w:id="308" w:name="_Toc464123778"/>
      <w:bookmarkStart w:id="309" w:name="_Toc465167848"/>
      <w:r>
        <w:rPr>
          <w:rFonts w:ascii="Times New Roman" w:eastAsia="Times New Roman" w:hAnsi="Times New Roman" w:cs="Times New Roman"/>
          <w:b/>
          <w:color w:val="000000"/>
          <w:szCs w:val="20"/>
        </w:rPr>
        <w:t>1.7.2.</w:t>
      </w:r>
      <w:r>
        <w:rPr>
          <w:rFonts w:ascii="Times New Roman" w:eastAsia="Times New Roman" w:hAnsi="Times New Roman" w:cs="Times New Roman"/>
          <w:b/>
          <w:color w:val="000000"/>
          <w:szCs w:val="20"/>
        </w:rPr>
        <w:tab/>
      </w:r>
      <w:bookmarkStart w:id="310" w:name="_GoBack"/>
      <w:bookmarkEnd w:id="310"/>
      <w:r w:rsidR="007C6869" w:rsidRPr="007C6869">
        <w:rPr>
          <w:rFonts w:ascii="Times New Roman" w:eastAsia="Times New Roman" w:hAnsi="Times New Roman" w:cs="Times New Roman"/>
          <w:b/>
          <w:color w:val="000000"/>
          <w:szCs w:val="20"/>
        </w:rPr>
        <w:t>Certification Requirements for Standards and Test Equipment</w:t>
      </w:r>
      <w:bookmarkEnd w:id="303"/>
      <w:bookmarkEnd w:id="304"/>
      <w:bookmarkEnd w:id="305"/>
      <w:bookmarkEnd w:id="306"/>
      <w:bookmarkEnd w:id="307"/>
      <w:bookmarkEnd w:id="308"/>
      <w:bookmarkEnd w:id="309"/>
      <w:r w:rsidR="007C6869" w:rsidRPr="007C6869">
        <w:rPr>
          <w:rFonts w:ascii="Times New Roman" w:eastAsia="Times New Roman" w:hAnsi="Times New Roman" w:cs="Times New Roman"/>
          <w:b/>
          <w:color w:val="000000"/>
          <w:szCs w:val="20"/>
        </w:rPr>
        <w:t xml:space="preserve"> </w:t>
      </w:r>
      <w:r w:rsidR="007C6869" w:rsidRPr="007C6869">
        <w:rPr>
          <w:rFonts w:ascii="Times New Roman" w:eastAsia="Times New Roman" w:hAnsi="Times New Roman" w:cs="Times New Roman"/>
          <w:b/>
          <w:color w:val="000000"/>
          <w:szCs w:val="20"/>
        </w:rPr>
        <w:fldChar w:fldCharType="begin"/>
      </w:r>
      <w:r w:rsidR="007C6869" w:rsidRPr="007C6869">
        <w:rPr>
          <w:rFonts w:ascii="Times New Roman" w:eastAsia="Times New Roman" w:hAnsi="Times New Roman" w:cs="Times New Roman"/>
          <w:b/>
          <w:color w:val="000000"/>
          <w:szCs w:val="20"/>
        </w:rPr>
        <w:instrText xml:space="preserve"> XE "Certification Requirements for Standards and Test Equipment" </w:instrText>
      </w:r>
      <w:r w:rsidR="007C6869" w:rsidRPr="007C6869">
        <w:rPr>
          <w:rFonts w:ascii="Times New Roman" w:eastAsia="Times New Roman" w:hAnsi="Times New Roman" w:cs="Times New Roman"/>
          <w:b/>
          <w:color w:val="000000"/>
          <w:szCs w:val="20"/>
        </w:rPr>
        <w:fldChar w:fldCharType="end"/>
      </w:r>
    </w:p>
    <w:p w:rsidR="007C6869" w:rsidRPr="007C6869" w:rsidRDefault="007C6869" w:rsidP="007C6869">
      <w:pPr>
        <w:autoSpaceDE w:val="0"/>
        <w:spacing w:after="0" w:line="240" w:lineRule="auto"/>
        <w:ind w:left="360"/>
        <w:jc w:val="both"/>
        <w:rPr>
          <w:rFonts w:ascii="Times New Roman" w:eastAsia="Times New Roman" w:hAnsi="Times New Roman" w:cs="Times New Roman"/>
          <w:color w:val="000000"/>
          <w:spacing w:val="-2"/>
        </w:rPr>
      </w:pPr>
      <w:r w:rsidRPr="007C6869">
        <w:rPr>
          <w:rFonts w:ascii="Times New Roman" w:eastAsia="Times New Roman" w:hAnsi="Times New Roman" w:cs="Times New Roman"/>
          <w:color w:val="000000"/>
          <w:spacing w:val="-2"/>
        </w:rPr>
        <w:t xml:space="preserve">All measurement standards and test equipment identified in this handbook or associated with the test procedures must be calibrated or standardized before initial use.  This must be done according to the calibration procedures and other instructions found on NIST’s Laboratory Metrology and Calibration Procedures website at </w:t>
      </w:r>
      <w:hyperlink r:id="rId7" w:history="1">
        <w:r w:rsidRPr="007C6869">
          <w:rPr>
            <w:rFonts w:ascii="Times New Roman" w:eastAsia="Times New Roman" w:hAnsi="Times New Roman" w:cs="Times New Roman"/>
            <w:b/>
            <w:bCs/>
            <w:spacing w:val="-2"/>
          </w:rPr>
          <w:t>www.nist.gov/pml/weights-and-measures/laboratory-metrology/calibration-procedures</w:t>
        </w:r>
      </w:hyperlink>
      <w:r w:rsidRPr="007C6869">
        <w:rPr>
          <w:rFonts w:ascii="Times New Roman" w:eastAsia="Times New Roman" w:hAnsi="Times New Roman" w:cs="Times New Roman"/>
          <w:spacing w:val="-2"/>
        </w:rPr>
        <w:t xml:space="preserve"> </w:t>
      </w:r>
      <w:r w:rsidRPr="007C6869">
        <w:rPr>
          <w:rFonts w:ascii="Times New Roman" w:eastAsia="Times New Roman" w:hAnsi="Times New Roman" w:cs="Times New Roman"/>
          <w:color w:val="000000"/>
          <w:spacing w:val="-2"/>
        </w:rPr>
        <w:t xml:space="preserve">or using other recognized procedures (e.g., those adopted for use by a state weights and </w:t>
      </w:r>
      <w:r w:rsidRPr="007C6869">
        <w:rPr>
          <w:rFonts w:ascii="Times New Roman" w:eastAsia="Times New Roman" w:hAnsi="Times New Roman" w:cs="Times New Roman"/>
          <w:color w:val="000000"/>
          <w:spacing w:val="-2"/>
        </w:rPr>
        <w:lastRenderedPageBreak/>
        <w:t>measures laboratory).  After initial certification, the standards must be routinely recertified according to your agency’s measurement assurance policies.</w:t>
      </w: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r w:rsidRPr="007C6869">
        <w:rPr>
          <w:rFonts w:ascii="Times New Roman" w:eastAsia="Times New Roman" w:hAnsi="Times New Roman" w:cs="Times New Roman"/>
          <w:color w:val="000000"/>
        </w:rPr>
        <w:br w:type="page"/>
      </w: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7C6869" w:rsidRPr="007C6869" w:rsidRDefault="007C6869" w:rsidP="007C6869">
      <w:pPr>
        <w:autoSpaceDE w:val="0"/>
        <w:spacing w:after="0" w:line="240" w:lineRule="auto"/>
        <w:jc w:val="both"/>
        <w:rPr>
          <w:rFonts w:ascii="Times New Roman" w:eastAsia="Times New Roman" w:hAnsi="Times New Roman" w:cs="Times New Roman"/>
          <w:color w:val="000000"/>
        </w:rPr>
      </w:pPr>
    </w:p>
    <w:p w:rsidR="006E1BDF" w:rsidRDefault="007C6869" w:rsidP="00776A7F">
      <w:pPr>
        <w:autoSpaceDE w:val="0"/>
        <w:spacing w:after="0" w:line="240" w:lineRule="auto"/>
        <w:jc w:val="center"/>
      </w:pPr>
      <w:r w:rsidRPr="007C6869">
        <w:rPr>
          <w:rFonts w:ascii="Times New Roman" w:eastAsia="Times New Roman" w:hAnsi="Times New Roman" w:cs="Times New Roman"/>
          <w:color w:val="000000"/>
        </w:rPr>
        <w:t xml:space="preserve">THIS PAGE INTENTIONALLY LEFT BLANK </w:t>
      </w:r>
    </w:p>
    <w:sectPr w:rsidR="006E1BDF" w:rsidSect="003C20DB">
      <w:headerReference w:type="even" r:id="rId8"/>
      <w:headerReference w:type="default" r:id="rId9"/>
      <w:footerReference w:type="even" r:id="rId10"/>
      <w:footerReference w:type="default" r:id="rId11"/>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5B" w:rsidRDefault="00B8605B">
      <w:pPr>
        <w:spacing w:after="0" w:line="240" w:lineRule="auto"/>
      </w:pPr>
      <w:r>
        <w:separator/>
      </w:r>
    </w:p>
  </w:endnote>
  <w:endnote w:type="continuationSeparator" w:id="0">
    <w:p w:rsidR="00B8605B" w:rsidRDefault="00B8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6908"/>
      <w:docPartObj>
        <w:docPartGallery w:val="Page Numbers (Bottom of Page)"/>
        <w:docPartUnique/>
      </w:docPartObj>
    </w:sdtPr>
    <w:sdtEndPr>
      <w:rPr>
        <w:noProof/>
      </w:rPr>
    </w:sdtEndPr>
    <w:sdtContent>
      <w:p w:rsidR="003F1F5E" w:rsidRDefault="00BA7C69" w:rsidP="00BA7C69">
        <w:pPr>
          <w:pStyle w:val="Footer"/>
          <w:jc w:val="center"/>
        </w:pPr>
        <w:r w:rsidRPr="00BA7C69">
          <w:rPr>
            <w:rFonts w:ascii="Times New Roman" w:hAnsi="Times New Roman" w:cs="Times New Roman"/>
            <w:sz w:val="20"/>
            <w:szCs w:val="20"/>
          </w:rPr>
          <w:fldChar w:fldCharType="begin"/>
        </w:r>
        <w:r w:rsidRPr="00BA7C69">
          <w:rPr>
            <w:rFonts w:ascii="Times New Roman" w:hAnsi="Times New Roman" w:cs="Times New Roman"/>
            <w:sz w:val="20"/>
            <w:szCs w:val="20"/>
          </w:rPr>
          <w:instrText xml:space="preserve"> PAGE   \* MERGEFORMAT </w:instrText>
        </w:r>
        <w:r w:rsidRPr="00BA7C69">
          <w:rPr>
            <w:rFonts w:ascii="Times New Roman" w:hAnsi="Times New Roman" w:cs="Times New Roman"/>
            <w:sz w:val="20"/>
            <w:szCs w:val="20"/>
          </w:rPr>
          <w:fldChar w:fldCharType="separate"/>
        </w:r>
        <w:r w:rsidR="006C28D5">
          <w:rPr>
            <w:rFonts w:ascii="Times New Roman" w:hAnsi="Times New Roman" w:cs="Times New Roman"/>
            <w:noProof/>
            <w:sz w:val="20"/>
            <w:szCs w:val="20"/>
          </w:rPr>
          <w:t>10</w:t>
        </w:r>
        <w:r w:rsidRPr="00BA7C69">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98048"/>
      <w:docPartObj>
        <w:docPartGallery w:val="Page Numbers (Bottom of Page)"/>
        <w:docPartUnique/>
      </w:docPartObj>
    </w:sdtPr>
    <w:sdtEndPr>
      <w:rPr>
        <w:rFonts w:ascii="Times New Roman" w:hAnsi="Times New Roman" w:cs="Times New Roman"/>
        <w:noProof/>
        <w:sz w:val="20"/>
        <w:szCs w:val="20"/>
      </w:rPr>
    </w:sdtEndPr>
    <w:sdtContent>
      <w:p w:rsidR="003F1F5E" w:rsidRPr="003F1F5E" w:rsidRDefault="003F1F5E" w:rsidP="003F1F5E">
        <w:pPr>
          <w:pStyle w:val="Footer"/>
          <w:jc w:val="center"/>
          <w:rPr>
            <w:rFonts w:ascii="Times New Roman" w:hAnsi="Times New Roman" w:cs="Times New Roman"/>
            <w:sz w:val="20"/>
            <w:szCs w:val="20"/>
          </w:rPr>
        </w:pPr>
        <w:r w:rsidRPr="003F1F5E">
          <w:rPr>
            <w:rFonts w:ascii="Times New Roman" w:hAnsi="Times New Roman" w:cs="Times New Roman"/>
            <w:sz w:val="20"/>
            <w:szCs w:val="20"/>
          </w:rPr>
          <w:fldChar w:fldCharType="begin"/>
        </w:r>
        <w:r w:rsidRPr="003F1F5E">
          <w:rPr>
            <w:rFonts w:ascii="Times New Roman" w:hAnsi="Times New Roman" w:cs="Times New Roman"/>
            <w:sz w:val="20"/>
            <w:szCs w:val="20"/>
          </w:rPr>
          <w:instrText xml:space="preserve"> PAGE   \* MERGEFORMAT </w:instrText>
        </w:r>
        <w:r w:rsidRPr="003F1F5E">
          <w:rPr>
            <w:rFonts w:ascii="Times New Roman" w:hAnsi="Times New Roman" w:cs="Times New Roman"/>
            <w:sz w:val="20"/>
            <w:szCs w:val="20"/>
          </w:rPr>
          <w:fldChar w:fldCharType="separate"/>
        </w:r>
        <w:r w:rsidR="006C28D5">
          <w:rPr>
            <w:rFonts w:ascii="Times New Roman" w:hAnsi="Times New Roman" w:cs="Times New Roman"/>
            <w:noProof/>
            <w:sz w:val="20"/>
            <w:szCs w:val="20"/>
          </w:rPr>
          <w:t>11</w:t>
        </w:r>
        <w:r w:rsidRPr="003F1F5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5B" w:rsidRDefault="00B8605B">
      <w:pPr>
        <w:spacing w:after="0" w:line="240" w:lineRule="auto"/>
      </w:pPr>
      <w:r>
        <w:separator/>
      </w:r>
    </w:p>
  </w:footnote>
  <w:footnote w:type="continuationSeparator" w:id="0">
    <w:p w:rsidR="00B8605B" w:rsidRDefault="00B8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27" w:rsidRPr="0061213D" w:rsidRDefault="007C6869" w:rsidP="005C6068">
    <w:pPr>
      <w:pStyle w:val="Header"/>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Pr>
        <w:rFonts w:ascii="Times New Roman" w:hAnsi="Times New Roman"/>
        <w:sz w:val="20"/>
      </w:rPr>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27" w:rsidRPr="00F21B69" w:rsidRDefault="007C6869" w:rsidP="00F21B69">
    <w:pPr>
      <w:pStyle w:val="Header"/>
      <w:jc w:val="right"/>
      <w:rPr>
        <w:rFonts w:ascii="Times New Roman" w:hAnsi="Times New Roman"/>
        <w:sz w:val="20"/>
      </w:rPr>
    </w:pPr>
    <w:r>
      <w:rPr>
        <w:rFonts w:ascii="Times New Roman" w:hAnsi="Times New Roman"/>
        <w:sz w:val="20"/>
      </w:rPr>
      <w:t>Chapter 1.  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E4995"/>
    <w:multiLevelType w:val="hybridMultilevel"/>
    <w:tmpl w:val="5EE856AE"/>
    <w:lvl w:ilvl="0" w:tplc="23C4A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69"/>
    <w:rsid w:val="00212BFE"/>
    <w:rsid w:val="00324A5A"/>
    <w:rsid w:val="003C20DB"/>
    <w:rsid w:val="003F1F5E"/>
    <w:rsid w:val="006C28D5"/>
    <w:rsid w:val="00776A7F"/>
    <w:rsid w:val="007C6869"/>
    <w:rsid w:val="009B26EA"/>
    <w:rsid w:val="00B2678C"/>
    <w:rsid w:val="00B8605B"/>
    <w:rsid w:val="00BA7C69"/>
    <w:rsid w:val="00BF79FF"/>
    <w:rsid w:val="00C610A1"/>
    <w:rsid w:val="00D406C6"/>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D9EC"/>
  <w15:chartTrackingRefBased/>
  <w15:docId w15:val="{3CB42FC9-723D-4845-A668-545CE05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869"/>
  </w:style>
  <w:style w:type="paragraph" w:styleId="ListParagraph">
    <w:name w:val="List Paragraph"/>
    <w:basedOn w:val="Normal"/>
    <w:uiPriority w:val="34"/>
    <w:qFormat/>
    <w:rsid w:val="00212BFE"/>
    <w:pPr>
      <w:ind w:left="720"/>
      <w:contextualSpacing/>
    </w:pPr>
  </w:style>
  <w:style w:type="paragraph" w:styleId="Footer">
    <w:name w:val="footer"/>
    <w:basedOn w:val="Normal"/>
    <w:link w:val="FooterChar"/>
    <w:uiPriority w:val="99"/>
    <w:unhideWhenUsed/>
    <w:rsid w:val="003F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st.gov/pml/weights-and-measures/laboratory-metrology/calibration-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12</cp:revision>
  <dcterms:created xsi:type="dcterms:W3CDTF">2016-10-31T14:27:00Z</dcterms:created>
  <dcterms:modified xsi:type="dcterms:W3CDTF">2016-11-02T14:33:00Z</dcterms:modified>
</cp:coreProperties>
</file>