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rsidP="00ED7524">
      <w:pPr>
        <w:pStyle w:val="Style14ptBoldCenteredBefore12ptAfter6pt"/>
        <w:rPr>
          <w:szCs w:val="28"/>
        </w:rPr>
      </w:pPr>
      <w:bookmarkStart w:id="0" w:name="IV_C_UniformUnitPricing"/>
      <w:bookmarkStart w:id="1" w:name="_Toc174455582"/>
      <w:bookmarkStart w:id="2" w:name="_Toc174456006"/>
      <w:bookmarkStart w:id="3" w:name="_Toc205967823"/>
      <w:bookmarkEnd w:id="0"/>
      <w:r w:rsidRPr="002338BE">
        <w:rPr>
          <w:szCs w:val="28"/>
        </w:rPr>
        <w:t>C.  Uniform Unit Pricing Regulation</w:t>
      </w:r>
      <w:bookmarkEnd w:id="1"/>
      <w:bookmarkEnd w:id="2"/>
      <w:bookmarkEnd w:id="3"/>
      <w:r w:rsidR="00D962A8" w:rsidRPr="002338BE">
        <w:rPr>
          <w:szCs w:val="28"/>
        </w:rPr>
        <w:fldChar w:fldCharType="begin"/>
      </w:r>
      <w:r w:rsidRPr="002338BE">
        <w:rPr>
          <w:szCs w:val="28"/>
        </w:rPr>
        <w:instrText>xe "Uniform Unit Pricing Regulation"</w:instrText>
      </w:r>
      <w:r w:rsidR="00D962A8" w:rsidRPr="002338BE">
        <w:rPr>
          <w:szCs w:val="28"/>
        </w:rPr>
        <w:fldChar w:fldCharType="end"/>
      </w:r>
      <w:r w:rsidR="00D962A8" w:rsidRPr="002338BE">
        <w:rPr>
          <w:szCs w:val="28"/>
        </w:rPr>
        <w:fldChar w:fldCharType="begin"/>
      </w:r>
      <w:r w:rsidRPr="002338BE">
        <w:rPr>
          <w:szCs w:val="28"/>
        </w:rPr>
        <w:instrText>xe "Unit pricing"</w:instrText>
      </w:r>
      <w:r w:rsidR="00D962A8" w:rsidRPr="002338BE">
        <w:rPr>
          <w:szCs w:val="28"/>
        </w:rPr>
        <w:fldChar w:fldCharType="end"/>
      </w:r>
    </w:p>
    <w:p w:rsidR="005A6C37" w:rsidRPr="002338BE" w:rsidRDefault="005A6C37">
      <w:pPr>
        <w:jc w:val="center"/>
        <w:rPr>
          <w:b/>
          <w:bCs/>
        </w:rPr>
      </w:pPr>
    </w:p>
    <w:p w:rsidR="005A6C37" w:rsidRPr="002338BE" w:rsidRDefault="005A6C37">
      <w:pPr>
        <w:jc w:val="center"/>
        <w:rPr>
          <w:bCs/>
        </w:rPr>
      </w:pPr>
      <w:r w:rsidRPr="002338BE">
        <w:rPr>
          <w:bCs/>
        </w:rPr>
        <w:t>as adopted by</w:t>
      </w:r>
    </w:p>
    <w:p w:rsidR="005A6C37" w:rsidRPr="002338BE" w:rsidRDefault="005A6C37">
      <w:pPr>
        <w:jc w:val="center"/>
        <w:rPr>
          <w:bCs/>
        </w:rPr>
      </w:pPr>
      <w:r w:rsidRPr="002338BE">
        <w:rPr>
          <w:bCs/>
        </w:rPr>
        <w:t>The National Conference on Weights and Measures*</w:t>
      </w:r>
    </w:p>
    <w:p w:rsidR="005A6C37" w:rsidRPr="002338BE" w:rsidRDefault="005A6C37">
      <w:pPr>
        <w:rPr>
          <w:b/>
          <w:bCs/>
        </w:rPr>
      </w:pPr>
    </w:p>
    <w:p w:rsidR="005A6C37" w:rsidRPr="002338BE" w:rsidRDefault="005A6C37">
      <w:pPr>
        <w:pStyle w:val="StyleHeading6After0pt"/>
      </w:pPr>
      <w:bookmarkStart w:id="4" w:name="_Toc173470310"/>
      <w:bookmarkStart w:id="5" w:name="_Toc173470682"/>
      <w:bookmarkStart w:id="6" w:name="_Toc173471544"/>
      <w:bookmarkStart w:id="7" w:name="_Toc173474192"/>
      <w:bookmarkStart w:id="8" w:name="_Toc173771788"/>
      <w:r w:rsidRPr="002338BE">
        <w:t>1.  Background</w:t>
      </w:r>
      <w:bookmarkEnd w:id="4"/>
      <w:bookmarkEnd w:id="5"/>
      <w:bookmarkEnd w:id="6"/>
      <w:bookmarkEnd w:id="7"/>
      <w:bookmarkEnd w:id="8"/>
    </w:p>
    <w:p w:rsidR="005A6C37" w:rsidRPr="002338BE" w:rsidRDefault="005A6C37">
      <w:pPr>
        <w:rPr>
          <w:b/>
          <w:bCs/>
        </w:rPr>
      </w:pPr>
    </w:p>
    <w:p w:rsidR="005A6C37" w:rsidRPr="002338BE" w:rsidRDefault="005A6C37">
      <w:pPr>
        <w:rPr>
          <w:bCs/>
          <w:spacing w:val="-4"/>
        </w:rPr>
      </w:pPr>
      <w:r w:rsidRPr="002338BE">
        <w:rPr>
          <w:bCs/>
          <w:spacing w:val="-4"/>
        </w:rPr>
        <w:t>The Uniform Unit Pricing Regulation</w:t>
      </w:r>
      <w:r w:rsidR="00D962A8" w:rsidRPr="002338BE">
        <w:rPr>
          <w:spacing w:val="-4"/>
        </w:rPr>
        <w:fldChar w:fldCharType="begin"/>
      </w:r>
      <w:r w:rsidRPr="002338BE">
        <w:rPr>
          <w:spacing w:val="-4"/>
        </w:rPr>
        <w:instrText>xe "Uniform Unit Pricing Regulation"</w:instrText>
      </w:r>
      <w:r w:rsidR="00D962A8" w:rsidRPr="002338BE">
        <w:rPr>
          <w:spacing w:val="-4"/>
        </w:rPr>
        <w:fldChar w:fldCharType="end"/>
      </w:r>
      <w:r w:rsidRPr="002338BE">
        <w:rPr>
          <w:bCs/>
          <w:spacing w:val="-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12.(c) and (d), and the mandate of Section 16. of this Law, as well as the trend in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both voluntary and mandatory, the </w:t>
      </w:r>
      <w:r w:rsidR="00D02FE5" w:rsidRPr="002338BE">
        <w:rPr>
          <w:bCs/>
          <w:spacing w:val="-4"/>
        </w:rPr>
        <w:t>UPR</w:t>
      </w:r>
      <w:r w:rsidR="00AC7E3D" w:rsidRPr="002338BE">
        <w:rPr>
          <w:bCs/>
          <w:spacing w:val="-4"/>
        </w:rPr>
        <w:t xml:space="preserve"> </w:t>
      </w:r>
      <w:r w:rsidRPr="002338BE">
        <w:rPr>
          <w:bCs/>
          <w:spacing w:val="-4"/>
        </w:rPr>
        <w:t>is considered appropriate.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has been a concern of the weights and measures official and has been required for random weight packages for a long time.</w:t>
      </w:r>
    </w:p>
    <w:p w:rsidR="005A6C37" w:rsidRPr="002338BE" w:rsidRDefault="005A6C37">
      <w:pPr>
        <w:rPr>
          <w:bCs/>
          <w:spacing w:val="-4"/>
        </w:rPr>
      </w:pPr>
    </w:p>
    <w:p w:rsidR="005A6C37" w:rsidRPr="002338BE" w:rsidRDefault="005A6C37">
      <w:pPr>
        <w:rPr>
          <w:bCs/>
          <w:spacing w:val="-4"/>
        </w:rPr>
      </w:pPr>
      <w:r w:rsidRPr="002338BE">
        <w:rPr>
          <w:bCs/>
          <w:spacing w:val="-4"/>
        </w:rPr>
        <w:t>In 1993</w:t>
      </w:r>
      <w:r w:rsidR="00D02FE5" w:rsidRPr="002338BE">
        <w:rPr>
          <w:bCs/>
          <w:spacing w:val="-4"/>
        </w:rPr>
        <w:t>,</w:t>
      </w:r>
      <w:r w:rsidRPr="002338BE">
        <w:rPr>
          <w:bCs/>
          <w:spacing w:val="-4"/>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on the basis of price per pound on most products sold by weight.  This has resulted in some jurisdictions not enforcing the requirements on stores that voluntarily unit price on the basis of price per ounce instead of price per pound.  The NCWM agreed that the UPR should be revised to encourage wider adoption and use of the uniform regulation and that provisions for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in metric units should be included.</w:t>
      </w:r>
    </w:p>
    <w:p w:rsidR="005A6C37" w:rsidRPr="002338BE" w:rsidRDefault="005A6C37">
      <w:pPr>
        <w:rPr>
          <w:bCs/>
          <w:spacing w:val="-4"/>
        </w:rPr>
      </w:pPr>
    </w:p>
    <w:p w:rsidR="005A6C37" w:rsidRPr="002338BE" w:rsidRDefault="005A6C37">
      <w:pPr>
        <w:rPr>
          <w:bCs/>
          <w:spacing w:val="-4"/>
        </w:rPr>
      </w:pPr>
      <w:r w:rsidRPr="002338BE">
        <w:rPr>
          <w:bCs/>
          <w:spacing w:val="-4"/>
        </w:rPr>
        <w:t>At the 1997 Annual Meeting</w:t>
      </w:r>
      <w:r w:rsidR="00D02FE5" w:rsidRPr="002338BE">
        <w:rPr>
          <w:bCs/>
          <w:spacing w:val="-4"/>
        </w:rPr>
        <w:t>,</w:t>
      </w:r>
      <w:r w:rsidRPr="002338BE">
        <w:rPr>
          <w:bCs/>
          <w:spacing w:val="-4"/>
        </w:rPr>
        <w:t xml:space="preserve"> the NCWM adopted revisions to the regulation to permit retail stores that voluntarily provide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to present prices using various units of measure.</w:t>
      </w:r>
    </w:p>
    <w:p w:rsidR="005A6C37" w:rsidRPr="002338BE" w:rsidRDefault="005A6C37">
      <w:pPr>
        <w:rPr>
          <w:bCs/>
          <w:spacing w:val="-4"/>
        </w:rPr>
      </w:pPr>
    </w:p>
    <w:p w:rsidR="005A6C37" w:rsidRPr="002338BE" w:rsidRDefault="005A6C37">
      <w:pPr>
        <w:rPr>
          <w:bCs/>
          <w:spacing w:val="-4"/>
        </w:rPr>
      </w:pPr>
      <w:r w:rsidRPr="002338BE">
        <w:rPr>
          <w:bCs/>
          <w:spacing w:val="-4"/>
        </w:rPr>
        <w:t>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kilogram, if the packaged commodity is labeled by weight.  For example, the proposed revisions would require the unit price for soft drinks sold in various package sizes (e.g., 12 fl oz cans through 2 L bottles) to be uniformly and consistently displayed in terms of either price per fluid ounce, price per quart, or price per liter.  The NCWM also increased the price of commodities exempted from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from 10 cents to 50 cents.  The NCWM believed these revisions would ensure that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information facilitates value comparison between different package sizes and/or brands offered for sale in a store.</w:t>
      </w:r>
    </w:p>
    <w:p w:rsidR="005A6C37" w:rsidRPr="002338BE" w:rsidRDefault="005A6C37">
      <w:pPr>
        <w:rPr>
          <w:bCs/>
          <w:spacing w:val="-4"/>
        </w:rPr>
      </w:pPr>
    </w:p>
    <w:p w:rsidR="005A6C37" w:rsidRPr="002338BE" w:rsidRDefault="005A6C37">
      <w:pPr>
        <w:rPr>
          <w:bCs/>
          <w:spacing w:val="-4"/>
        </w:rPr>
      </w:pPr>
      <w:r w:rsidRPr="002338BE">
        <w:rPr>
          <w:bCs/>
          <w:spacing w:val="-4"/>
        </w:rPr>
        <w:t>The NCWM also considered several comments on this item from members of the U.S. Metric Association (USMA).  Most of these comments suggested that the UPR be amended to require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in metric units and permit inch-pound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to be provided voluntarily.  When it developed the proposed revisions, the NCWM included guidelines for both inch-pound and metric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and believes this is the correct approach to implementing metric revisions in the regulation.  The NCWM would like to make it clear that the UPR applies only when stores voluntarily provide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information.  Its purpose is to provide a standard that retailers must follow to ensure that consumers will have pricing information that helps them make value comparisons.  The decision to provide unit price information in metric or inch-pound units rests with retailers who will respond to consumer preference.  The NCWM believes that consumer preference will be the deciding factor as to when and how quickly metric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is used in the marketplace.  Therefore, the NCWM does not support amendments to include mandatory provisions in the UPR as these provisions would take the decision to go to metric unit pricing</w:t>
      </w:r>
      <w:r w:rsidR="00D962A8" w:rsidRPr="002338BE">
        <w:rPr>
          <w:spacing w:val="-4"/>
        </w:rPr>
        <w:fldChar w:fldCharType="begin"/>
      </w:r>
      <w:r w:rsidRPr="002338BE">
        <w:rPr>
          <w:spacing w:val="-4"/>
        </w:rPr>
        <w:instrText>xe "Unit pricing"</w:instrText>
      </w:r>
      <w:r w:rsidR="00D962A8" w:rsidRPr="002338BE">
        <w:rPr>
          <w:spacing w:val="-4"/>
        </w:rPr>
        <w:fldChar w:fldCharType="end"/>
      </w:r>
      <w:r w:rsidRPr="002338BE">
        <w:rPr>
          <w:bCs/>
          <w:spacing w:val="-4"/>
        </w:rPr>
        <w:t xml:space="preserve"> out of the hands of consumers and retailers.  Finally, the NCWM does not want to include any requirement that may discourage retailers from voluntarily providing unit price information.</w:t>
      </w:r>
    </w:p>
    <w:p w:rsidR="005A6C37" w:rsidRPr="002338BE" w:rsidRDefault="005A6C37" w:rsidP="00F763AB">
      <w:pPr>
        <w:spacing w:before="60"/>
        <w:rPr>
          <w:bCs/>
        </w:rPr>
      </w:pPr>
      <w:r w:rsidRPr="002338BE">
        <w:rPr>
          <w:bCs/>
        </w:rPr>
        <w:t>(Amended 1997)</w:t>
      </w:r>
    </w:p>
    <w:p w:rsidR="005A6C37" w:rsidRPr="002338BE" w:rsidRDefault="005A6C37" w:rsidP="008B013C">
      <w:pPr>
        <w:spacing w:before="240"/>
        <w:rPr>
          <w:bCs/>
          <w:i/>
          <w:iCs/>
        </w:rPr>
      </w:pPr>
      <w:r w:rsidRPr="002338BE">
        <w:rPr>
          <w:bCs/>
          <w:i/>
          <w:iCs/>
        </w:rPr>
        <w:t>*The National Conference on Weights and Measures</w:t>
      </w:r>
      <w:r w:rsidR="00AC7E3D" w:rsidRPr="002338BE">
        <w:rPr>
          <w:bCs/>
          <w:i/>
          <w:iCs/>
        </w:rPr>
        <w:t xml:space="preserve"> (</w:t>
      </w:r>
      <w:r w:rsidR="00167F4D" w:rsidRPr="002338BE">
        <w:rPr>
          <w:bCs/>
          <w:i/>
          <w:iCs/>
        </w:rPr>
        <w:t>NCWM</w:t>
      </w:r>
      <w:r w:rsidR="00DD21E8" w:rsidRPr="002338BE">
        <w:rPr>
          <w:bCs/>
          <w:i/>
          <w:iCs/>
        </w:rPr>
        <w:t>)</w:t>
      </w:r>
      <w:r w:rsidRPr="002338BE">
        <w:rPr>
          <w:bCs/>
          <w:i/>
          <w:iCs/>
        </w:rPr>
        <w:t xml:space="preserve"> is supported by the National Institute of Standards and Technology</w:t>
      </w:r>
      <w:r w:rsidR="00AC7E3D" w:rsidRPr="002338BE">
        <w:rPr>
          <w:bCs/>
          <w:i/>
          <w:iCs/>
        </w:rPr>
        <w:t xml:space="preserve"> (</w:t>
      </w:r>
      <w:r w:rsidR="00167F4D" w:rsidRPr="002338BE">
        <w:rPr>
          <w:bCs/>
          <w:i/>
          <w:iCs/>
        </w:rPr>
        <w:t>NIST</w:t>
      </w:r>
      <w:r w:rsidR="00AC7E3D" w:rsidRPr="002338BE">
        <w:rPr>
          <w:bCs/>
          <w:i/>
          <w:iCs/>
        </w:rPr>
        <w:t>)</w:t>
      </w:r>
      <w:r w:rsidRPr="002338BE">
        <w:rPr>
          <w:bCs/>
          <w:i/>
          <w:iCs/>
        </w:rPr>
        <w:t xml:space="preserve"> in partial implementation of its statutory responsibility for “cooperation with the states in securing uniformity in weights and measures laws and methods of inspection.”</w:t>
      </w:r>
    </w:p>
    <w:p w:rsidR="005A6C37" w:rsidRPr="002338BE" w:rsidRDefault="005A6C37" w:rsidP="00195E72">
      <w:pPr>
        <w:pStyle w:val="StyleHeading6After0pt"/>
        <w:keepNext w:val="0"/>
      </w:pPr>
      <w:bookmarkStart w:id="9" w:name="_Toc173470311"/>
      <w:bookmarkStart w:id="10" w:name="_Toc173470683"/>
      <w:bookmarkStart w:id="11" w:name="_Toc173471545"/>
      <w:bookmarkStart w:id="12" w:name="_Toc173474193"/>
      <w:bookmarkStart w:id="13" w:name="_Toc173771789"/>
      <w:r w:rsidRPr="002338BE">
        <w:lastRenderedPageBreak/>
        <w:t>2.  Status of Promulgation</w:t>
      </w:r>
      <w:bookmarkEnd w:id="9"/>
      <w:bookmarkEnd w:id="10"/>
      <w:bookmarkEnd w:id="11"/>
      <w:bookmarkEnd w:id="12"/>
      <w:bookmarkEnd w:id="13"/>
    </w:p>
    <w:p w:rsidR="005A6C37" w:rsidRPr="002338BE" w:rsidRDefault="005A6C37">
      <w:pPr>
        <w:rPr>
          <w:bCs/>
        </w:rPr>
      </w:pPr>
    </w:p>
    <w:p w:rsidR="005A6C37" w:rsidRPr="002338BE" w:rsidRDefault="005A6C37">
      <w:pPr>
        <w:rPr>
          <w:bCs/>
        </w:rPr>
      </w:pPr>
      <w:r w:rsidRPr="002338BE">
        <w:rPr>
          <w:bCs/>
        </w:rPr>
        <w:t>The table beginning on page 10 shows the status of adoption of the Uniform Unit Pricing Regulation</w:t>
      </w:r>
      <w:r w:rsidR="00D962A8" w:rsidRPr="002338BE">
        <w:fldChar w:fldCharType="begin"/>
      </w:r>
      <w:r w:rsidRPr="002338BE">
        <w:instrText>xe "</w:instrText>
      </w:r>
      <w:r w:rsidRPr="002338BE">
        <w:rPr>
          <w:bCs/>
        </w:rPr>
        <w:instrText>Uniform Unit Pricing Regulation</w:instrText>
      </w:r>
      <w:r w:rsidRPr="002338BE">
        <w:instrText>"</w:instrText>
      </w:r>
      <w:r w:rsidR="00D962A8" w:rsidRPr="002338BE">
        <w:fldChar w:fldCharType="end"/>
      </w:r>
      <w:r w:rsidRPr="002338BE">
        <w:rPr>
          <w:bCs/>
        </w:rPr>
        <w:t>.</w:t>
      </w: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2518CC">
      <w:pPr>
        <w:rPr>
          <w:bCs/>
          <w:i/>
          <w:iCs/>
        </w:rPr>
      </w:pPr>
    </w:p>
    <w:p w:rsidR="005A6C37" w:rsidRPr="002338BE" w:rsidRDefault="005A6C37" w:rsidP="008564CA">
      <w:pPr>
        <w:jc w:val="center"/>
        <w:rPr>
          <w:b/>
          <w:bCs/>
          <w:sz w:val="24"/>
        </w:rPr>
      </w:pPr>
      <w:r w:rsidRPr="002338BE">
        <w:rPr>
          <w:bCs/>
        </w:rPr>
        <w:br w:type="page"/>
      </w:r>
      <w:r w:rsidRPr="002338BE">
        <w:rPr>
          <w:b/>
          <w:bCs/>
          <w:sz w:val="24"/>
        </w:rPr>
        <w:lastRenderedPageBreak/>
        <w:t>Uniform Unit Pricing Regulation</w:t>
      </w:r>
    </w:p>
    <w:p w:rsidR="005A6C37" w:rsidRPr="002338BE" w:rsidRDefault="005A6C37">
      <w:pPr>
        <w:rPr>
          <w:bCs/>
        </w:rPr>
      </w:pPr>
    </w:p>
    <w:p w:rsidR="005A6C37" w:rsidRPr="002338BE" w:rsidRDefault="005A6C37" w:rsidP="008F57B9">
      <w:pPr>
        <w:tabs>
          <w:tab w:val="left" w:pos="720"/>
        </w:tabs>
        <w:jc w:val="center"/>
        <w:rPr>
          <w:b/>
          <w:bCs/>
          <w:sz w:val="24"/>
        </w:rPr>
      </w:pPr>
      <w:r w:rsidRPr="002338BE">
        <w:rPr>
          <w:b/>
          <w:bCs/>
          <w:sz w:val="24"/>
        </w:rPr>
        <w:t>Table of Contents</w:t>
      </w:r>
    </w:p>
    <w:p w:rsidR="005A6C37" w:rsidRPr="002338BE" w:rsidRDefault="005A6C37">
      <w:pPr>
        <w:rPr>
          <w:bCs/>
        </w:rPr>
      </w:pPr>
    </w:p>
    <w:p w:rsidR="00D913F7" w:rsidRPr="002338BE" w:rsidRDefault="005A6C37" w:rsidP="00740A21">
      <w:pPr>
        <w:tabs>
          <w:tab w:val="left" w:pos="475"/>
          <w:tab w:val="right" w:pos="9360"/>
        </w:tabs>
        <w:rPr>
          <w:noProof/>
        </w:rPr>
      </w:pPr>
      <w:r w:rsidRPr="002338BE">
        <w:rPr>
          <w:b/>
        </w:rPr>
        <w:t>Section</w:t>
      </w:r>
      <w:r w:rsidRPr="002338BE">
        <w:tab/>
      </w:r>
      <w:r w:rsidRPr="002338BE">
        <w:rPr>
          <w:b/>
        </w:rPr>
        <w:t>Page</w:t>
      </w:r>
      <w:r w:rsidR="00D962A8" w:rsidRPr="002338BE">
        <w:fldChar w:fldCharType="begin"/>
      </w:r>
      <w:r w:rsidRPr="002338BE">
        <w:instrText xml:space="preserve"> TOC \h \z \t "UnitPriceLevel1,1" </w:instrText>
      </w:r>
      <w:r w:rsidR="00D962A8" w:rsidRPr="002338BE">
        <w:fldChar w:fldCharType="separate"/>
      </w:r>
    </w:p>
    <w:p w:rsidR="00D913F7" w:rsidRPr="002338BE" w:rsidRDefault="00884A09">
      <w:pPr>
        <w:pStyle w:val="TOC1"/>
        <w:rPr>
          <w:rFonts w:ascii="Calibri" w:hAnsi="Calibri"/>
          <w:noProof/>
          <w:sz w:val="22"/>
          <w:szCs w:val="22"/>
        </w:rPr>
      </w:pPr>
      <w:hyperlink w:anchor="_Toc274678809" w:history="1">
        <w:r w:rsidR="00D913F7" w:rsidRPr="002338BE">
          <w:rPr>
            <w:rStyle w:val="Hyperlink"/>
            <w:noProof/>
          </w:rPr>
          <w:t>Section 1.  Application</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_Toc274678809 \h </w:instrText>
        </w:r>
        <w:r w:rsidR="00D962A8" w:rsidRPr="002338BE">
          <w:rPr>
            <w:noProof/>
            <w:webHidden/>
          </w:rPr>
        </w:r>
        <w:r w:rsidR="00D962A8" w:rsidRPr="002338BE">
          <w:rPr>
            <w:noProof/>
            <w:webHidden/>
          </w:rPr>
          <w:fldChar w:fldCharType="separate"/>
        </w:r>
        <w:r w:rsidR="00477AFC" w:rsidRPr="002338BE">
          <w:rPr>
            <w:noProof/>
            <w:webHidden/>
          </w:rPr>
          <w:t>143</w:t>
        </w:r>
        <w:r w:rsidR="00D962A8" w:rsidRPr="002338BE">
          <w:rPr>
            <w:noProof/>
            <w:webHidden/>
          </w:rPr>
          <w:fldChar w:fldCharType="end"/>
        </w:r>
      </w:hyperlink>
    </w:p>
    <w:p w:rsidR="00D913F7" w:rsidRPr="002338BE" w:rsidRDefault="00884A09">
      <w:pPr>
        <w:pStyle w:val="TOC1"/>
        <w:rPr>
          <w:rFonts w:ascii="Calibri" w:hAnsi="Calibri"/>
          <w:noProof/>
          <w:sz w:val="22"/>
          <w:szCs w:val="22"/>
        </w:rPr>
      </w:pPr>
      <w:hyperlink w:anchor="_Toc274678810" w:history="1">
        <w:r w:rsidR="00D913F7" w:rsidRPr="002338BE">
          <w:rPr>
            <w:rStyle w:val="Hyperlink"/>
            <w:noProof/>
          </w:rPr>
          <w:t>Section 2.  Terms for Unit Pricing</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_Toc274678810 \h </w:instrText>
        </w:r>
        <w:r w:rsidR="00D962A8" w:rsidRPr="002338BE">
          <w:rPr>
            <w:noProof/>
            <w:webHidden/>
          </w:rPr>
        </w:r>
        <w:r w:rsidR="00D962A8" w:rsidRPr="002338BE">
          <w:rPr>
            <w:noProof/>
            <w:webHidden/>
          </w:rPr>
          <w:fldChar w:fldCharType="separate"/>
        </w:r>
        <w:r w:rsidR="00477AFC" w:rsidRPr="002338BE">
          <w:rPr>
            <w:noProof/>
            <w:webHidden/>
          </w:rPr>
          <w:t>143</w:t>
        </w:r>
        <w:r w:rsidR="00D962A8" w:rsidRPr="002338BE">
          <w:rPr>
            <w:noProof/>
            <w:webHidden/>
          </w:rPr>
          <w:fldChar w:fldCharType="end"/>
        </w:r>
      </w:hyperlink>
    </w:p>
    <w:p w:rsidR="00D913F7" w:rsidRPr="002338BE" w:rsidRDefault="00884A09">
      <w:pPr>
        <w:pStyle w:val="TOC1"/>
        <w:rPr>
          <w:rFonts w:ascii="Calibri" w:hAnsi="Calibri"/>
          <w:noProof/>
          <w:sz w:val="22"/>
          <w:szCs w:val="22"/>
        </w:rPr>
      </w:pPr>
      <w:hyperlink w:anchor="_Toc274678811" w:history="1">
        <w:r w:rsidR="00D913F7" w:rsidRPr="002338BE">
          <w:rPr>
            <w:rStyle w:val="Hyperlink"/>
            <w:noProof/>
          </w:rPr>
          <w:t>Section 3.  Exemptions</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_Toc274678811 \h </w:instrText>
        </w:r>
        <w:r w:rsidR="00D962A8" w:rsidRPr="002338BE">
          <w:rPr>
            <w:noProof/>
            <w:webHidden/>
          </w:rPr>
        </w:r>
        <w:r w:rsidR="00D962A8" w:rsidRPr="002338BE">
          <w:rPr>
            <w:noProof/>
            <w:webHidden/>
          </w:rPr>
          <w:fldChar w:fldCharType="separate"/>
        </w:r>
        <w:r w:rsidR="00477AFC" w:rsidRPr="002338BE">
          <w:rPr>
            <w:noProof/>
            <w:webHidden/>
          </w:rPr>
          <w:t>143</w:t>
        </w:r>
        <w:r w:rsidR="00D962A8" w:rsidRPr="002338BE">
          <w:rPr>
            <w:noProof/>
            <w:webHidden/>
          </w:rPr>
          <w:fldChar w:fldCharType="end"/>
        </w:r>
      </w:hyperlink>
    </w:p>
    <w:p w:rsidR="00D913F7" w:rsidRPr="002338BE" w:rsidRDefault="00884A09">
      <w:pPr>
        <w:pStyle w:val="TOC1"/>
        <w:rPr>
          <w:rFonts w:ascii="Calibri" w:hAnsi="Calibri"/>
          <w:noProof/>
          <w:sz w:val="22"/>
          <w:szCs w:val="22"/>
        </w:rPr>
      </w:pPr>
      <w:hyperlink w:anchor="_Toc274678812" w:history="1">
        <w:r w:rsidR="00D913F7" w:rsidRPr="002338BE">
          <w:rPr>
            <w:rStyle w:val="Hyperlink"/>
            <w:noProof/>
          </w:rPr>
          <w:t>Section 4.  Pricing</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_Toc274678812 \h </w:instrText>
        </w:r>
        <w:r w:rsidR="00D962A8" w:rsidRPr="002338BE">
          <w:rPr>
            <w:noProof/>
            <w:webHidden/>
          </w:rPr>
        </w:r>
        <w:r w:rsidR="00D962A8" w:rsidRPr="002338BE">
          <w:rPr>
            <w:noProof/>
            <w:webHidden/>
          </w:rPr>
          <w:fldChar w:fldCharType="separate"/>
        </w:r>
        <w:r w:rsidR="00477AFC" w:rsidRPr="002338BE">
          <w:rPr>
            <w:noProof/>
            <w:webHidden/>
          </w:rPr>
          <w:t>143</w:t>
        </w:r>
        <w:r w:rsidR="00D962A8" w:rsidRPr="002338BE">
          <w:rPr>
            <w:noProof/>
            <w:webHidden/>
          </w:rPr>
          <w:fldChar w:fldCharType="end"/>
        </w:r>
      </w:hyperlink>
    </w:p>
    <w:p w:rsidR="00D913F7" w:rsidRPr="002338BE" w:rsidRDefault="00884A09">
      <w:pPr>
        <w:pStyle w:val="TOC1"/>
        <w:rPr>
          <w:rFonts w:ascii="Calibri" w:hAnsi="Calibri"/>
          <w:noProof/>
          <w:sz w:val="22"/>
          <w:szCs w:val="22"/>
        </w:rPr>
      </w:pPr>
      <w:hyperlink w:anchor="_Toc274678813" w:history="1">
        <w:r w:rsidR="00D913F7" w:rsidRPr="002338BE">
          <w:rPr>
            <w:rStyle w:val="Hyperlink"/>
            <w:noProof/>
          </w:rPr>
          <w:t>Section 5.  Presentation of Price</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_Toc274678813 \h </w:instrText>
        </w:r>
        <w:r w:rsidR="00D962A8" w:rsidRPr="002338BE">
          <w:rPr>
            <w:noProof/>
            <w:webHidden/>
          </w:rPr>
        </w:r>
        <w:r w:rsidR="00D962A8" w:rsidRPr="002338BE">
          <w:rPr>
            <w:noProof/>
            <w:webHidden/>
          </w:rPr>
          <w:fldChar w:fldCharType="separate"/>
        </w:r>
        <w:r w:rsidR="00477AFC" w:rsidRPr="002338BE">
          <w:rPr>
            <w:noProof/>
            <w:webHidden/>
          </w:rPr>
          <w:t>144</w:t>
        </w:r>
        <w:r w:rsidR="00D962A8" w:rsidRPr="002338BE">
          <w:rPr>
            <w:noProof/>
            <w:webHidden/>
          </w:rPr>
          <w:fldChar w:fldCharType="end"/>
        </w:r>
      </w:hyperlink>
    </w:p>
    <w:p w:rsidR="00D913F7" w:rsidRPr="002338BE" w:rsidRDefault="00884A09">
      <w:pPr>
        <w:pStyle w:val="TOC1"/>
        <w:rPr>
          <w:rFonts w:ascii="Calibri" w:hAnsi="Calibri"/>
          <w:noProof/>
          <w:sz w:val="22"/>
          <w:szCs w:val="22"/>
        </w:rPr>
      </w:pPr>
      <w:hyperlink w:anchor="_Toc274678814" w:history="1">
        <w:r w:rsidR="00D913F7" w:rsidRPr="002338BE">
          <w:rPr>
            <w:rStyle w:val="Hyperlink"/>
            <w:noProof/>
          </w:rPr>
          <w:t>Section 6.  Uniformity</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_Toc274678814 \h </w:instrText>
        </w:r>
        <w:r w:rsidR="00D962A8" w:rsidRPr="002338BE">
          <w:rPr>
            <w:noProof/>
            <w:webHidden/>
          </w:rPr>
        </w:r>
        <w:r w:rsidR="00D962A8" w:rsidRPr="002338BE">
          <w:rPr>
            <w:noProof/>
            <w:webHidden/>
          </w:rPr>
          <w:fldChar w:fldCharType="separate"/>
        </w:r>
        <w:r w:rsidR="00477AFC" w:rsidRPr="002338BE">
          <w:rPr>
            <w:noProof/>
            <w:webHidden/>
          </w:rPr>
          <w:t>144</w:t>
        </w:r>
        <w:r w:rsidR="00D962A8" w:rsidRPr="002338BE">
          <w:rPr>
            <w:noProof/>
            <w:webHidden/>
          </w:rPr>
          <w:fldChar w:fldCharType="end"/>
        </w:r>
      </w:hyperlink>
    </w:p>
    <w:p w:rsidR="00D913F7" w:rsidRPr="002338BE" w:rsidRDefault="00884A09">
      <w:pPr>
        <w:pStyle w:val="TOC1"/>
        <w:rPr>
          <w:rFonts w:ascii="Calibri" w:hAnsi="Calibri"/>
          <w:noProof/>
          <w:sz w:val="22"/>
          <w:szCs w:val="22"/>
        </w:rPr>
      </w:pPr>
      <w:hyperlink w:anchor="_Toc274678815" w:history="1">
        <w:r w:rsidR="00D913F7" w:rsidRPr="002338BE">
          <w:rPr>
            <w:rStyle w:val="Hyperlink"/>
            <w:noProof/>
          </w:rPr>
          <w:t>Section 7.  Effective Date</w:t>
        </w:r>
        <w:r w:rsidR="00D913F7" w:rsidRPr="002338BE">
          <w:rPr>
            <w:noProof/>
            <w:webHidden/>
          </w:rPr>
          <w:tab/>
        </w:r>
        <w:r w:rsidR="00D962A8" w:rsidRPr="002338BE">
          <w:rPr>
            <w:noProof/>
            <w:webHidden/>
          </w:rPr>
          <w:fldChar w:fldCharType="begin"/>
        </w:r>
        <w:r w:rsidR="00D913F7" w:rsidRPr="002338BE">
          <w:rPr>
            <w:noProof/>
            <w:webHidden/>
          </w:rPr>
          <w:instrText xml:space="preserve"> PAGEREF _Toc274678815 \h </w:instrText>
        </w:r>
        <w:r w:rsidR="00D962A8" w:rsidRPr="002338BE">
          <w:rPr>
            <w:noProof/>
            <w:webHidden/>
          </w:rPr>
        </w:r>
        <w:r w:rsidR="00D962A8" w:rsidRPr="002338BE">
          <w:rPr>
            <w:noProof/>
            <w:webHidden/>
          </w:rPr>
          <w:fldChar w:fldCharType="separate"/>
        </w:r>
        <w:r w:rsidR="00477AFC" w:rsidRPr="002338BE">
          <w:rPr>
            <w:noProof/>
            <w:webHidden/>
          </w:rPr>
          <w:t>144</w:t>
        </w:r>
        <w:r w:rsidR="00D962A8" w:rsidRPr="002338BE">
          <w:rPr>
            <w:noProof/>
            <w:webHidden/>
          </w:rPr>
          <w:fldChar w:fldCharType="end"/>
        </w:r>
      </w:hyperlink>
    </w:p>
    <w:p w:rsidR="005A6C37" w:rsidRPr="002338BE" w:rsidRDefault="00D962A8" w:rsidP="004A7FF1">
      <w:pPr>
        <w:pStyle w:val="TOC1"/>
        <w:tabs>
          <w:tab w:val="left" w:pos="360"/>
        </w:tabs>
        <w:ind w:left="360" w:hanging="360"/>
        <w:rPr>
          <w:bCs/>
        </w:rPr>
      </w:pPr>
      <w:r w:rsidRPr="002338BE">
        <w:fldChar w:fldCharType="end"/>
      </w:r>
      <w:r w:rsidR="005A6C37" w:rsidRPr="002338BE">
        <w:br w:type="page"/>
      </w: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rPr>
          <w:bCs/>
        </w:rPr>
      </w:pPr>
    </w:p>
    <w:p w:rsidR="005A6C37" w:rsidRPr="002338BE" w:rsidRDefault="005A6C37">
      <w:pPr>
        <w:jc w:val="center"/>
        <w:rPr>
          <w:bCs/>
        </w:rPr>
      </w:pPr>
      <w:r w:rsidRPr="002338BE">
        <w:rPr>
          <w:bCs/>
        </w:rPr>
        <w:t>THIS PAGE INTENTIONALLY LEFT BLANK</w:t>
      </w:r>
    </w:p>
    <w:p w:rsidR="005A6C37" w:rsidRPr="002338BE" w:rsidRDefault="005A6C37">
      <w:pPr>
        <w:jc w:val="center"/>
        <w:rPr>
          <w:b/>
          <w:bCs/>
          <w:sz w:val="24"/>
        </w:rPr>
      </w:pPr>
      <w:r w:rsidRPr="002338BE">
        <w:rPr>
          <w:bCs/>
        </w:rPr>
        <w:br w:type="page"/>
      </w:r>
      <w:r w:rsidRPr="002338BE">
        <w:rPr>
          <w:b/>
          <w:bCs/>
          <w:sz w:val="24"/>
        </w:rPr>
        <w:lastRenderedPageBreak/>
        <w:t>Uniform Unit Pricing Regulation</w:t>
      </w:r>
    </w:p>
    <w:p w:rsidR="005A6C37" w:rsidRPr="002338BE" w:rsidRDefault="005A6C37">
      <w:pPr>
        <w:rPr>
          <w:bCs/>
        </w:rPr>
      </w:pPr>
    </w:p>
    <w:p w:rsidR="005A6C37" w:rsidRPr="002338BE" w:rsidRDefault="005A6C37" w:rsidP="00860176">
      <w:pPr>
        <w:pStyle w:val="UnitPriceLevel1"/>
      </w:pPr>
      <w:bookmarkStart w:id="14" w:name="_Toc173470312"/>
      <w:bookmarkStart w:id="15" w:name="_Toc173471546"/>
      <w:bookmarkStart w:id="16" w:name="_Toc173474194"/>
      <w:bookmarkStart w:id="17" w:name="_Toc173771790"/>
      <w:bookmarkStart w:id="18" w:name="_Toc205539073"/>
      <w:bookmarkStart w:id="19" w:name="_Toc274678809"/>
      <w:r w:rsidRPr="002338BE">
        <w:t>Section 1.  Application</w:t>
      </w:r>
      <w:bookmarkEnd w:id="14"/>
      <w:bookmarkEnd w:id="15"/>
      <w:bookmarkEnd w:id="16"/>
      <w:bookmarkEnd w:id="17"/>
      <w:bookmarkEnd w:id="18"/>
      <w:bookmarkEnd w:id="19"/>
    </w:p>
    <w:p w:rsidR="005A6C37" w:rsidRPr="002338BE" w:rsidRDefault="005A6C37">
      <w:pPr>
        <w:rPr>
          <w:bCs/>
        </w:rPr>
      </w:pPr>
    </w:p>
    <w:p w:rsidR="005A6C37" w:rsidRPr="002338BE" w:rsidRDefault="005A6C37">
      <w:pPr>
        <w:rPr>
          <w:bCs/>
        </w:rPr>
      </w:pPr>
      <w:r w:rsidRPr="002338BE">
        <w:rPr>
          <w:bCs/>
        </w:rPr>
        <w:t>Except for random and uniform weight packages that clearly state the unit price</w:t>
      </w:r>
      <w:r w:rsidR="00D962A8" w:rsidRPr="002338BE">
        <w:fldChar w:fldCharType="begin"/>
      </w:r>
      <w:r w:rsidRPr="002338BE">
        <w:instrText>xe "</w:instrText>
      </w:r>
      <w:r w:rsidRPr="002338BE">
        <w:rPr>
          <w:bCs/>
        </w:rPr>
        <w:instrText>Unit pricing</w:instrText>
      </w:r>
      <w:r w:rsidRPr="002338BE">
        <w:instrText>"</w:instrText>
      </w:r>
      <w:r w:rsidR="00D962A8" w:rsidRPr="002338BE">
        <w:fldChar w:fldCharType="end"/>
      </w:r>
      <w:r w:rsidRPr="002338BE">
        <w:rPr>
          <w:bCs/>
        </w:rPr>
        <w:t xml:space="preserve"> in accordance with existing regulations, any retail establishment providing unit price information for packaged commodities shall provide the unit price information in the manner prescribed herein.</w:t>
      </w:r>
    </w:p>
    <w:p w:rsidR="005A6C37" w:rsidRPr="002338BE" w:rsidRDefault="005A6C37" w:rsidP="00860176">
      <w:bookmarkStart w:id="20" w:name="_Toc173470313"/>
      <w:bookmarkStart w:id="21" w:name="_Toc173471547"/>
      <w:bookmarkStart w:id="22" w:name="_Toc173474195"/>
      <w:bookmarkStart w:id="23" w:name="_Toc173771791"/>
    </w:p>
    <w:p w:rsidR="005A6C37" w:rsidRPr="002338BE" w:rsidRDefault="005A6C37" w:rsidP="00860176">
      <w:bookmarkStart w:id="24" w:name="_Toc205539074"/>
      <w:bookmarkStart w:id="25" w:name="_Toc274678810"/>
      <w:r w:rsidRPr="002338BE">
        <w:rPr>
          <w:rStyle w:val="UnitPriceLevel1Char"/>
          <w:sz w:val="24"/>
        </w:rPr>
        <w:t>Section 2.  Terms for Unit Pricing</w:t>
      </w:r>
      <w:bookmarkEnd w:id="20"/>
      <w:bookmarkEnd w:id="21"/>
      <w:bookmarkEnd w:id="22"/>
      <w:bookmarkEnd w:id="23"/>
      <w:bookmarkEnd w:id="24"/>
      <w:bookmarkEnd w:id="25"/>
      <w:r w:rsidR="00D962A8" w:rsidRPr="002338BE">
        <w:fldChar w:fldCharType="begin"/>
      </w:r>
      <w:r w:rsidRPr="002338BE">
        <w:instrText>xe "</w:instrText>
      </w:r>
      <w:r w:rsidRPr="002338BE">
        <w:rPr>
          <w:bCs/>
        </w:rPr>
        <w:instrText>Unit pricing</w:instrText>
      </w:r>
      <w:r w:rsidRPr="002338BE">
        <w:instrText>"</w:instrText>
      </w:r>
      <w:r w:rsidR="00D962A8" w:rsidRPr="002338BE">
        <w:fldChar w:fldCharType="end"/>
      </w:r>
    </w:p>
    <w:p w:rsidR="005A6C37" w:rsidRPr="002338BE" w:rsidRDefault="005A6C37">
      <w:pPr>
        <w:rPr>
          <w:bCs/>
        </w:rPr>
      </w:pPr>
    </w:p>
    <w:p w:rsidR="005A6C37" w:rsidRPr="002338BE" w:rsidRDefault="005A6C37">
      <w:pPr>
        <w:rPr>
          <w:bCs/>
        </w:rPr>
      </w:pPr>
      <w:r w:rsidRPr="002338BE">
        <w:rPr>
          <w:bCs/>
        </w:rPr>
        <w:t>The declaration of the unit price of a particular commodity in all package sizes offered for sale in a retail establishment shall be uniformly and consistently expressed in terms of:</w:t>
      </w:r>
    </w:p>
    <w:p w:rsidR="005A6C37" w:rsidRPr="002338BE" w:rsidRDefault="005A6C37">
      <w:pPr>
        <w:rPr>
          <w:bCs/>
        </w:rPr>
      </w:pPr>
    </w:p>
    <w:p w:rsidR="005A6C37" w:rsidRPr="002338BE" w:rsidRDefault="005A6C37">
      <w:pPr>
        <w:ind w:left="720" w:hanging="360"/>
        <w:rPr>
          <w:bCs/>
        </w:rPr>
      </w:pPr>
      <w:r w:rsidRPr="002338BE">
        <w:rPr>
          <w:bCs/>
        </w:rPr>
        <w:t>(a)</w:t>
      </w:r>
      <w:r w:rsidRPr="002338BE">
        <w:rPr>
          <w:bCs/>
        </w:rPr>
        <w:tab/>
        <w:t>Price per kilogram or 100 g, or price per pound or ounce, if the net quantity of contents of the commodity is in terms of weight.</w:t>
      </w:r>
    </w:p>
    <w:p w:rsidR="005A6C37" w:rsidRPr="002338BE" w:rsidRDefault="005A6C37">
      <w:pPr>
        <w:ind w:left="720" w:hanging="360"/>
        <w:rPr>
          <w:bCs/>
        </w:rPr>
      </w:pPr>
    </w:p>
    <w:p w:rsidR="005A6C37" w:rsidRPr="002338BE" w:rsidRDefault="005A6C37">
      <w:pPr>
        <w:ind w:left="720" w:hanging="360"/>
        <w:rPr>
          <w:bCs/>
        </w:rPr>
      </w:pPr>
      <w:r w:rsidRPr="002338BE">
        <w:rPr>
          <w:bCs/>
        </w:rPr>
        <w:t>(b)</w:t>
      </w:r>
      <w:r w:rsidRPr="002338BE">
        <w:rPr>
          <w:bCs/>
        </w:rPr>
        <w:tab/>
        <w:t>Price per liter or 100 mL, or price per dry quart or dry pint, if the net quantity of contents of the commodity is in terms of dry measure or volume.</w:t>
      </w:r>
    </w:p>
    <w:p w:rsidR="005A6C37" w:rsidRPr="002338BE" w:rsidRDefault="005A6C37">
      <w:pPr>
        <w:ind w:left="720" w:hanging="360"/>
        <w:rPr>
          <w:bCs/>
        </w:rPr>
      </w:pPr>
    </w:p>
    <w:p w:rsidR="005A6C37" w:rsidRPr="002338BE" w:rsidRDefault="005A6C37">
      <w:pPr>
        <w:ind w:left="720" w:hanging="360"/>
        <w:rPr>
          <w:bCs/>
        </w:rPr>
      </w:pPr>
      <w:r w:rsidRPr="002338BE">
        <w:rPr>
          <w:bCs/>
        </w:rPr>
        <w:t>(c)</w:t>
      </w:r>
      <w:r w:rsidRPr="002338BE">
        <w:rPr>
          <w:bCs/>
        </w:rPr>
        <w:tab/>
        <w:t>Price per liter or 100 mL, or price per gallon, quart, pint, or fluid ounce, if the net quantity of contents of the commodity is in terms of liquid volume.</w:t>
      </w:r>
    </w:p>
    <w:p w:rsidR="005A6C37" w:rsidRPr="002338BE" w:rsidRDefault="005A6C37">
      <w:pPr>
        <w:ind w:left="720" w:hanging="360"/>
        <w:rPr>
          <w:bCs/>
        </w:rPr>
      </w:pPr>
    </w:p>
    <w:p w:rsidR="005A6C37" w:rsidRPr="002338BE" w:rsidRDefault="005A6C37">
      <w:pPr>
        <w:ind w:left="720" w:hanging="360"/>
        <w:rPr>
          <w:bCs/>
        </w:rPr>
      </w:pPr>
      <w:r w:rsidRPr="002338BE">
        <w:rPr>
          <w:bCs/>
        </w:rPr>
        <w:t>(d)</w:t>
      </w:r>
      <w:r w:rsidRPr="002338BE">
        <w:rPr>
          <w:bCs/>
        </w:rPr>
        <w:tab/>
        <w:t>Price per individual unit or multiple units if the net quantity of contents of the commodity is in terms of count.</w:t>
      </w:r>
    </w:p>
    <w:p w:rsidR="005A6C37" w:rsidRPr="002338BE" w:rsidRDefault="005A6C37">
      <w:pPr>
        <w:ind w:left="720" w:hanging="360"/>
        <w:rPr>
          <w:bCs/>
        </w:rPr>
      </w:pPr>
    </w:p>
    <w:p w:rsidR="005A6C37" w:rsidRPr="002338BE" w:rsidRDefault="005A6C37">
      <w:pPr>
        <w:ind w:left="720" w:hanging="360"/>
        <w:rPr>
          <w:bCs/>
        </w:rPr>
      </w:pPr>
      <w:r w:rsidRPr="002338BE">
        <w:rPr>
          <w:bCs/>
        </w:rPr>
        <w:t>(e)</w:t>
      </w:r>
      <w:r w:rsidRPr="002338BE">
        <w:rPr>
          <w:bCs/>
        </w:rPr>
        <w:tab/>
        <w:t>Price per square meter, square decimeter, or square centimeter, or price per square yard, square foot, or square inch, if the net quantity of contents of the commodity is in terms of area.</w:t>
      </w:r>
    </w:p>
    <w:p w:rsidR="005A6C37" w:rsidRPr="002338BE" w:rsidRDefault="005A6C37" w:rsidP="00860176">
      <w:pPr>
        <w:pStyle w:val="UnitPriceLevel1"/>
      </w:pPr>
      <w:bookmarkStart w:id="26" w:name="_Toc173470314"/>
      <w:bookmarkStart w:id="27" w:name="_Toc173471548"/>
      <w:bookmarkStart w:id="28" w:name="_Toc173474196"/>
      <w:bookmarkStart w:id="29" w:name="_Toc173771792"/>
      <w:bookmarkStart w:id="30" w:name="_Toc205539075"/>
      <w:bookmarkStart w:id="31" w:name="_Toc274678811"/>
      <w:r w:rsidRPr="002338BE">
        <w:t>Section 3.  Exemptions</w:t>
      </w:r>
      <w:bookmarkEnd w:id="26"/>
      <w:bookmarkEnd w:id="27"/>
      <w:bookmarkEnd w:id="28"/>
      <w:bookmarkEnd w:id="29"/>
      <w:bookmarkEnd w:id="30"/>
      <w:bookmarkEnd w:id="31"/>
    </w:p>
    <w:p w:rsidR="005A6C37" w:rsidRPr="002338BE" w:rsidRDefault="005A6C37"/>
    <w:p w:rsidR="005A6C37" w:rsidRPr="002338BE" w:rsidRDefault="005A6C37">
      <w:pPr>
        <w:ind w:left="720" w:hanging="360"/>
        <w:rPr>
          <w:bCs/>
        </w:rPr>
      </w:pPr>
      <w:r w:rsidRPr="002338BE">
        <w:rPr>
          <w:bCs/>
        </w:rPr>
        <w:t>(a)</w:t>
      </w:r>
      <w:r w:rsidRPr="002338BE">
        <w:rPr>
          <w:bCs/>
        </w:rPr>
        <w:tab/>
        <w:t>Small Packages. – Commodities shall be exempt from these provisions when packaged in quantities of less than 28 g (1 oz) or 29 mL (1 fl oz) or when the total retail price is 50 cents or less.</w:t>
      </w:r>
    </w:p>
    <w:p w:rsidR="005A6C37" w:rsidRPr="002338BE" w:rsidRDefault="005A6C37">
      <w:pPr>
        <w:ind w:left="720" w:hanging="360"/>
        <w:rPr>
          <w:bCs/>
        </w:rPr>
      </w:pPr>
    </w:p>
    <w:p w:rsidR="005A6C37" w:rsidRPr="002338BE" w:rsidRDefault="005A6C37">
      <w:pPr>
        <w:ind w:left="720" w:hanging="360"/>
        <w:rPr>
          <w:bCs/>
        </w:rPr>
      </w:pPr>
      <w:r w:rsidRPr="002338BE">
        <w:rPr>
          <w:bCs/>
        </w:rPr>
        <w:t>(b)</w:t>
      </w:r>
      <w:r w:rsidRPr="002338BE">
        <w:rPr>
          <w:bCs/>
        </w:rPr>
        <w:tab/>
        <w:t>Single Items. – Commodities shall be exempt from these provisions when only one brand in only one size is offered for sale in a particular retail establishment.</w:t>
      </w:r>
    </w:p>
    <w:p w:rsidR="005A6C37" w:rsidRPr="002338BE" w:rsidRDefault="005A6C37">
      <w:pPr>
        <w:ind w:left="720" w:hanging="360"/>
        <w:rPr>
          <w:bCs/>
        </w:rPr>
      </w:pPr>
    </w:p>
    <w:p w:rsidR="005A6C37" w:rsidRPr="002338BE" w:rsidRDefault="005A6C37">
      <w:pPr>
        <w:ind w:left="720" w:hanging="360"/>
        <w:rPr>
          <w:bCs/>
        </w:rPr>
      </w:pPr>
      <w:r w:rsidRPr="002338BE">
        <w:rPr>
          <w:bCs/>
        </w:rPr>
        <w:t>(c)</w:t>
      </w:r>
      <w:r w:rsidRPr="002338BE">
        <w:rPr>
          <w:bCs/>
        </w:rPr>
        <w:tab/>
        <w:t>Infant Formula. – 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rsidR="005A6C37" w:rsidRPr="002338BE" w:rsidRDefault="005A6C37">
      <w:pPr>
        <w:ind w:left="720" w:hanging="360"/>
        <w:rPr>
          <w:bCs/>
        </w:rPr>
      </w:pPr>
    </w:p>
    <w:p w:rsidR="005A6C37" w:rsidRPr="002338BE" w:rsidRDefault="005A6C37" w:rsidP="00C64F39">
      <w:pPr>
        <w:tabs>
          <w:tab w:val="center" w:pos="1530"/>
        </w:tabs>
        <w:ind w:left="720" w:hanging="360"/>
        <w:rPr>
          <w:bCs/>
        </w:rPr>
      </w:pPr>
      <w:r w:rsidRPr="002338BE">
        <w:rPr>
          <w:bCs/>
        </w:rPr>
        <w:t>(d)</w:t>
      </w:r>
      <w:r w:rsidRPr="002338BE">
        <w:rPr>
          <w:bCs/>
        </w:rPr>
        <w:tab/>
        <w:t>Variety and Combination Packages</w:t>
      </w:r>
      <w:r w:rsidR="00D962A8" w:rsidRPr="002338BE">
        <w:fldChar w:fldCharType="begin"/>
      </w:r>
      <w:r w:rsidRPr="002338BE">
        <w:instrText>xe "Combination package:Exemptions"</w:instrText>
      </w:r>
      <w:r w:rsidR="00D962A8" w:rsidRPr="002338BE">
        <w:fldChar w:fldCharType="end"/>
      </w:r>
      <w:r w:rsidRPr="002338BE">
        <w:rPr>
          <w:bCs/>
        </w:rPr>
        <w:t xml:space="preserve">. – Variety and Combination Packages as defined in Section 2.9 and Section 2.10 in the Uniform Packaging and Labeling Regulation </w:t>
      </w:r>
      <w:r w:rsidRPr="002338BE">
        <w:rPr>
          <w:bCs/>
          <w:szCs w:val="20"/>
          <w:vertAlign w:val="superscript"/>
        </w:rPr>
        <w:t>[</w:t>
      </w:r>
      <w:r w:rsidRPr="002338BE">
        <w:rPr>
          <w:b/>
          <w:bCs/>
          <w:i/>
          <w:szCs w:val="20"/>
          <w:vertAlign w:val="superscript"/>
        </w:rPr>
        <w:t>NOTE 1</w:t>
      </w:r>
      <w:r w:rsidRPr="002338BE">
        <w:rPr>
          <w:bCs/>
          <w:szCs w:val="20"/>
          <w:vertAlign w:val="superscript"/>
        </w:rPr>
        <w:t>, page </w:t>
      </w:r>
      <w:r w:rsidR="00A17DA2" w:rsidRPr="002338BE">
        <w:rPr>
          <w:bCs/>
          <w:szCs w:val="20"/>
          <w:vertAlign w:val="superscript"/>
        </w:rPr>
        <w:t>143</w:t>
      </w:r>
      <w:r w:rsidRPr="002338BE">
        <w:rPr>
          <w:bCs/>
          <w:szCs w:val="20"/>
          <w:vertAlign w:val="superscript"/>
        </w:rPr>
        <w:t>]</w:t>
      </w:r>
      <w:r w:rsidRPr="002338BE">
        <w:rPr>
          <w:bCs/>
        </w:rPr>
        <w:t xml:space="preserve"> shall be exempt from these provisions.</w:t>
      </w:r>
    </w:p>
    <w:p w:rsidR="005A6C37" w:rsidRPr="002338BE" w:rsidRDefault="005A6C37">
      <w:pPr>
        <w:rPr>
          <w:bCs/>
        </w:rPr>
      </w:pPr>
    </w:p>
    <w:p w:rsidR="005A6C37" w:rsidRPr="002338BE" w:rsidRDefault="005A6C37">
      <w:pPr>
        <w:rPr>
          <w:i/>
          <w:iCs/>
        </w:rPr>
      </w:pPr>
      <w:r w:rsidRPr="002338BE">
        <w:rPr>
          <w:b/>
          <w:bCs/>
          <w:i/>
        </w:rPr>
        <w:t>NOTE 1:</w:t>
      </w:r>
      <w:r w:rsidRPr="002338BE">
        <w:rPr>
          <w:i/>
          <w:iCs/>
        </w:rPr>
        <w:t xml:space="preserve">  See “Uniform Packaging and Labeling Regulation.”</w:t>
      </w:r>
    </w:p>
    <w:p w:rsidR="005A6C37" w:rsidRPr="002338BE" w:rsidRDefault="005A6C37" w:rsidP="00860176">
      <w:pPr>
        <w:pStyle w:val="UnitPriceLevel1"/>
      </w:pPr>
      <w:bookmarkStart w:id="32" w:name="_Toc173470315"/>
      <w:bookmarkStart w:id="33" w:name="_Toc173471549"/>
      <w:bookmarkStart w:id="34" w:name="_Toc173474197"/>
      <w:bookmarkStart w:id="35" w:name="_Toc173771793"/>
      <w:bookmarkStart w:id="36" w:name="_Toc205539076"/>
      <w:bookmarkStart w:id="37" w:name="_Toc274678812"/>
      <w:r w:rsidRPr="002338BE">
        <w:t>Section 4.  Pricing</w:t>
      </w:r>
      <w:bookmarkEnd w:id="32"/>
      <w:bookmarkEnd w:id="33"/>
      <w:bookmarkEnd w:id="34"/>
      <w:bookmarkEnd w:id="35"/>
      <w:bookmarkEnd w:id="36"/>
      <w:bookmarkEnd w:id="37"/>
    </w:p>
    <w:p w:rsidR="005A6C37" w:rsidRPr="002338BE" w:rsidRDefault="005A6C37">
      <w:pPr>
        <w:rPr>
          <w:bCs/>
        </w:rPr>
      </w:pPr>
    </w:p>
    <w:p w:rsidR="005A6C37" w:rsidRPr="002338BE" w:rsidRDefault="005A6C37" w:rsidP="007D50E6">
      <w:pPr>
        <w:numPr>
          <w:ilvl w:val="0"/>
          <w:numId w:val="73"/>
        </w:numPr>
        <w:tabs>
          <w:tab w:val="clear" w:pos="2340"/>
          <w:tab w:val="num" w:pos="720"/>
        </w:tabs>
        <w:ind w:left="720"/>
        <w:jc w:val="left"/>
        <w:rPr>
          <w:bCs/>
        </w:rPr>
      </w:pPr>
      <w:r w:rsidRPr="002338BE">
        <w:rPr>
          <w:bCs/>
        </w:rPr>
        <w:t>The unit price shall be to the nearest cent when a dollar or more.</w:t>
      </w:r>
    </w:p>
    <w:p w:rsidR="005A6C37" w:rsidRPr="002338BE" w:rsidRDefault="005A6C37">
      <w:pPr>
        <w:tabs>
          <w:tab w:val="num" w:pos="720"/>
        </w:tabs>
        <w:ind w:left="720" w:hanging="360"/>
        <w:jc w:val="left"/>
        <w:rPr>
          <w:bCs/>
        </w:rPr>
      </w:pPr>
    </w:p>
    <w:p w:rsidR="005A6C37" w:rsidRPr="002338BE" w:rsidRDefault="005A6C37" w:rsidP="007D50E6">
      <w:pPr>
        <w:numPr>
          <w:ilvl w:val="0"/>
          <w:numId w:val="73"/>
        </w:numPr>
        <w:tabs>
          <w:tab w:val="clear" w:pos="2340"/>
          <w:tab w:val="num" w:pos="720"/>
        </w:tabs>
        <w:ind w:left="720"/>
        <w:jc w:val="left"/>
        <w:rPr>
          <w:bCs/>
        </w:rPr>
      </w:pPr>
      <w:r w:rsidRPr="002338BE">
        <w:rPr>
          <w:bCs/>
        </w:rPr>
        <w:t>If the unit price is under a dollar, it shall be listed:</w:t>
      </w:r>
    </w:p>
    <w:p w:rsidR="005A6C37" w:rsidRPr="002338BE" w:rsidRDefault="005A6C37">
      <w:pPr>
        <w:rPr>
          <w:bCs/>
        </w:rPr>
      </w:pPr>
    </w:p>
    <w:p w:rsidR="005A6C37" w:rsidRPr="002338BE" w:rsidRDefault="005A6C37" w:rsidP="007D50E6">
      <w:pPr>
        <w:numPr>
          <w:ilvl w:val="1"/>
          <w:numId w:val="72"/>
        </w:numPr>
        <w:tabs>
          <w:tab w:val="clear" w:pos="1440"/>
          <w:tab w:val="num" w:pos="1080"/>
        </w:tabs>
        <w:ind w:left="1080"/>
        <w:rPr>
          <w:bCs/>
        </w:rPr>
      </w:pPr>
      <w:r w:rsidRPr="002338BE">
        <w:rPr>
          <w:bCs/>
        </w:rPr>
        <w:t>to the tenth of a cent</w:t>
      </w:r>
      <w:r w:rsidR="00167F4D" w:rsidRPr="002338BE">
        <w:rPr>
          <w:bCs/>
        </w:rPr>
        <w:t xml:space="preserve">; </w:t>
      </w:r>
      <w:r w:rsidRPr="002338BE">
        <w:rPr>
          <w:bCs/>
        </w:rPr>
        <w:t>or</w:t>
      </w:r>
    </w:p>
    <w:p w:rsidR="005A6C37" w:rsidRPr="002338BE" w:rsidRDefault="005A6C37">
      <w:pPr>
        <w:tabs>
          <w:tab w:val="num" w:pos="1080"/>
        </w:tabs>
        <w:ind w:left="1080" w:hanging="360"/>
        <w:rPr>
          <w:bCs/>
        </w:rPr>
      </w:pPr>
    </w:p>
    <w:p w:rsidR="005A6C37" w:rsidRPr="002338BE" w:rsidRDefault="005A6C37" w:rsidP="007D50E6">
      <w:pPr>
        <w:numPr>
          <w:ilvl w:val="1"/>
          <w:numId w:val="72"/>
        </w:numPr>
        <w:tabs>
          <w:tab w:val="clear" w:pos="1440"/>
          <w:tab w:val="num" w:pos="1080"/>
        </w:tabs>
        <w:ind w:left="1080"/>
        <w:rPr>
          <w:bCs/>
        </w:rPr>
      </w:pPr>
      <w:r w:rsidRPr="002338BE">
        <w:rPr>
          <w:bCs/>
        </w:rPr>
        <w:lastRenderedPageBreak/>
        <w:t>to the whole cent.</w:t>
      </w:r>
    </w:p>
    <w:p w:rsidR="005A6C37" w:rsidRPr="002338BE" w:rsidRDefault="005A6C37">
      <w:pPr>
        <w:rPr>
          <w:bCs/>
        </w:rPr>
      </w:pPr>
    </w:p>
    <w:p w:rsidR="005A6C37" w:rsidRPr="002338BE" w:rsidRDefault="005A6C37" w:rsidP="002C1B8E">
      <w:pPr>
        <w:ind w:left="720"/>
        <w:rPr>
          <w:bCs/>
        </w:rPr>
      </w:pPr>
      <w:r w:rsidRPr="002338BE">
        <w:rPr>
          <w:bCs/>
        </w:rPr>
        <w:t>The retail establishment shall have the option of using (b)(1) or (b)(2), but shall not implement both methods.</w:t>
      </w:r>
    </w:p>
    <w:p w:rsidR="005A6C37" w:rsidRPr="002338BE" w:rsidRDefault="005A6C37">
      <w:pPr>
        <w:rPr>
          <w:bCs/>
        </w:rPr>
      </w:pPr>
    </w:p>
    <w:p w:rsidR="005A6C37" w:rsidRPr="002338BE" w:rsidRDefault="005A6C37">
      <w:pPr>
        <w:rPr>
          <w:bCs/>
        </w:rPr>
      </w:pPr>
      <w:r w:rsidRPr="002338BE">
        <w:rPr>
          <w:bCs/>
        </w:rPr>
        <w:t>The retail establishment shall accurately and consistently use the same method of rounding up or down to compute the price to the whole cent.</w:t>
      </w:r>
    </w:p>
    <w:p w:rsidR="005A6C37" w:rsidRPr="002338BE" w:rsidRDefault="005A6C37" w:rsidP="00740A21">
      <w:pPr>
        <w:pStyle w:val="UnitPriceLevel1"/>
      </w:pPr>
      <w:bookmarkStart w:id="38" w:name="_Toc173470316"/>
      <w:bookmarkStart w:id="39" w:name="_Toc173471550"/>
      <w:bookmarkStart w:id="40" w:name="_Toc173474198"/>
      <w:bookmarkStart w:id="41" w:name="_Toc173771794"/>
      <w:bookmarkStart w:id="42" w:name="_Toc205539077"/>
      <w:bookmarkStart w:id="43" w:name="_Toc274678813"/>
      <w:r w:rsidRPr="002338BE">
        <w:t>Section 5.  Presentation of Price</w:t>
      </w:r>
      <w:bookmarkEnd w:id="38"/>
      <w:bookmarkEnd w:id="39"/>
      <w:bookmarkEnd w:id="40"/>
      <w:bookmarkEnd w:id="41"/>
      <w:bookmarkEnd w:id="42"/>
      <w:bookmarkEnd w:id="43"/>
    </w:p>
    <w:p w:rsidR="005A6C37" w:rsidRPr="002338BE" w:rsidRDefault="005A6C37">
      <w:pPr>
        <w:rPr>
          <w:bCs/>
        </w:rPr>
      </w:pPr>
    </w:p>
    <w:p w:rsidR="005A6C37" w:rsidRPr="002338BE" w:rsidRDefault="005A6C37" w:rsidP="007D50E6">
      <w:pPr>
        <w:numPr>
          <w:ilvl w:val="0"/>
          <w:numId w:val="74"/>
        </w:numPr>
        <w:tabs>
          <w:tab w:val="clear" w:pos="2340"/>
          <w:tab w:val="num" w:pos="720"/>
        </w:tabs>
        <w:ind w:left="720"/>
        <w:rPr>
          <w:bCs/>
        </w:rPr>
      </w:pPr>
      <w:r w:rsidRPr="002338BE">
        <w:rPr>
          <w:bCs/>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5A6C37" w:rsidRPr="002338BE" w:rsidRDefault="005A6C37">
      <w:pPr>
        <w:tabs>
          <w:tab w:val="num" w:pos="720"/>
        </w:tabs>
        <w:ind w:left="720" w:hanging="360"/>
        <w:rPr>
          <w:bCs/>
        </w:rPr>
      </w:pPr>
    </w:p>
    <w:p w:rsidR="005A6C37" w:rsidRPr="002338BE" w:rsidRDefault="005A6C37" w:rsidP="007D50E6">
      <w:pPr>
        <w:numPr>
          <w:ilvl w:val="0"/>
          <w:numId w:val="74"/>
        </w:numPr>
        <w:tabs>
          <w:tab w:val="clear" w:pos="2340"/>
          <w:tab w:val="num" w:pos="720"/>
        </w:tabs>
        <w:ind w:left="720"/>
        <w:rPr>
          <w:bCs/>
        </w:rPr>
      </w:pPr>
      <w:r w:rsidRPr="002338BE">
        <w:rPr>
          <w:bCs/>
        </w:rPr>
        <w:t>Where a</w:t>
      </w:r>
      <w:r w:rsidR="00DD21E8" w:rsidRPr="002338BE">
        <w:rPr>
          <w:bCs/>
        </w:rPr>
        <w:t xml:space="preserve"> </w:t>
      </w:r>
      <w:r w:rsidRPr="002338BE">
        <w:rPr>
          <w:bCs/>
        </w:rPr>
        <w:t>sign providing unit price information for one or more sizes or brands of a given commodity is used, that sign shall be displayed clearly and in a non-deceptive manner in a central location as close as practical to all items to which the sign refers.</w:t>
      </w:r>
    </w:p>
    <w:p w:rsidR="005A6C37" w:rsidRPr="002338BE" w:rsidRDefault="005A6C37">
      <w:pPr>
        <w:tabs>
          <w:tab w:val="num" w:pos="720"/>
        </w:tabs>
        <w:ind w:left="720" w:hanging="360"/>
        <w:rPr>
          <w:bCs/>
        </w:rPr>
      </w:pPr>
    </w:p>
    <w:p w:rsidR="005A6C37" w:rsidRPr="002338BE" w:rsidRDefault="005A6C37" w:rsidP="007D50E6">
      <w:pPr>
        <w:numPr>
          <w:ilvl w:val="0"/>
          <w:numId w:val="74"/>
        </w:numPr>
        <w:tabs>
          <w:tab w:val="clear" w:pos="2340"/>
          <w:tab w:val="num" w:pos="720"/>
        </w:tabs>
        <w:ind w:left="720"/>
        <w:rPr>
          <w:bCs/>
        </w:rPr>
      </w:pPr>
      <w:r w:rsidRPr="002338BE">
        <w:rPr>
          <w:bCs/>
        </w:rPr>
        <w:t>If a single sign or tag includes the unit price information for more than one brand or size of a given commodity, the following information shall be provided:</w:t>
      </w:r>
    </w:p>
    <w:p w:rsidR="005A6C37" w:rsidRPr="002338BE" w:rsidRDefault="005A6C37">
      <w:pPr>
        <w:rPr>
          <w:bCs/>
        </w:rPr>
      </w:pPr>
    </w:p>
    <w:p w:rsidR="005A6C37" w:rsidRPr="002338BE" w:rsidRDefault="005A6C37" w:rsidP="007D50E6">
      <w:pPr>
        <w:numPr>
          <w:ilvl w:val="1"/>
          <w:numId w:val="73"/>
        </w:numPr>
        <w:tabs>
          <w:tab w:val="clear" w:pos="1440"/>
          <w:tab w:val="num" w:pos="1080"/>
        </w:tabs>
        <w:ind w:left="1080"/>
        <w:rPr>
          <w:bCs/>
        </w:rPr>
      </w:pPr>
      <w:r w:rsidRPr="002338BE">
        <w:rPr>
          <w:bCs/>
        </w:rPr>
        <w:t>the identity and the brand name of the commodity;</w:t>
      </w:r>
    </w:p>
    <w:p w:rsidR="005A6C37" w:rsidRPr="002338BE" w:rsidRDefault="005A6C37">
      <w:pPr>
        <w:tabs>
          <w:tab w:val="num" w:pos="1080"/>
        </w:tabs>
        <w:ind w:left="1080" w:hanging="360"/>
        <w:rPr>
          <w:bCs/>
        </w:rPr>
      </w:pPr>
    </w:p>
    <w:p w:rsidR="005A6C37" w:rsidRPr="002338BE" w:rsidRDefault="005A6C37" w:rsidP="007D50E6">
      <w:pPr>
        <w:numPr>
          <w:ilvl w:val="1"/>
          <w:numId w:val="73"/>
        </w:numPr>
        <w:tabs>
          <w:tab w:val="clear" w:pos="1440"/>
          <w:tab w:val="num" w:pos="1080"/>
        </w:tabs>
        <w:ind w:left="1080"/>
        <w:rPr>
          <w:bCs/>
        </w:rPr>
      </w:pPr>
      <w:r w:rsidRPr="002338BE">
        <w:rPr>
          <w:bCs/>
        </w:rPr>
        <w:t>the quantity of the packaged commodity</w:t>
      </w:r>
      <w:r w:rsidR="0046228F" w:rsidRPr="002338BE">
        <w:rPr>
          <w:bCs/>
        </w:rPr>
        <w:t>,</w:t>
      </w:r>
      <w:r w:rsidRPr="002338BE">
        <w:rPr>
          <w:bCs/>
        </w:rPr>
        <w:t xml:space="preserve"> if more than one package size per brand is displayed;</w:t>
      </w:r>
    </w:p>
    <w:p w:rsidR="005A6C37" w:rsidRPr="002338BE" w:rsidRDefault="005A6C37">
      <w:pPr>
        <w:tabs>
          <w:tab w:val="num" w:pos="1080"/>
        </w:tabs>
        <w:ind w:left="1080" w:hanging="360"/>
        <w:rPr>
          <w:bCs/>
        </w:rPr>
      </w:pPr>
    </w:p>
    <w:p w:rsidR="005A6C37" w:rsidRPr="002338BE" w:rsidRDefault="005A6C37" w:rsidP="007D50E6">
      <w:pPr>
        <w:numPr>
          <w:ilvl w:val="1"/>
          <w:numId w:val="73"/>
        </w:numPr>
        <w:tabs>
          <w:tab w:val="clear" w:pos="1440"/>
          <w:tab w:val="num" w:pos="1080"/>
        </w:tabs>
        <w:ind w:left="1080"/>
        <w:rPr>
          <w:bCs/>
        </w:rPr>
      </w:pPr>
      <w:r w:rsidRPr="002338BE">
        <w:rPr>
          <w:bCs/>
        </w:rPr>
        <w:t>the total retail sales price; and</w:t>
      </w:r>
    </w:p>
    <w:p w:rsidR="005A6C37" w:rsidRPr="002338BE" w:rsidRDefault="005A6C37">
      <w:pPr>
        <w:tabs>
          <w:tab w:val="num" w:pos="1080"/>
        </w:tabs>
        <w:ind w:left="1080" w:hanging="360"/>
        <w:rPr>
          <w:bCs/>
        </w:rPr>
      </w:pPr>
    </w:p>
    <w:p w:rsidR="005A6C37" w:rsidRPr="002338BE" w:rsidRDefault="005A6C37" w:rsidP="007D50E6">
      <w:pPr>
        <w:numPr>
          <w:ilvl w:val="1"/>
          <w:numId w:val="73"/>
        </w:numPr>
        <w:tabs>
          <w:tab w:val="clear" w:pos="1440"/>
          <w:tab w:val="num" w:pos="1080"/>
        </w:tabs>
        <w:ind w:left="1080"/>
        <w:rPr>
          <w:bCs/>
        </w:rPr>
      </w:pPr>
      <w:r w:rsidRPr="002338BE">
        <w:rPr>
          <w:bCs/>
        </w:rPr>
        <w:t>the price per appropriate unit, in accordance with Section 2. Terms for Unit Pricing</w:t>
      </w:r>
      <w:r w:rsidR="00D962A8" w:rsidRPr="002338BE">
        <w:fldChar w:fldCharType="begin"/>
      </w:r>
      <w:r w:rsidRPr="002338BE">
        <w:instrText>xe "</w:instrText>
      </w:r>
      <w:r w:rsidRPr="002338BE">
        <w:rPr>
          <w:bCs/>
        </w:rPr>
        <w:instrText>Unit pricing</w:instrText>
      </w:r>
      <w:r w:rsidRPr="002338BE">
        <w:instrText>"</w:instrText>
      </w:r>
      <w:r w:rsidR="00D962A8" w:rsidRPr="002338BE">
        <w:fldChar w:fldCharType="end"/>
      </w:r>
      <w:r w:rsidRPr="002338BE">
        <w:rPr>
          <w:bCs/>
        </w:rPr>
        <w:t>.</w:t>
      </w:r>
    </w:p>
    <w:p w:rsidR="005A6C37" w:rsidRPr="002338BE" w:rsidRDefault="005A6C37" w:rsidP="00740A21">
      <w:pPr>
        <w:pStyle w:val="UnitPriceLevel1"/>
      </w:pPr>
      <w:bookmarkStart w:id="44" w:name="_Toc173470317"/>
      <w:bookmarkStart w:id="45" w:name="_Toc173471551"/>
      <w:bookmarkStart w:id="46" w:name="_Toc173474199"/>
      <w:bookmarkStart w:id="47" w:name="_Toc173771795"/>
      <w:bookmarkStart w:id="48" w:name="_Toc205539078"/>
      <w:bookmarkStart w:id="49" w:name="_Toc274678814"/>
      <w:r w:rsidRPr="002338BE">
        <w:t>Section 6.  Uniformity</w:t>
      </w:r>
      <w:bookmarkEnd w:id="44"/>
      <w:bookmarkEnd w:id="45"/>
      <w:bookmarkEnd w:id="46"/>
      <w:bookmarkEnd w:id="47"/>
      <w:bookmarkEnd w:id="48"/>
      <w:bookmarkEnd w:id="49"/>
    </w:p>
    <w:p w:rsidR="005A6C37" w:rsidRPr="002338BE" w:rsidRDefault="005A6C37" w:rsidP="00F12C98">
      <w:pPr>
        <w:keepNext/>
        <w:rPr>
          <w:bCs/>
        </w:rPr>
      </w:pPr>
    </w:p>
    <w:p w:rsidR="005A6C37" w:rsidRPr="002338BE" w:rsidRDefault="005A6C37" w:rsidP="007D50E6">
      <w:pPr>
        <w:numPr>
          <w:ilvl w:val="0"/>
          <w:numId w:val="75"/>
        </w:numPr>
        <w:tabs>
          <w:tab w:val="num" w:pos="720"/>
        </w:tabs>
        <w:ind w:left="720"/>
        <w:rPr>
          <w:bCs/>
        </w:rPr>
      </w:pPr>
      <w:r w:rsidRPr="002338BE">
        <w:rPr>
          <w:bCs/>
        </w:rPr>
        <w:t>If different brands or package sizes of the same consumer commodity are expressed in more than one unit of measure (e.g., soft drinks are offered for sale in 2 L bottles and 12 fl oz cans), the retail establishment shall unit price the items consistently.</w:t>
      </w:r>
    </w:p>
    <w:p w:rsidR="005A6C37" w:rsidRPr="002338BE" w:rsidRDefault="005A6C37">
      <w:pPr>
        <w:tabs>
          <w:tab w:val="num" w:pos="720"/>
        </w:tabs>
        <w:ind w:left="720" w:hanging="360"/>
        <w:rPr>
          <w:bCs/>
        </w:rPr>
      </w:pPr>
    </w:p>
    <w:p w:rsidR="005A6C37" w:rsidRPr="002338BE" w:rsidRDefault="005A6C37" w:rsidP="007D50E6">
      <w:pPr>
        <w:numPr>
          <w:ilvl w:val="0"/>
          <w:numId w:val="75"/>
        </w:numPr>
        <w:tabs>
          <w:tab w:val="num" w:pos="720"/>
        </w:tabs>
        <w:ind w:left="720"/>
        <w:rPr>
          <w:bCs/>
        </w:rPr>
      </w:pPr>
      <w:r w:rsidRPr="002338BE">
        <w:rPr>
          <w:bCs/>
        </w:rPr>
        <w:t>When metric units appear on the consumer commodity in addition to other units of measure, the retail establishment may include both units of measure on any stamps, tags, labels, signs, or lists.</w:t>
      </w:r>
    </w:p>
    <w:p w:rsidR="005A6C37" w:rsidRPr="002338BE" w:rsidRDefault="005A6C37" w:rsidP="00740A21">
      <w:pPr>
        <w:pStyle w:val="UnitPriceLevel1"/>
      </w:pPr>
      <w:bookmarkStart w:id="50" w:name="_Toc173471552"/>
      <w:bookmarkStart w:id="51" w:name="_Toc173474200"/>
      <w:bookmarkStart w:id="52" w:name="_Toc173771796"/>
      <w:bookmarkStart w:id="53" w:name="_Toc205539079"/>
      <w:bookmarkStart w:id="54" w:name="_Toc274678815"/>
      <w:r w:rsidRPr="002338BE">
        <w:t>Section 7.  Effective Date</w:t>
      </w:r>
      <w:bookmarkEnd w:id="50"/>
      <w:bookmarkEnd w:id="51"/>
      <w:bookmarkEnd w:id="52"/>
      <w:bookmarkEnd w:id="53"/>
      <w:bookmarkEnd w:id="54"/>
    </w:p>
    <w:p w:rsidR="005A6C37" w:rsidRPr="002338BE" w:rsidRDefault="005A6C37" w:rsidP="00F12C98">
      <w:pPr>
        <w:keepNext/>
        <w:rPr>
          <w:bCs/>
        </w:rPr>
      </w:pPr>
    </w:p>
    <w:p w:rsidR="005A6C37" w:rsidRPr="002338BE" w:rsidRDefault="005A6C37">
      <w:pPr>
        <w:rPr>
          <w:bCs/>
        </w:rPr>
      </w:pPr>
      <w:r w:rsidRPr="002338BE">
        <w:rPr>
          <w:bCs/>
        </w:rPr>
        <w:t>This regulation shall become effective on __________, 20__.</w:t>
      </w:r>
    </w:p>
    <w:p w:rsidR="005A6C37" w:rsidRPr="002338BE" w:rsidRDefault="005A6C37">
      <w:pPr>
        <w:rPr>
          <w:bCs/>
        </w:rPr>
      </w:pPr>
    </w:p>
    <w:p w:rsidR="005A6C37" w:rsidRPr="002338BE" w:rsidRDefault="005A6C37">
      <w:pPr>
        <w:rPr>
          <w:bCs/>
        </w:rPr>
      </w:pPr>
      <w:r w:rsidRPr="002338BE">
        <w:rPr>
          <w:bCs/>
        </w:rPr>
        <w:t>Given under my hand and the seal of my office in the City of __________ on this __________ day of ________, 20__.</w:t>
      </w:r>
    </w:p>
    <w:p w:rsidR="005A6C37" w:rsidRPr="002338BE" w:rsidRDefault="005A6C37">
      <w:pPr>
        <w:rPr>
          <w:bCs/>
        </w:rPr>
      </w:pPr>
    </w:p>
    <w:p w:rsidR="005A6C37" w:rsidRPr="002338BE" w:rsidRDefault="005A6C37">
      <w:pPr>
        <w:rPr>
          <w:bCs/>
        </w:rPr>
      </w:pPr>
      <w:r w:rsidRPr="002338BE">
        <w:rPr>
          <w:bCs/>
        </w:rPr>
        <w:t>Signed _________________________________________</w:t>
      </w:r>
    </w:p>
    <w:p w:rsidR="005A6C37" w:rsidRPr="002338BE" w:rsidRDefault="005A6C37" w:rsidP="00F763AB">
      <w:pPr>
        <w:spacing w:before="60"/>
        <w:rPr>
          <w:bCs/>
        </w:rPr>
      </w:pPr>
      <w:r w:rsidRPr="002338BE">
        <w:rPr>
          <w:bCs/>
        </w:rPr>
        <w:t>(Amended 1997)</w:t>
      </w:r>
    </w:p>
    <w:p w:rsidR="005A6C37" w:rsidRPr="002338BE" w:rsidRDefault="005A6C37" w:rsidP="00D27C4E">
      <w:pPr>
        <w:pStyle w:val="Style14ptBoldCenteredBefore12ptAfter6pt"/>
      </w:pPr>
      <w:bookmarkStart w:id="55" w:name="IV_D_UniformRegulationVoluntary"/>
      <w:bookmarkStart w:id="56" w:name="V_ExaminationProcedure"/>
      <w:bookmarkEnd w:id="55"/>
      <w:bookmarkEnd w:id="56"/>
    </w:p>
    <w:sectPr w:rsidR="005A6C37" w:rsidRPr="002338BE" w:rsidSect="00D27C4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09" w:rsidRDefault="00884A09">
      <w:r>
        <w:separator/>
      </w:r>
    </w:p>
  </w:endnote>
  <w:endnote w:type="continuationSeparator" w:id="0">
    <w:p w:rsidR="00884A09" w:rsidRDefault="0088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7" w:name="_GoBack" w:displacedByCustomXml="next"/>
  <w:bookmarkEnd w:id="57" w:displacedByCustomXml="next"/>
  <w:sdt>
    <w:sdtPr>
      <w:id w:val="-352658464"/>
      <w:docPartObj>
        <w:docPartGallery w:val="Page Numbers (Bottom of Page)"/>
        <w:docPartUnique/>
      </w:docPartObj>
    </w:sdtPr>
    <w:sdtEndPr>
      <w:rPr>
        <w:noProof/>
      </w:rPr>
    </w:sdtEndPr>
    <w:sdtContent>
      <w:p w:rsidR="00D27C4E" w:rsidRDefault="00D27C4E">
        <w:pPr>
          <w:pStyle w:val="Footer"/>
          <w:jc w:val="center"/>
        </w:pPr>
        <w:r>
          <w:fldChar w:fldCharType="begin"/>
        </w:r>
        <w:r>
          <w:instrText xml:space="preserve"> PAGE   \* MERGEFORMAT </w:instrText>
        </w:r>
        <w:r>
          <w:fldChar w:fldCharType="separate"/>
        </w:r>
        <w:r>
          <w:rPr>
            <w:noProof/>
          </w:rPr>
          <w:t>140</w:t>
        </w:r>
        <w:r>
          <w:rPr>
            <w:noProof/>
          </w:rPr>
          <w:fldChar w:fldCharType="end"/>
        </w:r>
      </w:p>
    </w:sdtContent>
  </w:sdt>
  <w:p w:rsidR="00D27C4E" w:rsidRDefault="00D27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78084"/>
      <w:docPartObj>
        <w:docPartGallery w:val="Page Numbers (Bottom of Page)"/>
        <w:docPartUnique/>
      </w:docPartObj>
    </w:sdtPr>
    <w:sdtEndPr>
      <w:rPr>
        <w:noProof/>
      </w:rPr>
    </w:sdtEndPr>
    <w:sdtContent>
      <w:p w:rsidR="00D27C4E" w:rsidRDefault="00D27C4E">
        <w:pPr>
          <w:pStyle w:val="Footer"/>
          <w:jc w:val="center"/>
        </w:pPr>
        <w:r>
          <w:fldChar w:fldCharType="begin"/>
        </w:r>
        <w:r>
          <w:instrText xml:space="preserve"> PAGE   \* MERGEFORMAT </w:instrText>
        </w:r>
        <w:r>
          <w:fldChar w:fldCharType="separate"/>
        </w:r>
        <w:r>
          <w:rPr>
            <w:noProof/>
          </w:rPr>
          <w:t>143</w:t>
        </w:r>
        <w:r>
          <w:rPr>
            <w:noProof/>
          </w:rPr>
          <w:fldChar w:fldCharType="end"/>
        </w:r>
      </w:p>
    </w:sdtContent>
  </w:sdt>
  <w:p w:rsidR="00D27C4E" w:rsidRDefault="00D27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4E" w:rsidRDefault="00D27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09" w:rsidRDefault="00884A09">
      <w:r>
        <w:separator/>
      </w:r>
    </w:p>
  </w:footnote>
  <w:footnote w:type="continuationSeparator" w:id="0">
    <w:p w:rsidR="00884A09" w:rsidRDefault="0088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D27C4E" w:rsidP="00D27C4E">
    <w:pPr>
      <w:pStyle w:val="Header"/>
      <w:tabs>
        <w:tab w:val="clear" w:pos="4320"/>
        <w:tab w:val="clear" w:pos="8640"/>
        <w:tab w:val="right" w:pos="9360"/>
      </w:tabs>
    </w:pPr>
    <w:r w:rsidRPr="002338BE">
      <w:t xml:space="preserve">Uniform </w:t>
    </w:r>
    <w:r>
      <w:t>Unit Pricing</w:t>
    </w:r>
    <w:r w:rsidRPr="002338BE">
      <w:t xml:space="preserve"> Regulation</w:t>
    </w:r>
    <w:r>
      <w:tab/>
    </w:r>
    <w:r w:rsidR="000F4605">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800F54" w:rsidRPr="002338BE">
      <w:t xml:space="preserve">Uniform </w:t>
    </w:r>
    <w:r w:rsidR="00D27C4E">
      <w:t>Unit Pricing</w:t>
    </w:r>
    <w:r w:rsidR="00800F54" w:rsidRPr="002338BE">
      <w:t xml:space="preserve"> Regulation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4E" w:rsidRDefault="00D27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AE2"/>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0F54"/>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A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27C4E"/>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1079-6456-41B4-A227-726AEB4B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10688</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2013-08-21T21:24:00Z</cp:lastPrinted>
  <dcterms:created xsi:type="dcterms:W3CDTF">2013-09-10T02:24:00Z</dcterms:created>
  <dcterms:modified xsi:type="dcterms:W3CDTF">2013-09-10T02:24:00Z</dcterms:modified>
</cp:coreProperties>
</file>