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BF052" w14:textId="3E283C12" w:rsidR="00BF1B40" w:rsidRDefault="0050527E" w:rsidP="00C95E51">
      <w:pPr>
        <w:pStyle w:val="Heading1"/>
        <w:ind w:right="360"/>
        <w:divId w:val="905190427"/>
        <w:rPr>
          <w:rFonts w:eastAsia="Times New Roman" w:cs="Arial"/>
        </w:rPr>
      </w:pPr>
      <w:r>
        <w:rPr>
          <w:rFonts w:eastAsia="Times New Roman" w:cs="Arial"/>
        </w:rPr>
        <w:t xml:space="preserve">2021 Community College of the Northwest </w:t>
      </w:r>
    </w:p>
    <w:p w14:paraId="0BF0B5AD" w14:textId="5DAE7B45" w:rsidR="0050527E" w:rsidRDefault="0050527E">
      <w:pPr>
        <w:pStyle w:val="Heading1"/>
        <w:divId w:val="905190427"/>
        <w:rPr>
          <w:rFonts w:eastAsia="Times New Roman" w:cs="Arial"/>
        </w:rPr>
      </w:pPr>
      <w:r>
        <w:rPr>
          <w:rFonts w:eastAsia="Times New Roman" w:cs="Arial"/>
        </w:rPr>
        <w:t>Case Study</w:t>
      </w:r>
    </w:p>
    <w:p w14:paraId="2C766705" w14:textId="24442A90" w:rsidR="005E22BD" w:rsidRDefault="000A11B9">
      <w:pPr>
        <w:pStyle w:val="Heading1"/>
        <w:divId w:val="905190427"/>
        <w:rPr>
          <w:rFonts w:eastAsia="Times New Roman" w:cs="Arial"/>
        </w:rPr>
      </w:pPr>
      <w:r>
        <w:rPr>
          <w:rFonts w:eastAsia="Times New Roman" w:cs="Arial"/>
        </w:rPr>
        <w:t>Consensus Review Scorebook</w:t>
      </w:r>
    </w:p>
    <w:p w14:paraId="555AF4FF" w14:textId="66218A89" w:rsidR="005E22BD" w:rsidRDefault="0050527E">
      <w:pPr>
        <w:pStyle w:val="Heading2"/>
        <w:divId w:val="905190427"/>
        <w:rPr>
          <w:rFonts w:eastAsia="Times New Roman" w:cs="Arial"/>
        </w:rPr>
      </w:pPr>
      <w:r>
        <w:rPr>
          <w:rFonts w:eastAsia="Times New Roman" w:cs="Arial"/>
        </w:rPr>
        <w:t>Pretraining Draft</w:t>
      </w:r>
    </w:p>
    <w:p w14:paraId="1D75ADBC" w14:textId="2FCC9AC3" w:rsidR="005E22BD" w:rsidRDefault="000A11B9">
      <w:pPr>
        <w:pStyle w:val="Heading3"/>
        <w:divId w:val="905190427"/>
        <w:rPr>
          <w:rFonts w:eastAsia="Times New Roman" w:cs="Arial"/>
        </w:rPr>
      </w:pPr>
      <w:r>
        <w:rPr>
          <w:rFonts w:eastAsia="Times New Roman" w:cs="Arial"/>
        </w:rPr>
        <w:t>03/</w:t>
      </w:r>
      <w:r w:rsidR="00BF1B40">
        <w:rPr>
          <w:rFonts w:eastAsia="Times New Roman" w:cs="Arial"/>
        </w:rPr>
        <w:t>25</w:t>
      </w:r>
      <w:r>
        <w:rPr>
          <w:rFonts w:eastAsia="Times New Roman" w:cs="Arial"/>
        </w:rPr>
        <w:t>/2021</w:t>
      </w:r>
    </w:p>
    <w:p w14:paraId="4696C9A2" w14:textId="002DE2CA" w:rsidR="00BF1B40" w:rsidRDefault="00BF1B40">
      <w:pPr>
        <w:spacing w:after="0"/>
        <w:rPr>
          <w:rFonts w:eastAsia="Times New Roman" w:cs="Arial"/>
          <w:b/>
          <w:bCs/>
          <w:sz w:val="27"/>
          <w:szCs w:val="27"/>
        </w:rPr>
      </w:pPr>
      <w:r>
        <w:rPr>
          <w:rFonts w:eastAsia="Times New Roman" w:cs="Arial"/>
        </w:rPr>
        <w:br w:type="page"/>
      </w:r>
    </w:p>
    <w:p w14:paraId="1F380189" w14:textId="77777777" w:rsidR="005E22BD" w:rsidRDefault="000A11B9">
      <w:pPr>
        <w:pStyle w:val="Heading2"/>
        <w:divId w:val="905190427"/>
        <w:rPr>
          <w:rFonts w:eastAsia="Times New Roman" w:cs="Arial"/>
        </w:rPr>
      </w:pPr>
      <w:bookmarkStart w:id="0" w:name="_Hlk66346954"/>
      <w:r>
        <w:rPr>
          <w:rFonts w:eastAsia="Times New Roman" w:cs="Arial"/>
        </w:rPr>
        <w:lastRenderedPageBreak/>
        <w:t>Key Factors Worksheet</w:t>
      </w:r>
    </w:p>
    <w:p w14:paraId="429FB432" w14:textId="77777777" w:rsidR="005E22BD" w:rsidRDefault="000A11B9">
      <w:pPr>
        <w:pStyle w:val="Heading4"/>
        <w:divId w:val="905190427"/>
        <w:rPr>
          <w:rFonts w:eastAsia="Times New Roman" w:cs="Arial"/>
        </w:rPr>
      </w:pPr>
      <w:r>
        <w:rPr>
          <w:rFonts w:eastAsia="Times New Roman" w:cs="Arial"/>
        </w:rPr>
        <w:t>P.1a Organizational Environment</w:t>
      </w:r>
    </w:p>
    <w:p w14:paraId="1AFA3817" w14:textId="680B373D" w:rsidR="00BF1B40" w:rsidRDefault="000A11B9" w:rsidP="00BF1B40">
      <w:pPr>
        <w:ind w:right="720"/>
        <w:divId w:val="905190427"/>
        <w:rPr>
          <w:rFonts w:eastAsia="Times New Roman" w:cs="Arial"/>
          <w:szCs w:val="22"/>
        </w:rPr>
      </w:pPr>
      <w:r>
        <w:rPr>
          <w:rStyle w:val="Strong"/>
          <w:rFonts w:eastAsia="Times New Roman" w:cs="Arial"/>
          <w:szCs w:val="22"/>
        </w:rPr>
        <w:t>Educational Program and Service Offerings</w:t>
      </w:r>
      <w:r>
        <w:rPr>
          <w:rFonts w:eastAsia="Times New Roman" w:cs="Arial"/>
          <w:szCs w:val="22"/>
        </w:rPr>
        <w:t xml:space="preserve"> 50 associate; 25 certificate</w:t>
      </w:r>
      <w:r w:rsidR="000834C7">
        <w:rPr>
          <w:rFonts w:eastAsia="Times New Roman" w:cs="Arial"/>
          <w:szCs w:val="22"/>
        </w:rPr>
        <w:t>/</w:t>
      </w:r>
      <w:r>
        <w:rPr>
          <w:rFonts w:eastAsia="Times New Roman" w:cs="Arial"/>
          <w:szCs w:val="22"/>
        </w:rPr>
        <w:t>workforce training badge; workforce development</w:t>
      </w:r>
      <w:r w:rsidR="000834C7">
        <w:rPr>
          <w:rFonts w:eastAsia="Times New Roman" w:cs="Arial"/>
          <w:szCs w:val="22"/>
        </w:rPr>
        <w:t>/</w:t>
      </w:r>
      <w:r>
        <w:rPr>
          <w:rFonts w:eastAsia="Times New Roman" w:cs="Arial"/>
          <w:szCs w:val="22"/>
        </w:rPr>
        <w:t>continuing education</w:t>
      </w:r>
      <w:r w:rsidR="000834C7">
        <w:rPr>
          <w:rFonts w:eastAsia="Times New Roman" w:cs="Arial"/>
          <w:szCs w:val="22"/>
        </w:rPr>
        <w:t>—</w:t>
      </w:r>
      <w:r>
        <w:rPr>
          <w:rFonts w:eastAsia="Times New Roman" w:cs="Arial"/>
          <w:szCs w:val="22"/>
        </w:rPr>
        <w:t>personal development, badges</w:t>
      </w:r>
      <w:r w:rsidR="000834C7">
        <w:rPr>
          <w:rFonts w:eastAsia="Times New Roman" w:cs="Arial"/>
          <w:szCs w:val="22"/>
        </w:rPr>
        <w:t>/</w:t>
      </w:r>
      <w:r>
        <w:rPr>
          <w:rFonts w:eastAsia="Times New Roman" w:cs="Arial"/>
          <w:szCs w:val="22"/>
        </w:rPr>
        <w:t>skill-building courses. All associate programs require internship, apprenticeship, or other applied experience.</w:t>
      </w:r>
    </w:p>
    <w:p w14:paraId="0664B0EB" w14:textId="77777777" w:rsidR="00BF1B40" w:rsidRDefault="000A11B9" w:rsidP="00BF1B40">
      <w:pPr>
        <w:ind w:right="720"/>
        <w:divId w:val="905190427"/>
        <w:rPr>
          <w:rFonts w:eastAsia="Times New Roman" w:cs="Arial"/>
          <w:szCs w:val="22"/>
        </w:rPr>
      </w:pPr>
      <w:r>
        <w:rPr>
          <w:rStyle w:val="Strong"/>
          <w:rFonts w:eastAsia="Times New Roman" w:cs="Arial"/>
          <w:szCs w:val="22"/>
        </w:rPr>
        <w:t>Enrollment</w:t>
      </w:r>
      <w:r>
        <w:rPr>
          <w:rFonts w:eastAsia="Times New Roman" w:cs="Arial"/>
          <w:szCs w:val="22"/>
        </w:rPr>
        <w:t xml:space="preserve"> 10,000 students</w:t>
      </w:r>
      <w:r w:rsidR="000834C7">
        <w:rPr>
          <w:rFonts w:eastAsia="Times New Roman" w:cs="Arial"/>
          <w:szCs w:val="22"/>
        </w:rPr>
        <w:t>/</w:t>
      </w:r>
      <w:r>
        <w:rPr>
          <w:rFonts w:eastAsia="Times New Roman" w:cs="Arial"/>
          <w:szCs w:val="22"/>
        </w:rPr>
        <w:t>year</w:t>
      </w:r>
      <w:r w:rsidR="008C2E7D">
        <w:rPr>
          <w:rFonts w:eastAsia="Times New Roman" w:cs="Arial"/>
          <w:szCs w:val="22"/>
        </w:rPr>
        <w:t>,</w:t>
      </w:r>
      <w:r>
        <w:rPr>
          <w:rFonts w:eastAsia="Times New Roman" w:cs="Arial"/>
          <w:szCs w:val="22"/>
        </w:rPr>
        <w:t xml:space="preserve"> 75% </w:t>
      </w:r>
      <w:r w:rsidR="000834C7">
        <w:rPr>
          <w:rFonts w:eastAsia="Times New Roman" w:cs="Arial"/>
          <w:szCs w:val="22"/>
        </w:rPr>
        <w:t>face-to-face</w:t>
      </w:r>
      <w:r>
        <w:rPr>
          <w:rFonts w:eastAsia="Times New Roman" w:cs="Arial"/>
          <w:szCs w:val="22"/>
        </w:rPr>
        <w:t xml:space="preserve"> courses; 25% courses online</w:t>
      </w:r>
      <w:r w:rsidR="000834C7">
        <w:rPr>
          <w:rFonts w:eastAsia="Times New Roman" w:cs="Arial"/>
          <w:szCs w:val="22"/>
        </w:rPr>
        <w:t>/</w:t>
      </w:r>
      <w:r>
        <w:rPr>
          <w:rFonts w:eastAsia="Times New Roman" w:cs="Arial"/>
          <w:szCs w:val="22"/>
        </w:rPr>
        <w:t xml:space="preserve">alternate location. </w:t>
      </w:r>
      <w:r w:rsidR="000834C7">
        <w:rPr>
          <w:rFonts w:eastAsia="Times New Roman" w:cs="Arial"/>
          <w:szCs w:val="22"/>
        </w:rPr>
        <w:t>W</w:t>
      </w:r>
      <w:r>
        <w:rPr>
          <w:rFonts w:eastAsia="Times New Roman" w:cs="Arial"/>
          <w:szCs w:val="22"/>
        </w:rPr>
        <w:t xml:space="preserve">eekend, compressed, evening courses, </w:t>
      </w:r>
      <w:r w:rsidR="00DB6E5E">
        <w:rPr>
          <w:rFonts w:eastAsia="Times New Roman" w:cs="Arial"/>
          <w:szCs w:val="22"/>
        </w:rPr>
        <w:t>dual-credit</w:t>
      </w:r>
      <w:r>
        <w:rPr>
          <w:rFonts w:eastAsia="Times New Roman" w:cs="Arial"/>
          <w:szCs w:val="22"/>
        </w:rPr>
        <w:t xml:space="preserve"> academies</w:t>
      </w:r>
      <w:r w:rsidR="000834C7">
        <w:rPr>
          <w:rFonts w:eastAsia="Times New Roman" w:cs="Arial"/>
          <w:szCs w:val="22"/>
        </w:rPr>
        <w:t>,</w:t>
      </w:r>
      <w:r>
        <w:rPr>
          <w:rFonts w:eastAsia="Times New Roman" w:cs="Arial"/>
          <w:szCs w:val="22"/>
        </w:rPr>
        <w:t xml:space="preserve"> prior learning credit.</w:t>
      </w:r>
    </w:p>
    <w:p w14:paraId="4360C7BA" w14:textId="213D557E" w:rsidR="00BF1B40" w:rsidRDefault="000A11B9" w:rsidP="00BF1B40">
      <w:pPr>
        <w:ind w:right="720"/>
        <w:divId w:val="905190427"/>
        <w:rPr>
          <w:rFonts w:eastAsia="Times New Roman" w:cs="Arial"/>
          <w:szCs w:val="22"/>
        </w:rPr>
      </w:pPr>
      <w:r>
        <w:rPr>
          <w:rStyle w:val="Strong"/>
          <w:rFonts w:eastAsia="Times New Roman" w:cs="Arial"/>
          <w:szCs w:val="22"/>
        </w:rPr>
        <w:t>Context</w:t>
      </w:r>
      <w:r>
        <w:rPr>
          <w:rFonts w:eastAsia="Times New Roman" w:cs="Arial"/>
          <w:szCs w:val="22"/>
        </w:rPr>
        <w:t xml:space="preserve"> Founded 1970; </w:t>
      </w:r>
      <w:r w:rsidR="000834C7">
        <w:rPr>
          <w:rFonts w:eastAsia="Times New Roman" w:cs="Arial"/>
          <w:szCs w:val="22"/>
        </w:rPr>
        <w:t xml:space="preserve">focused </w:t>
      </w:r>
      <w:r>
        <w:rPr>
          <w:rFonts w:eastAsia="Times New Roman" w:cs="Arial"/>
          <w:szCs w:val="22"/>
        </w:rPr>
        <w:t>on open access, affordability, career-readiness, social responsibility; part of</w:t>
      </w:r>
      <w:r w:rsidR="000834C7">
        <w:rPr>
          <w:rFonts w:eastAsia="Times New Roman" w:cs="Arial"/>
          <w:szCs w:val="22"/>
        </w:rPr>
        <w:t xml:space="preserve"> </w:t>
      </w:r>
      <w:r>
        <w:rPr>
          <w:rFonts w:eastAsia="Times New Roman" w:cs="Arial"/>
          <w:szCs w:val="22"/>
        </w:rPr>
        <w:t>12-college separately accredited state system;</w:t>
      </w:r>
      <w:r w:rsidR="000834C7">
        <w:rPr>
          <w:rFonts w:eastAsia="Times New Roman" w:cs="Arial"/>
          <w:szCs w:val="22"/>
        </w:rPr>
        <w:t xml:space="preserve"> 5t</w:t>
      </w:r>
      <w:r>
        <w:rPr>
          <w:rFonts w:eastAsia="Times New Roman" w:cs="Arial"/>
          <w:szCs w:val="22"/>
        </w:rPr>
        <w:t xml:space="preserve">h largest enrollment of system. </w:t>
      </w:r>
      <w:r w:rsidR="00085DEF">
        <w:rPr>
          <w:rFonts w:eastAsia="Times New Roman" w:cs="Arial"/>
          <w:szCs w:val="22"/>
        </w:rPr>
        <w:t>M</w:t>
      </w:r>
      <w:r>
        <w:rPr>
          <w:rFonts w:eastAsia="Times New Roman" w:cs="Arial"/>
          <w:szCs w:val="22"/>
        </w:rPr>
        <w:t>anag</w:t>
      </w:r>
      <w:r w:rsidR="00085DEF">
        <w:rPr>
          <w:rFonts w:eastAsia="Times New Roman" w:cs="Arial"/>
          <w:szCs w:val="22"/>
        </w:rPr>
        <w:t>es</w:t>
      </w:r>
      <w:r>
        <w:rPr>
          <w:rFonts w:eastAsia="Times New Roman" w:cs="Arial"/>
          <w:szCs w:val="22"/>
        </w:rPr>
        <w:t xml:space="preserve"> own operations with central administrative support system office.</w:t>
      </w:r>
    </w:p>
    <w:p w14:paraId="593EEB0E" w14:textId="77777777" w:rsidR="00BF1B40" w:rsidRDefault="000A11B9" w:rsidP="00BF1B40">
      <w:pPr>
        <w:ind w:right="720"/>
        <w:divId w:val="905190427"/>
        <w:rPr>
          <w:rFonts w:eastAsia="Times New Roman" w:cs="Arial"/>
          <w:szCs w:val="22"/>
        </w:rPr>
      </w:pPr>
      <w:r>
        <w:rPr>
          <w:rStyle w:val="Strong"/>
          <w:rFonts w:eastAsia="Times New Roman" w:cs="Arial"/>
          <w:szCs w:val="22"/>
        </w:rPr>
        <w:t>Mission, Vision, Values</w:t>
      </w:r>
      <w:r>
        <w:rPr>
          <w:rFonts w:eastAsia="Times New Roman" w:cs="Arial"/>
          <w:szCs w:val="22"/>
        </w:rPr>
        <w:t xml:space="preserve"> Mission</w:t>
      </w:r>
      <w:r w:rsidR="000834C7">
        <w:rPr>
          <w:rFonts w:eastAsia="Times New Roman" w:cs="Arial"/>
          <w:szCs w:val="22"/>
        </w:rPr>
        <w:t>—</w:t>
      </w:r>
      <w:r>
        <w:rPr>
          <w:rFonts w:eastAsia="Times New Roman" w:cs="Arial"/>
          <w:szCs w:val="22"/>
        </w:rPr>
        <w:t>Empowering students to be successful in the workforce and their communities; Vision</w:t>
      </w:r>
      <w:r w:rsidR="000834C7">
        <w:rPr>
          <w:rFonts w:eastAsia="Times New Roman" w:cs="Arial"/>
          <w:szCs w:val="22"/>
        </w:rPr>
        <w:t>—</w:t>
      </w:r>
      <w:r>
        <w:rPr>
          <w:rFonts w:eastAsia="Times New Roman" w:cs="Arial"/>
          <w:szCs w:val="22"/>
        </w:rPr>
        <w:t>Will be the best in the nation in providing students with accessibility, affordability, career-readiness, social responsibility. Values</w:t>
      </w:r>
      <w:r w:rsidR="000834C7">
        <w:rPr>
          <w:rFonts w:eastAsia="Times New Roman" w:cs="Arial"/>
          <w:szCs w:val="22"/>
        </w:rPr>
        <w:t>—</w:t>
      </w:r>
      <w:r>
        <w:rPr>
          <w:rFonts w:eastAsia="Times New Roman" w:cs="Arial"/>
          <w:szCs w:val="22"/>
        </w:rPr>
        <w:t>Students First; Community-Engaged; Collaboration; Partnership Excellence</w:t>
      </w:r>
      <w:r w:rsidR="00235345">
        <w:rPr>
          <w:rFonts w:eastAsia="Times New Roman" w:cs="Arial"/>
          <w:szCs w:val="22"/>
        </w:rPr>
        <w:t>.</w:t>
      </w:r>
    </w:p>
    <w:p w14:paraId="02EE3D15" w14:textId="77777777" w:rsidR="00BF1B40" w:rsidRDefault="000A11B9" w:rsidP="00BF1B40">
      <w:pPr>
        <w:ind w:right="720"/>
        <w:divId w:val="905190427"/>
        <w:rPr>
          <w:rFonts w:eastAsia="Times New Roman" w:cs="Arial"/>
          <w:szCs w:val="22"/>
        </w:rPr>
      </w:pPr>
      <w:r>
        <w:rPr>
          <w:rStyle w:val="Strong"/>
          <w:rFonts w:eastAsia="Times New Roman" w:cs="Arial"/>
          <w:szCs w:val="22"/>
        </w:rPr>
        <w:t>Core Competencies</w:t>
      </w:r>
      <w:r>
        <w:rPr>
          <w:rFonts w:eastAsia="Times New Roman" w:cs="Arial"/>
          <w:szCs w:val="22"/>
        </w:rPr>
        <w:t xml:space="preserve"> CC1: Provide exceptional student support services; CC2: </w:t>
      </w:r>
      <w:r w:rsidR="00153A64">
        <w:rPr>
          <w:rFonts w:eastAsia="Times New Roman" w:cs="Arial"/>
          <w:szCs w:val="22"/>
        </w:rPr>
        <w:t>Partner with local community</w:t>
      </w:r>
      <w:r>
        <w:rPr>
          <w:rFonts w:eastAsia="Times New Roman" w:cs="Arial"/>
          <w:szCs w:val="22"/>
        </w:rPr>
        <w:t xml:space="preserve"> </w:t>
      </w:r>
      <w:r w:rsidR="00153A64">
        <w:rPr>
          <w:rFonts w:eastAsia="Times New Roman" w:cs="Arial"/>
          <w:szCs w:val="22"/>
        </w:rPr>
        <w:t>to achieve excellence/graduate job readiness</w:t>
      </w:r>
      <w:r>
        <w:rPr>
          <w:rFonts w:eastAsia="Times New Roman" w:cs="Arial"/>
          <w:szCs w:val="22"/>
        </w:rPr>
        <w:t>; CC3: Maintain expert, up-to-date workforce</w:t>
      </w:r>
      <w:r w:rsidR="00235345">
        <w:rPr>
          <w:rFonts w:eastAsia="Times New Roman" w:cs="Arial"/>
          <w:szCs w:val="22"/>
        </w:rPr>
        <w:t>.</w:t>
      </w:r>
    </w:p>
    <w:p w14:paraId="7EA0C626" w14:textId="1C15C90A" w:rsidR="00BF1B40" w:rsidRDefault="000A11B9" w:rsidP="00BF1B40">
      <w:pPr>
        <w:ind w:right="720"/>
        <w:divId w:val="905190427"/>
        <w:rPr>
          <w:rFonts w:eastAsia="Times New Roman" w:cs="Arial"/>
          <w:szCs w:val="22"/>
        </w:rPr>
      </w:pPr>
      <w:r>
        <w:rPr>
          <w:rStyle w:val="Strong"/>
          <w:rFonts w:eastAsia="Times New Roman" w:cs="Arial"/>
          <w:szCs w:val="22"/>
        </w:rPr>
        <w:t>Workforce Profile</w:t>
      </w:r>
      <w:r>
        <w:rPr>
          <w:rFonts w:eastAsia="Times New Roman" w:cs="Arial"/>
          <w:szCs w:val="22"/>
        </w:rPr>
        <w:t xml:space="preserve"> Tenured</w:t>
      </w:r>
      <w:r w:rsidR="00897A34">
        <w:rPr>
          <w:rFonts w:eastAsia="Times New Roman" w:cs="Arial"/>
          <w:szCs w:val="22"/>
        </w:rPr>
        <w:t>/</w:t>
      </w:r>
      <w:r>
        <w:rPr>
          <w:rFonts w:eastAsia="Times New Roman" w:cs="Arial"/>
          <w:szCs w:val="22"/>
        </w:rPr>
        <w:t>tenure-track faculty (250); Adjunct</w:t>
      </w:r>
      <w:r w:rsidR="000834C7">
        <w:rPr>
          <w:rFonts w:eastAsia="Times New Roman" w:cs="Arial"/>
          <w:szCs w:val="22"/>
        </w:rPr>
        <w:t>/</w:t>
      </w:r>
      <w:r>
        <w:rPr>
          <w:rFonts w:eastAsia="Times New Roman" w:cs="Arial"/>
          <w:szCs w:val="22"/>
        </w:rPr>
        <w:t>non</w:t>
      </w:r>
      <w:r w:rsidR="000834C7">
        <w:rPr>
          <w:rFonts w:eastAsia="Times New Roman" w:cs="Arial"/>
          <w:szCs w:val="22"/>
        </w:rPr>
        <w:t>-</w:t>
      </w:r>
      <w:r>
        <w:rPr>
          <w:rFonts w:eastAsia="Times New Roman" w:cs="Arial"/>
          <w:szCs w:val="22"/>
        </w:rPr>
        <w:t>tenure</w:t>
      </w:r>
      <w:r w:rsidR="000834C7">
        <w:rPr>
          <w:rFonts w:eastAsia="Times New Roman" w:cs="Arial"/>
          <w:szCs w:val="22"/>
        </w:rPr>
        <w:t>-</w:t>
      </w:r>
      <w:r>
        <w:rPr>
          <w:rFonts w:eastAsia="Times New Roman" w:cs="Arial"/>
          <w:szCs w:val="22"/>
        </w:rPr>
        <w:t xml:space="preserve">track faculty, FT &amp; PT (200); </w:t>
      </w:r>
      <w:r w:rsidR="00235345">
        <w:rPr>
          <w:rFonts w:eastAsia="Times New Roman" w:cs="Arial"/>
          <w:szCs w:val="22"/>
        </w:rPr>
        <w:t>management (60); professional support (250); support (400); temp.</w:t>
      </w:r>
      <w:r>
        <w:rPr>
          <w:rFonts w:eastAsia="Times New Roman" w:cs="Arial"/>
          <w:szCs w:val="22"/>
        </w:rPr>
        <w:t xml:space="preserve"> (50)</w:t>
      </w:r>
      <w:r w:rsidR="00235345">
        <w:rPr>
          <w:rFonts w:eastAsia="Times New Roman" w:cs="Arial"/>
          <w:szCs w:val="22"/>
        </w:rPr>
        <w:t>.</w:t>
      </w:r>
    </w:p>
    <w:p w14:paraId="67E1C4B5" w14:textId="32F3DE93" w:rsidR="00BF1B40" w:rsidRDefault="000A11B9" w:rsidP="00C95E51">
      <w:pPr>
        <w:ind w:right="360"/>
        <w:divId w:val="905190427"/>
        <w:rPr>
          <w:rFonts w:eastAsia="Times New Roman" w:cs="Arial"/>
          <w:szCs w:val="22"/>
        </w:rPr>
      </w:pPr>
      <w:bookmarkStart w:id="1" w:name="_Hlk66885518"/>
      <w:r>
        <w:rPr>
          <w:rStyle w:val="Strong"/>
          <w:rFonts w:eastAsia="Times New Roman" w:cs="Arial"/>
          <w:szCs w:val="22"/>
        </w:rPr>
        <w:t>Workforce Engagement Drivers</w:t>
      </w:r>
      <w:r>
        <w:rPr>
          <w:rFonts w:eastAsia="Times New Roman" w:cs="Arial"/>
          <w:szCs w:val="22"/>
        </w:rPr>
        <w:t xml:space="preserve"> </w:t>
      </w:r>
      <w:bookmarkStart w:id="2" w:name="_Hlk66860660"/>
      <w:r w:rsidR="00BF1B40" w:rsidRPr="00BF1B40">
        <w:rPr>
          <w:rFonts w:eastAsia="Times New Roman" w:cs="Arial"/>
          <w:szCs w:val="22"/>
        </w:rPr>
        <w:t>O</w:t>
      </w:r>
      <w:r w:rsidR="00C95E51" w:rsidRPr="00BF1B40">
        <w:rPr>
          <w:rFonts w:eastAsia="Times New Roman" w:cs="Arial"/>
          <w:szCs w:val="22"/>
        </w:rPr>
        <w:t>pen</w:t>
      </w:r>
      <w:r w:rsidR="00C95E51">
        <w:rPr>
          <w:rFonts w:eastAsia="Times New Roman" w:cs="Arial"/>
          <w:szCs w:val="22"/>
        </w:rPr>
        <w:t xml:space="preserve"> </w:t>
      </w:r>
      <w:r w:rsidR="00C95E51" w:rsidRPr="00BF1B40">
        <w:rPr>
          <w:rFonts w:eastAsia="Times New Roman" w:cs="Arial"/>
          <w:szCs w:val="22"/>
        </w:rPr>
        <w:t>communication</w:t>
      </w:r>
      <w:r w:rsidR="00C95E51">
        <w:rPr>
          <w:rFonts w:eastAsia="Times New Roman" w:cs="Arial"/>
          <w:szCs w:val="22"/>
        </w:rPr>
        <w:t xml:space="preserve"> (supervisor relationships); </w:t>
      </w:r>
      <w:r w:rsidR="00C95E51" w:rsidRPr="00BF1B40">
        <w:rPr>
          <w:rFonts w:eastAsia="Times New Roman" w:cs="Arial"/>
          <w:szCs w:val="22"/>
        </w:rPr>
        <w:t>high-performance</w:t>
      </w:r>
      <w:r w:rsidR="00C95E51">
        <w:rPr>
          <w:rFonts w:eastAsia="Times New Roman" w:cs="Arial"/>
          <w:szCs w:val="22"/>
        </w:rPr>
        <w:t xml:space="preserve"> </w:t>
      </w:r>
      <w:r w:rsidR="00C95E51" w:rsidRPr="00BF1B40">
        <w:rPr>
          <w:rFonts w:eastAsia="Times New Roman" w:cs="Arial"/>
          <w:szCs w:val="22"/>
        </w:rPr>
        <w:t>work (valued</w:t>
      </w:r>
      <w:r w:rsidR="00C95E51">
        <w:rPr>
          <w:rFonts w:eastAsia="Times New Roman" w:cs="Arial"/>
          <w:szCs w:val="22"/>
        </w:rPr>
        <w:t xml:space="preserve"> </w:t>
      </w:r>
      <w:r w:rsidR="00C95E51" w:rsidRPr="00BF1B40">
        <w:rPr>
          <w:rFonts w:eastAsia="Times New Roman" w:cs="Arial"/>
          <w:szCs w:val="22"/>
        </w:rPr>
        <w:t>as team member)</w:t>
      </w:r>
      <w:r w:rsidR="00C95E51">
        <w:rPr>
          <w:rFonts w:eastAsia="Times New Roman" w:cs="Arial"/>
          <w:szCs w:val="22"/>
        </w:rPr>
        <w:t>;</w:t>
      </w:r>
      <w:r w:rsidR="00C95E51" w:rsidRPr="00BF1B40">
        <w:t xml:space="preserve"> </w:t>
      </w:r>
      <w:r w:rsidR="00C95E51" w:rsidRPr="00BF1B40">
        <w:rPr>
          <w:rFonts w:eastAsia="Times New Roman" w:cs="Arial"/>
          <w:szCs w:val="22"/>
        </w:rPr>
        <w:t>focus on continuous</w:t>
      </w:r>
      <w:r w:rsidR="00C95E51">
        <w:rPr>
          <w:rFonts w:eastAsia="Times New Roman" w:cs="Arial"/>
          <w:szCs w:val="22"/>
        </w:rPr>
        <w:t xml:space="preserve"> </w:t>
      </w:r>
      <w:r w:rsidR="00C95E51" w:rsidRPr="00BF1B40">
        <w:rPr>
          <w:rFonts w:eastAsia="Times New Roman" w:cs="Arial"/>
          <w:szCs w:val="22"/>
        </w:rPr>
        <w:t>improvement</w:t>
      </w:r>
      <w:r w:rsidR="00C95E51">
        <w:rPr>
          <w:rFonts w:eastAsia="Times New Roman" w:cs="Arial"/>
          <w:szCs w:val="22"/>
        </w:rPr>
        <w:t>/</w:t>
      </w:r>
      <w:r w:rsidR="00C95E51" w:rsidRPr="00BF1B40">
        <w:rPr>
          <w:rFonts w:eastAsia="Times New Roman" w:cs="Arial"/>
          <w:szCs w:val="22"/>
        </w:rPr>
        <w:t>innovation (training</w:t>
      </w:r>
      <w:r w:rsidR="00C95E51">
        <w:rPr>
          <w:rFonts w:eastAsia="Times New Roman" w:cs="Arial"/>
          <w:szCs w:val="22"/>
        </w:rPr>
        <w:t>/</w:t>
      </w:r>
      <w:r w:rsidR="00C95E51" w:rsidRPr="00BF1B40">
        <w:rPr>
          <w:rFonts w:eastAsia="Times New Roman" w:cs="Arial"/>
          <w:szCs w:val="22"/>
        </w:rPr>
        <w:t>resource</w:t>
      </w:r>
      <w:r w:rsidR="00C95E51">
        <w:rPr>
          <w:rFonts w:eastAsia="Times New Roman" w:cs="Arial"/>
          <w:szCs w:val="22"/>
        </w:rPr>
        <w:t xml:space="preserve"> </w:t>
      </w:r>
      <w:r w:rsidR="00C95E51" w:rsidRPr="00BF1B40">
        <w:rPr>
          <w:rFonts w:eastAsia="Times New Roman" w:cs="Arial"/>
          <w:szCs w:val="22"/>
        </w:rPr>
        <w:t>availability</w:t>
      </w:r>
      <w:r w:rsidR="00C95E51">
        <w:rPr>
          <w:rFonts w:eastAsia="Times New Roman" w:cs="Arial"/>
          <w:szCs w:val="22"/>
        </w:rPr>
        <w:t>/</w:t>
      </w:r>
      <w:r w:rsidR="00C95E51" w:rsidRPr="00BF1B40">
        <w:rPr>
          <w:rFonts w:eastAsia="Times New Roman" w:cs="Arial"/>
          <w:szCs w:val="22"/>
        </w:rPr>
        <w:t>relevance)</w:t>
      </w:r>
      <w:r w:rsidR="00C95E51">
        <w:rPr>
          <w:rFonts w:eastAsia="Times New Roman" w:cs="Arial"/>
          <w:szCs w:val="22"/>
        </w:rPr>
        <w:t>;</w:t>
      </w:r>
      <w:r w:rsidR="00C95E51" w:rsidRPr="00BF1B40">
        <w:t xml:space="preserve"> </w:t>
      </w:r>
      <w:r w:rsidR="00C95E51" w:rsidRPr="00BF1B40">
        <w:rPr>
          <w:rFonts w:eastAsia="Times New Roman" w:cs="Arial"/>
          <w:szCs w:val="22"/>
        </w:rPr>
        <w:t>engaged</w:t>
      </w:r>
      <w:r w:rsidR="00C95E51">
        <w:rPr>
          <w:rFonts w:eastAsia="Times New Roman" w:cs="Arial"/>
          <w:szCs w:val="22"/>
        </w:rPr>
        <w:t>/</w:t>
      </w:r>
      <w:r w:rsidR="00C95E51" w:rsidRPr="00BF1B40">
        <w:rPr>
          <w:rFonts w:eastAsia="Times New Roman" w:cs="Arial"/>
          <w:szCs w:val="22"/>
        </w:rPr>
        <w:t>empowered</w:t>
      </w:r>
      <w:r w:rsidR="00C95E51">
        <w:rPr>
          <w:rFonts w:eastAsia="Times New Roman" w:cs="Arial"/>
          <w:szCs w:val="22"/>
        </w:rPr>
        <w:t xml:space="preserve"> </w:t>
      </w:r>
      <w:r w:rsidR="00C95E51" w:rsidRPr="00BF1B40">
        <w:rPr>
          <w:rFonts w:eastAsia="Times New Roman" w:cs="Arial"/>
          <w:szCs w:val="22"/>
        </w:rPr>
        <w:t>workforce (satisfied with</w:t>
      </w:r>
      <w:r w:rsidR="00C95E51">
        <w:rPr>
          <w:rFonts w:eastAsia="Times New Roman" w:cs="Arial"/>
          <w:szCs w:val="22"/>
        </w:rPr>
        <w:t xml:space="preserve"> </w:t>
      </w:r>
      <w:r w:rsidR="00C95E51" w:rsidRPr="00BF1B40">
        <w:rPr>
          <w:rFonts w:eastAsia="Times New Roman" w:cs="Arial"/>
          <w:szCs w:val="22"/>
        </w:rPr>
        <w:t>sense of contribution</w:t>
      </w:r>
      <w:r w:rsidR="00C95E51">
        <w:rPr>
          <w:rFonts w:eastAsia="Times New Roman" w:cs="Arial"/>
          <w:szCs w:val="22"/>
        </w:rPr>
        <w:t xml:space="preserve"> </w:t>
      </w:r>
      <w:r w:rsidR="00C95E51" w:rsidRPr="00BF1B40">
        <w:rPr>
          <w:rFonts w:eastAsia="Times New Roman" w:cs="Arial"/>
          <w:szCs w:val="22"/>
        </w:rPr>
        <w:t>to mission)</w:t>
      </w:r>
      <w:r w:rsidR="00C95E51">
        <w:rPr>
          <w:rFonts w:eastAsia="Times New Roman" w:cs="Arial"/>
          <w:szCs w:val="22"/>
        </w:rPr>
        <w:t>;</w:t>
      </w:r>
      <w:r w:rsidR="00C95E51" w:rsidRPr="00BF1B40">
        <w:t xml:space="preserve"> </w:t>
      </w:r>
      <w:r w:rsidR="00C95E51" w:rsidRPr="00BF1B40">
        <w:rPr>
          <w:rFonts w:eastAsia="Times New Roman" w:cs="Arial"/>
          <w:szCs w:val="22"/>
        </w:rPr>
        <w:t>diverse ideas,</w:t>
      </w:r>
      <w:r w:rsidR="00C95E51">
        <w:rPr>
          <w:rFonts w:eastAsia="Times New Roman" w:cs="Arial"/>
          <w:szCs w:val="22"/>
        </w:rPr>
        <w:t xml:space="preserve"> </w:t>
      </w:r>
      <w:r w:rsidR="00C95E51" w:rsidRPr="00BF1B40">
        <w:rPr>
          <w:rFonts w:eastAsia="Times New Roman" w:cs="Arial"/>
          <w:szCs w:val="22"/>
        </w:rPr>
        <w:t>cultures, thinking</w:t>
      </w:r>
      <w:r w:rsidR="00C95E51">
        <w:rPr>
          <w:rFonts w:eastAsia="Times New Roman" w:cs="Arial"/>
          <w:szCs w:val="22"/>
        </w:rPr>
        <w:t xml:space="preserve"> </w:t>
      </w:r>
      <w:r w:rsidR="00C95E51" w:rsidRPr="00BF1B40">
        <w:rPr>
          <w:rFonts w:eastAsia="Times New Roman" w:cs="Arial"/>
          <w:szCs w:val="22"/>
        </w:rPr>
        <w:t>(satisfied with</w:t>
      </w:r>
      <w:r w:rsidR="00C95E51">
        <w:rPr>
          <w:rFonts w:eastAsia="Times New Roman" w:cs="Arial"/>
          <w:szCs w:val="22"/>
        </w:rPr>
        <w:t xml:space="preserve"> </w:t>
      </w:r>
      <w:r w:rsidR="00C95E51" w:rsidRPr="00BF1B40">
        <w:rPr>
          <w:rFonts w:eastAsia="Times New Roman" w:cs="Arial"/>
          <w:szCs w:val="22"/>
        </w:rPr>
        <w:t xml:space="preserve">sense </w:t>
      </w:r>
      <w:r w:rsidR="00C95E51">
        <w:rPr>
          <w:rFonts w:eastAsia="Times New Roman" w:cs="Arial"/>
          <w:szCs w:val="22"/>
        </w:rPr>
        <w:t>m</w:t>
      </w:r>
      <w:r w:rsidR="00C95E51" w:rsidRPr="00BF1B40">
        <w:rPr>
          <w:rFonts w:eastAsia="Times New Roman" w:cs="Arial"/>
          <w:szCs w:val="22"/>
        </w:rPr>
        <w:t xml:space="preserve">ission and </w:t>
      </w:r>
      <w:r w:rsidR="00C95E51">
        <w:rPr>
          <w:rFonts w:eastAsia="Times New Roman" w:cs="Arial"/>
          <w:szCs w:val="22"/>
        </w:rPr>
        <w:t xml:space="preserve">college </w:t>
      </w:r>
      <w:r w:rsidR="00BF1B40" w:rsidRPr="00BF1B40">
        <w:rPr>
          <w:rFonts w:eastAsia="Times New Roman" w:cs="Arial"/>
          <w:szCs w:val="22"/>
        </w:rPr>
        <w:t>future)</w:t>
      </w:r>
      <w:r w:rsidR="00C95E51">
        <w:rPr>
          <w:rFonts w:eastAsia="Times New Roman" w:cs="Arial"/>
          <w:szCs w:val="22"/>
        </w:rPr>
        <w:t>;</w:t>
      </w:r>
      <w:r w:rsidR="00BF1B40" w:rsidRPr="00BF1B40">
        <w:t xml:space="preserve"> </w:t>
      </w:r>
      <w:r w:rsidR="00C95E51" w:rsidRPr="00BF1B40">
        <w:rPr>
          <w:rFonts w:eastAsia="Times New Roman" w:cs="Arial"/>
          <w:szCs w:val="22"/>
        </w:rPr>
        <w:t>inclusion</w:t>
      </w:r>
      <w:r w:rsidR="00C95E51">
        <w:rPr>
          <w:rFonts w:eastAsia="Times New Roman" w:cs="Arial"/>
          <w:szCs w:val="22"/>
        </w:rPr>
        <w:t>/</w:t>
      </w:r>
      <w:r w:rsidR="00C95E51" w:rsidRPr="00BF1B40">
        <w:rPr>
          <w:rFonts w:eastAsia="Times New Roman" w:cs="Arial"/>
          <w:szCs w:val="22"/>
        </w:rPr>
        <w:t>e</w:t>
      </w:r>
      <w:r w:rsidR="00BF1B40" w:rsidRPr="00BF1B40">
        <w:rPr>
          <w:rFonts w:eastAsia="Times New Roman" w:cs="Arial"/>
          <w:szCs w:val="22"/>
        </w:rPr>
        <w:t>quity</w:t>
      </w:r>
      <w:r w:rsidR="00C95E51">
        <w:rPr>
          <w:rFonts w:eastAsia="Times New Roman" w:cs="Arial"/>
          <w:szCs w:val="22"/>
        </w:rPr>
        <w:t>.</w:t>
      </w:r>
      <w:bookmarkEnd w:id="2"/>
      <w:r w:rsidR="00C95E51">
        <w:rPr>
          <w:rFonts w:eastAsia="Times New Roman" w:cs="Arial"/>
          <w:szCs w:val="22"/>
        </w:rPr>
        <w:t xml:space="preserve"> </w:t>
      </w:r>
    </w:p>
    <w:bookmarkEnd w:id="1"/>
    <w:p w14:paraId="633C7EE1" w14:textId="77777777" w:rsidR="00BF1B40" w:rsidRDefault="000A11B9" w:rsidP="00C95E51">
      <w:pPr>
        <w:ind w:right="360"/>
        <w:divId w:val="905190427"/>
        <w:rPr>
          <w:rFonts w:eastAsia="Times New Roman" w:cs="Arial"/>
          <w:szCs w:val="22"/>
        </w:rPr>
      </w:pPr>
      <w:r>
        <w:rPr>
          <w:rStyle w:val="Strong"/>
          <w:rFonts w:eastAsia="Times New Roman" w:cs="Arial"/>
          <w:szCs w:val="22"/>
        </w:rPr>
        <w:t>Assets and Locations</w:t>
      </w:r>
      <w:r>
        <w:rPr>
          <w:rFonts w:eastAsia="Times New Roman" w:cs="Arial"/>
          <w:szCs w:val="22"/>
        </w:rPr>
        <w:t xml:space="preserve"> 125 acres</w:t>
      </w:r>
      <w:r w:rsidR="000834C7">
        <w:rPr>
          <w:rFonts w:eastAsia="Times New Roman" w:cs="Arial"/>
          <w:szCs w:val="22"/>
        </w:rPr>
        <w:t>:</w:t>
      </w:r>
      <w:r>
        <w:rPr>
          <w:rFonts w:eastAsia="Times New Roman" w:cs="Arial"/>
          <w:szCs w:val="22"/>
        </w:rPr>
        <w:t xml:space="preserve"> 25 major academic</w:t>
      </w:r>
      <w:r w:rsidR="000834C7">
        <w:rPr>
          <w:rFonts w:eastAsia="Times New Roman" w:cs="Arial"/>
          <w:szCs w:val="22"/>
        </w:rPr>
        <w:t>/</w:t>
      </w:r>
      <w:r>
        <w:rPr>
          <w:rFonts w:eastAsia="Times New Roman" w:cs="Arial"/>
          <w:szCs w:val="22"/>
        </w:rPr>
        <w:t>admin</w:t>
      </w:r>
      <w:r w:rsidR="00235345">
        <w:rPr>
          <w:rFonts w:eastAsia="Times New Roman" w:cs="Arial"/>
          <w:szCs w:val="22"/>
        </w:rPr>
        <w:t>.</w:t>
      </w:r>
      <w:r>
        <w:rPr>
          <w:rFonts w:eastAsia="Times New Roman" w:cs="Arial"/>
          <w:szCs w:val="22"/>
        </w:rPr>
        <w:t xml:space="preserve"> buildings; 238 lab</w:t>
      </w:r>
      <w:r w:rsidR="00153A64">
        <w:rPr>
          <w:rFonts w:eastAsia="Times New Roman" w:cs="Arial"/>
          <w:szCs w:val="22"/>
        </w:rPr>
        <w:t>s</w:t>
      </w:r>
      <w:r>
        <w:rPr>
          <w:rFonts w:eastAsia="Times New Roman" w:cs="Arial"/>
          <w:szCs w:val="22"/>
        </w:rPr>
        <w:t>; 12 research lab</w:t>
      </w:r>
      <w:r w:rsidR="00153A64">
        <w:rPr>
          <w:rFonts w:eastAsia="Times New Roman" w:cs="Arial"/>
          <w:szCs w:val="22"/>
        </w:rPr>
        <w:t>s</w:t>
      </w:r>
      <w:r>
        <w:rPr>
          <w:rFonts w:eastAsia="Times New Roman" w:cs="Arial"/>
          <w:szCs w:val="22"/>
        </w:rPr>
        <w:t>.</w:t>
      </w:r>
      <w:r w:rsidR="000834C7">
        <w:rPr>
          <w:rFonts w:eastAsia="Times New Roman" w:cs="Arial"/>
          <w:szCs w:val="22"/>
        </w:rPr>
        <w:t xml:space="preserve"> D</w:t>
      </w:r>
      <w:r>
        <w:rPr>
          <w:rFonts w:eastAsia="Times New Roman" w:cs="Arial"/>
          <w:szCs w:val="22"/>
        </w:rPr>
        <w:t>ining, athletic facilities, art galleries, theaters, rehearsal</w:t>
      </w:r>
      <w:r w:rsidR="008C2E7D">
        <w:rPr>
          <w:rFonts w:eastAsia="Times New Roman" w:cs="Arial"/>
          <w:szCs w:val="22"/>
        </w:rPr>
        <w:t>/</w:t>
      </w:r>
      <w:r>
        <w:rPr>
          <w:rFonts w:eastAsia="Times New Roman" w:cs="Arial"/>
          <w:szCs w:val="22"/>
        </w:rPr>
        <w:t xml:space="preserve">studio space. </w:t>
      </w:r>
      <w:r w:rsidR="00235345">
        <w:rPr>
          <w:rFonts w:eastAsia="Times New Roman" w:cs="Arial"/>
          <w:szCs w:val="22"/>
        </w:rPr>
        <w:t>3X</w:t>
      </w:r>
      <w:r>
        <w:rPr>
          <w:rFonts w:eastAsia="Times New Roman" w:cs="Arial"/>
          <w:szCs w:val="22"/>
        </w:rPr>
        <w:t xml:space="preserve"> more labs than classrooms.</w:t>
      </w:r>
    </w:p>
    <w:p w14:paraId="7B3AED5F" w14:textId="3AB30071" w:rsidR="00BF1B40" w:rsidRDefault="000A11B9" w:rsidP="00C95E51">
      <w:pPr>
        <w:ind w:right="360"/>
        <w:divId w:val="905190427"/>
        <w:rPr>
          <w:rFonts w:eastAsia="Times New Roman" w:cs="Arial"/>
          <w:szCs w:val="22"/>
        </w:rPr>
      </w:pPr>
      <w:r>
        <w:rPr>
          <w:rStyle w:val="Strong"/>
          <w:rFonts w:eastAsia="Times New Roman" w:cs="Arial"/>
          <w:szCs w:val="22"/>
        </w:rPr>
        <w:t>Technology</w:t>
      </w:r>
      <w:r w:rsidR="005E3D0E">
        <w:rPr>
          <w:rFonts w:eastAsia="Times New Roman" w:cs="Arial"/>
          <w:szCs w:val="22"/>
        </w:rPr>
        <w:t xml:space="preserve"> </w:t>
      </w:r>
      <w:r w:rsidR="00351245">
        <w:rPr>
          <w:rFonts w:eastAsia="Times New Roman" w:cs="Arial"/>
          <w:szCs w:val="22"/>
        </w:rPr>
        <w:t>STAR-Point</w:t>
      </w:r>
      <w:r>
        <w:rPr>
          <w:rFonts w:eastAsia="Times New Roman" w:cs="Arial"/>
          <w:szCs w:val="22"/>
        </w:rPr>
        <w:t xml:space="preserve"> app; Internal mobile app; college wireless network; online instructional resources</w:t>
      </w:r>
      <w:r w:rsidR="00897A34">
        <w:rPr>
          <w:rFonts w:eastAsia="Times New Roman" w:cs="Arial"/>
          <w:szCs w:val="22"/>
        </w:rPr>
        <w:t>/</w:t>
      </w:r>
      <w:r>
        <w:rPr>
          <w:rFonts w:eastAsia="Times New Roman" w:cs="Arial"/>
          <w:szCs w:val="22"/>
        </w:rPr>
        <w:t xml:space="preserve"> support services; BOYD, interactive tv, virtual classrooms</w:t>
      </w:r>
      <w:r w:rsidR="000834C7">
        <w:rPr>
          <w:rFonts w:eastAsia="Times New Roman" w:cs="Arial"/>
          <w:szCs w:val="22"/>
        </w:rPr>
        <w:t>/</w:t>
      </w:r>
      <w:r>
        <w:rPr>
          <w:rFonts w:eastAsia="Times New Roman" w:cs="Arial"/>
          <w:szCs w:val="22"/>
        </w:rPr>
        <w:t>podcasting, virtual anatomy table, collaboration technology</w:t>
      </w:r>
      <w:r w:rsidR="00897A34">
        <w:rPr>
          <w:rFonts w:eastAsia="Times New Roman" w:cs="Arial"/>
          <w:szCs w:val="22"/>
        </w:rPr>
        <w:t>/</w:t>
      </w:r>
      <w:r>
        <w:rPr>
          <w:rFonts w:eastAsia="Times New Roman" w:cs="Arial"/>
          <w:szCs w:val="22"/>
        </w:rPr>
        <w:t>virtual discussion rooms, CAD systems</w:t>
      </w:r>
      <w:r w:rsidR="00235345">
        <w:rPr>
          <w:rFonts w:eastAsia="Times New Roman" w:cs="Arial"/>
          <w:szCs w:val="22"/>
        </w:rPr>
        <w:t>.</w:t>
      </w:r>
    </w:p>
    <w:p w14:paraId="03D0AA53" w14:textId="2A0E31C5" w:rsidR="005E22BD" w:rsidRDefault="000A11B9" w:rsidP="00BF1B40">
      <w:pPr>
        <w:divId w:val="905190427"/>
        <w:rPr>
          <w:rFonts w:eastAsia="Times New Roman" w:cs="Arial"/>
          <w:szCs w:val="22"/>
        </w:rPr>
      </w:pPr>
      <w:r>
        <w:rPr>
          <w:rStyle w:val="Strong"/>
          <w:rFonts w:eastAsia="Times New Roman" w:cs="Arial"/>
          <w:szCs w:val="22"/>
        </w:rPr>
        <w:t>Regulatory Requirements</w:t>
      </w:r>
      <w:r>
        <w:rPr>
          <w:rFonts w:eastAsia="Times New Roman" w:cs="Arial"/>
          <w:szCs w:val="22"/>
        </w:rPr>
        <w:t xml:space="preserve"> St</w:t>
      </w:r>
      <w:r w:rsidR="004C103A">
        <w:rPr>
          <w:rFonts w:eastAsia="Times New Roman" w:cs="Arial"/>
          <w:szCs w:val="22"/>
        </w:rPr>
        <w:t>ate coordinating bo</w:t>
      </w:r>
      <w:r>
        <w:rPr>
          <w:rFonts w:eastAsia="Times New Roman" w:cs="Arial"/>
          <w:szCs w:val="22"/>
        </w:rPr>
        <w:t xml:space="preserve">ard (Central Polk Board of Trustees); </w:t>
      </w:r>
      <w:r w:rsidR="004C103A">
        <w:rPr>
          <w:rFonts w:eastAsia="Times New Roman" w:cs="Arial"/>
          <w:szCs w:val="22"/>
        </w:rPr>
        <w:t>regional accre</w:t>
      </w:r>
      <w:r>
        <w:rPr>
          <w:rFonts w:eastAsia="Times New Roman" w:cs="Arial"/>
          <w:szCs w:val="22"/>
        </w:rPr>
        <w:t>d</w:t>
      </w:r>
      <w:r w:rsidR="004C103A">
        <w:rPr>
          <w:rFonts w:eastAsia="Times New Roman" w:cs="Arial"/>
          <w:szCs w:val="22"/>
        </w:rPr>
        <w:t>.</w:t>
      </w:r>
      <w:r>
        <w:rPr>
          <w:rFonts w:eastAsia="Times New Roman" w:cs="Arial"/>
          <w:szCs w:val="22"/>
        </w:rPr>
        <w:t xml:space="preserve"> (HLC); </w:t>
      </w:r>
      <w:r w:rsidR="004C103A">
        <w:rPr>
          <w:rFonts w:eastAsia="Times New Roman" w:cs="Arial"/>
          <w:szCs w:val="22"/>
        </w:rPr>
        <w:t>specialized accr</w:t>
      </w:r>
      <w:r>
        <w:rPr>
          <w:rFonts w:eastAsia="Times New Roman" w:cs="Arial"/>
          <w:szCs w:val="22"/>
        </w:rPr>
        <w:t>ed</w:t>
      </w:r>
      <w:r w:rsidR="004C103A">
        <w:rPr>
          <w:rFonts w:eastAsia="Times New Roman" w:cs="Arial"/>
          <w:szCs w:val="22"/>
        </w:rPr>
        <w:t>.</w:t>
      </w:r>
      <w:r>
        <w:rPr>
          <w:rFonts w:eastAsia="Times New Roman" w:cs="Arial"/>
          <w:szCs w:val="22"/>
        </w:rPr>
        <w:t xml:space="preserve"> (7 academic programs </w:t>
      </w:r>
      <w:r w:rsidR="000834C7">
        <w:rPr>
          <w:rFonts w:eastAsia="Times New Roman" w:cs="Arial"/>
          <w:szCs w:val="22"/>
        </w:rPr>
        <w:t>w/</w:t>
      </w:r>
      <w:r>
        <w:rPr>
          <w:rFonts w:eastAsia="Times New Roman" w:cs="Arial"/>
          <w:szCs w:val="22"/>
        </w:rPr>
        <w:t xml:space="preserve">discipline-specific); </w:t>
      </w:r>
      <w:r w:rsidR="004C103A">
        <w:rPr>
          <w:rFonts w:eastAsia="Times New Roman" w:cs="Arial"/>
          <w:szCs w:val="22"/>
        </w:rPr>
        <w:t xml:space="preserve">local </w:t>
      </w:r>
      <w:r>
        <w:rPr>
          <w:rFonts w:eastAsia="Times New Roman" w:cs="Arial"/>
          <w:szCs w:val="22"/>
        </w:rPr>
        <w:t>(Board of County Commissioners</w:t>
      </w:r>
      <w:r w:rsidR="004C103A">
        <w:rPr>
          <w:rFonts w:eastAsia="Times New Roman" w:cs="Arial"/>
          <w:szCs w:val="22"/>
        </w:rPr>
        <w:t>)</w:t>
      </w:r>
      <w:r>
        <w:rPr>
          <w:rFonts w:eastAsia="Times New Roman" w:cs="Arial"/>
          <w:szCs w:val="22"/>
        </w:rPr>
        <w:t>;</w:t>
      </w:r>
      <w:r w:rsidR="004C103A">
        <w:rPr>
          <w:rFonts w:eastAsia="Times New Roman" w:cs="Arial"/>
          <w:szCs w:val="22"/>
        </w:rPr>
        <w:t xml:space="preserve"> federal reg</w:t>
      </w:r>
      <w:r>
        <w:rPr>
          <w:rFonts w:eastAsia="Times New Roman" w:cs="Arial"/>
          <w:szCs w:val="22"/>
        </w:rPr>
        <w:t xml:space="preserve">s (DoE, Veterans Affairs, </w:t>
      </w:r>
      <w:r w:rsidR="004C103A">
        <w:rPr>
          <w:rFonts w:eastAsia="Times New Roman" w:cs="Arial"/>
          <w:szCs w:val="22"/>
        </w:rPr>
        <w:t>OCR</w:t>
      </w:r>
      <w:r>
        <w:rPr>
          <w:rFonts w:eastAsia="Times New Roman" w:cs="Arial"/>
          <w:szCs w:val="22"/>
        </w:rPr>
        <w:t>, OSHA)</w:t>
      </w:r>
      <w:r w:rsidR="00235345">
        <w:rPr>
          <w:rFonts w:eastAsia="Times New Roman" w:cs="Arial"/>
          <w:szCs w:val="22"/>
        </w:rPr>
        <w:t>.</w:t>
      </w:r>
    </w:p>
    <w:p w14:paraId="7722E28E" w14:textId="77777777" w:rsidR="005E22BD" w:rsidRDefault="000A11B9">
      <w:pPr>
        <w:pStyle w:val="Heading4"/>
        <w:divId w:val="905190427"/>
        <w:rPr>
          <w:rFonts w:eastAsia="Times New Roman" w:cs="Arial"/>
        </w:rPr>
      </w:pPr>
      <w:r>
        <w:rPr>
          <w:rFonts w:eastAsia="Times New Roman" w:cs="Arial"/>
        </w:rPr>
        <w:t>P.1b Organizational Relationships</w:t>
      </w:r>
    </w:p>
    <w:p w14:paraId="14FE361F" w14:textId="50E37A13" w:rsidR="00BF1B40" w:rsidRDefault="000A11B9" w:rsidP="00C95E51">
      <w:pPr>
        <w:ind w:right="360"/>
        <w:divId w:val="905190427"/>
        <w:rPr>
          <w:rFonts w:eastAsia="Times New Roman" w:cs="Arial"/>
          <w:szCs w:val="22"/>
        </w:rPr>
      </w:pPr>
      <w:r>
        <w:rPr>
          <w:rStyle w:val="Strong"/>
          <w:rFonts w:eastAsia="Times New Roman" w:cs="Arial"/>
          <w:szCs w:val="22"/>
        </w:rPr>
        <w:t>Organizational Structure</w:t>
      </w:r>
      <w:r>
        <w:rPr>
          <w:rFonts w:eastAsia="Times New Roman" w:cs="Arial"/>
          <w:szCs w:val="22"/>
        </w:rPr>
        <w:t xml:space="preserve"> CPBT is governing</w:t>
      </w:r>
      <w:r w:rsidR="000834C7">
        <w:rPr>
          <w:rFonts w:eastAsia="Times New Roman" w:cs="Arial"/>
          <w:szCs w:val="22"/>
        </w:rPr>
        <w:t>/</w:t>
      </w:r>
      <w:r>
        <w:rPr>
          <w:rFonts w:eastAsia="Times New Roman" w:cs="Arial"/>
          <w:szCs w:val="22"/>
        </w:rPr>
        <w:t>policy-setting body; President is CEO</w:t>
      </w:r>
      <w:r w:rsidR="000834C7">
        <w:rPr>
          <w:rFonts w:eastAsia="Times New Roman" w:cs="Arial"/>
          <w:szCs w:val="22"/>
        </w:rPr>
        <w:t>,</w:t>
      </w:r>
      <w:r>
        <w:rPr>
          <w:rFonts w:eastAsia="Times New Roman" w:cs="Arial"/>
          <w:szCs w:val="22"/>
        </w:rPr>
        <w:t xml:space="preserve"> reports to Chancellor</w:t>
      </w:r>
      <w:r w:rsidR="000834C7">
        <w:rPr>
          <w:rFonts w:eastAsia="Times New Roman" w:cs="Arial"/>
          <w:szCs w:val="22"/>
        </w:rPr>
        <w:t>,</w:t>
      </w:r>
      <w:r>
        <w:rPr>
          <w:rFonts w:eastAsia="Times New Roman" w:cs="Arial"/>
          <w:szCs w:val="22"/>
        </w:rPr>
        <w:t xml:space="preserve"> who reports to CPBT; President</w:t>
      </w:r>
      <w:r w:rsidR="005663C4">
        <w:rPr>
          <w:rFonts w:eastAsia="Times New Roman" w:cs="Arial"/>
          <w:szCs w:val="22"/>
        </w:rPr>
        <w:t>’</w:t>
      </w:r>
      <w:r>
        <w:rPr>
          <w:rFonts w:eastAsia="Times New Roman" w:cs="Arial"/>
          <w:szCs w:val="22"/>
        </w:rPr>
        <w:t xml:space="preserve">s Team </w:t>
      </w:r>
      <w:r w:rsidR="000834C7">
        <w:rPr>
          <w:rFonts w:eastAsia="Times New Roman" w:cs="Arial"/>
          <w:szCs w:val="22"/>
        </w:rPr>
        <w:t>(senior lead</w:t>
      </w:r>
      <w:r>
        <w:rPr>
          <w:rFonts w:eastAsia="Times New Roman" w:cs="Arial"/>
          <w:szCs w:val="22"/>
        </w:rPr>
        <w:t>ers)</w:t>
      </w:r>
      <w:r w:rsidR="008C2E7D">
        <w:rPr>
          <w:rFonts w:eastAsia="Times New Roman" w:cs="Arial"/>
          <w:szCs w:val="22"/>
        </w:rPr>
        <w:t>:</w:t>
      </w:r>
      <w:r>
        <w:rPr>
          <w:rFonts w:eastAsia="Times New Roman" w:cs="Arial"/>
          <w:szCs w:val="22"/>
        </w:rPr>
        <w:t xml:space="preserve"> president, </w:t>
      </w:r>
      <w:r w:rsidR="006316B6">
        <w:rPr>
          <w:rFonts w:eastAsia="Times New Roman" w:cs="Arial"/>
          <w:szCs w:val="22"/>
        </w:rPr>
        <w:t>VP</w:t>
      </w:r>
      <w:r>
        <w:rPr>
          <w:rFonts w:eastAsia="Times New Roman" w:cs="Arial"/>
          <w:szCs w:val="22"/>
        </w:rPr>
        <w:t xml:space="preserve">s of academic </w:t>
      </w:r>
      <w:r w:rsidR="000834C7">
        <w:rPr>
          <w:rFonts w:eastAsia="Times New Roman" w:cs="Arial"/>
          <w:szCs w:val="22"/>
        </w:rPr>
        <w:t>&amp;</w:t>
      </w:r>
      <w:r>
        <w:rPr>
          <w:rFonts w:eastAsia="Times New Roman" w:cs="Arial"/>
          <w:szCs w:val="22"/>
        </w:rPr>
        <w:t xml:space="preserve"> student services; finance; administration; community engagement, outreach, communications; human resources. Elected faculty governance</w:t>
      </w:r>
      <w:r w:rsidR="006316B6">
        <w:rPr>
          <w:rFonts w:eastAsia="Times New Roman" w:cs="Arial"/>
          <w:szCs w:val="22"/>
        </w:rPr>
        <w:t xml:space="preserve"> w/</w:t>
      </w:r>
      <w:r>
        <w:rPr>
          <w:rFonts w:eastAsia="Times New Roman" w:cs="Arial"/>
          <w:szCs w:val="22"/>
        </w:rPr>
        <w:t xml:space="preserve">board </w:t>
      </w:r>
      <w:r w:rsidR="000834C7">
        <w:rPr>
          <w:rFonts w:eastAsia="Times New Roman" w:cs="Arial"/>
          <w:szCs w:val="22"/>
        </w:rPr>
        <w:t>&amp;</w:t>
      </w:r>
      <w:r>
        <w:rPr>
          <w:rFonts w:eastAsia="Times New Roman" w:cs="Arial"/>
          <w:szCs w:val="22"/>
        </w:rPr>
        <w:t xml:space="preserve"> committee structure.</w:t>
      </w:r>
    </w:p>
    <w:p w14:paraId="7B26F259" w14:textId="77777777" w:rsidR="00BF1B40" w:rsidRDefault="000A11B9" w:rsidP="00C95E51">
      <w:pPr>
        <w:ind w:right="360"/>
        <w:divId w:val="905190427"/>
        <w:rPr>
          <w:rFonts w:eastAsia="Times New Roman" w:cs="Arial"/>
          <w:szCs w:val="22"/>
        </w:rPr>
      </w:pPr>
      <w:r>
        <w:rPr>
          <w:rStyle w:val="Strong"/>
          <w:rFonts w:eastAsia="Times New Roman" w:cs="Arial"/>
          <w:szCs w:val="22"/>
        </w:rPr>
        <w:t>Key Market Segments and Key Requirements</w:t>
      </w:r>
      <w:r>
        <w:rPr>
          <w:rFonts w:eastAsia="Times New Roman" w:cs="Arial"/>
          <w:szCs w:val="22"/>
        </w:rPr>
        <w:t xml:space="preserve"> Recent high school graduates inside</w:t>
      </w:r>
      <w:r w:rsidR="000834C7">
        <w:rPr>
          <w:rFonts w:eastAsia="Times New Roman" w:cs="Arial"/>
          <w:szCs w:val="22"/>
        </w:rPr>
        <w:t>/</w:t>
      </w:r>
      <w:r>
        <w:rPr>
          <w:rFonts w:eastAsia="Times New Roman" w:cs="Arial"/>
          <w:szCs w:val="22"/>
        </w:rPr>
        <w:t>outside service area; non-traditional, transfer, former students</w:t>
      </w:r>
      <w:r w:rsidR="000834C7">
        <w:rPr>
          <w:rFonts w:eastAsia="Times New Roman" w:cs="Arial"/>
          <w:szCs w:val="22"/>
        </w:rPr>
        <w:t>—</w:t>
      </w:r>
      <w:r>
        <w:rPr>
          <w:rFonts w:eastAsia="Times New Roman" w:cs="Arial"/>
          <w:szCs w:val="22"/>
        </w:rPr>
        <w:t>focused recruitment, information about institution, easy access to services. Primary customers</w:t>
      </w:r>
      <w:r w:rsidR="008C2E7D">
        <w:rPr>
          <w:rFonts w:eastAsia="Times New Roman" w:cs="Arial"/>
          <w:szCs w:val="22"/>
        </w:rPr>
        <w:t>:</w:t>
      </w:r>
      <w:r>
        <w:rPr>
          <w:rFonts w:eastAsia="Times New Roman" w:cs="Arial"/>
          <w:szCs w:val="22"/>
        </w:rPr>
        <w:t xml:space="preserve"> credit students, over 70% in </w:t>
      </w:r>
      <w:r w:rsidR="008C2E7D">
        <w:rPr>
          <w:rFonts w:eastAsia="Times New Roman" w:cs="Arial"/>
          <w:szCs w:val="22"/>
        </w:rPr>
        <w:t>3</w:t>
      </w:r>
      <w:r>
        <w:rPr>
          <w:rFonts w:eastAsia="Times New Roman" w:cs="Arial"/>
          <w:szCs w:val="22"/>
        </w:rPr>
        <w:t>-county service area.</w:t>
      </w:r>
    </w:p>
    <w:p w14:paraId="5D7DD076" w14:textId="77777777" w:rsidR="00BF1B40" w:rsidRDefault="000A11B9" w:rsidP="00C95E51">
      <w:pPr>
        <w:ind w:right="360"/>
        <w:divId w:val="905190427"/>
        <w:rPr>
          <w:rFonts w:eastAsia="Times New Roman" w:cs="Arial"/>
          <w:szCs w:val="22"/>
        </w:rPr>
      </w:pPr>
      <w:r>
        <w:rPr>
          <w:rStyle w:val="Strong"/>
          <w:rFonts w:eastAsia="Times New Roman" w:cs="Arial"/>
          <w:szCs w:val="22"/>
        </w:rPr>
        <w:t>Key Student and Other Customers and Requirements</w:t>
      </w:r>
      <w:r>
        <w:rPr>
          <w:rFonts w:eastAsia="Times New Roman" w:cs="Arial"/>
          <w:szCs w:val="22"/>
        </w:rPr>
        <w:t xml:space="preserve"> </w:t>
      </w:r>
      <w:r w:rsidR="001F46D7" w:rsidRPr="001F46D7">
        <w:rPr>
          <w:rFonts w:eastAsia="Times New Roman" w:cs="Arial"/>
          <w:szCs w:val="22"/>
        </w:rPr>
        <w:t>Career-seeking students—degree completion info, academic support services. Transfer—transfer articulation, degree completion info, academic challenges. Non-degree-seeking—workforce skills, adult learner needs. Dual Credit—college credit courses, collaboration with high school schedule</w:t>
      </w:r>
      <w:r w:rsidR="00235345">
        <w:rPr>
          <w:rFonts w:eastAsia="Times New Roman" w:cs="Arial"/>
          <w:szCs w:val="22"/>
        </w:rPr>
        <w:t>.</w:t>
      </w:r>
    </w:p>
    <w:p w14:paraId="7B84DE5B" w14:textId="77777777" w:rsidR="00BF1B40" w:rsidRDefault="000A11B9" w:rsidP="00C95E51">
      <w:pPr>
        <w:ind w:right="360"/>
        <w:divId w:val="905190427"/>
        <w:rPr>
          <w:rFonts w:eastAsia="Times New Roman" w:cs="Arial"/>
          <w:szCs w:val="22"/>
        </w:rPr>
      </w:pPr>
      <w:r>
        <w:rPr>
          <w:rStyle w:val="Strong"/>
          <w:rFonts w:eastAsia="Times New Roman" w:cs="Arial"/>
          <w:szCs w:val="22"/>
        </w:rPr>
        <w:t>Key Partners and Collaborators</w:t>
      </w:r>
      <w:r>
        <w:rPr>
          <w:rFonts w:eastAsia="Times New Roman" w:cs="Arial"/>
          <w:szCs w:val="22"/>
        </w:rPr>
        <w:t xml:space="preserve"> Transfer schools</w:t>
      </w:r>
      <w:r w:rsidR="008C2E7D">
        <w:rPr>
          <w:rFonts w:eastAsia="Times New Roman" w:cs="Arial"/>
          <w:szCs w:val="22"/>
        </w:rPr>
        <w:t>/</w:t>
      </w:r>
      <w:r>
        <w:rPr>
          <w:rFonts w:eastAsia="Times New Roman" w:cs="Arial"/>
          <w:szCs w:val="22"/>
        </w:rPr>
        <w:t xml:space="preserve">sister colleges, </w:t>
      </w:r>
      <w:r w:rsidR="008C2E7D">
        <w:rPr>
          <w:rFonts w:eastAsia="Times New Roman" w:cs="Arial"/>
          <w:szCs w:val="22"/>
        </w:rPr>
        <w:t xml:space="preserve">feeder </w:t>
      </w:r>
      <w:r>
        <w:rPr>
          <w:rFonts w:eastAsia="Times New Roman" w:cs="Arial"/>
          <w:szCs w:val="22"/>
        </w:rPr>
        <w:t xml:space="preserve">high schools, Foundation, </w:t>
      </w:r>
      <w:r w:rsidR="008C2E7D">
        <w:rPr>
          <w:rFonts w:eastAsia="Times New Roman" w:cs="Arial"/>
          <w:szCs w:val="22"/>
        </w:rPr>
        <w:t>donors, alumni association, alumni, employ</w:t>
      </w:r>
      <w:r>
        <w:rPr>
          <w:rFonts w:eastAsia="Times New Roman" w:cs="Arial"/>
          <w:szCs w:val="22"/>
        </w:rPr>
        <w:t>ers</w:t>
      </w:r>
      <w:r w:rsidR="008C2E7D">
        <w:rPr>
          <w:rFonts w:eastAsia="Times New Roman" w:cs="Arial"/>
          <w:szCs w:val="22"/>
        </w:rPr>
        <w:t>/</w:t>
      </w:r>
      <w:r>
        <w:rPr>
          <w:rFonts w:eastAsia="Times New Roman" w:cs="Arial"/>
          <w:szCs w:val="22"/>
        </w:rPr>
        <w:t xml:space="preserve">advisory committees, </w:t>
      </w:r>
      <w:r w:rsidR="008C2E7D">
        <w:rPr>
          <w:rFonts w:eastAsia="Times New Roman" w:cs="Arial"/>
          <w:szCs w:val="22"/>
        </w:rPr>
        <w:t xml:space="preserve">technology </w:t>
      </w:r>
      <w:r>
        <w:rPr>
          <w:rFonts w:eastAsia="Times New Roman" w:cs="Arial"/>
          <w:szCs w:val="22"/>
        </w:rPr>
        <w:t xml:space="preserve">partners, </w:t>
      </w:r>
      <w:r w:rsidR="008C2E7D">
        <w:rPr>
          <w:rFonts w:eastAsia="Times New Roman" w:cs="Arial"/>
          <w:szCs w:val="22"/>
        </w:rPr>
        <w:t xml:space="preserve">local </w:t>
      </w:r>
      <w:r>
        <w:rPr>
          <w:rFonts w:eastAsia="Times New Roman" w:cs="Arial"/>
          <w:szCs w:val="22"/>
        </w:rPr>
        <w:t>community including chamber of commerce</w:t>
      </w:r>
      <w:r w:rsidR="00235345">
        <w:rPr>
          <w:rFonts w:eastAsia="Times New Roman" w:cs="Arial"/>
          <w:szCs w:val="22"/>
        </w:rPr>
        <w:t>.</w:t>
      </w:r>
    </w:p>
    <w:p w14:paraId="105A4877" w14:textId="3EB331A8" w:rsidR="005E22BD" w:rsidRDefault="000A11B9">
      <w:pPr>
        <w:divId w:val="905190427"/>
        <w:rPr>
          <w:rFonts w:eastAsia="Times New Roman" w:cs="Arial"/>
          <w:szCs w:val="22"/>
        </w:rPr>
      </w:pPr>
      <w:r>
        <w:rPr>
          <w:rStyle w:val="Strong"/>
          <w:rFonts w:eastAsia="Times New Roman" w:cs="Arial"/>
          <w:szCs w:val="22"/>
        </w:rPr>
        <w:lastRenderedPageBreak/>
        <w:t>Key Suppliers</w:t>
      </w:r>
      <w:r>
        <w:rPr>
          <w:rFonts w:eastAsia="Times New Roman" w:cs="Arial"/>
          <w:szCs w:val="22"/>
        </w:rPr>
        <w:t xml:space="preserve"> </w:t>
      </w:r>
      <w:r w:rsidR="00DB6E5E">
        <w:rPr>
          <w:rFonts w:eastAsia="Times New Roman" w:cs="Arial"/>
          <w:szCs w:val="22"/>
        </w:rPr>
        <w:t xml:space="preserve">Technology providers, laboratory support providers, service providers </w:t>
      </w:r>
      <w:r>
        <w:rPr>
          <w:rFonts w:eastAsia="Times New Roman" w:cs="Arial"/>
          <w:szCs w:val="22"/>
        </w:rPr>
        <w:t>(bookstore, dining), admin</w:t>
      </w:r>
      <w:r w:rsidR="008C2E7D">
        <w:rPr>
          <w:rFonts w:eastAsia="Times New Roman" w:cs="Arial"/>
          <w:szCs w:val="22"/>
        </w:rPr>
        <w:t>.</w:t>
      </w:r>
      <w:r>
        <w:rPr>
          <w:rFonts w:eastAsia="Times New Roman" w:cs="Arial"/>
          <w:szCs w:val="22"/>
        </w:rPr>
        <w:t xml:space="preserve"> support</w:t>
      </w:r>
      <w:r w:rsidR="00235345">
        <w:rPr>
          <w:rFonts w:eastAsia="Times New Roman" w:cs="Arial"/>
          <w:szCs w:val="22"/>
        </w:rPr>
        <w:t>.</w:t>
      </w:r>
    </w:p>
    <w:p w14:paraId="729ABFD7" w14:textId="77777777" w:rsidR="005E22BD" w:rsidRDefault="000A11B9">
      <w:pPr>
        <w:pStyle w:val="Heading4"/>
        <w:divId w:val="905190427"/>
        <w:rPr>
          <w:rFonts w:eastAsia="Times New Roman" w:cs="Arial"/>
        </w:rPr>
      </w:pPr>
      <w:r>
        <w:rPr>
          <w:rFonts w:eastAsia="Times New Roman" w:cs="Arial"/>
        </w:rPr>
        <w:t>P.2a Competitive Environment</w:t>
      </w:r>
    </w:p>
    <w:p w14:paraId="1E6D72CF" w14:textId="01B01479" w:rsidR="00BF1B40" w:rsidRDefault="000A11B9" w:rsidP="00C95E51">
      <w:pPr>
        <w:ind w:right="360"/>
        <w:divId w:val="905190427"/>
        <w:rPr>
          <w:rFonts w:eastAsia="Times New Roman" w:cs="Arial"/>
          <w:szCs w:val="22"/>
        </w:rPr>
      </w:pPr>
      <w:r>
        <w:rPr>
          <w:rStyle w:val="Strong"/>
          <w:rFonts w:eastAsia="Times New Roman" w:cs="Arial"/>
          <w:szCs w:val="22"/>
        </w:rPr>
        <w:t>Competitive Position</w:t>
      </w:r>
      <w:r>
        <w:rPr>
          <w:rFonts w:eastAsia="Times New Roman" w:cs="Arial"/>
          <w:szCs w:val="22"/>
        </w:rPr>
        <w:t xml:space="preserve"> 66% of students from </w:t>
      </w:r>
      <w:r w:rsidR="008C2E7D">
        <w:rPr>
          <w:rFonts w:eastAsia="Times New Roman" w:cs="Arial"/>
          <w:szCs w:val="22"/>
        </w:rPr>
        <w:t>3</w:t>
      </w:r>
      <w:r>
        <w:rPr>
          <w:rFonts w:eastAsia="Times New Roman" w:cs="Arial"/>
          <w:szCs w:val="22"/>
        </w:rPr>
        <w:t>-county service area w</w:t>
      </w:r>
      <w:r w:rsidR="008C2E7D">
        <w:rPr>
          <w:rFonts w:eastAsia="Times New Roman" w:cs="Arial"/>
          <w:szCs w:val="22"/>
        </w:rPr>
        <w:t>/300,000</w:t>
      </w:r>
      <w:r>
        <w:rPr>
          <w:rFonts w:eastAsia="Times New Roman" w:cs="Arial"/>
          <w:szCs w:val="22"/>
        </w:rPr>
        <w:t xml:space="preserve"> population. Declining high school graduates</w:t>
      </w:r>
      <w:r w:rsidR="008C2E7D">
        <w:rPr>
          <w:rFonts w:eastAsia="Times New Roman" w:cs="Arial"/>
          <w:szCs w:val="22"/>
        </w:rPr>
        <w:t>,</w:t>
      </w:r>
      <w:r>
        <w:rPr>
          <w:rFonts w:eastAsia="Times New Roman" w:cs="Arial"/>
          <w:szCs w:val="22"/>
        </w:rPr>
        <w:t xml:space="preserve"> primary competition </w:t>
      </w:r>
      <w:r w:rsidR="008C2E7D">
        <w:rPr>
          <w:rFonts w:eastAsia="Times New Roman" w:cs="Arial"/>
          <w:szCs w:val="22"/>
        </w:rPr>
        <w:t xml:space="preserve">is </w:t>
      </w:r>
      <w:r>
        <w:rPr>
          <w:rFonts w:eastAsia="Times New Roman" w:cs="Arial"/>
          <w:szCs w:val="22"/>
        </w:rPr>
        <w:t>sister colleges. Other competitors</w:t>
      </w:r>
      <w:r w:rsidR="008C2E7D">
        <w:rPr>
          <w:rFonts w:eastAsia="Times New Roman" w:cs="Arial"/>
          <w:szCs w:val="22"/>
        </w:rPr>
        <w:t>:</w:t>
      </w:r>
      <w:r>
        <w:rPr>
          <w:rFonts w:eastAsia="Times New Roman" w:cs="Arial"/>
          <w:szCs w:val="22"/>
        </w:rPr>
        <w:t xml:space="preserve"> private technical colleges </w:t>
      </w:r>
      <w:r w:rsidR="008C2E7D">
        <w:rPr>
          <w:rFonts w:eastAsia="Times New Roman" w:cs="Arial"/>
          <w:szCs w:val="22"/>
        </w:rPr>
        <w:t>i</w:t>
      </w:r>
      <w:r>
        <w:rPr>
          <w:rFonts w:eastAsia="Times New Roman" w:cs="Arial"/>
          <w:szCs w:val="22"/>
        </w:rPr>
        <w:t>n service area</w:t>
      </w:r>
      <w:r w:rsidR="008C2E7D">
        <w:rPr>
          <w:rFonts w:eastAsia="Times New Roman" w:cs="Arial"/>
          <w:szCs w:val="22"/>
        </w:rPr>
        <w:t>,</w:t>
      </w:r>
      <w:r>
        <w:rPr>
          <w:rFonts w:eastAsia="Times New Roman" w:cs="Arial"/>
          <w:szCs w:val="22"/>
        </w:rPr>
        <w:t xml:space="preserve"> online </w:t>
      </w:r>
      <w:r w:rsidR="006316B6">
        <w:rPr>
          <w:rFonts w:eastAsia="Times New Roman" w:cs="Arial"/>
          <w:szCs w:val="22"/>
        </w:rPr>
        <w:t xml:space="preserve">higher ed. </w:t>
      </w:r>
      <w:r>
        <w:rPr>
          <w:rFonts w:eastAsia="Times New Roman" w:cs="Arial"/>
          <w:szCs w:val="22"/>
        </w:rPr>
        <w:t>providers</w:t>
      </w:r>
      <w:r w:rsidR="006316B6">
        <w:rPr>
          <w:rFonts w:eastAsia="Times New Roman" w:cs="Arial"/>
          <w:szCs w:val="22"/>
        </w:rPr>
        <w:t>.</w:t>
      </w:r>
      <w:r>
        <w:rPr>
          <w:rFonts w:eastAsia="Times New Roman" w:cs="Arial"/>
          <w:szCs w:val="22"/>
        </w:rPr>
        <w:t xml:space="preserve"> </w:t>
      </w:r>
    </w:p>
    <w:p w14:paraId="38E69C33" w14:textId="479661A0" w:rsidR="00BF1B40" w:rsidRDefault="000A11B9" w:rsidP="006316B6">
      <w:pPr>
        <w:divId w:val="905190427"/>
        <w:rPr>
          <w:rFonts w:eastAsia="Times New Roman" w:cs="Arial"/>
          <w:szCs w:val="22"/>
        </w:rPr>
      </w:pPr>
      <w:r>
        <w:rPr>
          <w:rStyle w:val="Strong"/>
          <w:rFonts w:eastAsia="Times New Roman" w:cs="Arial"/>
          <w:szCs w:val="22"/>
        </w:rPr>
        <w:t>Competitiveness Changes</w:t>
      </w:r>
      <w:r>
        <w:rPr>
          <w:rFonts w:eastAsia="Times New Roman" w:cs="Arial"/>
          <w:szCs w:val="22"/>
        </w:rPr>
        <w:t xml:space="preserve"> National</w:t>
      </w:r>
      <w:r w:rsidR="008C2E7D">
        <w:rPr>
          <w:rFonts w:eastAsia="Times New Roman" w:cs="Arial"/>
          <w:szCs w:val="22"/>
        </w:rPr>
        <w:t>/</w:t>
      </w:r>
      <w:r>
        <w:rPr>
          <w:rFonts w:eastAsia="Times New Roman" w:cs="Arial"/>
          <w:szCs w:val="22"/>
        </w:rPr>
        <w:t>regional estimates</w:t>
      </w:r>
      <w:r w:rsidR="008C2E7D">
        <w:rPr>
          <w:rFonts w:eastAsia="Times New Roman" w:cs="Arial"/>
          <w:szCs w:val="22"/>
        </w:rPr>
        <w:t>:</w:t>
      </w:r>
      <w:r>
        <w:rPr>
          <w:rFonts w:eastAsia="Times New Roman" w:cs="Arial"/>
          <w:szCs w:val="22"/>
        </w:rPr>
        <w:t xml:space="preserve"> declines in high school graduates over next decade;</w:t>
      </w:r>
      <w:r w:rsidR="006316B6">
        <w:rPr>
          <w:rFonts w:eastAsia="Times New Roman" w:cs="Arial"/>
          <w:szCs w:val="22"/>
        </w:rPr>
        <w:t xml:space="preserve"> </w:t>
      </w:r>
      <w:r>
        <w:rPr>
          <w:rFonts w:eastAsia="Times New Roman" w:cs="Arial"/>
          <w:szCs w:val="22"/>
        </w:rPr>
        <w:t>some peers</w:t>
      </w:r>
      <w:r w:rsidR="008C2E7D">
        <w:rPr>
          <w:rFonts w:eastAsia="Times New Roman" w:cs="Arial"/>
          <w:szCs w:val="22"/>
        </w:rPr>
        <w:t>/</w:t>
      </w:r>
      <w:r>
        <w:rPr>
          <w:rFonts w:eastAsia="Times New Roman" w:cs="Arial"/>
          <w:szCs w:val="22"/>
        </w:rPr>
        <w:t>competitors</w:t>
      </w:r>
      <w:r w:rsidR="008C2E7D">
        <w:rPr>
          <w:rFonts w:eastAsia="Times New Roman" w:cs="Arial"/>
          <w:szCs w:val="22"/>
        </w:rPr>
        <w:t xml:space="preserve"> lowering admissions standards</w:t>
      </w:r>
      <w:r>
        <w:rPr>
          <w:rFonts w:eastAsia="Times New Roman" w:cs="Arial"/>
          <w:szCs w:val="22"/>
        </w:rPr>
        <w:t xml:space="preserve">; </w:t>
      </w:r>
      <w:r w:rsidR="00DB6E5E">
        <w:rPr>
          <w:rFonts w:eastAsia="Times New Roman" w:cs="Arial"/>
          <w:szCs w:val="22"/>
        </w:rPr>
        <w:t>dual-credit</w:t>
      </w:r>
      <w:r>
        <w:rPr>
          <w:rFonts w:eastAsia="Times New Roman" w:cs="Arial"/>
          <w:szCs w:val="22"/>
        </w:rPr>
        <w:t xml:space="preserve"> academies, articulation agreements, collaboration with local employers to increase entry pathways; </w:t>
      </w:r>
      <w:r w:rsidR="008C2E7D">
        <w:rPr>
          <w:rFonts w:eastAsia="Times New Roman" w:cs="Arial"/>
          <w:szCs w:val="22"/>
        </w:rPr>
        <w:t xml:space="preserve">more </w:t>
      </w:r>
      <w:r>
        <w:rPr>
          <w:rFonts w:eastAsia="Times New Roman" w:cs="Arial"/>
          <w:szCs w:val="22"/>
        </w:rPr>
        <w:t xml:space="preserve">attention </w:t>
      </w:r>
      <w:r w:rsidR="008C2E7D">
        <w:rPr>
          <w:rFonts w:eastAsia="Times New Roman" w:cs="Arial"/>
          <w:szCs w:val="22"/>
        </w:rPr>
        <w:t>to</w:t>
      </w:r>
      <w:r>
        <w:rPr>
          <w:rFonts w:eastAsia="Times New Roman" w:cs="Arial"/>
          <w:szCs w:val="22"/>
        </w:rPr>
        <w:t xml:space="preserve"> instructor qualifications due to increase in high school enrollment</w:t>
      </w:r>
      <w:r w:rsidR="00235345">
        <w:rPr>
          <w:rFonts w:eastAsia="Times New Roman" w:cs="Arial"/>
          <w:szCs w:val="22"/>
        </w:rPr>
        <w:t>.</w:t>
      </w:r>
    </w:p>
    <w:p w14:paraId="695979E6" w14:textId="67DA3315" w:rsidR="005E22BD" w:rsidRDefault="000A11B9" w:rsidP="00C95E51">
      <w:pPr>
        <w:divId w:val="905190427"/>
        <w:rPr>
          <w:rFonts w:eastAsia="Times New Roman" w:cs="Arial"/>
          <w:szCs w:val="22"/>
        </w:rPr>
      </w:pPr>
      <w:r>
        <w:rPr>
          <w:rStyle w:val="Strong"/>
          <w:rFonts w:eastAsia="Times New Roman" w:cs="Arial"/>
          <w:szCs w:val="22"/>
        </w:rPr>
        <w:t>Comparative Data</w:t>
      </w:r>
      <w:r>
        <w:rPr>
          <w:rFonts w:eastAsia="Times New Roman" w:cs="Arial"/>
          <w:szCs w:val="22"/>
        </w:rPr>
        <w:t xml:space="preserve"> </w:t>
      </w:r>
      <w:r w:rsidR="008C2E7D">
        <w:rPr>
          <w:rFonts w:eastAsia="Times New Roman" w:cs="Arial"/>
          <w:szCs w:val="22"/>
        </w:rPr>
        <w:t>peers, competitors, national averages, best-in-cla</w:t>
      </w:r>
      <w:r>
        <w:rPr>
          <w:rFonts w:eastAsia="Times New Roman" w:cs="Arial"/>
          <w:szCs w:val="22"/>
        </w:rPr>
        <w:t>ss</w:t>
      </w:r>
      <w:r w:rsidR="000834C7">
        <w:rPr>
          <w:rFonts w:eastAsia="Times New Roman" w:cs="Arial"/>
          <w:szCs w:val="22"/>
        </w:rPr>
        <w:t>—</w:t>
      </w:r>
      <w:r>
        <w:rPr>
          <w:rFonts w:eastAsia="Times New Roman" w:cs="Arial"/>
          <w:szCs w:val="22"/>
        </w:rPr>
        <w:t>IPE</w:t>
      </w:r>
      <w:r w:rsidR="007B4856">
        <w:rPr>
          <w:rFonts w:eastAsia="Times New Roman" w:cs="Arial"/>
          <w:szCs w:val="22"/>
        </w:rPr>
        <w:t>Ex2</w:t>
      </w:r>
      <w:r>
        <w:rPr>
          <w:rFonts w:eastAsia="Times New Roman" w:cs="Arial"/>
          <w:szCs w:val="22"/>
        </w:rPr>
        <w:t xml:space="preserve">, CCSSE, CollUnivPA-HR; Nome Zevil DASHER; </w:t>
      </w:r>
      <w:r w:rsidR="008C2E7D">
        <w:rPr>
          <w:rFonts w:eastAsia="Times New Roman" w:cs="Arial"/>
          <w:szCs w:val="22"/>
        </w:rPr>
        <w:t xml:space="preserve">other </w:t>
      </w:r>
      <w:r>
        <w:rPr>
          <w:rFonts w:eastAsia="Times New Roman" w:cs="Arial"/>
          <w:szCs w:val="22"/>
        </w:rPr>
        <w:t>Baldrige winners; NCCBP, Cost and Productivity Project, NSC</w:t>
      </w:r>
      <w:r w:rsidR="00235345">
        <w:rPr>
          <w:rFonts w:eastAsia="Times New Roman" w:cs="Arial"/>
          <w:szCs w:val="22"/>
        </w:rPr>
        <w:t>.</w:t>
      </w:r>
    </w:p>
    <w:p w14:paraId="28A66019" w14:textId="77777777" w:rsidR="005E22BD" w:rsidRDefault="000A11B9">
      <w:pPr>
        <w:pStyle w:val="Heading4"/>
        <w:divId w:val="905190427"/>
        <w:rPr>
          <w:rFonts w:eastAsia="Times New Roman" w:cs="Arial"/>
        </w:rPr>
      </w:pPr>
      <w:r>
        <w:rPr>
          <w:rFonts w:eastAsia="Times New Roman" w:cs="Arial"/>
        </w:rPr>
        <w:t>P.2b Strategic Context</w:t>
      </w:r>
    </w:p>
    <w:p w14:paraId="4B66AD62" w14:textId="6F2C22CB" w:rsidR="00BF1B40" w:rsidRDefault="000A11B9" w:rsidP="00C95E51">
      <w:pPr>
        <w:ind w:right="360"/>
        <w:divId w:val="905190427"/>
        <w:rPr>
          <w:rFonts w:eastAsia="Times New Roman" w:cs="Arial"/>
          <w:szCs w:val="22"/>
        </w:rPr>
      </w:pPr>
      <w:r>
        <w:rPr>
          <w:rStyle w:val="Strong"/>
          <w:rFonts w:eastAsia="Times New Roman" w:cs="Arial"/>
          <w:szCs w:val="22"/>
        </w:rPr>
        <w:t>Strategic Advantages</w:t>
      </w:r>
      <w:r>
        <w:rPr>
          <w:rFonts w:eastAsia="Times New Roman" w:cs="Arial"/>
          <w:szCs w:val="22"/>
        </w:rPr>
        <w:t xml:space="preserve"> Student success outcomes, societal responsibility outcomes, partnerships, affordability</w:t>
      </w:r>
      <w:r w:rsidR="006316B6">
        <w:rPr>
          <w:rFonts w:eastAsia="Times New Roman" w:cs="Arial"/>
          <w:szCs w:val="22"/>
        </w:rPr>
        <w:t>.</w:t>
      </w:r>
    </w:p>
    <w:p w14:paraId="21D66EAE" w14:textId="77777777" w:rsidR="00BF1B40" w:rsidRDefault="000A11B9" w:rsidP="00C95E51">
      <w:pPr>
        <w:ind w:right="360"/>
        <w:divId w:val="905190427"/>
        <w:rPr>
          <w:rFonts w:eastAsia="Times New Roman" w:cs="Arial"/>
          <w:szCs w:val="22"/>
        </w:rPr>
      </w:pPr>
      <w:r>
        <w:rPr>
          <w:rStyle w:val="Strong"/>
          <w:rFonts w:eastAsia="Times New Roman" w:cs="Arial"/>
          <w:szCs w:val="22"/>
        </w:rPr>
        <w:t>Strategic Challenges</w:t>
      </w:r>
      <w:r>
        <w:rPr>
          <w:rFonts w:eastAsia="Times New Roman" w:cs="Arial"/>
          <w:szCs w:val="22"/>
        </w:rPr>
        <w:t xml:space="preserve"> Decreased state funding, </w:t>
      </w:r>
      <w:r w:rsidR="00897A34">
        <w:rPr>
          <w:rFonts w:eastAsia="Times New Roman" w:cs="Arial"/>
          <w:szCs w:val="22"/>
        </w:rPr>
        <w:t xml:space="preserve">influx </w:t>
      </w:r>
      <w:r>
        <w:rPr>
          <w:rFonts w:eastAsia="Times New Roman" w:cs="Arial"/>
          <w:szCs w:val="22"/>
        </w:rPr>
        <w:t>of dual</w:t>
      </w:r>
      <w:r w:rsidR="00897A34">
        <w:rPr>
          <w:rFonts w:eastAsia="Times New Roman" w:cs="Arial"/>
          <w:szCs w:val="22"/>
        </w:rPr>
        <w:t>-</w:t>
      </w:r>
      <w:r>
        <w:rPr>
          <w:rFonts w:eastAsia="Times New Roman" w:cs="Arial"/>
          <w:szCs w:val="22"/>
        </w:rPr>
        <w:t>credit high school students, increased competition for students, demands to close achievement gap, ensuring qualifications of incoming</w:t>
      </w:r>
      <w:r w:rsidR="00897A34">
        <w:rPr>
          <w:rFonts w:eastAsia="Times New Roman" w:cs="Arial"/>
          <w:szCs w:val="22"/>
        </w:rPr>
        <w:t xml:space="preserve"> FT/PT</w:t>
      </w:r>
      <w:r>
        <w:rPr>
          <w:rFonts w:eastAsia="Times New Roman" w:cs="Arial"/>
          <w:szCs w:val="22"/>
        </w:rPr>
        <w:t xml:space="preserve"> faculty; Covid-19 pandemic</w:t>
      </w:r>
      <w:r w:rsidR="008C2E7D">
        <w:rPr>
          <w:rFonts w:eastAsia="Times New Roman" w:cs="Arial"/>
          <w:szCs w:val="22"/>
        </w:rPr>
        <w:t>,</w:t>
      </w:r>
      <w:r>
        <w:rPr>
          <w:rFonts w:eastAsia="Times New Roman" w:cs="Arial"/>
          <w:szCs w:val="22"/>
        </w:rPr>
        <w:t xml:space="preserve"> related disruptions</w:t>
      </w:r>
      <w:r w:rsidR="00235345">
        <w:rPr>
          <w:rFonts w:eastAsia="Times New Roman" w:cs="Arial"/>
          <w:szCs w:val="22"/>
        </w:rPr>
        <w:t>.</w:t>
      </w:r>
    </w:p>
    <w:p w14:paraId="11C15602" w14:textId="3D1676C0" w:rsidR="005E22BD" w:rsidRDefault="000A11B9">
      <w:pPr>
        <w:divId w:val="905190427"/>
        <w:rPr>
          <w:rFonts w:eastAsia="Times New Roman" w:cs="Arial"/>
          <w:szCs w:val="22"/>
        </w:rPr>
      </w:pPr>
      <w:r>
        <w:rPr>
          <w:rStyle w:val="Strong"/>
          <w:rFonts w:eastAsia="Times New Roman" w:cs="Arial"/>
          <w:szCs w:val="22"/>
        </w:rPr>
        <w:t>Strategic Objectives</w:t>
      </w:r>
      <w:r w:rsidR="008C2E7D">
        <w:rPr>
          <w:rFonts w:eastAsia="Times New Roman" w:cs="Arial"/>
          <w:szCs w:val="22"/>
        </w:rPr>
        <w:t xml:space="preserve"> student access, student success, career readiness, social respon</w:t>
      </w:r>
      <w:r>
        <w:rPr>
          <w:rFonts w:eastAsia="Times New Roman" w:cs="Arial"/>
          <w:szCs w:val="22"/>
        </w:rPr>
        <w:t>sibility</w:t>
      </w:r>
      <w:r w:rsidR="00235345">
        <w:rPr>
          <w:rFonts w:eastAsia="Times New Roman" w:cs="Arial"/>
          <w:szCs w:val="22"/>
        </w:rPr>
        <w:t>.</w:t>
      </w:r>
    </w:p>
    <w:p w14:paraId="410D43AC" w14:textId="77777777" w:rsidR="005E22BD" w:rsidRDefault="000A11B9">
      <w:pPr>
        <w:pStyle w:val="Heading4"/>
        <w:divId w:val="905190427"/>
        <w:rPr>
          <w:rFonts w:eastAsia="Times New Roman" w:cs="Arial"/>
        </w:rPr>
      </w:pPr>
      <w:r>
        <w:rPr>
          <w:rFonts w:eastAsia="Times New Roman" w:cs="Arial"/>
        </w:rPr>
        <w:t>P.2c P</w:t>
      </w:r>
      <w:r w:rsidR="008C2E7D">
        <w:rPr>
          <w:rFonts w:eastAsia="Times New Roman" w:cs="Arial"/>
        </w:rPr>
        <w:t>erformance</w:t>
      </w:r>
      <w:r>
        <w:rPr>
          <w:rFonts w:eastAsia="Times New Roman" w:cs="Arial"/>
        </w:rPr>
        <w:t xml:space="preserve"> Improvement System</w:t>
      </w:r>
    </w:p>
    <w:p w14:paraId="34E9F91F" w14:textId="4A01CE55" w:rsidR="00050D3F" w:rsidRDefault="000A11B9" w:rsidP="00050D3F">
      <w:pPr>
        <w:ind w:right="360"/>
        <w:divId w:val="905190427"/>
        <w:rPr>
          <w:rFonts w:eastAsia="Times New Roman" w:cs="Arial"/>
          <w:szCs w:val="22"/>
        </w:rPr>
      </w:pPr>
      <w:r>
        <w:rPr>
          <w:rStyle w:val="Strong"/>
          <w:rFonts w:eastAsia="Times New Roman" w:cs="Arial"/>
          <w:szCs w:val="22"/>
        </w:rPr>
        <w:t>Performance Improvement System</w:t>
      </w:r>
      <w:r>
        <w:rPr>
          <w:rFonts w:eastAsia="Times New Roman" w:cs="Arial"/>
          <w:szCs w:val="22"/>
        </w:rPr>
        <w:t xml:space="preserve"> Baldrige-based</w:t>
      </w:r>
      <w:r w:rsidR="00C95E51">
        <w:rPr>
          <w:rFonts w:eastAsia="Times New Roman" w:cs="Arial"/>
          <w:szCs w:val="22"/>
        </w:rPr>
        <w:t xml:space="preserve"> PDCA</w:t>
      </w:r>
      <w:r>
        <w:rPr>
          <w:rFonts w:eastAsia="Times New Roman" w:cs="Arial"/>
          <w:szCs w:val="22"/>
        </w:rPr>
        <w:t>. External requirements (accreditation, accountability, system requirement) inform internal strateg</w:t>
      </w:r>
      <w:r w:rsidR="008C2E7D">
        <w:rPr>
          <w:rFonts w:eastAsia="Times New Roman" w:cs="Arial"/>
          <w:szCs w:val="22"/>
        </w:rPr>
        <w:t>y/</w:t>
      </w:r>
      <w:r>
        <w:rPr>
          <w:rFonts w:eastAsia="Times New Roman" w:cs="Arial"/>
          <w:szCs w:val="22"/>
        </w:rPr>
        <w:t>measurement (strategic plan, KPI</w:t>
      </w:r>
      <w:r w:rsidR="00897A34">
        <w:rPr>
          <w:rFonts w:eastAsia="Times New Roman" w:cs="Arial"/>
          <w:szCs w:val="22"/>
        </w:rPr>
        <w:t>s</w:t>
      </w:r>
      <w:r>
        <w:rPr>
          <w:rFonts w:eastAsia="Times New Roman" w:cs="Arial"/>
          <w:szCs w:val="22"/>
        </w:rPr>
        <w:t>), leading to process improvement (program review process, educational support review process validated by input mechanisms (</w:t>
      </w:r>
      <w:r w:rsidR="008C2E7D">
        <w:rPr>
          <w:rFonts w:eastAsia="Times New Roman" w:cs="Arial"/>
          <w:szCs w:val="22"/>
        </w:rPr>
        <w:t>VOC</w:t>
      </w:r>
      <w:r>
        <w:rPr>
          <w:rFonts w:eastAsia="Times New Roman" w:cs="Arial"/>
          <w:szCs w:val="22"/>
        </w:rPr>
        <w:t>, workforce drivers</w:t>
      </w:r>
      <w:r w:rsidR="008C2E7D">
        <w:rPr>
          <w:rFonts w:eastAsia="Times New Roman" w:cs="Arial"/>
          <w:szCs w:val="22"/>
        </w:rPr>
        <w:t>/</w:t>
      </w:r>
      <w:r>
        <w:rPr>
          <w:rFonts w:eastAsia="Times New Roman" w:cs="Arial"/>
          <w:szCs w:val="22"/>
        </w:rPr>
        <w:t>engagement).</w:t>
      </w:r>
    </w:p>
    <w:p w14:paraId="42556BD2" w14:textId="77777777" w:rsidR="00050D3F" w:rsidRDefault="00050D3F">
      <w:pPr>
        <w:spacing w:after="0"/>
        <w:rPr>
          <w:rFonts w:eastAsia="Times New Roman" w:cs="Arial"/>
          <w:szCs w:val="22"/>
        </w:rPr>
      </w:pPr>
      <w:r>
        <w:rPr>
          <w:rFonts w:eastAsia="Times New Roman" w:cs="Arial"/>
          <w:szCs w:val="22"/>
        </w:rPr>
        <w:br w:type="page"/>
      </w:r>
    </w:p>
    <w:bookmarkEnd w:id="0"/>
    <w:p w14:paraId="19A6F16C" w14:textId="77777777" w:rsidR="005E22BD" w:rsidRDefault="000A11B9">
      <w:pPr>
        <w:pStyle w:val="Heading2"/>
        <w:divId w:val="905190427"/>
        <w:rPr>
          <w:rFonts w:eastAsia="Times New Roman" w:cs="Arial"/>
        </w:rPr>
      </w:pPr>
      <w:r>
        <w:rPr>
          <w:rFonts w:eastAsia="Times New Roman" w:cs="Arial"/>
        </w:rPr>
        <w:lastRenderedPageBreak/>
        <w:t>Key Themes Worksheet</w:t>
      </w:r>
    </w:p>
    <w:p w14:paraId="34886D17" w14:textId="0F7D13F0" w:rsidR="005E22BD" w:rsidRDefault="000A11B9">
      <w:pPr>
        <w:pStyle w:val="Heading3"/>
        <w:divId w:val="905190427"/>
        <w:rPr>
          <w:rFonts w:eastAsia="Times New Roman" w:cs="Arial"/>
        </w:rPr>
      </w:pPr>
      <w:r>
        <w:rPr>
          <w:rFonts w:eastAsia="Times New Roman" w:cs="Arial"/>
        </w:rPr>
        <w:t>a. What are the most important strengths or outstanding practices (of potential value to other organizations) identified in the applicant</w:t>
      </w:r>
      <w:r w:rsidR="005663C4">
        <w:rPr>
          <w:rFonts w:eastAsia="Times New Roman" w:cs="Arial"/>
        </w:rPr>
        <w:t>’</w:t>
      </w:r>
      <w:r>
        <w:rPr>
          <w:rFonts w:eastAsia="Times New Roman" w:cs="Arial"/>
        </w:rPr>
        <w:t xml:space="preserve">s response to </w:t>
      </w:r>
      <w:r w:rsidR="006A7C2B">
        <w:rPr>
          <w:rFonts w:eastAsia="Times New Roman" w:cs="Arial"/>
        </w:rPr>
        <w:t>p</w:t>
      </w:r>
      <w:r>
        <w:rPr>
          <w:rFonts w:eastAsia="Times New Roman" w:cs="Arial"/>
        </w:rPr>
        <w:t xml:space="preserve">rocess </w:t>
      </w:r>
      <w:r w:rsidR="006A7C2B">
        <w:rPr>
          <w:rFonts w:eastAsia="Times New Roman" w:cs="Arial"/>
        </w:rPr>
        <w:t>i</w:t>
      </w:r>
      <w:r>
        <w:rPr>
          <w:rFonts w:eastAsia="Times New Roman" w:cs="Arial"/>
        </w:rPr>
        <w:t>tems?</w:t>
      </w:r>
    </w:p>
    <w:p w14:paraId="70CDCF50" w14:textId="3A8AA7E2" w:rsidR="005E22BD" w:rsidRDefault="00062032" w:rsidP="00050D3F">
      <w:pPr>
        <w:numPr>
          <w:ilvl w:val="0"/>
          <w:numId w:val="1"/>
        </w:numPr>
        <w:spacing w:after="120"/>
        <w:divId w:val="905190427"/>
        <w:rPr>
          <w:rFonts w:eastAsia="Times New Roman" w:cs="Arial"/>
          <w:szCs w:val="22"/>
        </w:rPr>
      </w:pPr>
      <w:r>
        <w:rPr>
          <w:rFonts w:eastAsia="Times New Roman" w:cs="Arial"/>
          <w:szCs w:val="22"/>
        </w:rPr>
        <w:t>Demonstrating a systems perspective, t</w:t>
      </w:r>
      <w:r w:rsidR="000A11B9">
        <w:rPr>
          <w:rFonts w:eastAsia="Times New Roman" w:cs="Arial"/>
          <w:szCs w:val="22"/>
        </w:rPr>
        <w:t xml:space="preserve">he applicant uses its </w:t>
      </w:r>
      <w:r w:rsidR="005174C9">
        <w:rPr>
          <w:rFonts w:eastAsia="Times New Roman" w:cs="Arial"/>
          <w:szCs w:val="22"/>
        </w:rPr>
        <w:t>S</w:t>
      </w:r>
      <w:r w:rsidR="000A11B9">
        <w:rPr>
          <w:rFonts w:eastAsia="Times New Roman" w:cs="Arial"/>
          <w:szCs w:val="22"/>
        </w:rPr>
        <w:t xml:space="preserve">trategic </w:t>
      </w:r>
      <w:r w:rsidR="005174C9">
        <w:rPr>
          <w:rFonts w:eastAsia="Times New Roman" w:cs="Arial"/>
          <w:szCs w:val="22"/>
        </w:rPr>
        <w:t>P</w:t>
      </w:r>
      <w:r w:rsidR="000A11B9">
        <w:rPr>
          <w:rFonts w:eastAsia="Times New Roman" w:cs="Arial"/>
          <w:szCs w:val="22"/>
        </w:rPr>
        <w:t xml:space="preserve">lanning </w:t>
      </w:r>
      <w:r w:rsidR="005174C9">
        <w:rPr>
          <w:rFonts w:eastAsia="Times New Roman" w:cs="Arial"/>
          <w:szCs w:val="22"/>
        </w:rPr>
        <w:t>P</w:t>
      </w:r>
      <w:r w:rsidR="000A11B9">
        <w:rPr>
          <w:rFonts w:eastAsia="Times New Roman" w:cs="Arial"/>
          <w:szCs w:val="22"/>
        </w:rPr>
        <w:t>rocess (SPP) to integrat</w:t>
      </w:r>
      <w:r w:rsidR="00126DE4">
        <w:rPr>
          <w:rFonts w:eastAsia="Times New Roman" w:cs="Arial"/>
          <w:szCs w:val="22"/>
        </w:rPr>
        <w:t>e</w:t>
      </w:r>
      <w:r w:rsidR="000A11B9">
        <w:rPr>
          <w:rFonts w:eastAsia="Times New Roman" w:cs="Arial"/>
          <w:szCs w:val="22"/>
        </w:rPr>
        <w:t xml:space="preserve"> organizational components into an interconnected ecosystem t</w:t>
      </w:r>
      <w:r w:rsidR="00126DE4">
        <w:rPr>
          <w:rFonts w:eastAsia="Times New Roman" w:cs="Arial"/>
          <w:szCs w:val="22"/>
        </w:rPr>
        <w:t>hat</w:t>
      </w:r>
      <w:r w:rsidR="000A11B9">
        <w:rPr>
          <w:rFonts w:eastAsia="Times New Roman" w:cs="Arial"/>
          <w:szCs w:val="22"/>
        </w:rPr>
        <w:t xml:space="preserve"> deliver</w:t>
      </w:r>
      <w:r w:rsidR="00126DE4">
        <w:rPr>
          <w:rFonts w:eastAsia="Times New Roman" w:cs="Arial"/>
          <w:szCs w:val="22"/>
        </w:rPr>
        <w:t>s</w:t>
      </w:r>
      <w:r w:rsidR="000A11B9">
        <w:rPr>
          <w:rFonts w:eastAsia="Times New Roman" w:cs="Arial"/>
          <w:szCs w:val="22"/>
        </w:rPr>
        <w:t xml:space="preserve"> results. </w:t>
      </w:r>
      <w:r>
        <w:rPr>
          <w:rFonts w:eastAsia="Times New Roman" w:cs="Arial"/>
          <w:szCs w:val="22"/>
        </w:rPr>
        <w:t>B</w:t>
      </w:r>
      <w:r w:rsidR="000A11B9">
        <w:rPr>
          <w:rFonts w:eastAsia="Times New Roman" w:cs="Arial"/>
          <w:szCs w:val="22"/>
        </w:rPr>
        <w:t xml:space="preserve">uilt around </w:t>
      </w:r>
      <w:r w:rsidR="00AF6E78">
        <w:rPr>
          <w:rFonts w:eastAsia="Times New Roman" w:cs="Arial"/>
          <w:szCs w:val="22"/>
        </w:rPr>
        <w:t>a</w:t>
      </w:r>
      <w:r w:rsidR="000A11B9">
        <w:rPr>
          <w:rFonts w:eastAsia="Times New Roman" w:cs="Arial"/>
          <w:szCs w:val="22"/>
        </w:rPr>
        <w:t xml:space="preserve"> </w:t>
      </w:r>
      <w:r w:rsidR="00AF6E78">
        <w:rPr>
          <w:rFonts w:eastAsia="Times New Roman" w:cs="Arial"/>
          <w:szCs w:val="22"/>
        </w:rPr>
        <w:t>Plan, Do, Check, Act (</w:t>
      </w:r>
      <w:r w:rsidR="000A11B9">
        <w:rPr>
          <w:rFonts w:eastAsia="Times New Roman" w:cs="Arial"/>
          <w:szCs w:val="22"/>
        </w:rPr>
        <w:t>PDCA</w:t>
      </w:r>
      <w:r w:rsidR="00AF6E78">
        <w:rPr>
          <w:rFonts w:eastAsia="Times New Roman" w:cs="Arial"/>
          <w:szCs w:val="22"/>
        </w:rPr>
        <w:t>)</w:t>
      </w:r>
      <w:r w:rsidR="000A11B9">
        <w:rPr>
          <w:rFonts w:eastAsia="Times New Roman" w:cs="Arial"/>
          <w:szCs w:val="22"/>
        </w:rPr>
        <w:t xml:space="preserve"> continuous</w:t>
      </w:r>
      <w:r w:rsidR="00AF6E78">
        <w:rPr>
          <w:rFonts w:eastAsia="Times New Roman" w:cs="Arial"/>
          <w:szCs w:val="22"/>
        </w:rPr>
        <w:t>-</w:t>
      </w:r>
      <w:r w:rsidR="000A11B9">
        <w:rPr>
          <w:rFonts w:eastAsia="Times New Roman" w:cs="Arial"/>
          <w:szCs w:val="22"/>
        </w:rPr>
        <w:t>improvement framework</w:t>
      </w:r>
      <w:r>
        <w:rPr>
          <w:rFonts w:eastAsia="Times New Roman" w:cs="Arial"/>
          <w:szCs w:val="22"/>
        </w:rPr>
        <w:t xml:space="preserve">, the five steps of the SPP </w:t>
      </w:r>
      <w:r w:rsidR="00AF6E78">
        <w:rPr>
          <w:rFonts w:eastAsia="Times New Roman" w:cs="Arial"/>
          <w:szCs w:val="22"/>
        </w:rPr>
        <w:t xml:space="preserve">include </w:t>
      </w:r>
      <w:r w:rsidR="000A11B9">
        <w:rPr>
          <w:rFonts w:eastAsia="Times New Roman" w:cs="Arial"/>
          <w:szCs w:val="22"/>
        </w:rPr>
        <w:t>engag</w:t>
      </w:r>
      <w:r w:rsidR="00AF6E78">
        <w:rPr>
          <w:rFonts w:eastAsia="Times New Roman" w:cs="Arial"/>
          <w:szCs w:val="22"/>
        </w:rPr>
        <w:t>ing</w:t>
      </w:r>
      <w:r w:rsidR="000A11B9">
        <w:rPr>
          <w:rFonts w:eastAsia="Times New Roman" w:cs="Arial"/>
          <w:szCs w:val="22"/>
        </w:rPr>
        <w:t xml:space="preserve"> with key stakeholders, partners, suppliers, collaborators</w:t>
      </w:r>
      <w:r w:rsidR="00350724">
        <w:rPr>
          <w:rFonts w:eastAsia="Times New Roman" w:cs="Arial"/>
          <w:szCs w:val="22"/>
        </w:rPr>
        <w:t>,</w:t>
      </w:r>
      <w:r w:rsidR="000A11B9">
        <w:rPr>
          <w:rFonts w:eastAsia="Times New Roman" w:cs="Arial"/>
          <w:szCs w:val="22"/>
        </w:rPr>
        <w:t xml:space="preserve"> and workforce</w:t>
      </w:r>
      <w:r w:rsidR="00AF6E78">
        <w:rPr>
          <w:rFonts w:eastAsia="Times New Roman" w:cs="Arial"/>
          <w:szCs w:val="22"/>
        </w:rPr>
        <w:t xml:space="preserve"> members</w:t>
      </w:r>
      <w:r w:rsidR="000A11B9">
        <w:rPr>
          <w:rFonts w:eastAsia="Times New Roman" w:cs="Arial"/>
          <w:szCs w:val="22"/>
        </w:rPr>
        <w:t>. For example, voice</w:t>
      </w:r>
      <w:r w:rsidR="00AF6E78">
        <w:rPr>
          <w:rFonts w:eastAsia="Times New Roman" w:cs="Arial"/>
          <w:szCs w:val="22"/>
        </w:rPr>
        <w:t>-</w:t>
      </w:r>
      <w:r w:rsidR="000A11B9">
        <w:rPr>
          <w:rFonts w:eastAsia="Times New Roman" w:cs="Arial"/>
          <w:szCs w:val="22"/>
        </w:rPr>
        <w:t>of</w:t>
      </w:r>
      <w:r w:rsidR="00AF6E78">
        <w:rPr>
          <w:rFonts w:eastAsia="Times New Roman" w:cs="Arial"/>
          <w:szCs w:val="22"/>
        </w:rPr>
        <w:t>-</w:t>
      </w:r>
      <w:r w:rsidR="000A11B9">
        <w:rPr>
          <w:rFonts w:eastAsia="Times New Roman" w:cs="Arial"/>
          <w:szCs w:val="22"/>
        </w:rPr>
        <w:t>the</w:t>
      </w:r>
      <w:r w:rsidR="00AF6E78">
        <w:rPr>
          <w:rFonts w:eastAsia="Times New Roman" w:cs="Arial"/>
          <w:szCs w:val="22"/>
        </w:rPr>
        <w:t>-</w:t>
      </w:r>
      <w:r w:rsidR="000A11B9">
        <w:rPr>
          <w:rFonts w:eastAsia="Times New Roman" w:cs="Arial"/>
          <w:szCs w:val="22"/>
        </w:rPr>
        <w:t xml:space="preserve">customer </w:t>
      </w:r>
      <w:r w:rsidR="008D5837">
        <w:rPr>
          <w:rFonts w:eastAsia="Times New Roman" w:cs="Arial"/>
          <w:szCs w:val="22"/>
        </w:rPr>
        <w:t xml:space="preserve">(VOC) </w:t>
      </w:r>
      <w:r w:rsidR="000A11B9">
        <w:rPr>
          <w:rFonts w:eastAsia="Times New Roman" w:cs="Arial"/>
          <w:szCs w:val="22"/>
        </w:rPr>
        <w:t>and market data are used to determine program and service offerings, with key performance metrics set and fully deployed through</w:t>
      </w:r>
      <w:r w:rsidR="00126DE4">
        <w:rPr>
          <w:rFonts w:eastAsia="Times New Roman" w:cs="Arial"/>
          <w:szCs w:val="22"/>
        </w:rPr>
        <w:t>out</w:t>
      </w:r>
      <w:r w:rsidR="000A11B9">
        <w:rPr>
          <w:rFonts w:eastAsia="Times New Roman" w:cs="Arial"/>
          <w:szCs w:val="22"/>
        </w:rPr>
        <w:t xml:space="preserve"> the </w:t>
      </w:r>
      <w:r w:rsidR="005E3D0E">
        <w:rPr>
          <w:rFonts w:eastAsia="Times New Roman" w:cs="Arial"/>
          <w:szCs w:val="22"/>
        </w:rPr>
        <w:t>applicant</w:t>
      </w:r>
      <w:r w:rsidR="000A11B9">
        <w:rPr>
          <w:rFonts w:eastAsia="Times New Roman" w:cs="Arial"/>
          <w:szCs w:val="22"/>
        </w:rPr>
        <w:t xml:space="preserve">, and several cycles of improvement of the </w:t>
      </w:r>
      <w:r w:rsidR="00126DE4">
        <w:rPr>
          <w:rFonts w:eastAsia="Times New Roman" w:cs="Arial"/>
          <w:szCs w:val="22"/>
        </w:rPr>
        <w:t>P</w:t>
      </w:r>
      <w:r w:rsidR="000A11B9">
        <w:rPr>
          <w:rFonts w:eastAsia="Times New Roman" w:cs="Arial"/>
          <w:szCs w:val="22"/>
        </w:rPr>
        <w:t xml:space="preserve">erformance </w:t>
      </w:r>
      <w:r w:rsidR="00126DE4">
        <w:rPr>
          <w:rFonts w:eastAsia="Times New Roman" w:cs="Arial"/>
          <w:szCs w:val="22"/>
        </w:rPr>
        <w:t>M</w:t>
      </w:r>
      <w:r w:rsidR="000A11B9">
        <w:rPr>
          <w:rFonts w:eastAsia="Times New Roman" w:cs="Arial"/>
          <w:szCs w:val="22"/>
        </w:rPr>
        <w:t xml:space="preserve">anagement </w:t>
      </w:r>
      <w:r w:rsidR="00126DE4">
        <w:rPr>
          <w:rFonts w:eastAsia="Times New Roman" w:cs="Arial"/>
          <w:szCs w:val="22"/>
        </w:rPr>
        <w:t>S</w:t>
      </w:r>
      <w:r w:rsidR="000A11B9">
        <w:rPr>
          <w:rFonts w:eastAsia="Times New Roman" w:cs="Arial"/>
          <w:szCs w:val="22"/>
        </w:rPr>
        <w:t xml:space="preserve">ystem </w:t>
      </w:r>
      <w:r>
        <w:rPr>
          <w:rFonts w:eastAsia="Times New Roman" w:cs="Arial"/>
          <w:szCs w:val="22"/>
        </w:rPr>
        <w:t xml:space="preserve">are </w:t>
      </w:r>
      <w:r w:rsidR="000A11B9">
        <w:rPr>
          <w:rFonts w:eastAsia="Times New Roman" w:cs="Arial"/>
          <w:szCs w:val="22"/>
        </w:rPr>
        <w:t>completed during the SPP. Workforce skills, competencies, certifications</w:t>
      </w:r>
      <w:r w:rsidR="00AF6E78">
        <w:rPr>
          <w:rFonts w:eastAsia="Times New Roman" w:cs="Arial"/>
          <w:szCs w:val="22"/>
        </w:rPr>
        <w:t>,</w:t>
      </w:r>
      <w:r w:rsidR="000A11B9">
        <w:rPr>
          <w:rFonts w:eastAsia="Times New Roman" w:cs="Arial"/>
          <w:szCs w:val="22"/>
        </w:rPr>
        <w:t xml:space="preserve"> and staffing levels necessary to achieve organizational results are </w:t>
      </w:r>
      <w:r>
        <w:rPr>
          <w:rFonts w:eastAsia="Times New Roman" w:cs="Arial"/>
          <w:szCs w:val="22"/>
        </w:rPr>
        <w:t xml:space="preserve">also </w:t>
      </w:r>
      <w:r w:rsidR="000A11B9">
        <w:rPr>
          <w:rFonts w:eastAsia="Times New Roman" w:cs="Arial"/>
          <w:szCs w:val="22"/>
        </w:rPr>
        <w:t xml:space="preserve">considered and systematically determined through the SPP. </w:t>
      </w:r>
      <w:r>
        <w:rPr>
          <w:rFonts w:eastAsia="Times New Roman" w:cs="Arial"/>
          <w:szCs w:val="22"/>
        </w:rPr>
        <w:t>In addition, s</w:t>
      </w:r>
      <w:r w:rsidR="000A11B9">
        <w:rPr>
          <w:rFonts w:eastAsia="Times New Roman" w:cs="Arial"/>
          <w:szCs w:val="22"/>
        </w:rPr>
        <w:t xml:space="preserve">enior leaders create an environment for success by integrating communication approaches and addressing innovation opportunities that may arise as part of the SPP. </w:t>
      </w:r>
    </w:p>
    <w:p w14:paraId="2297269A" w14:textId="665E1867" w:rsidR="005E22BD" w:rsidRDefault="000A11B9" w:rsidP="00050D3F">
      <w:pPr>
        <w:numPr>
          <w:ilvl w:val="0"/>
          <w:numId w:val="1"/>
        </w:numPr>
        <w:spacing w:after="120"/>
        <w:divId w:val="905190427"/>
        <w:rPr>
          <w:rFonts w:eastAsia="Times New Roman" w:cs="Arial"/>
          <w:szCs w:val="22"/>
        </w:rPr>
      </w:pPr>
      <w:r>
        <w:rPr>
          <w:rFonts w:eastAsia="Times New Roman" w:cs="Arial"/>
          <w:szCs w:val="22"/>
        </w:rPr>
        <w:t>The applicant embed</w:t>
      </w:r>
      <w:r w:rsidR="00EB0878">
        <w:rPr>
          <w:rFonts w:eastAsia="Times New Roman" w:cs="Arial"/>
          <w:szCs w:val="22"/>
        </w:rPr>
        <w:t>s</w:t>
      </w:r>
      <w:r>
        <w:rPr>
          <w:rFonts w:eastAsia="Times New Roman" w:cs="Arial"/>
          <w:szCs w:val="22"/>
        </w:rPr>
        <w:t xml:space="preserve"> PDCA methodology into </w:t>
      </w:r>
      <w:r w:rsidR="00EB0878">
        <w:rPr>
          <w:rFonts w:eastAsia="Times New Roman" w:cs="Arial"/>
          <w:szCs w:val="22"/>
        </w:rPr>
        <w:t xml:space="preserve">many </w:t>
      </w:r>
      <w:r>
        <w:rPr>
          <w:rFonts w:eastAsia="Times New Roman" w:cs="Arial"/>
          <w:szCs w:val="22"/>
        </w:rPr>
        <w:t xml:space="preserve">process implementation loops, </w:t>
      </w:r>
      <w:r w:rsidR="008D5837">
        <w:rPr>
          <w:rFonts w:eastAsia="Times New Roman" w:cs="Arial"/>
          <w:szCs w:val="22"/>
        </w:rPr>
        <w:t xml:space="preserve">thus using </w:t>
      </w:r>
      <w:r w:rsidR="00EB0878">
        <w:rPr>
          <w:rFonts w:eastAsia="Times New Roman" w:cs="Arial"/>
          <w:szCs w:val="22"/>
        </w:rPr>
        <w:t xml:space="preserve">it </w:t>
      </w:r>
      <w:r w:rsidR="008D5837">
        <w:rPr>
          <w:rFonts w:eastAsia="Times New Roman" w:cs="Arial"/>
          <w:szCs w:val="22"/>
        </w:rPr>
        <w:t xml:space="preserve">as a key improvement tool and </w:t>
      </w:r>
      <w:r>
        <w:rPr>
          <w:rFonts w:eastAsia="Times New Roman" w:cs="Arial"/>
          <w:szCs w:val="22"/>
        </w:rPr>
        <w:t xml:space="preserve">creating opportunities for innovation. The PDCA-based Performance Management System (Figure 4.1.1) and Operational Performance Review (Figure 4.1-6) support the performance review framework. </w:t>
      </w:r>
      <w:r w:rsidR="007E7B61">
        <w:rPr>
          <w:rFonts w:eastAsia="Times New Roman" w:cs="Arial"/>
          <w:szCs w:val="22"/>
        </w:rPr>
        <w:t>The applicant’s</w:t>
      </w:r>
      <w:r>
        <w:rPr>
          <w:rFonts w:eastAsia="Times New Roman" w:cs="Arial"/>
          <w:szCs w:val="22"/>
        </w:rPr>
        <w:t xml:space="preserve"> Organizational Knowledge Management Process (COKMP, Figure 4.2-2) allows </w:t>
      </w:r>
      <w:r w:rsidR="007E7B61">
        <w:rPr>
          <w:rFonts w:eastAsia="Times New Roman" w:cs="Arial"/>
          <w:szCs w:val="22"/>
        </w:rPr>
        <w:t>it</w:t>
      </w:r>
      <w:r>
        <w:rPr>
          <w:rFonts w:eastAsia="Times New Roman" w:cs="Arial"/>
          <w:szCs w:val="22"/>
        </w:rPr>
        <w:t xml:space="preserve"> to build and manage organizational knowledge gleaned from the PDCA reviews, as well as </w:t>
      </w:r>
      <w:r w:rsidR="00A9784A">
        <w:rPr>
          <w:rFonts w:eastAsia="Times New Roman" w:cs="Arial"/>
          <w:szCs w:val="22"/>
        </w:rPr>
        <w:t>transfer</w:t>
      </w:r>
      <w:r>
        <w:rPr>
          <w:rFonts w:eastAsia="Times New Roman" w:cs="Arial"/>
          <w:szCs w:val="22"/>
        </w:rPr>
        <w:t xml:space="preserve"> </w:t>
      </w:r>
      <w:r w:rsidR="00A9784A">
        <w:rPr>
          <w:rFonts w:eastAsia="Times New Roman" w:cs="Arial"/>
          <w:szCs w:val="22"/>
        </w:rPr>
        <w:t xml:space="preserve">knowledge among </w:t>
      </w:r>
      <w:r>
        <w:rPr>
          <w:rFonts w:eastAsia="Times New Roman" w:cs="Arial"/>
          <w:szCs w:val="22"/>
        </w:rPr>
        <w:t xml:space="preserve">workforce </w:t>
      </w:r>
      <w:r w:rsidR="00A9784A">
        <w:rPr>
          <w:rFonts w:eastAsia="Times New Roman" w:cs="Arial"/>
          <w:szCs w:val="22"/>
        </w:rPr>
        <w:t>members</w:t>
      </w:r>
      <w:r>
        <w:rPr>
          <w:rFonts w:eastAsia="Times New Roman" w:cs="Arial"/>
          <w:szCs w:val="22"/>
        </w:rPr>
        <w:t xml:space="preserve">. Many key organizational processes </w:t>
      </w:r>
      <w:r w:rsidR="00062032">
        <w:rPr>
          <w:rFonts w:eastAsia="Times New Roman" w:cs="Arial"/>
          <w:szCs w:val="22"/>
        </w:rPr>
        <w:t>undergo PDCA cycles, including</w:t>
      </w:r>
      <w:r>
        <w:rPr>
          <w:rFonts w:eastAsia="Times New Roman" w:cs="Arial"/>
          <w:szCs w:val="22"/>
        </w:rPr>
        <w:t xml:space="preserve"> </w:t>
      </w:r>
      <w:r w:rsidR="00062032">
        <w:rPr>
          <w:rFonts w:eastAsia="Times New Roman" w:cs="Arial"/>
          <w:szCs w:val="22"/>
        </w:rPr>
        <w:t xml:space="preserve">those </w:t>
      </w:r>
      <w:r w:rsidR="002D6C62">
        <w:rPr>
          <w:rFonts w:eastAsia="Times New Roman" w:cs="Arial"/>
          <w:szCs w:val="22"/>
        </w:rPr>
        <w:t xml:space="preserve">for </w:t>
      </w:r>
      <w:r>
        <w:rPr>
          <w:rFonts w:eastAsia="Times New Roman" w:cs="Arial"/>
          <w:szCs w:val="22"/>
        </w:rPr>
        <w:t xml:space="preserve">determination of programs and services, legal and ethical compliance, learning and development, and workforce capacity and capability. </w:t>
      </w:r>
      <w:r w:rsidR="00062032">
        <w:rPr>
          <w:rFonts w:eastAsia="Times New Roman" w:cs="Arial"/>
          <w:szCs w:val="22"/>
        </w:rPr>
        <w:t>In addition,</w:t>
      </w:r>
      <w:r w:rsidR="005E3D0E">
        <w:rPr>
          <w:rFonts w:eastAsia="Times New Roman" w:cs="Arial"/>
          <w:szCs w:val="22"/>
        </w:rPr>
        <w:t xml:space="preserve"> the</w:t>
      </w:r>
      <w:r w:rsidR="00062032">
        <w:rPr>
          <w:rFonts w:eastAsia="Times New Roman" w:cs="Arial"/>
          <w:szCs w:val="22"/>
        </w:rPr>
        <w:t xml:space="preserve"> </w:t>
      </w:r>
      <w:r>
        <w:rPr>
          <w:rFonts w:eastAsia="Times New Roman" w:cs="Arial"/>
          <w:szCs w:val="22"/>
        </w:rPr>
        <w:t>President</w:t>
      </w:r>
      <w:r w:rsidR="005663C4">
        <w:rPr>
          <w:rFonts w:eastAsia="Times New Roman" w:cs="Arial"/>
          <w:szCs w:val="22"/>
        </w:rPr>
        <w:t>’</w:t>
      </w:r>
      <w:r>
        <w:rPr>
          <w:rFonts w:eastAsia="Times New Roman" w:cs="Arial"/>
          <w:szCs w:val="22"/>
        </w:rPr>
        <w:t xml:space="preserve">s Team and unit leaders use PDCA in step 5 of the SPP to make improvements in strategies and key processes. </w:t>
      </w:r>
      <w:r w:rsidR="00062032">
        <w:rPr>
          <w:rFonts w:eastAsia="Times New Roman" w:cs="Arial"/>
          <w:szCs w:val="22"/>
        </w:rPr>
        <w:t>Further, t</w:t>
      </w:r>
      <w:r>
        <w:rPr>
          <w:rFonts w:eastAsia="Times New Roman" w:cs="Arial"/>
          <w:szCs w:val="22"/>
        </w:rPr>
        <w:t xml:space="preserve">he Northwest Innovation Process (Figure 1.1-3) uses PDCA to conduct intelligent risk analyses and manage innovation opportunities that may arise from PDCA-based reviews of processes. </w:t>
      </w:r>
    </w:p>
    <w:p w14:paraId="1BB0A336" w14:textId="6F289E19" w:rsidR="005E22BD" w:rsidRDefault="000A11B9" w:rsidP="00050D3F">
      <w:pPr>
        <w:numPr>
          <w:ilvl w:val="0"/>
          <w:numId w:val="1"/>
        </w:numPr>
        <w:spacing w:after="120"/>
        <w:divId w:val="905190427"/>
        <w:rPr>
          <w:rFonts w:eastAsia="Times New Roman" w:cs="Arial"/>
          <w:szCs w:val="22"/>
        </w:rPr>
      </w:pPr>
      <w:r>
        <w:rPr>
          <w:rFonts w:eastAsia="Times New Roman" w:cs="Arial"/>
          <w:szCs w:val="22"/>
        </w:rPr>
        <w:t xml:space="preserve">The applicant supports its vision to be the best in the nation by systematically monitoring organizational performance to drive fact-based decision making. </w:t>
      </w:r>
      <w:r w:rsidR="00126DE4">
        <w:rPr>
          <w:rFonts w:eastAsia="Times New Roman" w:cs="Arial"/>
          <w:szCs w:val="22"/>
        </w:rPr>
        <w:t>Using</w:t>
      </w:r>
      <w:r>
        <w:rPr>
          <w:rFonts w:eastAsia="Times New Roman" w:cs="Arial"/>
          <w:szCs w:val="22"/>
        </w:rPr>
        <w:t xml:space="preserve"> strategic </w:t>
      </w:r>
      <w:r w:rsidR="00FC4594">
        <w:rPr>
          <w:rFonts w:eastAsia="Times New Roman" w:cs="Arial"/>
          <w:szCs w:val="22"/>
        </w:rPr>
        <w:t xml:space="preserve">key </w:t>
      </w:r>
      <w:r>
        <w:rPr>
          <w:rFonts w:eastAsia="Times New Roman" w:cs="Arial"/>
          <w:szCs w:val="22"/>
        </w:rPr>
        <w:t xml:space="preserve">performance </w:t>
      </w:r>
      <w:r w:rsidR="00FC4594">
        <w:rPr>
          <w:rFonts w:eastAsia="Times New Roman" w:cs="Arial"/>
          <w:szCs w:val="22"/>
        </w:rPr>
        <w:t>indicators</w:t>
      </w:r>
      <w:r>
        <w:rPr>
          <w:rFonts w:eastAsia="Times New Roman" w:cs="Arial"/>
          <w:szCs w:val="22"/>
        </w:rPr>
        <w:t xml:space="preserve"> (S-KPIs) for longer</w:t>
      </w:r>
      <w:r w:rsidR="00606434">
        <w:rPr>
          <w:rFonts w:eastAsia="Times New Roman" w:cs="Arial"/>
          <w:szCs w:val="22"/>
        </w:rPr>
        <w:t>-</w:t>
      </w:r>
      <w:r>
        <w:rPr>
          <w:rFonts w:eastAsia="Times New Roman" w:cs="Arial"/>
          <w:szCs w:val="22"/>
        </w:rPr>
        <w:t>term action plans and unit</w:t>
      </w:r>
      <w:r w:rsidR="00FC4594">
        <w:rPr>
          <w:rFonts w:eastAsia="Times New Roman" w:cs="Arial"/>
          <w:szCs w:val="22"/>
        </w:rPr>
        <w:t>-level</w:t>
      </w:r>
      <w:r w:rsidR="007D33DA">
        <w:rPr>
          <w:rFonts w:eastAsia="Times New Roman" w:cs="Arial"/>
          <w:szCs w:val="22"/>
        </w:rPr>
        <w:t>,</w:t>
      </w:r>
      <w:r w:rsidR="00FC4594">
        <w:rPr>
          <w:rFonts w:eastAsia="Times New Roman" w:cs="Arial"/>
          <w:szCs w:val="22"/>
        </w:rPr>
        <w:t xml:space="preserve"> </w:t>
      </w:r>
      <w:r>
        <w:rPr>
          <w:rFonts w:eastAsia="Times New Roman" w:cs="Arial"/>
          <w:szCs w:val="22"/>
        </w:rPr>
        <w:t>operation</w:t>
      </w:r>
      <w:r w:rsidR="00FC4594">
        <w:rPr>
          <w:rFonts w:eastAsia="Times New Roman" w:cs="Arial"/>
          <w:szCs w:val="22"/>
        </w:rPr>
        <w:t>al</w:t>
      </w:r>
      <w:r>
        <w:rPr>
          <w:rFonts w:eastAsia="Times New Roman" w:cs="Arial"/>
          <w:szCs w:val="22"/>
        </w:rPr>
        <w:t xml:space="preserve"> KPIs (O-KPIs), the applicant tracks its performance through its Performance Measurement System (PMS, Figure 4.1-1) to reinforce organizational alignment. The applicant uses the Operational Performance Review (Figure 4.1-6) </w:t>
      </w:r>
      <w:r w:rsidR="00126DE4">
        <w:rPr>
          <w:rFonts w:eastAsia="Times New Roman" w:cs="Arial"/>
          <w:szCs w:val="22"/>
        </w:rPr>
        <w:t xml:space="preserve">structure </w:t>
      </w:r>
      <w:r>
        <w:rPr>
          <w:rFonts w:eastAsia="Times New Roman" w:cs="Arial"/>
          <w:szCs w:val="22"/>
        </w:rPr>
        <w:t>to determine teams, areas, and frequencies for reviews and uses the four-step B2P process to select comparative data and information. Additionally, the applicant</w:t>
      </w:r>
      <w:r w:rsidR="005663C4">
        <w:rPr>
          <w:rFonts w:eastAsia="Times New Roman" w:cs="Arial"/>
          <w:szCs w:val="22"/>
        </w:rPr>
        <w:t>’</w:t>
      </w:r>
      <w:r w:rsidR="008D5837">
        <w:rPr>
          <w:rFonts w:eastAsia="Times New Roman" w:cs="Arial"/>
          <w:szCs w:val="22"/>
        </w:rPr>
        <w:t>s</w:t>
      </w:r>
      <w:r>
        <w:rPr>
          <w:rFonts w:eastAsia="Times New Roman" w:cs="Arial"/>
          <w:szCs w:val="22"/>
        </w:rPr>
        <w:t xml:space="preserve"> Model of Data Quality and Availability (Figure 4.2-1) </w:t>
      </w:r>
      <w:r w:rsidR="008D5837">
        <w:rPr>
          <w:rFonts w:eastAsia="Times New Roman" w:cs="Arial"/>
          <w:szCs w:val="22"/>
        </w:rPr>
        <w:t xml:space="preserve">includes multiple approaches </w:t>
      </w:r>
      <w:r>
        <w:rPr>
          <w:rFonts w:eastAsia="Times New Roman" w:cs="Arial"/>
          <w:szCs w:val="22"/>
        </w:rPr>
        <w:t xml:space="preserve">to systematically verify and ensure </w:t>
      </w:r>
      <w:r w:rsidR="00062032">
        <w:rPr>
          <w:rFonts w:eastAsia="Times New Roman" w:cs="Arial"/>
          <w:szCs w:val="22"/>
        </w:rPr>
        <w:t xml:space="preserve">the quality of </w:t>
      </w:r>
      <w:r w:rsidR="008D5837">
        <w:rPr>
          <w:rFonts w:eastAsia="Times New Roman" w:cs="Arial"/>
          <w:szCs w:val="22"/>
        </w:rPr>
        <w:t xml:space="preserve">organizational </w:t>
      </w:r>
      <w:r>
        <w:rPr>
          <w:rFonts w:eastAsia="Times New Roman" w:cs="Arial"/>
          <w:szCs w:val="22"/>
        </w:rPr>
        <w:t xml:space="preserve">data and information. </w:t>
      </w:r>
    </w:p>
    <w:p w14:paraId="4BFAB68D" w14:textId="59C7D391" w:rsidR="005E22BD" w:rsidRDefault="00D12D96" w:rsidP="00050D3F">
      <w:pPr>
        <w:numPr>
          <w:ilvl w:val="0"/>
          <w:numId w:val="1"/>
        </w:numPr>
        <w:spacing w:after="120"/>
        <w:divId w:val="905190427"/>
        <w:rPr>
          <w:rFonts w:eastAsia="Times New Roman" w:cs="Arial"/>
          <w:szCs w:val="22"/>
        </w:rPr>
      </w:pPr>
      <w:r>
        <w:rPr>
          <w:rFonts w:eastAsia="Times New Roman" w:cs="Arial"/>
          <w:szCs w:val="22"/>
        </w:rPr>
        <w:t xml:space="preserve">In </w:t>
      </w:r>
      <w:r w:rsidR="000A11B9">
        <w:rPr>
          <w:rFonts w:eastAsia="Times New Roman" w:cs="Arial"/>
          <w:szCs w:val="22"/>
        </w:rPr>
        <w:t>support</w:t>
      </w:r>
      <w:r>
        <w:rPr>
          <w:rFonts w:eastAsia="Times New Roman" w:cs="Arial"/>
          <w:szCs w:val="22"/>
        </w:rPr>
        <w:t xml:space="preserve"> of</w:t>
      </w:r>
      <w:r w:rsidR="000A11B9">
        <w:rPr>
          <w:rFonts w:eastAsia="Times New Roman" w:cs="Arial"/>
          <w:szCs w:val="22"/>
        </w:rPr>
        <w:t xml:space="preserve"> its core competency of maintaining an expert, up-to-date workforce</w:t>
      </w:r>
      <w:r>
        <w:rPr>
          <w:rFonts w:eastAsia="Times New Roman" w:cs="Arial"/>
          <w:szCs w:val="22"/>
        </w:rPr>
        <w:t>, the applicant uses</w:t>
      </w:r>
      <w:r w:rsidR="000A11B9">
        <w:rPr>
          <w:rFonts w:eastAsia="Times New Roman" w:cs="Arial"/>
          <w:szCs w:val="22"/>
        </w:rPr>
        <w:t xml:space="preserve"> systematic approaches to engage its workforce</w:t>
      </w:r>
      <w:r>
        <w:rPr>
          <w:rFonts w:eastAsia="Times New Roman" w:cs="Arial"/>
          <w:szCs w:val="22"/>
        </w:rPr>
        <w:t xml:space="preserve"> members</w:t>
      </w:r>
      <w:r w:rsidR="000A11B9">
        <w:rPr>
          <w:rFonts w:eastAsia="Times New Roman" w:cs="Arial"/>
          <w:szCs w:val="22"/>
        </w:rPr>
        <w:t xml:space="preserve">, provide for their development, and address changing capacity and capability needs. For example, the applicant identifies key drivers of </w:t>
      </w:r>
      <w:r>
        <w:rPr>
          <w:rFonts w:eastAsia="Times New Roman" w:cs="Arial"/>
          <w:szCs w:val="22"/>
        </w:rPr>
        <w:t xml:space="preserve">workforce </w:t>
      </w:r>
      <w:r w:rsidR="000A11B9">
        <w:rPr>
          <w:rFonts w:eastAsia="Times New Roman" w:cs="Arial"/>
          <w:szCs w:val="22"/>
        </w:rPr>
        <w:t xml:space="preserve">engagement through annual environmental scans and assesses engagement levels using multiple methods, including three national surveys that allow for </w:t>
      </w:r>
      <w:r w:rsidR="00350724">
        <w:rPr>
          <w:rFonts w:eastAsia="Times New Roman" w:cs="Arial"/>
          <w:szCs w:val="22"/>
        </w:rPr>
        <w:t>benchmarking</w:t>
      </w:r>
      <w:r w:rsidR="000A11B9">
        <w:rPr>
          <w:rFonts w:eastAsia="Times New Roman" w:cs="Arial"/>
          <w:szCs w:val="22"/>
        </w:rPr>
        <w:t xml:space="preserve"> to top-performing organizations. Additionally, the applicant systematic</w:t>
      </w:r>
      <w:r w:rsidR="005E3D0E">
        <w:rPr>
          <w:rFonts w:eastAsia="Times New Roman" w:cs="Arial"/>
          <w:szCs w:val="22"/>
        </w:rPr>
        <w:t>ally</w:t>
      </w:r>
      <w:r w:rsidR="000A11B9">
        <w:rPr>
          <w:rFonts w:eastAsia="Times New Roman" w:cs="Arial"/>
          <w:szCs w:val="22"/>
        </w:rPr>
        <w:t xml:space="preserve"> evaluat</w:t>
      </w:r>
      <w:r w:rsidR="005E3D0E">
        <w:rPr>
          <w:rFonts w:eastAsia="Times New Roman" w:cs="Arial"/>
          <w:szCs w:val="22"/>
        </w:rPr>
        <w:t xml:space="preserve">es </w:t>
      </w:r>
      <w:r w:rsidR="000A11B9">
        <w:rPr>
          <w:rFonts w:eastAsia="Times New Roman" w:cs="Arial"/>
          <w:szCs w:val="22"/>
        </w:rPr>
        <w:t>and improv</w:t>
      </w:r>
      <w:r w:rsidR="005E3D0E">
        <w:rPr>
          <w:rFonts w:eastAsia="Times New Roman" w:cs="Arial"/>
          <w:szCs w:val="22"/>
        </w:rPr>
        <w:t>es</w:t>
      </w:r>
      <w:r w:rsidR="000A11B9">
        <w:rPr>
          <w:rFonts w:eastAsia="Times New Roman" w:cs="Arial"/>
          <w:szCs w:val="22"/>
        </w:rPr>
        <w:t xml:space="preserve"> its learning and development process, which include</w:t>
      </w:r>
      <w:r w:rsidR="005E3D0E">
        <w:rPr>
          <w:rFonts w:eastAsia="Times New Roman" w:cs="Arial"/>
          <w:szCs w:val="22"/>
        </w:rPr>
        <w:t>s</w:t>
      </w:r>
      <w:r w:rsidR="000A11B9">
        <w:rPr>
          <w:rFonts w:eastAsia="Times New Roman" w:cs="Arial"/>
          <w:szCs w:val="22"/>
        </w:rPr>
        <w:t xml:space="preserve"> professional development seminars and classes open to</w:t>
      </w:r>
      <w:r>
        <w:rPr>
          <w:rFonts w:eastAsia="Times New Roman" w:cs="Arial"/>
          <w:szCs w:val="22"/>
        </w:rPr>
        <w:t xml:space="preserve"> </w:t>
      </w:r>
      <w:r w:rsidR="000A11B9">
        <w:rPr>
          <w:rFonts w:eastAsia="Times New Roman" w:cs="Arial"/>
          <w:szCs w:val="22"/>
        </w:rPr>
        <w:t>all faculty and staff</w:t>
      </w:r>
      <w:r>
        <w:rPr>
          <w:rFonts w:eastAsia="Times New Roman" w:cs="Arial"/>
          <w:szCs w:val="22"/>
        </w:rPr>
        <w:t xml:space="preserve"> levels</w:t>
      </w:r>
      <w:r w:rsidR="000A11B9">
        <w:rPr>
          <w:rFonts w:eastAsia="Times New Roman" w:cs="Arial"/>
          <w:szCs w:val="22"/>
        </w:rPr>
        <w:t xml:space="preserve">. The applicant also requires employees to participate in an annual review of </w:t>
      </w:r>
      <w:r w:rsidR="000A11B9" w:rsidRPr="007D33DA">
        <w:rPr>
          <w:rFonts w:eastAsia="Times New Roman" w:cs="Arial"/>
          <w:szCs w:val="22"/>
        </w:rPr>
        <w:t>Culture Walk</w:t>
      </w:r>
      <w:r w:rsidR="000A11B9">
        <w:rPr>
          <w:rFonts w:eastAsia="Times New Roman" w:cs="Arial"/>
          <w:szCs w:val="22"/>
        </w:rPr>
        <w:t xml:space="preserve"> and successfully complete a competency test</w:t>
      </w:r>
      <w:r>
        <w:rPr>
          <w:rFonts w:eastAsia="Times New Roman" w:cs="Arial"/>
          <w:szCs w:val="22"/>
        </w:rPr>
        <w:t xml:space="preserve"> to</w:t>
      </w:r>
      <w:r w:rsidR="000A11B9">
        <w:rPr>
          <w:rFonts w:eastAsia="Times New Roman" w:cs="Arial"/>
          <w:szCs w:val="22"/>
        </w:rPr>
        <w:t xml:space="preserve"> ensur</w:t>
      </w:r>
      <w:r>
        <w:rPr>
          <w:rFonts w:eastAsia="Times New Roman" w:cs="Arial"/>
          <w:szCs w:val="22"/>
        </w:rPr>
        <w:t>e</w:t>
      </w:r>
      <w:r w:rsidR="000A11B9">
        <w:rPr>
          <w:rFonts w:eastAsia="Times New Roman" w:cs="Arial"/>
          <w:szCs w:val="22"/>
        </w:rPr>
        <w:t xml:space="preserve"> </w:t>
      </w:r>
      <w:r>
        <w:rPr>
          <w:rFonts w:eastAsia="Times New Roman" w:cs="Arial"/>
          <w:szCs w:val="22"/>
        </w:rPr>
        <w:t xml:space="preserve">their </w:t>
      </w:r>
      <w:r w:rsidR="000A11B9">
        <w:rPr>
          <w:rFonts w:eastAsia="Times New Roman" w:cs="Arial"/>
          <w:szCs w:val="22"/>
        </w:rPr>
        <w:t xml:space="preserve">currency on expected ethical and legal behavior. </w:t>
      </w:r>
      <w:r>
        <w:rPr>
          <w:rFonts w:eastAsia="Times New Roman" w:cs="Arial"/>
          <w:szCs w:val="22"/>
        </w:rPr>
        <w:t>Further, t</w:t>
      </w:r>
      <w:r w:rsidR="000A11B9">
        <w:rPr>
          <w:rFonts w:eastAsia="Times New Roman" w:cs="Arial"/>
          <w:szCs w:val="22"/>
        </w:rPr>
        <w:t xml:space="preserve">he applicant addresses key changes and impacts to the workforce through workforce plans developed using Cap2 analysis during the </w:t>
      </w:r>
      <w:r>
        <w:rPr>
          <w:rFonts w:eastAsia="Times New Roman" w:cs="Arial"/>
          <w:szCs w:val="22"/>
        </w:rPr>
        <w:t>SPP</w:t>
      </w:r>
      <w:r w:rsidR="000A11B9">
        <w:rPr>
          <w:rFonts w:eastAsia="Times New Roman" w:cs="Arial"/>
          <w:szCs w:val="22"/>
        </w:rPr>
        <w:t xml:space="preserve">, </w:t>
      </w:r>
      <w:r>
        <w:rPr>
          <w:rFonts w:eastAsia="Times New Roman" w:cs="Arial"/>
          <w:szCs w:val="22"/>
        </w:rPr>
        <w:t>and these</w:t>
      </w:r>
      <w:r w:rsidR="000A11B9">
        <w:rPr>
          <w:rFonts w:eastAsia="Times New Roman" w:cs="Arial"/>
          <w:szCs w:val="22"/>
        </w:rPr>
        <w:t xml:space="preserve"> are aligned to budget and action plans and reviewed throughout the year. </w:t>
      </w:r>
    </w:p>
    <w:p w14:paraId="6C3A2C04" w14:textId="41EDF087" w:rsidR="005E22BD" w:rsidRPr="004B048C" w:rsidRDefault="000A11B9">
      <w:pPr>
        <w:pStyle w:val="Heading3"/>
        <w:divId w:val="905190427"/>
        <w:rPr>
          <w:rFonts w:eastAsia="Times New Roman" w:cs="Arial"/>
        </w:rPr>
      </w:pPr>
      <w:r>
        <w:rPr>
          <w:rFonts w:eastAsia="Times New Roman" w:cs="Arial"/>
        </w:rPr>
        <w:lastRenderedPageBreak/>
        <w:t>b. What are the m</w:t>
      </w:r>
      <w:r w:rsidRPr="004B048C">
        <w:rPr>
          <w:rFonts w:eastAsia="Times New Roman" w:cs="Arial"/>
        </w:rPr>
        <w:t>ost significant opportunities, concerns, or vulnerabilities identified in the applicant</w:t>
      </w:r>
      <w:r w:rsidR="005663C4" w:rsidRPr="004B048C">
        <w:rPr>
          <w:rFonts w:eastAsia="Times New Roman" w:cs="Arial"/>
        </w:rPr>
        <w:t>’</w:t>
      </w:r>
      <w:r w:rsidRPr="004B048C">
        <w:rPr>
          <w:rFonts w:eastAsia="Times New Roman" w:cs="Arial"/>
        </w:rPr>
        <w:t xml:space="preserve">s response to </w:t>
      </w:r>
      <w:r w:rsidR="00D70E0B" w:rsidRPr="004B048C">
        <w:rPr>
          <w:rFonts w:eastAsia="Times New Roman" w:cs="Arial"/>
        </w:rPr>
        <w:t>p</w:t>
      </w:r>
      <w:r w:rsidRPr="004B048C">
        <w:rPr>
          <w:rFonts w:eastAsia="Times New Roman" w:cs="Arial"/>
        </w:rPr>
        <w:t xml:space="preserve">rocess </w:t>
      </w:r>
      <w:r w:rsidR="00D70E0B" w:rsidRPr="004B048C">
        <w:rPr>
          <w:rFonts w:eastAsia="Times New Roman" w:cs="Arial"/>
        </w:rPr>
        <w:t>i</w:t>
      </w:r>
      <w:r w:rsidRPr="004B048C">
        <w:rPr>
          <w:rFonts w:eastAsia="Times New Roman" w:cs="Arial"/>
        </w:rPr>
        <w:t>tems?</w:t>
      </w:r>
    </w:p>
    <w:p w14:paraId="0EB78BC5" w14:textId="02F61F0D" w:rsidR="005E22BD" w:rsidRPr="004B048C" w:rsidRDefault="00EB0878" w:rsidP="00050D3F">
      <w:pPr>
        <w:numPr>
          <w:ilvl w:val="0"/>
          <w:numId w:val="2"/>
        </w:numPr>
        <w:spacing w:after="120"/>
        <w:divId w:val="905190427"/>
        <w:rPr>
          <w:rFonts w:eastAsia="Times New Roman" w:cs="Arial"/>
          <w:szCs w:val="22"/>
        </w:rPr>
      </w:pPr>
      <w:r w:rsidRPr="004B048C">
        <w:rPr>
          <w:rFonts w:eastAsia="Times New Roman" w:cs="Arial"/>
          <w:szCs w:val="22"/>
        </w:rPr>
        <w:t xml:space="preserve">Some gaps are </w:t>
      </w:r>
      <w:r w:rsidR="00D12D96" w:rsidRPr="004B048C">
        <w:rPr>
          <w:rFonts w:eastAsia="Times New Roman" w:cs="Arial"/>
          <w:szCs w:val="22"/>
        </w:rPr>
        <w:t>apparent</w:t>
      </w:r>
      <w:r w:rsidR="000A11B9" w:rsidRPr="004B048C">
        <w:rPr>
          <w:rFonts w:eastAsia="Times New Roman" w:cs="Arial"/>
          <w:szCs w:val="22"/>
        </w:rPr>
        <w:t xml:space="preserve"> </w:t>
      </w:r>
      <w:r w:rsidRPr="004B048C">
        <w:rPr>
          <w:rFonts w:eastAsia="Times New Roman" w:cs="Arial"/>
          <w:szCs w:val="22"/>
        </w:rPr>
        <w:t xml:space="preserve">in </w:t>
      </w:r>
      <w:r w:rsidR="00403E65" w:rsidRPr="004B048C">
        <w:rPr>
          <w:rFonts w:eastAsia="Times New Roman" w:cs="Arial"/>
          <w:szCs w:val="22"/>
        </w:rPr>
        <w:t>the applicant</w:t>
      </w:r>
      <w:r w:rsidRPr="004B048C">
        <w:rPr>
          <w:rFonts w:eastAsia="Times New Roman" w:cs="Arial"/>
          <w:szCs w:val="22"/>
        </w:rPr>
        <w:t xml:space="preserve">’s use of its </w:t>
      </w:r>
      <w:r w:rsidR="00A87B72" w:rsidRPr="004B048C">
        <w:rPr>
          <w:rFonts w:eastAsia="Times New Roman" w:cs="Arial"/>
          <w:szCs w:val="22"/>
        </w:rPr>
        <w:t>PDCA improvement approach</w:t>
      </w:r>
      <w:r w:rsidR="00403E65" w:rsidRPr="004B048C">
        <w:rPr>
          <w:rFonts w:eastAsia="Times New Roman" w:cs="Arial"/>
          <w:szCs w:val="22"/>
        </w:rPr>
        <w:t xml:space="preserve"> </w:t>
      </w:r>
      <w:r w:rsidR="00A87B72" w:rsidRPr="004B048C">
        <w:rPr>
          <w:rFonts w:eastAsia="Times New Roman" w:cs="Arial"/>
          <w:szCs w:val="22"/>
        </w:rPr>
        <w:t>to evaluation and improvement</w:t>
      </w:r>
      <w:r w:rsidR="001A3A1E" w:rsidRPr="004B048C">
        <w:rPr>
          <w:rFonts w:eastAsia="Times New Roman" w:cs="Arial"/>
          <w:szCs w:val="22"/>
        </w:rPr>
        <w:t xml:space="preserve"> and in</w:t>
      </w:r>
      <w:r w:rsidR="00A87B72" w:rsidRPr="004B048C">
        <w:rPr>
          <w:rFonts w:eastAsia="Times New Roman" w:cs="Arial"/>
          <w:szCs w:val="22"/>
        </w:rPr>
        <w:t xml:space="preserve"> how it makes information available for improvement and innovation. </w:t>
      </w:r>
      <w:r w:rsidR="000A11B9" w:rsidRPr="004B048C">
        <w:rPr>
          <w:rFonts w:eastAsia="Times New Roman" w:cs="Arial"/>
          <w:szCs w:val="22"/>
        </w:rPr>
        <w:t xml:space="preserve">For example, it is unclear how the processes used to evaluate </w:t>
      </w:r>
      <w:r w:rsidR="00F77ED2" w:rsidRPr="004B048C">
        <w:rPr>
          <w:rFonts w:eastAsia="Times New Roman" w:cs="Arial"/>
          <w:szCs w:val="22"/>
        </w:rPr>
        <w:t>B</w:t>
      </w:r>
      <w:r w:rsidR="000A11B9" w:rsidRPr="004B048C">
        <w:rPr>
          <w:rFonts w:eastAsia="Times New Roman" w:cs="Arial"/>
          <w:szCs w:val="22"/>
        </w:rPr>
        <w:t xml:space="preserve">oard and senior leader performance are evaluated for effectiveness. It is </w:t>
      </w:r>
      <w:r w:rsidR="00D12D96" w:rsidRPr="004B048C">
        <w:rPr>
          <w:rFonts w:eastAsia="Times New Roman" w:cs="Arial"/>
          <w:szCs w:val="22"/>
        </w:rPr>
        <w:t xml:space="preserve">also </w:t>
      </w:r>
      <w:r w:rsidR="000A11B9" w:rsidRPr="004B048C">
        <w:rPr>
          <w:rFonts w:eastAsia="Times New Roman" w:cs="Arial"/>
          <w:szCs w:val="22"/>
        </w:rPr>
        <w:t xml:space="preserve">not evident that the institution regularly evaluates and improves </w:t>
      </w:r>
      <w:r w:rsidR="00D12D96" w:rsidRPr="004B048C">
        <w:rPr>
          <w:rFonts w:eastAsia="Times New Roman" w:cs="Arial"/>
          <w:szCs w:val="22"/>
        </w:rPr>
        <w:t xml:space="preserve">its </w:t>
      </w:r>
      <w:r w:rsidR="00A87B72" w:rsidRPr="004B048C">
        <w:rPr>
          <w:rFonts w:eastAsia="Times New Roman" w:cs="Arial"/>
          <w:szCs w:val="22"/>
        </w:rPr>
        <w:t xml:space="preserve">overall </w:t>
      </w:r>
      <w:r w:rsidR="000A11B9" w:rsidRPr="004B048C">
        <w:rPr>
          <w:rFonts w:eastAsia="Times New Roman" w:cs="Arial"/>
          <w:szCs w:val="22"/>
        </w:rPr>
        <w:t xml:space="preserve">approach to listening to potential students and other customers, </w:t>
      </w:r>
      <w:r w:rsidR="00A87B72" w:rsidRPr="004B048C">
        <w:rPr>
          <w:rFonts w:eastAsia="Times New Roman" w:cs="Arial"/>
          <w:szCs w:val="22"/>
        </w:rPr>
        <w:t xml:space="preserve">as well as its processes for </w:t>
      </w:r>
      <w:r w:rsidR="000A11B9" w:rsidRPr="004B048C">
        <w:rPr>
          <w:rFonts w:eastAsia="Times New Roman" w:cs="Arial"/>
          <w:szCs w:val="22"/>
        </w:rPr>
        <w:t xml:space="preserve">determining student/customer groups and market segments and determining educational program and service offerings. It is not clear how the </w:t>
      </w:r>
      <w:r w:rsidR="005E3D0E" w:rsidRPr="004B048C">
        <w:rPr>
          <w:rFonts w:eastAsia="Times New Roman" w:cs="Arial"/>
          <w:szCs w:val="22"/>
        </w:rPr>
        <w:t>applicant transfers</w:t>
      </w:r>
      <w:r w:rsidR="000A11B9" w:rsidRPr="004B048C">
        <w:rPr>
          <w:rFonts w:eastAsia="Times New Roman" w:cs="Arial"/>
          <w:szCs w:val="22"/>
        </w:rPr>
        <w:t xml:space="preserve"> relevant knowledge for use in strategic planning and innovation processes. Several aspects </w:t>
      </w:r>
      <w:r w:rsidR="00606434" w:rsidRPr="004B048C">
        <w:rPr>
          <w:rFonts w:eastAsia="Times New Roman" w:cs="Arial"/>
          <w:szCs w:val="22"/>
        </w:rPr>
        <w:t>of</w:t>
      </w:r>
      <w:r w:rsidR="000A11B9" w:rsidRPr="004B048C">
        <w:rPr>
          <w:rFonts w:eastAsia="Times New Roman" w:cs="Arial"/>
          <w:szCs w:val="22"/>
        </w:rPr>
        <w:t xml:space="preserve"> how the applicant manages best practices are unclear, such as how best practices are identified for sharing at the annual Day of Sharing or for inclusion in </w:t>
      </w:r>
      <w:r w:rsidR="007D33DA" w:rsidRPr="004B048C">
        <w:rPr>
          <w:rFonts w:eastAsia="Times New Roman" w:cs="Arial"/>
          <w:szCs w:val="22"/>
        </w:rPr>
        <w:t>T</w:t>
      </w:r>
      <w:r w:rsidR="000A11B9" w:rsidRPr="004B048C">
        <w:rPr>
          <w:rFonts w:eastAsia="Times New Roman" w:cs="Arial"/>
          <w:szCs w:val="22"/>
        </w:rPr>
        <w:t xml:space="preserve">he </w:t>
      </w:r>
      <w:r w:rsidR="007D33DA" w:rsidRPr="004B048C">
        <w:rPr>
          <w:rFonts w:eastAsia="Times New Roman" w:cs="Arial"/>
          <w:szCs w:val="22"/>
        </w:rPr>
        <w:t>Northwest Way (</w:t>
      </w:r>
      <w:r w:rsidR="000A11B9" w:rsidRPr="004B048C">
        <w:rPr>
          <w:rFonts w:eastAsia="Times New Roman" w:cs="Arial"/>
          <w:szCs w:val="22"/>
        </w:rPr>
        <w:t>TNW</w:t>
      </w:r>
      <w:r w:rsidR="007D33DA" w:rsidRPr="004B048C">
        <w:rPr>
          <w:rFonts w:eastAsia="Times New Roman" w:cs="Arial"/>
          <w:szCs w:val="22"/>
        </w:rPr>
        <w:t>)</w:t>
      </w:r>
      <w:r w:rsidR="000A11B9" w:rsidRPr="004B048C">
        <w:rPr>
          <w:rFonts w:eastAsia="Times New Roman" w:cs="Arial"/>
          <w:szCs w:val="22"/>
        </w:rPr>
        <w:t xml:space="preserve"> portal. F</w:t>
      </w:r>
      <w:r w:rsidR="00606434" w:rsidRPr="004B048C">
        <w:rPr>
          <w:rFonts w:eastAsia="Times New Roman" w:cs="Arial"/>
          <w:szCs w:val="22"/>
        </w:rPr>
        <w:t>urther</w:t>
      </w:r>
      <w:r w:rsidR="000A11B9" w:rsidRPr="004B048C">
        <w:rPr>
          <w:rFonts w:eastAsia="Times New Roman" w:cs="Arial"/>
          <w:szCs w:val="22"/>
        </w:rPr>
        <w:t>, the applicant</w:t>
      </w:r>
      <w:r w:rsidR="007750DF" w:rsidRPr="004B048C">
        <w:rPr>
          <w:rFonts w:eastAsia="Times New Roman" w:cs="Arial"/>
          <w:szCs w:val="22"/>
        </w:rPr>
        <w:t xml:space="preserve"> does not appear to</w:t>
      </w:r>
      <w:r w:rsidR="000A11B9" w:rsidRPr="004B048C">
        <w:rPr>
          <w:rFonts w:eastAsia="Times New Roman" w:cs="Arial"/>
          <w:szCs w:val="22"/>
        </w:rPr>
        <w:t xml:space="preserve"> systematic</w:t>
      </w:r>
      <w:r w:rsidR="007750DF" w:rsidRPr="004B048C">
        <w:rPr>
          <w:rFonts w:eastAsia="Times New Roman" w:cs="Arial"/>
          <w:szCs w:val="22"/>
        </w:rPr>
        <w:t>ally</w:t>
      </w:r>
      <w:r w:rsidR="000A11B9" w:rsidRPr="004B048C">
        <w:rPr>
          <w:rFonts w:eastAsia="Times New Roman" w:cs="Arial"/>
          <w:szCs w:val="22"/>
        </w:rPr>
        <w:t xml:space="preserve"> analyze </w:t>
      </w:r>
      <w:r w:rsidR="007750DF" w:rsidRPr="004B048C">
        <w:rPr>
          <w:rFonts w:eastAsia="Times New Roman" w:cs="Arial"/>
          <w:szCs w:val="22"/>
        </w:rPr>
        <w:t xml:space="preserve">the </w:t>
      </w:r>
      <w:r w:rsidR="000A11B9" w:rsidRPr="004B048C">
        <w:rPr>
          <w:rFonts w:eastAsia="Times New Roman" w:cs="Arial"/>
          <w:szCs w:val="22"/>
        </w:rPr>
        <w:t xml:space="preserve">success </w:t>
      </w:r>
      <w:r w:rsidR="007750DF" w:rsidRPr="004B048C">
        <w:rPr>
          <w:rFonts w:eastAsia="Times New Roman" w:cs="Arial"/>
          <w:szCs w:val="22"/>
        </w:rPr>
        <w:t xml:space="preserve">of </w:t>
      </w:r>
      <w:r w:rsidR="000A11B9" w:rsidRPr="004B048C">
        <w:rPr>
          <w:rFonts w:eastAsia="Times New Roman" w:cs="Arial"/>
          <w:szCs w:val="22"/>
        </w:rPr>
        <w:t xml:space="preserve">or identify opportunities for improvement for its </w:t>
      </w:r>
      <w:r w:rsidR="005E3D0E" w:rsidRPr="004B048C">
        <w:rPr>
          <w:rFonts w:eastAsia="Times New Roman" w:cs="Arial"/>
          <w:szCs w:val="22"/>
        </w:rPr>
        <w:t xml:space="preserve">diversity-related </w:t>
      </w:r>
      <w:r w:rsidR="000A11B9" w:rsidRPr="004B048C">
        <w:rPr>
          <w:rFonts w:eastAsia="Times New Roman" w:cs="Arial"/>
          <w:szCs w:val="22"/>
        </w:rPr>
        <w:t xml:space="preserve">processes </w:t>
      </w:r>
      <w:r w:rsidR="005E3D0E" w:rsidRPr="004B048C">
        <w:rPr>
          <w:rFonts w:eastAsia="Times New Roman" w:cs="Arial"/>
          <w:szCs w:val="22"/>
        </w:rPr>
        <w:t>for</w:t>
      </w:r>
      <w:r w:rsidR="007750DF" w:rsidRPr="004B048C">
        <w:rPr>
          <w:rFonts w:eastAsia="Times New Roman" w:cs="Arial"/>
          <w:szCs w:val="22"/>
        </w:rPr>
        <w:t xml:space="preserve"> </w:t>
      </w:r>
      <w:r w:rsidR="000A11B9" w:rsidRPr="004B048C">
        <w:rPr>
          <w:rFonts w:eastAsia="Times New Roman" w:cs="Arial"/>
          <w:szCs w:val="22"/>
        </w:rPr>
        <w:t>recruit</w:t>
      </w:r>
      <w:r w:rsidR="007750DF" w:rsidRPr="004B048C">
        <w:rPr>
          <w:rFonts w:eastAsia="Times New Roman" w:cs="Arial"/>
          <w:szCs w:val="22"/>
        </w:rPr>
        <w:t>ing</w:t>
      </w:r>
      <w:r w:rsidR="000A11B9" w:rsidRPr="004B048C">
        <w:rPr>
          <w:rFonts w:eastAsia="Times New Roman" w:cs="Arial"/>
          <w:szCs w:val="22"/>
        </w:rPr>
        <w:t xml:space="preserve">, </w:t>
      </w:r>
      <w:r w:rsidR="00350724" w:rsidRPr="004B048C">
        <w:rPr>
          <w:rFonts w:eastAsia="Times New Roman" w:cs="Arial"/>
          <w:szCs w:val="22"/>
        </w:rPr>
        <w:t>hir</w:t>
      </w:r>
      <w:r w:rsidR="007750DF" w:rsidRPr="004B048C">
        <w:rPr>
          <w:rFonts w:eastAsia="Times New Roman" w:cs="Arial"/>
          <w:szCs w:val="22"/>
        </w:rPr>
        <w:t>ing</w:t>
      </w:r>
      <w:r w:rsidR="00350724" w:rsidRPr="004B048C">
        <w:rPr>
          <w:rFonts w:eastAsia="Times New Roman" w:cs="Arial"/>
          <w:szCs w:val="22"/>
        </w:rPr>
        <w:t>,</w:t>
      </w:r>
      <w:r w:rsidR="000A11B9" w:rsidRPr="004B048C">
        <w:rPr>
          <w:rFonts w:eastAsia="Times New Roman" w:cs="Arial"/>
          <w:szCs w:val="22"/>
        </w:rPr>
        <w:t xml:space="preserve"> and onboard</w:t>
      </w:r>
      <w:r w:rsidR="007750DF" w:rsidRPr="004B048C">
        <w:rPr>
          <w:rFonts w:eastAsia="Times New Roman" w:cs="Arial"/>
          <w:szCs w:val="22"/>
        </w:rPr>
        <w:t>ing</w:t>
      </w:r>
      <w:r w:rsidR="000A11B9" w:rsidRPr="004B048C">
        <w:rPr>
          <w:rFonts w:eastAsia="Times New Roman" w:cs="Arial"/>
          <w:szCs w:val="22"/>
        </w:rPr>
        <w:t xml:space="preserve"> new workforce members. </w:t>
      </w:r>
    </w:p>
    <w:p w14:paraId="3279B0DA" w14:textId="4A6A0F5F" w:rsidR="005E22BD" w:rsidRDefault="000A11B9" w:rsidP="00050D3F">
      <w:pPr>
        <w:numPr>
          <w:ilvl w:val="0"/>
          <w:numId w:val="2"/>
        </w:numPr>
        <w:spacing w:after="120"/>
        <w:divId w:val="905190427"/>
        <w:rPr>
          <w:rFonts w:eastAsia="Times New Roman" w:cs="Arial"/>
          <w:szCs w:val="22"/>
        </w:rPr>
      </w:pPr>
      <w:bookmarkStart w:id="3" w:name="_Hlk67312664"/>
      <w:r w:rsidRPr="004B048C">
        <w:rPr>
          <w:rFonts w:eastAsia="Times New Roman" w:cs="Arial"/>
          <w:szCs w:val="22"/>
        </w:rPr>
        <w:t>It is unclear how the applicant</w:t>
      </w:r>
      <w:r w:rsidR="005663C4" w:rsidRPr="004B048C">
        <w:rPr>
          <w:rFonts w:eastAsia="Times New Roman" w:cs="Arial"/>
          <w:szCs w:val="22"/>
        </w:rPr>
        <w:t>’</w:t>
      </w:r>
      <w:r w:rsidRPr="004B048C">
        <w:rPr>
          <w:rFonts w:eastAsia="Times New Roman" w:cs="Arial"/>
          <w:szCs w:val="22"/>
        </w:rPr>
        <w:t>s approaches consider the differen</w:t>
      </w:r>
      <w:r w:rsidR="005E3D0E" w:rsidRPr="004B048C">
        <w:rPr>
          <w:rFonts w:eastAsia="Times New Roman" w:cs="Arial"/>
          <w:szCs w:val="22"/>
        </w:rPr>
        <w:t>t needs and expectations</w:t>
      </w:r>
      <w:r w:rsidRPr="004B048C">
        <w:rPr>
          <w:rFonts w:eastAsia="Times New Roman" w:cs="Arial"/>
          <w:szCs w:val="22"/>
        </w:rPr>
        <w:t xml:space="preserve"> of its various student and workforce segments. For example, it is unclear that the </w:t>
      </w:r>
      <w:r w:rsidR="005E3D0E" w:rsidRPr="004B048C">
        <w:rPr>
          <w:rFonts w:eastAsia="Times New Roman" w:cs="Arial"/>
          <w:szCs w:val="22"/>
        </w:rPr>
        <w:t>applicant</w:t>
      </w:r>
      <w:r w:rsidR="005663C4" w:rsidRPr="004B048C">
        <w:rPr>
          <w:rFonts w:eastAsia="Times New Roman" w:cs="Arial"/>
          <w:szCs w:val="22"/>
        </w:rPr>
        <w:t>’</w:t>
      </w:r>
      <w:r w:rsidRPr="004B048C">
        <w:rPr>
          <w:rFonts w:eastAsia="Times New Roman" w:cs="Arial"/>
          <w:szCs w:val="22"/>
        </w:rPr>
        <w:t xml:space="preserve">s partnership with RBM reflects a well-ordered and repeatable approach to identifying future student and market segments, including </w:t>
      </w:r>
      <w:r w:rsidR="00D12D96" w:rsidRPr="004B048C">
        <w:rPr>
          <w:rFonts w:eastAsia="Times New Roman" w:cs="Arial"/>
          <w:szCs w:val="22"/>
        </w:rPr>
        <w:t xml:space="preserve">identifying </w:t>
      </w:r>
      <w:r w:rsidRPr="004B048C">
        <w:rPr>
          <w:rFonts w:eastAsia="Times New Roman" w:cs="Arial"/>
          <w:szCs w:val="22"/>
        </w:rPr>
        <w:t>which groups and segments to pursue for future growth. It is also not evident how listening methods vary for different student groups, or that the applicant deploys</w:t>
      </w:r>
      <w:r>
        <w:rPr>
          <w:rFonts w:eastAsia="Times New Roman" w:cs="Arial"/>
          <w:szCs w:val="22"/>
        </w:rPr>
        <w:t xml:space="preserve"> its </w:t>
      </w:r>
      <w:r w:rsidR="007D33DA">
        <w:rPr>
          <w:rFonts w:eastAsia="Times New Roman" w:cs="Arial"/>
          <w:szCs w:val="22"/>
        </w:rPr>
        <w:t>Relationship Management Process (</w:t>
      </w:r>
      <w:r>
        <w:rPr>
          <w:rFonts w:eastAsia="Times New Roman" w:cs="Arial"/>
          <w:szCs w:val="22"/>
        </w:rPr>
        <w:t>RMP</w:t>
      </w:r>
      <w:r w:rsidR="007D33DA">
        <w:rPr>
          <w:rFonts w:eastAsia="Times New Roman" w:cs="Arial"/>
          <w:szCs w:val="22"/>
        </w:rPr>
        <w:t xml:space="preserve">, </w:t>
      </w:r>
      <w:r>
        <w:rPr>
          <w:rFonts w:eastAsia="Times New Roman" w:cs="Arial"/>
          <w:szCs w:val="22"/>
        </w:rPr>
        <w:t xml:space="preserve">Figure 3.1-2) to effectively understand varying student requirements. </w:t>
      </w:r>
      <w:proofErr w:type="spellStart"/>
      <w:r w:rsidRPr="006B1474">
        <w:rPr>
          <w:rFonts w:eastAsia="Times New Roman" w:cs="Arial"/>
          <w:szCs w:val="22"/>
        </w:rPr>
        <w:t>t</w:t>
      </w:r>
      <w:proofErr w:type="spellEnd"/>
      <w:r w:rsidRPr="006B1474">
        <w:rPr>
          <w:rFonts w:eastAsia="Times New Roman" w:cs="Arial"/>
          <w:szCs w:val="22"/>
        </w:rPr>
        <w:t xml:space="preserve"> is </w:t>
      </w:r>
      <w:r w:rsidR="00656B0A" w:rsidRPr="006B1474">
        <w:rPr>
          <w:rFonts w:eastAsia="Times New Roman" w:cs="Arial"/>
          <w:szCs w:val="22"/>
        </w:rPr>
        <w:t xml:space="preserve">also </w:t>
      </w:r>
      <w:r w:rsidRPr="006B1474">
        <w:rPr>
          <w:rFonts w:eastAsia="Times New Roman" w:cs="Arial"/>
          <w:szCs w:val="22"/>
        </w:rPr>
        <w:t>unclear how key means of student support vary for different student groups or segments through the RMP or other approaches.</w:t>
      </w:r>
      <w:r>
        <w:rPr>
          <w:rFonts w:eastAsia="Times New Roman" w:cs="Arial"/>
          <w:szCs w:val="22"/>
        </w:rPr>
        <w:t xml:space="preserve"> Additionally, </w:t>
      </w:r>
      <w:r w:rsidR="00606434">
        <w:rPr>
          <w:rFonts w:eastAsia="Times New Roman" w:cs="Arial"/>
          <w:szCs w:val="22"/>
        </w:rPr>
        <w:t xml:space="preserve">it </w:t>
      </w:r>
      <w:r>
        <w:rPr>
          <w:rFonts w:eastAsia="Times New Roman" w:cs="Arial"/>
          <w:szCs w:val="22"/>
        </w:rPr>
        <w:t xml:space="preserve">is not clear how the applicant considers various workforce </w:t>
      </w:r>
      <w:r w:rsidR="00152BDF">
        <w:rPr>
          <w:rFonts w:eastAsia="Times New Roman" w:cs="Arial"/>
          <w:szCs w:val="22"/>
        </w:rPr>
        <w:t>segments</w:t>
      </w:r>
      <w:r>
        <w:rPr>
          <w:rFonts w:eastAsia="Times New Roman" w:cs="Arial"/>
          <w:szCs w:val="22"/>
        </w:rPr>
        <w:t xml:space="preserve"> </w:t>
      </w:r>
      <w:r w:rsidR="00152BDF">
        <w:rPr>
          <w:rFonts w:eastAsia="Times New Roman" w:cs="Arial"/>
          <w:szCs w:val="22"/>
        </w:rPr>
        <w:t>(e.g., professional support staff vs. faculty members, full-time vs. part-time, those working at various locations such as labs) in</w:t>
      </w:r>
      <w:r w:rsidR="009D445A" w:rsidRPr="009D445A">
        <w:rPr>
          <w:rFonts w:eastAsia="Times New Roman" w:cs="Arial"/>
          <w:szCs w:val="22"/>
        </w:rPr>
        <w:t xml:space="preserve"> </w:t>
      </w:r>
      <w:r w:rsidR="009D445A">
        <w:rPr>
          <w:rFonts w:eastAsia="Times New Roman" w:cs="Arial"/>
          <w:szCs w:val="22"/>
        </w:rPr>
        <w:t>determining drivers of workforce engagement, as well as in</w:t>
      </w:r>
      <w:r w:rsidR="00152BDF">
        <w:rPr>
          <w:rFonts w:eastAsia="Times New Roman" w:cs="Arial"/>
          <w:szCs w:val="22"/>
        </w:rPr>
        <w:t xml:space="preserve"> its approaches </w:t>
      </w:r>
      <w:r>
        <w:rPr>
          <w:rFonts w:eastAsia="Times New Roman" w:cs="Arial"/>
          <w:szCs w:val="22"/>
        </w:rPr>
        <w:t xml:space="preserve">for managing workplace capability and capacity, </w:t>
      </w:r>
      <w:r w:rsidR="00152BDF">
        <w:rPr>
          <w:rFonts w:eastAsia="Times New Roman" w:cs="Arial"/>
          <w:szCs w:val="22"/>
        </w:rPr>
        <w:t xml:space="preserve">the </w:t>
      </w:r>
      <w:r>
        <w:rPr>
          <w:rFonts w:eastAsia="Times New Roman" w:cs="Arial"/>
          <w:szCs w:val="22"/>
        </w:rPr>
        <w:t xml:space="preserve">workplace environment, </w:t>
      </w:r>
      <w:r w:rsidR="000E0688">
        <w:rPr>
          <w:rFonts w:eastAsia="Times New Roman" w:cs="Arial"/>
          <w:szCs w:val="22"/>
        </w:rPr>
        <w:t xml:space="preserve">and </w:t>
      </w:r>
      <w:r>
        <w:rPr>
          <w:rFonts w:eastAsia="Times New Roman" w:cs="Arial"/>
          <w:szCs w:val="22"/>
        </w:rPr>
        <w:t xml:space="preserve">benefits/policies. </w:t>
      </w:r>
    </w:p>
    <w:p w14:paraId="01825C16" w14:textId="1816844E" w:rsidR="005E22BD" w:rsidRPr="009D445A" w:rsidRDefault="000E0688" w:rsidP="00050D3F">
      <w:pPr>
        <w:numPr>
          <w:ilvl w:val="0"/>
          <w:numId w:val="2"/>
        </w:numPr>
        <w:spacing w:after="120"/>
        <w:divId w:val="905190427"/>
        <w:rPr>
          <w:rFonts w:eastAsia="Times New Roman" w:cs="Arial"/>
          <w:szCs w:val="22"/>
        </w:rPr>
      </w:pPr>
      <w:r>
        <w:rPr>
          <w:rFonts w:eastAsia="Times New Roman" w:cs="Arial"/>
          <w:szCs w:val="22"/>
        </w:rPr>
        <w:t>P</w:t>
      </w:r>
      <w:r w:rsidR="000A11B9">
        <w:rPr>
          <w:rFonts w:eastAsia="Times New Roman" w:cs="Arial"/>
          <w:szCs w:val="22"/>
        </w:rPr>
        <w:t xml:space="preserve">rocesses to sustain and grow a culture that inspires the workforce and students and treats them fairly are not </w:t>
      </w:r>
      <w:r>
        <w:rPr>
          <w:rFonts w:eastAsia="Times New Roman" w:cs="Arial"/>
          <w:szCs w:val="22"/>
        </w:rPr>
        <w:t>apparent</w:t>
      </w:r>
      <w:r w:rsidR="000A11B9">
        <w:rPr>
          <w:rFonts w:eastAsia="Times New Roman" w:cs="Arial"/>
          <w:szCs w:val="22"/>
        </w:rPr>
        <w:t xml:space="preserve">. Beyond the Culture Walk program, a systematic </w:t>
      </w:r>
      <w:r>
        <w:rPr>
          <w:rFonts w:eastAsia="Times New Roman" w:cs="Arial"/>
          <w:szCs w:val="22"/>
        </w:rPr>
        <w:t>method</w:t>
      </w:r>
      <w:r w:rsidR="000A11B9">
        <w:rPr>
          <w:rFonts w:eastAsia="Times New Roman" w:cs="Arial"/>
          <w:szCs w:val="22"/>
        </w:rPr>
        <w:t xml:space="preserve"> for senior leaders to create a culture that fosters inclusion and develops future students and leaders to ensure inclusion of </w:t>
      </w:r>
      <w:r>
        <w:rPr>
          <w:rFonts w:eastAsia="Times New Roman" w:cs="Arial"/>
          <w:szCs w:val="22"/>
        </w:rPr>
        <w:t xml:space="preserve">those of </w:t>
      </w:r>
      <w:r w:rsidR="000A11B9">
        <w:rPr>
          <w:rFonts w:eastAsia="Times New Roman" w:cs="Arial"/>
          <w:szCs w:val="22"/>
        </w:rPr>
        <w:t>diverse backgrounds is not evident. Nor is it evident how senior leaders</w:t>
      </w:r>
      <w:r w:rsidR="005663C4">
        <w:rPr>
          <w:rFonts w:eastAsia="Times New Roman" w:cs="Arial"/>
          <w:szCs w:val="22"/>
        </w:rPr>
        <w:t>’</w:t>
      </w:r>
      <w:r w:rsidR="000A11B9">
        <w:rPr>
          <w:rFonts w:eastAsia="Times New Roman" w:cs="Arial"/>
          <w:szCs w:val="22"/>
        </w:rPr>
        <w:t xml:space="preserve"> personal actions demonstrate a commitment to organizational values and accountability. </w:t>
      </w:r>
      <w:r w:rsidR="00731E04">
        <w:rPr>
          <w:rFonts w:eastAsia="Times New Roman" w:cs="Arial"/>
          <w:szCs w:val="22"/>
        </w:rPr>
        <w:t>Additionally</w:t>
      </w:r>
      <w:r w:rsidR="00731E04" w:rsidRPr="006B1474">
        <w:rPr>
          <w:rFonts w:eastAsia="Times New Roman" w:cs="Arial"/>
          <w:szCs w:val="22"/>
        </w:rPr>
        <w:t>, i</w:t>
      </w:r>
      <w:r w:rsidR="000A11B9" w:rsidRPr="006B1474">
        <w:rPr>
          <w:rFonts w:eastAsia="Times New Roman" w:cs="Arial"/>
          <w:szCs w:val="22"/>
        </w:rPr>
        <w:t xml:space="preserve">t is not clear how senior leaders effectively communicate with and engage the entire workforce, students, </w:t>
      </w:r>
      <w:r w:rsidR="00350724" w:rsidRPr="006B1474">
        <w:rPr>
          <w:rFonts w:eastAsia="Times New Roman" w:cs="Arial"/>
          <w:szCs w:val="22"/>
        </w:rPr>
        <w:t>partners,</w:t>
      </w:r>
      <w:r w:rsidR="000A11B9" w:rsidRPr="006B1474">
        <w:rPr>
          <w:rFonts w:eastAsia="Times New Roman" w:cs="Arial"/>
          <w:szCs w:val="22"/>
        </w:rPr>
        <w:t xml:space="preserve"> and other stakeholders using the communications methods listed in Figure 1.1-2.</w:t>
      </w:r>
      <w:r w:rsidR="000A11B9">
        <w:rPr>
          <w:rFonts w:eastAsia="Times New Roman" w:cs="Arial"/>
          <w:szCs w:val="22"/>
        </w:rPr>
        <w:t xml:space="preserve"> A systematic approach to effectively respond to ethical breaches, such as potential </w:t>
      </w:r>
      <w:r w:rsidR="007D33DA">
        <w:rPr>
          <w:rFonts w:eastAsia="Times New Roman" w:cs="Arial"/>
          <w:szCs w:val="22"/>
        </w:rPr>
        <w:t>Family Educational Rights and Privacy Act (</w:t>
      </w:r>
      <w:r w:rsidR="000A11B9">
        <w:rPr>
          <w:rFonts w:eastAsia="Times New Roman" w:cs="Arial"/>
          <w:szCs w:val="22"/>
        </w:rPr>
        <w:t>FERPA</w:t>
      </w:r>
      <w:r w:rsidR="007D33DA">
        <w:rPr>
          <w:rFonts w:eastAsia="Times New Roman" w:cs="Arial"/>
          <w:szCs w:val="22"/>
        </w:rPr>
        <w:t>) or</w:t>
      </w:r>
      <w:r w:rsidR="000A11B9">
        <w:rPr>
          <w:rFonts w:eastAsia="Times New Roman" w:cs="Arial"/>
          <w:szCs w:val="22"/>
        </w:rPr>
        <w:t xml:space="preserve"> Title IX complaints and/or student harass</w:t>
      </w:r>
      <w:r>
        <w:rPr>
          <w:rFonts w:eastAsia="Times New Roman" w:cs="Arial"/>
          <w:szCs w:val="22"/>
        </w:rPr>
        <w:t>ment</w:t>
      </w:r>
      <w:r w:rsidR="000A11B9">
        <w:rPr>
          <w:rFonts w:eastAsia="Times New Roman" w:cs="Arial"/>
          <w:szCs w:val="22"/>
        </w:rPr>
        <w:t xml:space="preserve"> at remote worksites, </w:t>
      </w:r>
      <w:r>
        <w:rPr>
          <w:rFonts w:eastAsia="Times New Roman" w:cs="Arial"/>
          <w:szCs w:val="22"/>
        </w:rPr>
        <w:t xml:space="preserve">also </w:t>
      </w:r>
      <w:r w:rsidR="000A11B9">
        <w:rPr>
          <w:rFonts w:eastAsia="Times New Roman" w:cs="Arial"/>
          <w:szCs w:val="22"/>
        </w:rPr>
        <w:t xml:space="preserve">is not evident. </w:t>
      </w:r>
      <w:r w:rsidR="009D445A">
        <w:rPr>
          <w:rFonts w:eastAsia="Times New Roman" w:cs="Arial"/>
          <w:szCs w:val="22"/>
        </w:rPr>
        <w:t>In addition, in the applicant’s efforts t</w:t>
      </w:r>
      <w:r w:rsidR="009D445A" w:rsidRPr="009D445A">
        <w:rPr>
          <w:rFonts w:eastAsia="Times New Roman" w:cs="Arial"/>
          <w:szCs w:val="22"/>
        </w:rPr>
        <w:t>o</w:t>
      </w:r>
      <w:r w:rsidR="000A11B9" w:rsidRPr="009D445A">
        <w:rPr>
          <w:rFonts w:eastAsia="Times New Roman" w:cs="Arial"/>
          <w:szCs w:val="22"/>
        </w:rPr>
        <w:t xml:space="preserve"> ensur</w:t>
      </w:r>
      <w:r w:rsidR="009D445A" w:rsidRPr="009D445A">
        <w:rPr>
          <w:rFonts w:eastAsia="Times New Roman" w:cs="Arial"/>
          <w:szCs w:val="22"/>
        </w:rPr>
        <w:t>e</w:t>
      </w:r>
      <w:r w:rsidR="000A11B9" w:rsidRPr="009D445A">
        <w:rPr>
          <w:rFonts w:eastAsia="Times New Roman" w:cs="Arial"/>
          <w:szCs w:val="22"/>
        </w:rPr>
        <w:t xml:space="preserve"> fair treatment for different students</w:t>
      </w:r>
      <w:r w:rsidR="009D445A" w:rsidRPr="009D445A">
        <w:rPr>
          <w:rFonts w:eastAsia="Times New Roman" w:cs="Arial"/>
          <w:szCs w:val="22"/>
        </w:rPr>
        <w:t xml:space="preserve"> and</w:t>
      </w:r>
      <w:r w:rsidR="000A11B9" w:rsidRPr="009D445A">
        <w:rPr>
          <w:rFonts w:eastAsia="Times New Roman" w:cs="Arial"/>
          <w:szCs w:val="22"/>
        </w:rPr>
        <w:t xml:space="preserve"> student groups, it is unclear </w:t>
      </w:r>
      <w:r w:rsidRPr="009D445A">
        <w:rPr>
          <w:rFonts w:eastAsia="Times New Roman" w:cs="Arial"/>
          <w:szCs w:val="22"/>
        </w:rPr>
        <w:t>how</w:t>
      </w:r>
      <w:r w:rsidR="000A11B9" w:rsidRPr="009D445A">
        <w:rPr>
          <w:rFonts w:eastAsia="Times New Roman" w:cs="Arial"/>
          <w:szCs w:val="22"/>
        </w:rPr>
        <w:t xml:space="preserve"> </w:t>
      </w:r>
      <w:r w:rsidRPr="009D445A">
        <w:rPr>
          <w:rFonts w:eastAsia="Times New Roman" w:cs="Arial"/>
          <w:szCs w:val="22"/>
        </w:rPr>
        <w:t xml:space="preserve">approaches for </w:t>
      </w:r>
      <w:r w:rsidR="000A11B9" w:rsidRPr="009D445A">
        <w:rPr>
          <w:rFonts w:eastAsia="Times New Roman" w:cs="Arial"/>
          <w:szCs w:val="22"/>
        </w:rPr>
        <w:t>compliance with federal/state equal opportunity and antidiscrimination laws align with Just Culture guidelines and the institution</w:t>
      </w:r>
      <w:r w:rsidR="005663C4" w:rsidRPr="009D445A">
        <w:rPr>
          <w:rFonts w:eastAsia="Times New Roman" w:cs="Arial"/>
          <w:szCs w:val="22"/>
        </w:rPr>
        <w:t>’</w:t>
      </w:r>
      <w:r w:rsidR="000A11B9" w:rsidRPr="009D445A">
        <w:rPr>
          <w:rFonts w:eastAsia="Times New Roman" w:cs="Arial"/>
          <w:szCs w:val="22"/>
        </w:rPr>
        <w:t>s Walk-It-Right ethics program. F</w:t>
      </w:r>
      <w:r w:rsidR="004C78F8" w:rsidRPr="009D445A">
        <w:rPr>
          <w:rFonts w:eastAsia="Times New Roman" w:cs="Arial"/>
          <w:szCs w:val="22"/>
        </w:rPr>
        <w:t>urther</w:t>
      </w:r>
      <w:r w:rsidR="000A11B9" w:rsidRPr="009D445A">
        <w:rPr>
          <w:rFonts w:eastAsia="Times New Roman" w:cs="Arial"/>
          <w:szCs w:val="22"/>
        </w:rPr>
        <w:t xml:space="preserve">, a systematic approach </w:t>
      </w:r>
      <w:r w:rsidR="009D445A" w:rsidRPr="009D445A">
        <w:rPr>
          <w:rFonts w:eastAsia="Times New Roman" w:cs="Arial"/>
          <w:szCs w:val="22"/>
        </w:rPr>
        <w:t>is not evident for</w:t>
      </w:r>
      <w:r w:rsidR="000A11B9" w:rsidRPr="009D445A">
        <w:rPr>
          <w:rFonts w:eastAsia="Times New Roman" w:cs="Arial"/>
          <w:szCs w:val="22"/>
        </w:rPr>
        <w:t xml:space="preserve"> promot</w:t>
      </w:r>
      <w:r w:rsidR="004C78F8" w:rsidRPr="009D445A">
        <w:rPr>
          <w:rFonts w:eastAsia="Times New Roman" w:cs="Arial"/>
          <w:szCs w:val="22"/>
        </w:rPr>
        <w:t>ing</w:t>
      </w:r>
      <w:r w:rsidR="000A11B9" w:rsidRPr="009D445A">
        <w:rPr>
          <w:rFonts w:eastAsia="Times New Roman" w:cs="Arial"/>
          <w:szCs w:val="22"/>
        </w:rPr>
        <w:t xml:space="preserve"> equity and inclusion in processes for </w:t>
      </w:r>
      <w:r w:rsidR="009D445A">
        <w:rPr>
          <w:rFonts w:eastAsia="Times New Roman" w:cs="Arial"/>
          <w:szCs w:val="22"/>
        </w:rPr>
        <w:t xml:space="preserve">workforce </w:t>
      </w:r>
      <w:r w:rsidR="000A11B9" w:rsidRPr="009D445A">
        <w:rPr>
          <w:rFonts w:eastAsia="Times New Roman" w:cs="Arial"/>
          <w:szCs w:val="22"/>
        </w:rPr>
        <w:t xml:space="preserve">performance management, performance development, and career development. </w:t>
      </w:r>
    </w:p>
    <w:bookmarkEnd w:id="3"/>
    <w:p w14:paraId="01137703" w14:textId="75E98E9A" w:rsidR="005E22BD" w:rsidRDefault="000A11B9" w:rsidP="00050D3F">
      <w:pPr>
        <w:numPr>
          <w:ilvl w:val="0"/>
          <w:numId w:val="2"/>
        </w:numPr>
        <w:spacing w:after="120"/>
        <w:divId w:val="905190427"/>
        <w:rPr>
          <w:rFonts w:eastAsia="Times New Roman" w:cs="Arial"/>
          <w:szCs w:val="22"/>
        </w:rPr>
      </w:pPr>
      <w:r>
        <w:rPr>
          <w:rFonts w:eastAsia="Times New Roman" w:cs="Arial"/>
          <w:szCs w:val="22"/>
        </w:rPr>
        <w:t>Addressing</w:t>
      </w:r>
      <w:r w:rsidR="004C78F8">
        <w:rPr>
          <w:rFonts w:eastAsia="Times New Roman" w:cs="Arial"/>
          <w:szCs w:val="22"/>
        </w:rPr>
        <w:t xml:space="preserve"> an apparent lack of systematic </w:t>
      </w:r>
      <w:r w:rsidR="006533FA">
        <w:rPr>
          <w:rFonts w:eastAsia="Times New Roman" w:cs="Arial"/>
          <w:szCs w:val="22"/>
        </w:rPr>
        <w:t xml:space="preserve">approaches to </w:t>
      </w:r>
      <w:r>
        <w:rPr>
          <w:rFonts w:eastAsia="Times New Roman" w:cs="Arial"/>
          <w:szCs w:val="22"/>
        </w:rPr>
        <w:t>engage suppliers, partners</w:t>
      </w:r>
      <w:r w:rsidR="004C78F8">
        <w:rPr>
          <w:rFonts w:eastAsia="Times New Roman" w:cs="Arial"/>
          <w:szCs w:val="22"/>
        </w:rPr>
        <w:t>,</w:t>
      </w:r>
      <w:r>
        <w:rPr>
          <w:rFonts w:eastAsia="Times New Roman" w:cs="Arial"/>
          <w:szCs w:val="22"/>
        </w:rPr>
        <w:t xml:space="preserve"> and the community may help </w:t>
      </w:r>
      <w:r w:rsidR="004C78F8">
        <w:rPr>
          <w:rFonts w:eastAsia="Times New Roman" w:cs="Arial"/>
          <w:szCs w:val="22"/>
        </w:rPr>
        <w:t>the applicant</w:t>
      </w:r>
      <w:r>
        <w:rPr>
          <w:rFonts w:eastAsia="Times New Roman" w:cs="Arial"/>
          <w:szCs w:val="22"/>
        </w:rPr>
        <w:t xml:space="preserve"> create more value </w:t>
      </w:r>
      <w:r w:rsidR="006533FA">
        <w:rPr>
          <w:rFonts w:eastAsia="Times New Roman" w:cs="Arial"/>
          <w:szCs w:val="22"/>
        </w:rPr>
        <w:t>for them</w:t>
      </w:r>
      <w:r>
        <w:rPr>
          <w:rFonts w:eastAsia="Times New Roman" w:cs="Arial"/>
          <w:szCs w:val="22"/>
        </w:rPr>
        <w:t xml:space="preserve">. For example, a process to balance the needs of all stakeholders in the </w:t>
      </w:r>
      <w:r w:rsidR="004C78F8">
        <w:rPr>
          <w:rFonts w:eastAsia="Times New Roman" w:cs="Arial"/>
          <w:szCs w:val="22"/>
        </w:rPr>
        <w:t>SPP</w:t>
      </w:r>
      <w:r>
        <w:rPr>
          <w:rFonts w:eastAsia="Times New Roman" w:cs="Arial"/>
          <w:szCs w:val="22"/>
        </w:rPr>
        <w:t xml:space="preserve"> is not evident</w:t>
      </w:r>
      <w:r w:rsidR="004C78F8">
        <w:rPr>
          <w:rFonts w:eastAsia="Times New Roman" w:cs="Arial"/>
          <w:szCs w:val="22"/>
        </w:rPr>
        <w:t>;</w:t>
      </w:r>
      <w:r>
        <w:rPr>
          <w:rFonts w:eastAsia="Times New Roman" w:cs="Arial"/>
          <w:szCs w:val="22"/>
        </w:rPr>
        <w:t xml:space="preserve"> nor is it clear that a systematic </w:t>
      </w:r>
      <w:r w:rsidR="006533FA">
        <w:rPr>
          <w:rFonts w:eastAsia="Times New Roman" w:cs="Arial"/>
          <w:szCs w:val="22"/>
        </w:rPr>
        <w:t>approach</w:t>
      </w:r>
      <w:r>
        <w:rPr>
          <w:rFonts w:eastAsia="Times New Roman" w:cs="Arial"/>
          <w:szCs w:val="22"/>
        </w:rPr>
        <w:t xml:space="preserve"> is in place to deploy action plans to key suppliers, partners, and collaborators. </w:t>
      </w:r>
      <w:r w:rsidR="00656B0A">
        <w:rPr>
          <w:rFonts w:eastAsia="Times New Roman" w:cs="Arial"/>
          <w:szCs w:val="22"/>
        </w:rPr>
        <w:t>In addition, a</w:t>
      </w:r>
      <w:r>
        <w:rPr>
          <w:rFonts w:eastAsia="Times New Roman" w:cs="Arial"/>
          <w:szCs w:val="22"/>
        </w:rPr>
        <w:t xml:space="preserve"> systematic </w:t>
      </w:r>
      <w:r w:rsidR="00FC4594">
        <w:rPr>
          <w:rFonts w:eastAsia="Times New Roman" w:cs="Arial"/>
          <w:szCs w:val="22"/>
        </w:rPr>
        <w:t xml:space="preserve">leadership </w:t>
      </w:r>
      <w:r>
        <w:rPr>
          <w:rFonts w:eastAsia="Times New Roman" w:cs="Arial"/>
          <w:szCs w:val="22"/>
        </w:rPr>
        <w:t xml:space="preserve">approach is not evident </w:t>
      </w:r>
      <w:r w:rsidR="004C78F8">
        <w:rPr>
          <w:rFonts w:eastAsia="Times New Roman" w:cs="Arial"/>
          <w:szCs w:val="22"/>
        </w:rPr>
        <w:t>for</w:t>
      </w:r>
      <w:r>
        <w:rPr>
          <w:rFonts w:eastAsia="Times New Roman" w:cs="Arial"/>
          <w:szCs w:val="22"/>
        </w:rPr>
        <w:t xml:space="preserve"> identify</w:t>
      </w:r>
      <w:r w:rsidR="004C78F8">
        <w:rPr>
          <w:rFonts w:eastAsia="Times New Roman" w:cs="Arial"/>
          <w:szCs w:val="22"/>
        </w:rPr>
        <w:t>ing</w:t>
      </w:r>
      <w:r>
        <w:rPr>
          <w:rFonts w:eastAsia="Times New Roman" w:cs="Arial"/>
          <w:szCs w:val="22"/>
        </w:rPr>
        <w:t xml:space="preserve"> key communities and determin</w:t>
      </w:r>
      <w:r w:rsidR="004C78F8">
        <w:rPr>
          <w:rFonts w:eastAsia="Times New Roman" w:cs="Arial"/>
          <w:szCs w:val="22"/>
        </w:rPr>
        <w:t>ing</w:t>
      </w:r>
      <w:r>
        <w:rPr>
          <w:rFonts w:eastAsia="Times New Roman" w:cs="Arial"/>
          <w:szCs w:val="22"/>
        </w:rPr>
        <w:t xml:space="preserve"> areas for organizational involvement. </w:t>
      </w:r>
      <w:r w:rsidR="00656B0A">
        <w:rPr>
          <w:rFonts w:eastAsia="Times New Roman" w:cs="Arial"/>
          <w:szCs w:val="22"/>
        </w:rPr>
        <w:t>Further, i</w:t>
      </w:r>
      <w:r>
        <w:rPr>
          <w:rFonts w:eastAsia="Times New Roman" w:cs="Arial"/>
          <w:szCs w:val="22"/>
        </w:rPr>
        <w:t>n the collection and analysis of data</w:t>
      </w:r>
      <w:r w:rsidR="004C78F8">
        <w:rPr>
          <w:rFonts w:eastAsia="Times New Roman" w:cs="Arial"/>
          <w:szCs w:val="22"/>
        </w:rPr>
        <w:t>,</w:t>
      </w:r>
      <w:r>
        <w:rPr>
          <w:rFonts w:eastAsia="Times New Roman" w:cs="Arial"/>
          <w:szCs w:val="22"/>
        </w:rPr>
        <w:t xml:space="preserve"> it is unclear how the applicant engages its technological partners to assess changes and innovations in technology, </w:t>
      </w:r>
      <w:r w:rsidR="00692050">
        <w:rPr>
          <w:rFonts w:eastAsia="Times New Roman" w:cs="Arial"/>
          <w:szCs w:val="22"/>
        </w:rPr>
        <w:t>including in</w:t>
      </w:r>
      <w:r>
        <w:rPr>
          <w:rFonts w:eastAsia="Times New Roman" w:cs="Arial"/>
          <w:szCs w:val="22"/>
        </w:rPr>
        <w:t xml:space="preserve"> planning to anticipate and prepare for disruptions of a technological nature. It is </w:t>
      </w:r>
      <w:r w:rsidR="00692050">
        <w:rPr>
          <w:rFonts w:eastAsia="Times New Roman" w:cs="Arial"/>
          <w:szCs w:val="22"/>
        </w:rPr>
        <w:t xml:space="preserve">also </w:t>
      </w:r>
      <w:r>
        <w:rPr>
          <w:rFonts w:eastAsia="Times New Roman" w:cs="Arial"/>
          <w:szCs w:val="22"/>
        </w:rPr>
        <w:t xml:space="preserve">not clear how the applicant deploys priorities from its performance reviews to its key suppliers, </w:t>
      </w:r>
      <w:r w:rsidR="00350724">
        <w:rPr>
          <w:rFonts w:eastAsia="Times New Roman" w:cs="Arial"/>
          <w:szCs w:val="22"/>
        </w:rPr>
        <w:t>partners,</w:t>
      </w:r>
      <w:r>
        <w:rPr>
          <w:rFonts w:eastAsia="Times New Roman" w:cs="Arial"/>
          <w:szCs w:val="22"/>
        </w:rPr>
        <w:t xml:space="preserve"> and collaborators. Specifically, it is unclear </w:t>
      </w:r>
      <w:r>
        <w:rPr>
          <w:rFonts w:eastAsia="Times New Roman" w:cs="Arial"/>
          <w:szCs w:val="22"/>
        </w:rPr>
        <w:lastRenderedPageBreak/>
        <w:t xml:space="preserve">how the leader of each priority captured in the </w:t>
      </w:r>
      <w:r w:rsidR="00731E04">
        <w:rPr>
          <w:rFonts w:eastAsia="Times New Roman" w:cs="Arial"/>
          <w:szCs w:val="22"/>
        </w:rPr>
        <w:t>Action Plan Management System (</w:t>
      </w:r>
      <w:r>
        <w:rPr>
          <w:rFonts w:eastAsia="Times New Roman" w:cs="Arial"/>
          <w:szCs w:val="22"/>
        </w:rPr>
        <w:t>APMS</w:t>
      </w:r>
      <w:r w:rsidR="00731E04">
        <w:rPr>
          <w:rFonts w:eastAsia="Times New Roman" w:cs="Arial"/>
          <w:szCs w:val="22"/>
        </w:rPr>
        <w:t>)</w:t>
      </w:r>
      <w:r>
        <w:rPr>
          <w:rFonts w:eastAsia="Times New Roman" w:cs="Arial"/>
          <w:szCs w:val="22"/>
        </w:rPr>
        <w:t xml:space="preserve"> deploys the priority to suppliers of student support services, such as providers of technology, laboratory support, the bookstore</w:t>
      </w:r>
      <w:r w:rsidR="00692050">
        <w:rPr>
          <w:rFonts w:eastAsia="Times New Roman" w:cs="Arial"/>
          <w:szCs w:val="22"/>
        </w:rPr>
        <w:t>,</w:t>
      </w:r>
      <w:r>
        <w:rPr>
          <w:rFonts w:eastAsia="Times New Roman" w:cs="Arial"/>
          <w:szCs w:val="22"/>
        </w:rPr>
        <w:t xml:space="preserve"> and dining</w:t>
      </w:r>
      <w:r w:rsidR="00692050">
        <w:rPr>
          <w:rFonts w:eastAsia="Times New Roman" w:cs="Arial"/>
          <w:szCs w:val="22"/>
        </w:rPr>
        <w:t xml:space="preserve"> services</w:t>
      </w:r>
      <w:r>
        <w:rPr>
          <w:rFonts w:eastAsia="Times New Roman" w:cs="Arial"/>
          <w:szCs w:val="22"/>
        </w:rPr>
        <w:t xml:space="preserve">. </w:t>
      </w:r>
      <w:r w:rsidR="00656B0A">
        <w:rPr>
          <w:rFonts w:eastAsia="Times New Roman" w:cs="Arial"/>
          <w:szCs w:val="22"/>
        </w:rPr>
        <w:t>Moreover</w:t>
      </w:r>
      <w:r w:rsidR="00692050">
        <w:rPr>
          <w:rFonts w:eastAsia="Times New Roman" w:cs="Arial"/>
          <w:szCs w:val="22"/>
        </w:rPr>
        <w:t>, i</w:t>
      </w:r>
      <w:r>
        <w:rPr>
          <w:rFonts w:eastAsia="Times New Roman" w:cs="Arial"/>
          <w:szCs w:val="22"/>
        </w:rPr>
        <w:t>t is unclear whether the applicant</w:t>
      </w:r>
      <w:r w:rsidR="005663C4">
        <w:rPr>
          <w:rFonts w:eastAsia="Times New Roman" w:cs="Arial"/>
          <w:szCs w:val="22"/>
        </w:rPr>
        <w:t>’</w:t>
      </w:r>
      <w:r>
        <w:rPr>
          <w:rFonts w:eastAsia="Times New Roman" w:cs="Arial"/>
          <w:szCs w:val="22"/>
        </w:rPr>
        <w:t xml:space="preserve">s </w:t>
      </w:r>
      <w:r w:rsidR="007D33DA">
        <w:rPr>
          <w:rFonts w:eastAsia="Times New Roman" w:cs="Arial"/>
          <w:szCs w:val="22"/>
        </w:rPr>
        <w:t>Central Administrative Support (</w:t>
      </w:r>
      <w:r>
        <w:rPr>
          <w:rFonts w:eastAsia="Times New Roman" w:cs="Arial"/>
          <w:szCs w:val="22"/>
        </w:rPr>
        <w:t>CAS</w:t>
      </w:r>
      <w:r w:rsidR="007D33DA">
        <w:rPr>
          <w:rFonts w:eastAsia="Times New Roman" w:cs="Arial"/>
          <w:szCs w:val="22"/>
        </w:rPr>
        <w:t>)</w:t>
      </w:r>
      <w:r>
        <w:rPr>
          <w:rFonts w:eastAsia="Times New Roman" w:cs="Arial"/>
          <w:szCs w:val="22"/>
        </w:rPr>
        <w:t xml:space="preserve"> processes for managing the supply network include approaches to communicating performance expectations, measuring suppliers</w:t>
      </w:r>
      <w:r w:rsidR="005663C4">
        <w:rPr>
          <w:rFonts w:eastAsia="Times New Roman" w:cs="Arial"/>
          <w:szCs w:val="22"/>
        </w:rPr>
        <w:t>’</w:t>
      </w:r>
      <w:r>
        <w:rPr>
          <w:rFonts w:eastAsia="Times New Roman" w:cs="Arial"/>
          <w:szCs w:val="22"/>
        </w:rPr>
        <w:t xml:space="preserve"> performance, providing </w:t>
      </w:r>
      <w:r w:rsidR="00350724">
        <w:rPr>
          <w:rFonts w:eastAsia="Times New Roman" w:cs="Arial"/>
          <w:szCs w:val="22"/>
        </w:rPr>
        <w:t>feedback,</w:t>
      </w:r>
      <w:r>
        <w:rPr>
          <w:rFonts w:eastAsia="Times New Roman" w:cs="Arial"/>
          <w:szCs w:val="22"/>
        </w:rPr>
        <w:t xml:space="preserve"> or addressing suppliers</w:t>
      </w:r>
      <w:r w:rsidR="005663C4">
        <w:rPr>
          <w:rFonts w:eastAsia="Times New Roman" w:cs="Arial"/>
          <w:szCs w:val="22"/>
        </w:rPr>
        <w:t>’</w:t>
      </w:r>
      <w:r>
        <w:rPr>
          <w:rFonts w:eastAsia="Times New Roman" w:cs="Arial"/>
          <w:szCs w:val="22"/>
        </w:rPr>
        <w:t xml:space="preserve"> poor performance. </w:t>
      </w:r>
    </w:p>
    <w:p w14:paraId="62C95859" w14:textId="0EA1641B" w:rsidR="005E22BD" w:rsidRDefault="000A11B9">
      <w:pPr>
        <w:pStyle w:val="Heading3"/>
        <w:divId w:val="905190427"/>
        <w:rPr>
          <w:rFonts w:eastAsia="Times New Roman" w:cs="Arial"/>
        </w:rPr>
      </w:pPr>
      <w:r>
        <w:rPr>
          <w:rFonts w:eastAsia="Times New Roman" w:cs="Arial"/>
        </w:rPr>
        <w:t>c. Considering the applicant</w:t>
      </w:r>
      <w:r w:rsidR="005663C4">
        <w:rPr>
          <w:rFonts w:eastAsia="Times New Roman" w:cs="Arial"/>
        </w:rPr>
        <w:t>’</w:t>
      </w:r>
      <w:r>
        <w:rPr>
          <w:rFonts w:eastAsia="Times New Roman" w:cs="Arial"/>
        </w:rPr>
        <w:t xml:space="preserve">s key business/organization factors, what are the most significant strengths found in its response to </w:t>
      </w:r>
      <w:r w:rsidR="00D70E0B">
        <w:rPr>
          <w:rFonts w:eastAsia="Times New Roman" w:cs="Arial"/>
        </w:rPr>
        <w:t>r</w:t>
      </w:r>
      <w:r>
        <w:rPr>
          <w:rFonts w:eastAsia="Times New Roman" w:cs="Arial"/>
        </w:rPr>
        <w:t xml:space="preserve">esults </w:t>
      </w:r>
      <w:r w:rsidR="00D70E0B">
        <w:rPr>
          <w:rFonts w:eastAsia="Times New Roman" w:cs="Arial"/>
        </w:rPr>
        <w:t>i</w:t>
      </w:r>
      <w:r>
        <w:rPr>
          <w:rFonts w:eastAsia="Times New Roman" w:cs="Arial"/>
        </w:rPr>
        <w:t>tems?</w:t>
      </w:r>
    </w:p>
    <w:p w14:paraId="614F44C1" w14:textId="16CC3200" w:rsidR="005E22BD" w:rsidRDefault="00D70E0B" w:rsidP="00050D3F">
      <w:pPr>
        <w:numPr>
          <w:ilvl w:val="0"/>
          <w:numId w:val="3"/>
        </w:numPr>
        <w:spacing w:after="120"/>
        <w:divId w:val="905190427"/>
        <w:rPr>
          <w:rFonts w:eastAsia="Times New Roman" w:cs="Arial"/>
          <w:szCs w:val="22"/>
        </w:rPr>
      </w:pPr>
      <w:r>
        <w:rPr>
          <w:rFonts w:eastAsia="Times New Roman" w:cs="Arial"/>
          <w:szCs w:val="22"/>
        </w:rPr>
        <w:t>The applicant demonstrates g</w:t>
      </w:r>
      <w:r w:rsidR="000A11B9">
        <w:rPr>
          <w:rFonts w:eastAsia="Times New Roman" w:cs="Arial"/>
          <w:szCs w:val="22"/>
        </w:rPr>
        <w:t>ood levels, trends</w:t>
      </w:r>
      <w:r w:rsidR="006F2406">
        <w:rPr>
          <w:rFonts w:eastAsia="Times New Roman" w:cs="Arial"/>
          <w:szCs w:val="22"/>
        </w:rPr>
        <w:t>,</w:t>
      </w:r>
      <w:r w:rsidR="000A11B9">
        <w:rPr>
          <w:rFonts w:eastAsia="Times New Roman" w:cs="Arial"/>
          <w:szCs w:val="22"/>
        </w:rPr>
        <w:t xml:space="preserve"> and comparisons </w:t>
      </w:r>
      <w:r>
        <w:rPr>
          <w:rFonts w:eastAsia="Times New Roman" w:cs="Arial"/>
          <w:szCs w:val="22"/>
        </w:rPr>
        <w:t>in</w:t>
      </w:r>
      <w:r w:rsidR="000A11B9">
        <w:rPr>
          <w:rFonts w:eastAsia="Times New Roman" w:cs="Arial"/>
          <w:szCs w:val="22"/>
        </w:rPr>
        <w:t xml:space="preserve"> </w:t>
      </w:r>
      <w:r>
        <w:rPr>
          <w:rFonts w:eastAsia="Times New Roman" w:cs="Arial"/>
          <w:szCs w:val="22"/>
        </w:rPr>
        <w:t xml:space="preserve">many </w:t>
      </w:r>
      <w:r w:rsidR="000A11B9">
        <w:rPr>
          <w:rFonts w:eastAsia="Times New Roman" w:cs="Arial"/>
          <w:szCs w:val="22"/>
        </w:rPr>
        <w:t xml:space="preserve">results related to </w:t>
      </w:r>
      <w:r>
        <w:rPr>
          <w:rFonts w:eastAsia="Times New Roman" w:cs="Arial"/>
          <w:szCs w:val="22"/>
        </w:rPr>
        <w:t xml:space="preserve">its </w:t>
      </w:r>
      <w:r w:rsidR="000A11B9">
        <w:rPr>
          <w:rFonts w:eastAsia="Times New Roman" w:cs="Arial"/>
          <w:szCs w:val="22"/>
        </w:rPr>
        <w:t>strategic objectives of student access and success</w:t>
      </w:r>
      <w:r>
        <w:rPr>
          <w:rFonts w:eastAsia="Times New Roman" w:cs="Arial"/>
          <w:szCs w:val="22"/>
        </w:rPr>
        <w:t>, reflecting its</w:t>
      </w:r>
      <w:r w:rsidR="000A11B9">
        <w:rPr>
          <w:rFonts w:eastAsia="Times New Roman" w:cs="Arial"/>
          <w:szCs w:val="22"/>
        </w:rPr>
        <w:t xml:space="preserve"> value of Students First. </w:t>
      </w:r>
      <w:r>
        <w:rPr>
          <w:rFonts w:eastAsia="Times New Roman" w:cs="Arial"/>
          <w:szCs w:val="22"/>
        </w:rPr>
        <w:t>For example, s</w:t>
      </w:r>
      <w:r w:rsidR="000A11B9">
        <w:rPr>
          <w:rFonts w:eastAsia="Times New Roman" w:cs="Arial"/>
          <w:szCs w:val="22"/>
        </w:rPr>
        <w:t xml:space="preserve">upporting the strategic objectives of student access and success, </w:t>
      </w:r>
      <w:r>
        <w:rPr>
          <w:rFonts w:eastAsia="Times New Roman" w:cs="Arial"/>
          <w:szCs w:val="22"/>
        </w:rPr>
        <w:t xml:space="preserve">results for </w:t>
      </w:r>
      <w:r w:rsidR="000A11B9">
        <w:rPr>
          <w:rFonts w:eastAsia="Times New Roman" w:cs="Arial"/>
          <w:szCs w:val="22"/>
        </w:rPr>
        <w:t xml:space="preserve">enrollment, graduation rate, credit hours delivered, and number of students transferred (Figures 7.1-1, </w:t>
      </w:r>
      <w:r>
        <w:rPr>
          <w:rFonts w:eastAsia="Times New Roman" w:cs="Arial"/>
          <w:szCs w:val="22"/>
        </w:rPr>
        <w:t>7.1-</w:t>
      </w:r>
      <w:r w:rsidR="000A11B9">
        <w:rPr>
          <w:rFonts w:eastAsia="Times New Roman" w:cs="Arial"/>
          <w:szCs w:val="22"/>
        </w:rPr>
        <w:t xml:space="preserve">3, </w:t>
      </w:r>
      <w:r>
        <w:rPr>
          <w:rFonts w:eastAsia="Times New Roman" w:cs="Arial"/>
          <w:szCs w:val="22"/>
        </w:rPr>
        <w:t>7.1-</w:t>
      </w:r>
      <w:r w:rsidR="000A11B9">
        <w:rPr>
          <w:rFonts w:eastAsia="Times New Roman" w:cs="Arial"/>
          <w:szCs w:val="22"/>
        </w:rPr>
        <w:t xml:space="preserve">4, </w:t>
      </w:r>
      <w:r>
        <w:rPr>
          <w:rFonts w:eastAsia="Times New Roman" w:cs="Arial"/>
          <w:szCs w:val="22"/>
        </w:rPr>
        <w:t>and 7.1-</w:t>
      </w:r>
      <w:r w:rsidR="000A11B9">
        <w:rPr>
          <w:rFonts w:eastAsia="Times New Roman" w:cs="Arial"/>
          <w:szCs w:val="22"/>
        </w:rPr>
        <w:t xml:space="preserve">6) </w:t>
      </w:r>
      <w:r>
        <w:rPr>
          <w:rFonts w:eastAsia="Times New Roman" w:cs="Arial"/>
          <w:szCs w:val="22"/>
        </w:rPr>
        <w:t>show</w:t>
      </w:r>
      <w:r w:rsidR="000A11B9">
        <w:rPr>
          <w:rFonts w:eastAsia="Times New Roman" w:cs="Arial"/>
          <w:szCs w:val="22"/>
        </w:rPr>
        <w:t xml:space="preserve"> a pre-pandemic beneficial trend and </w:t>
      </w:r>
      <w:r>
        <w:rPr>
          <w:rFonts w:eastAsia="Times New Roman" w:cs="Arial"/>
          <w:szCs w:val="22"/>
        </w:rPr>
        <w:t>out</w:t>
      </w:r>
      <w:r w:rsidR="000A11B9">
        <w:rPr>
          <w:rFonts w:eastAsia="Times New Roman" w:cs="Arial"/>
          <w:szCs w:val="22"/>
        </w:rPr>
        <w:t xml:space="preserve">perform key comparatives. In many instances, the applicant </w:t>
      </w:r>
      <w:r>
        <w:rPr>
          <w:rFonts w:eastAsia="Times New Roman" w:cs="Arial"/>
          <w:szCs w:val="22"/>
        </w:rPr>
        <w:t xml:space="preserve">has </w:t>
      </w:r>
      <w:r w:rsidR="000A11B9">
        <w:rPr>
          <w:rFonts w:eastAsia="Times New Roman" w:cs="Arial"/>
          <w:szCs w:val="22"/>
        </w:rPr>
        <w:t>continued to outperform comparisons even in the midst of pandemic downturn</w:t>
      </w:r>
      <w:r>
        <w:rPr>
          <w:rFonts w:eastAsia="Times New Roman" w:cs="Arial"/>
          <w:szCs w:val="22"/>
        </w:rPr>
        <w:t>s</w:t>
      </w:r>
      <w:r w:rsidR="000A11B9">
        <w:rPr>
          <w:rFonts w:eastAsia="Times New Roman" w:cs="Arial"/>
          <w:szCs w:val="22"/>
        </w:rPr>
        <w:t xml:space="preserve"> in </w:t>
      </w:r>
      <w:r>
        <w:rPr>
          <w:rFonts w:eastAsia="Times New Roman" w:cs="Arial"/>
          <w:szCs w:val="22"/>
        </w:rPr>
        <w:t>others</w:t>
      </w:r>
      <w:r w:rsidR="005663C4">
        <w:rPr>
          <w:rFonts w:eastAsia="Times New Roman" w:cs="Arial"/>
          <w:szCs w:val="22"/>
        </w:rPr>
        <w:t>’</w:t>
      </w:r>
      <w:r>
        <w:rPr>
          <w:rFonts w:eastAsia="Times New Roman" w:cs="Arial"/>
          <w:szCs w:val="22"/>
        </w:rPr>
        <w:t xml:space="preserve"> </w:t>
      </w:r>
      <w:r w:rsidR="000A11B9">
        <w:rPr>
          <w:rFonts w:eastAsia="Times New Roman" w:cs="Arial"/>
          <w:szCs w:val="22"/>
        </w:rPr>
        <w:t xml:space="preserve">performance, such as </w:t>
      </w:r>
      <w:r>
        <w:rPr>
          <w:rFonts w:eastAsia="Times New Roman" w:cs="Arial"/>
          <w:szCs w:val="22"/>
        </w:rPr>
        <w:t xml:space="preserve">in results </w:t>
      </w:r>
      <w:r w:rsidR="000A11B9">
        <w:rPr>
          <w:rFonts w:eastAsia="Times New Roman" w:cs="Arial"/>
          <w:szCs w:val="22"/>
        </w:rPr>
        <w:t xml:space="preserve">for degrees awarded (Figure 7.1-2) and continuing education hours (Figure 7.1-5). In support of the </w:t>
      </w:r>
      <w:r w:rsidR="007D33DA">
        <w:rPr>
          <w:rFonts w:eastAsia="Times New Roman" w:cs="Arial"/>
          <w:szCs w:val="22"/>
        </w:rPr>
        <w:t>applicant</w:t>
      </w:r>
      <w:r w:rsidR="005663C4">
        <w:rPr>
          <w:rFonts w:eastAsia="Times New Roman" w:cs="Arial"/>
          <w:szCs w:val="22"/>
        </w:rPr>
        <w:t>’</w:t>
      </w:r>
      <w:r w:rsidR="007D33DA">
        <w:rPr>
          <w:rFonts w:eastAsia="Times New Roman" w:cs="Arial"/>
          <w:szCs w:val="22"/>
        </w:rPr>
        <w:t xml:space="preserve">s </w:t>
      </w:r>
      <w:r w:rsidR="000A11B9">
        <w:rPr>
          <w:rFonts w:eastAsia="Times New Roman" w:cs="Arial"/>
          <w:szCs w:val="22"/>
        </w:rPr>
        <w:t xml:space="preserve">value of </w:t>
      </w:r>
      <w:r>
        <w:rPr>
          <w:rFonts w:eastAsia="Times New Roman" w:cs="Arial"/>
          <w:szCs w:val="22"/>
        </w:rPr>
        <w:t>S</w:t>
      </w:r>
      <w:r w:rsidR="000A11B9">
        <w:rPr>
          <w:rFonts w:eastAsia="Times New Roman" w:cs="Arial"/>
          <w:szCs w:val="22"/>
        </w:rPr>
        <w:t xml:space="preserve">tudents </w:t>
      </w:r>
      <w:r>
        <w:rPr>
          <w:rFonts w:eastAsia="Times New Roman" w:cs="Arial"/>
          <w:szCs w:val="22"/>
        </w:rPr>
        <w:t>F</w:t>
      </w:r>
      <w:r w:rsidR="000A11B9">
        <w:rPr>
          <w:rFonts w:eastAsia="Times New Roman" w:cs="Arial"/>
          <w:szCs w:val="22"/>
        </w:rPr>
        <w:t xml:space="preserve">irst, RBM Overall Satisfaction (Figure 7.2-1) levels </w:t>
      </w:r>
      <w:r>
        <w:rPr>
          <w:rFonts w:eastAsia="Times New Roman" w:cs="Arial"/>
          <w:szCs w:val="22"/>
        </w:rPr>
        <w:t xml:space="preserve">have </w:t>
      </w:r>
      <w:r w:rsidR="000A11B9">
        <w:rPr>
          <w:rFonts w:eastAsia="Times New Roman" w:cs="Arial"/>
          <w:szCs w:val="22"/>
        </w:rPr>
        <w:t>continuously improve</w:t>
      </w:r>
      <w:r>
        <w:rPr>
          <w:rFonts w:eastAsia="Times New Roman" w:cs="Arial"/>
          <w:szCs w:val="22"/>
        </w:rPr>
        <w:t>d</w:t>
      </w:r>
      <w:r w:rsidR="000A11B9">
        <w:rPr>
          <w:rFonts w:eastAsia="Times New Roman" w:cs="Arial"/>
          <w:szCs w:val="22"/>
        </w:rPr>
        <w:t xml:space="preserve"> and outperform three peer institutions and equal the performance of a Baldrige </w:t>
      </w:r>
      <w:r>
        <w:rPr>
          <w:rFonts w:eastAsia="Times New Roman" w:cs="Arial"/>
          <w:szCs w:val="22"/>
        </w:rPr>
        <w:t xml:space="preserve">Award </w:t>
      </w:r>
      <w:r w:rsidR="000A11B9">
        <w:rPr>
          <w:rFonts w:eastAsia="Times New Roman" w:cs="Arial"/>
          <w:szCs w:val="22"/>
        </w:rPr>
        <w:t xml:space="preserve">winner in 2020. </w:t>
      </w:r>
      <w:r>
        <w:rPr>
          <w:rFonts w:eastAsia="Times New Roman" w:cs="Arial"/>
          <w:szCs w:val="22"/>
        </w:rPr>
        <w:t>Similarly</w:t>
      </w:r>
      <w:r w:rsidR="000A11B9">
        <w:rPr>
          <w:rFonts w:eastAsia="Times New Roman" w:cs="Arial"/>
          <w:szCs w:val="22"/>
        </w:rPr>
        <w:t xml:space="preserve">, </w:t>
      </w:r>
      <w:r>
        <w:rPr>
          <w:rFonts w:eastAsia="Times New Roman" w:cs="Arial"/>
          <w:szCs w:val="22"/>
        </w:rPr>
        <w:t>the applicant</w:t>
      </w:r>
      <w:r w:rsidR="005663C4">
        <w:rPr>
          <w:rFonts w:eastAsia="Times New Roman" w:cs="Arial"/>
          <w:szCs w:val="22"/>
        </w:rPr>
        <w:t>’</w:t>
      </w:r>
      <w:r>
        <w:rPr>
          <w:rFonts w:eastAsia="Times New Roman" w:cs="Arial"/>
          <w:szCs w:val="22"/>
        </w:rPr>
        <w:t xml:space="preserve">s results for </w:t>
      </w:r>
      <w:r w:rsidR="000A11B9">
        <w:rPr>
          <w:rFonts w:eastAsia="Times New Roman" w:cs="Arial"/>
          <w:szCs w:val="22"/>
        </w:rPr>
        <w:t xml:space="preserve">RBM College Met Expectations (Figure 7.2-2) outperform </w:t>
      </w:r>
      <w:r>
        <w:rPr>
          <w:rFonts w:eastAsia="Times New Roman" w:cs="Arial"/>
          <w:szCs w:val="22"/>
        </w:rPr>
        <w:t xml:space="preserve">those of </w:t>
      </w:r>
      <w:r w:rsidR="000A11B9">
        <w:rPr>
          <w:rFonts w:eastAsia="Times New Roman" w:cs="Arial"/>
          <w:szCs w:val="22"/>
        </w:rPr>
        <w:t>all peers and meet</w:t>
      </w:r>
      <w:r>
        <w:rPr>
          <w:rFonts w:eastAsia="Times New Roman" w:cs="Arial"/>
          <w:szCs w:val="22"/>
        </w:rPr>
        <w:t xml:space="preserve"> the</w:t>
      </w:r>
      <w:r w:rsidR="000A11B9">
        <w:rPr>
          <w:rFonts w:eastAsia="Times New Roman" w:cs="Arial"/>
          <w:szCs w:val="22"/>
        </w:rPr>
        <w:t xml:space="preserve"> RBM top decile in 2020. </w:t>
      </w:r>
      <w:r>
        <w:rPr>
          <w:rFonts w:eastAsia="Times New Roman" w:cs="Arial"/>
          <w:szCs w:val="22"/>
        </w:rPr>
        <w:t>Additionally, r</w:t>
      </w:r>
      <w:r w:rsidR="000A11B9">
        <w:rPr>
          <w:rFonts w:eastAsia="Times New Roman" w:cs="Arial"/>
          <w:szCs w:val="22"/>
        </w:rPr>
        <w:t>esults for Satisfaction with Student Focus (Figure 7.2-4) have improved steadily from 2014 to 2019 in four key measures</w:t>
      </w:r>
      <w:r>
        <w:rPr>
          <w:rFonts w:eastAsia="Times New Roman" w:cs="Arial"/>
          <w:szCs w:val="22"/>
        </w:rPr>
        <w:t>; and results for</w:t>
      </w:r>
      <w:r w:rsidR="000A11B9">
        <w:rPr>
          <w:rFonts w:eastAsia="Times New Roman" w:cs="Arial"/>
          <w:szCs w:val="22"/>
        </w:rPr>
        <w:t xml:space="preserve"> Customer Satisfaction with Student Services (Figure 7.2-14) ha</w:t>
      </w:r>
      <w:r>
        <w:rPr>
          <w:rFonts w:eastAsia="Times New Roman" w:cs="Arial"/>
          <w:szCs w:val="22"/>
        </w:rPr>
        <w:t>ve</w:t>
      </w:r>
      <w:r w:rsidR="000A11B9">
        <w:rPr>
          <w:rFonts w:eastAsia="Times New Roman" w:cs="Arial"/>
          <w:szCs w:val="22"/>
        </w:rPr>
        <w:t xml:space="preserve"> increased for four student segments</w:t>
      </w:r>
      <w:r w:rsidR="00731E04">
        <w:rPr>
          <w:rFonts w:eastAsia="Times New Roman" w:cs="Arial"/>
          <w:szCs w:val="22"/>
        </w:rPr>
        <w:t xml:space="preserve"> from 2017 to 2020</w:t>
      </w:r>
      <w:r w:rsidR="000A11B9">
        <w:rPr>
          <w:rFonts w:eastAsia="Times New Roman" w:cs="Arial"/>
          <w:szCs w:val="22"/>
        </w:rPr>
        <w:t xml:space="preserve">. </w:t>
      </w:r>
      <w:r>
        <w:rPr>
          <w:rFonts w:eastAsia="Times New Roman" w:cs="Arial"/>
          <w:szCs w:val="22"/>
        </w:rPr>
        <w:t>Further, r</w:t>
      </w:r>
      <w:r w:rsidR="000A11B9">
        <w:rPr>
          <w:rFonts w:eastAsia="Times New Roman" w:cs="Arial"/>
          <w:szCs w:val="22"/>
        </w:rPr>
        <w:t xml:space="preserve">esults for Level of Student Engagement (Figure 7.2-20) exceed the </w:t>
      </w:r>
      <w:r w:rsidR="007D33DA">
        <w:rPr>
          <w:rFonts w:eastAsia="Times New Roman" w:cs="Arial"/>
          <w:szCs w:val="22"/>
        </w:rPr>
        <w:t>Community College Survey of Student Engagement (</w:t>
      </w:r>
      <w:r w:rsidR="000A11B9">
        <w:rPr>
          <w:rFonts w:eastAsia="Times New Roman" w:cs="Arial"/>
          <w:szCs w:val="22"/>
        </w:rPr>
        <w:t>CCSSE</w:t>
      </w:r>
      <w:r w:rsidR="007D33DA">
        <w:rPr>
          <w:rFonts w:eastAsia="Times New Roman" w:cs="Arial"/>
          <w:szCs w:val="22"/>
        </w:rPr>
        <w:t>)</w:t>
      </w:r>
      <w:r w:rsidR="000A11B9">
        <w:rPr>
          <w:rFonts w:eastAsia="Times New Roman" w:cs="Arial"/>
          <w:szCs w:val="22"/>
        </w:rPr>
        <w:t xml:space="preserve"> top decile for all four dimensions measured. These performance levels may significantly contribute to the applicant</w:t>
      </w:r>
      <w:r w:rsidR="005663C4">
        <w:rPr>
          <w:rFonts w:eastAsia="Times New Roman" w:cs="Arial"/>
          <w:szCs w:val="22"/>
        </w:rPr>
        <w:t>’</w:t>
      </w:r>
      <w:r w:rsidR="000A11B9">
        <w:rPr>
          <w:rFonts w:eastAsia="Times New Roman" w:cs="Arial"/>
          <w:szCs w:val="22"/>
        </w:rPr>
        <w:t>s market share penetration in its three-county service area</w:t>
      </w:r>
      <w:r w:rsidR="00D339B1">
        <w:rPr>
          <w:rFonts w:eastAsia="Times New Roman" w:cs="Arial"/>
          <w:szCs w:val="22"/>
        </w:rPr>
        <w:t>,</w:t>
      </w:r>
      <w:r w:rsidR="000A11B9">
        <w:rPr>
          <w:rFonts w:eastAsia="Times New Roman" w:cs="Arial"/>
          <w:szCs w:val="22"/>
        </w:rPr>
        <w:t xml:space="preserve"> which </w:t>
      </w:r>
      <w:r w:rsidR="00D339B1">
        <w:rPr>
          <w:rFonts w:eastAsia="Times New Roman" w:cs="Arial"/>
          <w:szCs w:val="22"/>
        </w:rPr>
        <w:t>outperforms</w:t>
      </w:r>
      <w:r w:rsidR="000A11B9">
        <w:rPr>
          <w:rFonts w:eastAsia="Times New Roman" w:cs="Arial"/>
          <w:szCs w:val="22"/>
        </w:rPr>
        <w:t xml:space="preserve"> the best service</w:t>
      </w:r>
      <w:r w:rsidR="00D339B1">
        <w:rPr>
          <w:rFonts w:eastAsia="Times New Roman" w:cs="Arial"/>
          <w:szCs w:val="22"/>
        </w:rPr>
        <w:t>-</w:t>
      </w:r>
      <w:r w:rsidR="000A11B9">
        <w:rPr>
          <w:rFonts w:eastAsia="Times New Roman" w:cs="Arial"/>
          <w:szCs w:val="22"/>
        </w:rPr>
        <w:t xml:space="preserve">area competitor (Figure 7.5-12). </w:t>
      </w:r>
    </w:p>
    <w:p w14:paraId="390D795B" w14:textId="5EE288AD" w:rsidR="005E22BD" w:rsidRDefault="000A11B9" w:rsidP="00050D3F">
      <w:pPr>
        <w:numPr>
          <w:ilvl w:val="0"/>
          <w:numId w:val="3"/>
        </w:numPr>
        <w:spacing w:after="120"/>
        <w:divId w:val="905190427"/>
        <w:rPr>
          <w:rFonts w:eastAsia="Times New Roman" w:cs="Arial"/>
          <w:szCs w:val="22"/>
        </w:rPr>
      </w:pPr>
      <w:r>
        <w:rPr>
          <w:rFonts w:eastAsia="Times New Roman" w:cs="Arial"/>
          <w:szCs w:val="22"/>
        </w:rPr>
        <w:t xml:space="preserve">Favorable financial results may assist the applicant </w:t>
      </w:r>
      <w:r w:rsidR="00D339B1">
        <w:rPr>
          <w:rFonts w:eastAsia="Times New Roman" w:cs="Arial"/>
          <w:szCs w:val="22"/>
        </w:rPr>
        <w:t>in</w:t>
      </w:r>
      <w:r>
        <w:rPr>
          <w:rFonts w:eastAsia="Times New Roman" w:cs="Arial"/>
          <w:szCs w:val="22"/>
        </w:rPr>
        <w:t xml:space="preserve"> maintain</w:t>
      </w:r>
      <w:r w:rsidR="00D339B1">
        <w:rPr>
          <w:rFonts w:eastAsia="Times New Roman" w:cs="Arial"/>
          <w:szCs w:val="22"/>
        </w:rPr>
        <w:t>ing</w:t>
      </w:r>
      <w:r>
        <w:rPr>
          <w:rFonts w:eastAsia="Times New Roman" w:cs="Arial"/>
          <w:szCs w:val="22"/>
        </w:rPr>
        <w:t xml:space="preserve"> its strategic advantage of affordability and address</w:t>
      </w:r>
      <w:r w:rsidR="006A64B3">
        <w:rPr>
          <w:rFonts w:eastAsia="Times New Roman" w:cs="Arial"/>
          <w:szCs w:val="22"/>
        </w:rPr>
        <w:t>ing</w:t>
      </w:r>
      <w:r>
        <w:rPr>
          <w:rFonts w:eastAsia="Times New Roman" w:cs="Arial"/>
          <w:szCs w:val="22"/>
        </w:rPr>
        <w:t xml:space="preserve"> its strategic challenge of decreased state funding. For example, cost containment results indicate the applicant is </w:t>
      </w:r>
      <w:r w:rsidR="00D339B1">
        <w:rPr>
          <w:rFonts w:eastAsia="Times New Roman" w:cs="Arial"/>
          <w:szCs w:val="22"/>
        </w:rPr>
        <w:t xml:space="preserve">performing </w:t>
      </w:r>
      <w:r>
        <w:rPr>
          <w:rFonts w:eastAsia="Times New Roman" w:cs="Arial"/>
          <w:szCs w:val="22"/>
        </w:rPr>
        <w:t xml:space="preserve">at or </w:t>
      </w:r>
      <w:r w:rsidR="00D339B1">
        <w:rPr>
          <w:rFonts w:eastAsia="Times New Roman" w:cs="Arial"/>
          <w:szCs w:val="22"/>
        </w:rPr>
        <w:t>above the level of</w:t>
      </w:r>
      <w:r>
        <w:rPr>
          <w:rFonts w:eastAsia="Times New Roman" w:cs="Arial"/>
          <w:szCs w:val="22"/>
        </w:rPr>
        <w:t xml:space="preserve"> DASHER </w:t>
      </w:r>
      <w:r w:rsidR="00731E04">
        <w:rPr>
          <w:rFonts w:eastAsia="Times New Roman" w:cs="Arial"/>
          <w:szCs w:val="22"/>
        </w:rPr>
        <w:t>(Data Sharing Consortium for Higher Education Research) t</w:t>
      </w:r>
      <w:r>
        <w:rPr>
          <w:rFonts w:eastAsia="Times New Roman" w:cs="Arial"/>
          <w:szCs w:val="22"/>
        </w:rPr>
        <w:t xml:space="preserve">op </w:t>
      </w:r>
      <w:r w:rsidR="00731E04">
        <w:rPr>
          <w:rFonts w:eastAsia="Times New Roman" w:cs="Arial"/>
          <w:szCs w:val="22"/>
        </w:rPr>
        <w:t>p</w:t>
      </w:r>
      <w:r>
        <w:rPr>
          <w:rFonts w:eastAsia="Times New Roman" w:cs="Arial"/>
          <w:szCs w:val="22"/>
        </w:rPr>
        <w:t xml:space="preserve">eer (Figure 7.5-8), </w:t>
      </w:r>
      <w:r w:rsidR="00D339B1">
        <w:rPr>
          <w:rFonts w:eastAsia="Times New Roman" w:cs="Arial"/>
          <w:szCs w:val="22"/>
        </w:rPr>
        <w:t>and</w:t>
      </w:r>
      <w:r>
        <w:rPr>
          <w:rFonts w:eastAsia="Times New Roman" w:cs="Arial"/>
          <w:szCs w:val="22"/>
        </w:rPr>
        <w:t xml:space="preserve"> the </w:t>
      </w:r>
      <w:r w:rsidR="00D339B1">
        <w:rPr>
          <w:rFonts w:eastAsia="Times New Roman" w:cs="Arial"/>
          <w:szCs w:val="22"/>
        </w:rPr>
        <w:t xml:space="preserve">applicant </w:t>
      </w:r>
      <w:r w:rsidR="00731E04">
        <w:rPr>
          <w:rFonts w:eastAsia="Times New Roman" w:cs="Arial"/>
          <w:szCs w:val="22"/>
        </w:rPr>
        <w:t xml:space="preserve">also </w:t>
      </w:r>
      <w:r w:rsidR="00D339B1">
        <w:rPr>
          <w:rFonts w:eastAsia="Times New Roman" w:cs="Arial"/>
          <w:szCs w:val="22"/>
        </w:rPr>
        <w:t xml:space="preserve">outperforms the DASHER </w:t>
      </w:r>
      <w:r w:rsidR="00731E04">
        <w:rPr>
          <w:rFonts w:eastAsia="Times New Roman" w:cs="Arial"/>
          <w:szCs w:val="22"/>
        </w:rPr>
        <w:t>t</w:t>
      </w:r>
      <w:r w:rsidR="00D339B1">
        <w:rPr>
          <w:rFonts w:eastAsia="Times New Roman" w:cs="Arial"/>
          <w:szCs w:val="22"/>
        </w:rPr>
        <w:t xml:space="preserve">op </w:t>
      </w:r>
      <w:r w:rsidR="00731E04">
        <w:rPr>
          <w:rFonts w:eastAsia="Times New Roman" w:cs="Arial"/>
          <w:szCs w:val="22"/>
        </w:rPr>
        <w:t>p</w:t>
      </w:r>
      <w:r w:rsidR="00D339B1">
        <w:rPr>
          <w:rFonts w:eastAsia="Times New Roman" w:cs="Arial"/>
          <w:szCs w:val="22"/>
        </w:rPr>
        <w:t xml:space="preserve">eer for </w:t>
      </w:r>
      <w:r>
        <w:rPr>
          <w:rFonts w:eastAsia="Times New Roman" w:cs="Arial"/>
          <w:szCs w:val="22"/>
        </w:rPr>
        <w:t>percent</w:t>
      </w:r>
      <w:r w:rsidR="00D339B1">
        <w:rPr>
          <w:rFonts w:eastAsia="Times New Roman" w:cs="Arial"/>
          <w:szCs w:val="22"/>
        </w:rPr>
        <w:t>age</w:t>
      </w:r>
      <w:r>
        <w:rPr>
          <w:rFonts w:eastAsia="Times New Roman" w:cs="Arial"/>
          <w:szCs w:val="22"/>
        </w:rPr>
        <w:t xml:space="preserve"> of expenditures for instruction and academic support (Figure 7.5-9)</w:t>
      </w:r>
      <w:r w:rsidR="00731E04">
        <w:rPr>
          <w:rFonts w:eastAsia="Times New Roman" w:cs="Arial"/>
          <w:szCs w:val="22"/>
        </w:rPr>
        <w:t>,</w:t>
      </w:r>
      <w:r>
        <w:rPr>
          <w:rFonts w:eastAsia="Times New Roman" w:cs="Arial"/>
          <w:szCs w:val="22"/>
        </w:rPr>
        <w:t xml:space="preserve"> while </w:t>
      </w:r>
      <w:r w:rsidR="00D339B1">
        <w:rPr>
          <w:rFonts w:eastAsia="Times New Roman" w:cs="Arial"/>
          <w:szCs w:val="22"/>
        </w:rPr>
        <w:t xml:space="preserve">maintaining a lower </w:t>
      </w:r>
      <w:r>
        <w:rPr>
          <w:rFonts w:eastAsia="Times New Roman" w:cs="Arial"/>
          <w:szCs w:val="22"/>
        </w:rPr>
        <w:t xml:space="preserve">cost per enrollment than all three of its comparators (Figure 7.5-10). </w:t>
      </w:r>
      <w:r w:rsidR="006A64B3">
        <w:rPr>
          <w:rFonts w:eastAsia="Times New Roman" w:cs="Arial"/>
          <w:szCs w:val="22"/>
        </w:rPr>
        <w:t>The applicant</w:t>
      </w:r>
      <w:r w:rsidR="005663C4">
        <w:rPr>
          <w:rFonts w:eastAsia="Times New Roman" w:cs="Arial"/>
          <w:szCs w:val="22"/>
        </w:rPr>
        <w:t>’</w:t>
      </w:r>
      <w:r w:rsidR="006A64B3">
        <w:rPr>
          <w:rFonts w:eastAsia="Times New Roman" w:cs="Arial"/>
          <w:szCs w:val="22"/>
        </w:rPr>
        <w:t>s</w:t>
      </w:r>
      <w:r>
        <w:rPr>
          <w:rFonts w:eastAsia="Times New Roman" w:cs="Arial"/>
          <w:szCs w:val="22"/>
        </w:rPr>
        <w:t xml:space="preserve"> shift to online textbooks has decreased the average cost and increased student savings (Figure 7.1-22)</w:t>
      </w:r>
      <w:r w:rsidR="00D339B1">
        <w:rPr>
          <w:rFonts w:eastAsia="Times New Roman" w:cs="Arial"/>
          <w:szCs w:val="22"/>
        </w:rPr>
        <w:t>,</w:t>
      </w:r>
      <w:r>
        <w:rPr>
          <w:rFonts w:eastAsia="Times New Roman" w:cs="Arial"/>
          <w:szCs w:val="22"/>
        </w:rPr>
        <w:t xml:space="preserve"> and </w:t>
      </w:r>
      <w:r w:rsidR="00731E04">
        <w:rPr>
          <w:rFonts w:eastAsia="Times New Roman" w:cs="Arial"/>
          <w:szCs w:val="22"/>
        </w:rPr>
        <w:t xml:space="preserve">its </w:t>
      </w:r>
      <w:r>
        <w:rPr>
          <w:rFonts w:eastAsia="Times New Roman" w:cs="Arial"/>
          <w:szCs w:val="22"/>
        </w:rPr>
        <w:t>integrati</w:t>
      </w:r>
      <w:r w:rsidR="00731E04">
        <w:rPr>
          <w:rFonts w:eastAsia="Times New Roman" w:cs="Arial"/>
          <w:szCs w:val="22"/>
        </w:rPr>
        <w:t>on of</w:t>
      </w:r>
      <w:r>
        <w:rPr>
          <w:rFonts w:eastAsia="Times New Roman" w:cs="Arial"/>
          <w:szCs w:val="22"/>
        </w:rPr>
        <w:t xml:space="preserve"> systems has resulted in support savings </w:t>
      </w:r>
      <w:r w:rsidR="006A64B3">
        <w:rPr>
          <w:rFonts w:eastAsia="Times New Roman" w:cs="Arial"/>
          <w:szCs w:val="22"/>
        </w:rPr>
        <w:t>for</w:t>
      </w:r>
      <w:r>
        <w:rPr>
          <w:rFonts w:eastAsia="Times New Roman" w:cs="Arial"/>
          <w:szCs w:val="22"/>
        </w:rPr>
        <w:t xml:space="preserve"> food service and the bookstore (Figure 7.1-21). </w:t>
      </w:r>
      <w:r w:rsidR="006A64B3">
        <w:rPr>
          <w:rFonts w:eastAsia="Times New Roman" w:cs="Arial"/>
          <w:szCs w:val="22"/>
        </w:rPr>
        <w:t>In addition, f</w:t>
      </w:r>
      <w:r>
        <w:rPr>
          <w:rFonts w:eastAsia="Times New Roman" w:cs="Arial"/>
          <w:szCs w:val="22"/>
        </w:rPr>
        <w:t>inancial results for revenue and margin have remained stable or better than comparative benchmarks. For example</w:t>
      </w:r>
      <w:r w:rsidR="006A64B3">
        <w:rPr>
          <w:rFonts w:eastAsia="Times New Roman" w:cs="Arial"/>
          <w:szCs w:val="22"/>
        </w:rPr>
        <w:t>,</w:t>
      </w:r>
      <w:r>
        <w:rPr>
          <w:rFonts w:eastAsia="Times New Roman" w:cs="Arial"/>
          <w:szCs w:val="22"/>
        </w:rPr>
        <w:t xml:space="preserve"> the Net Asset position (Figure 7.5-4) is better than </w:t>
      </w:r>
      <w:r w:rsidR="006A64B3">
        <w:rPr>
          <w:rFonts w:eastAsia="Times New Roman" w:cs="Arial"/>
          <w:szCs w:val="22"/>
        </w:rPr>
        <w:t xml:space="preserve">the </w:t>
      </w:r>
      <w:r>
        <w:rPr>
          <w:rFonts w:eastAsia="Times New Roman" w:cs="Arial"/>
          <w:szCs w:val="22"/>
        </w:rPr>
        <w:t>NCCBP comparison; revenue and expenditures outperform the IPE</w:t>
      </w:r>
      <w:r w:rsidR="007B4856">
        <w:rPr>
          <w:rFonts w:eastAsia="Times New Roman" w:cs="Arial"/>
          <w:szCs w:val="22"/>
        </w:rPr>
        <w:t>Ex2</w:t>
      </w:r>
      <w:r>
        <w:rPr>
          <w:rFonts w:eastAsia="Times New Roman" w:cs="Arial"/>
          <w:szCs w:val="22"/>
        </w:rPr>
        <w:t xml:space="preserve"> top quartile (Figure 7.2a)</w:t>
      </w:r>
      <w:r w:rsidR="006A64B3">
        <w:rPr>
          <w:rFonts w:eastAsia="Times New Roman" w:cs="Arial"/>
          <w:szCs w:val="22"/>
        </w:rPr>
        <w:t>,</w:t>
      </w:r>
      <w:r>
        <w:rPr>
          <w:rFonts w:eastAsia="Times New Roman" w:cs="Arial"/>
          <w:szCs w:val="22"/>
        </w:rPr>
        <w:t xml:space="preserve"> and the net margin has continued to improve from 2016</w:t>
      </w:r>
      <w:r w:rsidR="006A64B3">
        <w:rPr>
          <w:rFonts w:eastAsia="Times New Roman" w:cs="Arial"/>
          <w:szCs w:val="22"/>
        </w:rPr>
        <w:t xml:space="preserve"> through </w:t>
      </w:r>
      <w:r>
        <w:rPr>
          <w:rFonts w:eastAsia="Times New Roman" w:cs="Arial"/>
          <w:szCs w:val="22"/>
        </w:rPr>
        <w:t>2019. F</w:t>
      </w:r>
      <w:r w:rsidR="006A64B3">
        <w:rPr>
          <w:rFonts w:eastAsia="Times New Roman" w:cs="Arial"/>
          <w:szCs w:val="22"/>
        </w:rPr>
        <w:t>urther</w:t>
      </w:r>
      <w:r>
        <w:rPr>
          <w:rFonts w:eastAsia="Times New Roman" w:cs="Arial"/>
          <w:szCs w:val="22"/>
        </w:rPr>
        <w:t xml:space="preserve">, the </w:t>
      </w:r>
      <w:r w:rsidR="006A64B3">
        <w:rPr>
          <w:rFonts w:eastAsia="Times New Roman" w:cs="Arial"/>
          <w:szCs w:val="22"/>
        </w:rPr>
        <w:t>applicant</w:t>
      </w:r>
      <w:r w:rsidR="005663C4">
        <w:rPr>
          <w:rFonts w:eastAsia="Times New Roman" w:cs="Arial"/>
          <w:szCs w:val="22"/>
        </w:rPr>
        <w:t>’</w:t>
      </w:r>
      <w:r w:rsidR="006A64B3">
        <w:rPr>
          <w:rFonts w:eastAsia="Times New Roman" w:cs="Arial"/>
          <w:szCs w:val="22"/>
        </w:rPr>
        <w:t xml:space="preserve">s </w:t>
      </w:r>
      <w:r>
        <w:rPr>
          <w:rFonts w:eastAsia="Times New Roman" w:cs="Arial"/>
          <w:szCs w:val="22"/>
        </w:rPr>
        <w:t xml:space="preserve">bond credit rating (Figure 7.5-6) continues to be strong. </w:t>
      </w:r>
    </w:p>
    <w:p w14:paraId="54F55859" w14:textId="1E11C467" w:rsidR="005E22BD" w:rsidRDefault="000A11B9" w:rsidP="00050D3F">
      <w:pPr>
        <w:numPr>
          <w:ilvl w:val="0"/>
          <w:numId w:val="3"/>
        </w:numPr>
        <w:spacing w:after="120"/>
        <w:divId w:val="905190427"/>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 xml:space="preserve">s leadership and workforce results demonstrate a focus on the future by creating an environment for success and ethical behavior. Senior </w:t>
      </w:r>
      <w:r w:rsidR="006A64B3">
        <w:rPr>
          <w:rFonts w:eastAsia="Times New Roman" w:cs="Arial"/>
          <w:szCs w:val="22"/>
        </w:rPr>
        <w:t>l</w:t>
      </w:r>
      <w:r>
        <w:rPr>
          <w:rFonts w:eastAsia="Times New Roman" w:cs="Arial"/>
          <w:szCs w:val="22"/>
        </w:rPr>
        <w:t xml:space="preserve">eader </w:t>
      </w:r>
      <w:r w:rsidR="006A64B3">
        <w:rPr>
          <w:rFonts w:eastAsia="Times New Roman" w:cs="Arial"/>
          <w:szCs w:val="22"/>
        </w:rPr>
        <w:t xml:space="preserve">(SL) </w:t>
      </w:r>
      <w:r>
        <w:rPr>
          <w:rFonts w:eastAsia="Times New Roman" w:cs="Arial"/>
          <w:szCs w:val="22"/>
        </w:rPr>
        <w:t>results for communication, engagement, and support of organizational values (Fig</w:t>
      </w:r>
      <w:r w:rsidR="006A64B3">
        <w:rPr>
          <w:rFonts w:eastAsia="Times New Roman" w:cs="Arial"/>
          <w:szCs w:val="22"/>
        </w:rPr>
        <w:t>ure</w:t>
      </w:r>
      <w:r>
        <w:rPr>
          <w:rFonts w:eastAsia="Times New Roman" w:cs="Arial"/>
          <w:szCs w:val="22"/>
        </w:rPr>
        <w:t xml:space="preserve"> 7.4-1), as well as scores for SL reinforcement of each of </w:t>
      </w:r>
      <w:r w:rsidR="006A64B3">
        <w:rPr>
          <w:rFonts w:eastAsia="Times New Roman" w:cs="Arial"/>
          <w:szCs w:val="22"/>
        </w:rPr>
        <w:t>those</w:t>
      </w:r>
      <w:r>
        <w:rPr>
          <w:rFonts w:eastAsia="Times New Roman" w:cs="Arial"/>
          <w:szCs w:val="22"/>
        </w:rPr>
        <w:t xml:space="preserve"> values (Figure 7.4-2) demonstrate beneficial trends and outperform top</w:t>
      </w:r>
      <w:r w:rsidR="006A64B3">
        <w:rPr>
          <w:rFonts w:eastAsia="Times New Roman" w:cs="Arial"/>
          <w:szCs w:val="22"/>
        </w:rPr>
        <w:t>-</w:t>
      </w:r>
      <w:r>
        <w:rPr>
          <w:rFonts w:eastAsia="Times New Roman" w:cs="Arial"/>
          <w:szCs w:val="22"/>
        </w:rPr>
        <w:t xml:space="preserve">decile levels </w:t>
      </w:r>
      <w:r w:rsidR="006A64B3">
        <w:rPr>
          <w:rFonts w:eastAsia="Times New Roman" w:cs="Arial"/>
          <w:szCs w:val="22"/>
        </w:rPr>
        <w:t>of</w:t>
      </w:r>
      <w:r>
        <w:rPr>
          <w:rFonts w:eastAsia="Times New Roman" w:cs="Arial"/>
          <w:szCs w:val="22"/>
        </w:rPr>
        <w:t xml:space="preserve"> compar</w:t>
      </w:r>
      <w:r w:rsidR="006A64B3">
        <w:rPr>
          <w:rFonts w:eastAsia="Times New Roman" w:cs="Arial"/>
          <w:szCs w:val="22"/>
        </w:rPr>
        <w:t>isons</w:t>
      </w:r>
      <w:r>
        <w:rPr>
          <w:rFonts w:eastAsia="Times New Roman" w:cs="Arial"/>
          <w:szCs w:val="22"/>
        </w:rPr>
        <w:t xml:space="preserve">. </w:t>
      </w:r>
      <w:r w:rsidR="006A64B3">
        <w:rPr>
          <w:rFonts w:eastAsia="Times New Roman" w:cs="Arial"/>
          <w:szCs w:val="22"/>
        </w:rPr>
        <w:t>Results for s</w:t>
      </w:r>
      <w:r>
        <w:rPr>
          <w:rFonts w:eastAsia="Times New Roman" w:cs="Arial"/>
          <w:szCs w:val="22"/>
        </w:rPr>
        <w:t xml:space="preserve">takeholder trust in the </w:t>
      </w:r>
      <w:r w:rsidR="00731E04">
        <w:rPr>
          <w:rFonts w:eastAsia="Times New Roman" w:cs="Arial"/>
          <w:szCs w:val="22"/>
        </w:rPr>
        <w:t>P</w:t>
      </w:r>
      <w:r>
        <w:rPr>
          <w:rFonts w:eastAsia="Times New Roman" w:cs="Arial"/>
          <w:szCs w:val="22"/>
        </w:rPr>
        <w:t>resident</w:t>
      </w:r>
      <w:r w:rsidR="005663C4">
        <w:rPr>
          <w:rFonts w:eastAsia="Times New Roman" w:cs="Arial"/>
          <w:szCs w:val="22"/>
        </w:rPr>
        <w:t>’</w:t>
      </w:r>
      <w:r>
        <w:rPr>
          <w:rFonts w:eastAsia="Times New Roman" w:cs="Arial"/>
          <w:szCs w:val="22"/>
        </w:rPr>
        <w:t xml:space="preserve">s </w:t>
      </w:r>
      <w:r w:rsidR="00731E04">
        <w:rPr>
          <w:rFonts w:eastAsia="Times New Roman" w:cs="Arial"/>
          <w:szCs w:val="22"/>
        </w:rPr>
        <w:t>T</w:t>
      </w:r>
      <w:r>
        <w:rPr>
          <w:rFonts w:eastAsia="Times New Roman" w:cs="Arial"/>
          <w:szCs w:val="22"/>
        </w:rPr>
        <w:t xml:space="preserve">eam demonstrate beneficial trends for the past </w:t>
      </w:r>
      <w:r w:rsidR="006A64B3">
        <w:rPr>
          <w:rFonts w:eastAsia="Times New Roman" w:cs="Arial"/>
          <w:szCs w:val="22"/>
        </w:rPr>
        <w:t>three</w:t>
      </w:r>
      <w:r>
        <w:rPr>
          <w:rFonts w:eastAsia="Times New Roman" w:cs="Arial"/>
          <w:szCs w:val="22"/>
        </w:rPr>
        <w:t xml:space="preserve"> years and outperform the </w:t>
      </w:r>
      <w:r w:rsidR="006A64B3">
        <w:rPr>
          <w:rFonts w:eastAsia="Times New Roman" w:cs="Arial"/>
          <w:szCs w:val="22"/>
        </w:rPr>
        <w:t>t</w:t>
      </w:r>
      <w:r>
        <w:rPr>
          <w:rFonts w:eastAsia="Times New Roman" w:cs="Arial"/>
          <w:szCs w:val="22"/>
        </w:rPr>
        <w:t xml:space="preserve">op </w:t>
      </w:r>
      <w:r w:rsidR="006A64B3">
        <w:rPr>
          <w:rFonts w:eastAsia="Times New Roman" w:cs="Arial"/>
          <w:szCs w:val="22"/>
        </w:rPr>
        <w:t>d</w:t>
      </w:r>
      <w:r>
        <w:rPr>
          <w:rFonts w:eastAsia="Times New Roman" w:cs="Arial"/>
          <w:szCs w:val="22"/>
        </w:rPr>
        <w:t xml:space="preserve">ecile in </w:t>
      </w:r>
      <w:r w:rsidR="006A64B3">
        <w:rPr>
          <w:rFonts w:eastAsia="Times New Roman" w:cs="Arial"/>
          <w:szCs w:val="22"/>
        </w:rPr>
        <w:t>fiscal year (</w:t>
      </w:r>
      <w:r>
        <w:rPr>
          <w:rFonts w:eastAsia="Times New Roman" w:cs="Arial"/>
          <w:szCs w:val="22"/>
        </w:rPr>
        <w:t>FY</w:t>
      </w:r>
      <w:r w:rsidR="006A64B3">
        <w:rPr>
          <w:rFonts w:eastAsia="Times New Roman" w:cs="Arial"/>
          <w:szCs w:val="22"/>
        </w:rPr>
        <w:t>) 20</w:t>
      </w:r>
      <w:r>
        <w:rPr>
          <w:rFonts w:eastAsia="Times New Roman" w:cs="Arial"/>
          <w:szCs w:val="22"/>
        </w:rPr>
        <w:t>20 for all four stakeholder groups. Additionally, the applicant invests more in workforce development than its peers and that investment garners favorable satisfaction ratings for effectiveness of leadership development programs</w:t>
      </w:r>
      <w:r w:rsidR="00DB076B">
        <w:rPr>
          <w:rFonts w:eastAsia="Times New Roman" w:cs="Arial"/>
          <w:szCs w:val="22"/>
        </w:rPr>
        <w:t xml:space="preserve">; for example, applicant results for </w:t>
      </w:r>
      <w:r>
        <w:rPr>
          <w:rFonts w:eastAsia="Times New Roman" w:cs="Arial"/>
          <w:szCs w:val="22"/>
        </w:rPr>
        <w:t xml:space="preserve">Workforce Learning and Development Investment (Figure 7.3-13) exceed the DASHER comparison for all three workforce segments. </w:t>
      </w:r>
      <w:r w:rsidR="00DB076B">
        <w:rPr>
          <w:rFonts w:eastAsia="Times New Roman" w:cs="Arial"/>
          <w:szCs w:val="22"/>
        </w:rPr>
        <w:t>In addition, p</w:t>
      </w:r>
      <w:r>
        <w:rPr>
          <w:rFonts w:eastAsia="Times New Roman" w:cs="Arial"/>
          <w:szCs w:val="22"/>
        </w:rPr>
        <w:t>articipation rates of eligible employees and perceptions of effectiveness (Figure 7.3-15) and satisfaction with peer</w:t>
      </w:r>
      <w:r w:rsidR="00DB076B">
        <w:rPr>
          <w:rFonts w:eastAsia="Times New Roman" w:cs="Arial"/>
          <w:szCs w:val="22"/>
        </w:rPr>
        <w:t xml:space="preserve"> </w:t>
      </w:r>
      <w:r>
        <w:rPr>
          <w:rFonts w:eastAsia="Times New Roman" w:cs="Arial"/>
          <w:szCs w:val="22"/>
        </w:rPr>
        <w:t xml:space="preserve">mentoring (Figure 7.3-14) demonstrate general beneficial trends and good performance levels </w:t>
      </w:r>
      <w:r>
        <w:rPr>
          <w:rFonts w:eastAsia="Times New Roman" w:cs="Arial"/>
          <w:szCs w:val="22"/>
        </w:rPr>
        <w:lastRenderedPageBreak/>
        <w:t xml:space="preserve">for faculty </w:t>
      </w:r>
      <w:r w:rsidR="00DB076B">
        <w:rPr>
          <w:rFonts w:eastAsia="Times New Roman" w:cs="Arial"/>
          <w:szCs w:val="22"/>
        </w:rPr>
        <w:t xml:space="preserve">members </w:t>
      </w:r>
      <w:r>
        <w:rPr>
          <w:rFonts w:eastAsia="Times New Roman" w:cs="Arial"/>
          <w:szCs w:val="22"/>
        </w:rPr>
        <w:t xml:space="preserve">and administrators. Further, most compliance and regulatory measures are at or near 100% for the last </w:t>
      </w:r>
      <w:r w:rsidR="00DB076B">
        <w:rPr>
          <w:rFonts w:eastAsia="Times New Roman" w:cs="Arial"/>
          <w:szCs w:val="22"/>
        </w:rPr>
        <w:t>one to two</w:t>
      </w:r>
      <w:r>
        <w:rPr>
          <w:rFonts w:eastAsia="Times New Roman" w:cs="Arial"/>
          <w:szCs w:val="22"/>
        </w:rPr>
        <w:t xml:space="preserve"> years; and employee participation in ethics training has </w:t>
      </w:r>
      <w:r w:rsidR="00FC7C2D">
        <w:rPr>
          <w:rFonts w:eastAsia="Times New Roman" w:cs="Arial"/>
          <w:szCs w:val="22"/>
        </w:rPr>
        <w:t>outperformed</w:t>
      </w:r>
      <w:r>
        <w:rPr>
          <w:rFonts w:eastAsia="Times New Roman" w:cs="Arial"/>
          <w:szCs w:val="22"/>
        </w:rPr>
        <w:t xml:space="preserve"> </w:t>
      </w:r>
      <w:r w:rsidR="00DB076B">
        <w:rPr>
          <w:rFonts w:eastAsia="Times New Roman" w:cs="Arial"/>
          <w:szCs w:val="22"/>
        </w:rPr>
        <w:t>the</w:t>
      </w:r>
      <w:r>
        <w:rPr>
          <w:rFonts w:eastAsia="Times New Roman" w:cs="Arial"/>
          <w:szCs w:val="22"/>
        </w:rPr>
        <w:t xml:space="preserve"> </w:t>
      </w:r>
      <w:r w:rsidR="00731E04">
        <w:rPr>
          <w:rFonts w:eastAsia="Times New Roman" w:cs="Arial"/>
          <w:szCs w:val="22"/>
        </w:rPr>
        <w:t>t</w:t>
      </w:r>
      <w:r>
        <w:rPr>
          <w:rFonts w:eastAsia="Times New Roman" w:cs="Arial"/>
          <w:szCs w:val="22"/>
        </w:rPr>
        <w:t xml:space="preserve">op </w:t>
      </w:r>
      <w:r w:rsidR="00731E04">
        <w:rPr>
          <w:rFonts w:eastAsia="Times New Roman" w:cs="Arial"/>
          <w:szCs w:val="22"/>
        </w:rPr>
        <w:t>s</w:t>
      </w:r>
      <w:r>
        <w:rPr>
          <w:rFonts w:eastAsia="Times New Roman" w:cs="Arial"/>
          <w:szCs w:val="22"/>
        </w:rPr>
        <w:t xml:space="preserve">ister </w:t>
      </w:r>
      <w:r w:rsidR="00731E04">
        <w:rPr>
          <w:rFonts w:eastAsia="Times New Roman" w:cs="Arial"/>
          <w:szCs w:val="22"/>
        </w:rPr>
        <w:t>c</w:t>
      </w:r>
      <w:r>
        <w:rPr>
          <w:rFonts w:eastAsia="Times New Roman" w:cs="Arial"/>
          <w:szCs w:val="22"/>
        </w:rPr>
        <w:t xml:space="preserve">ollege in the </w:t>
      </w:r>
      <w:r w:rsidR="00731E04">
        <w:rPr>
          <w:rFonts w:eastAsia="Times New Roman" w:cs="Arial"/>
          <w:szCs w:val="22"/>
        </w:rPr>
        <w:t>s</w:t>
      </w:r>
      <w:r>
        <w:rPr>
          <w:rFonts w:eastAsia="Times New Roman" w:cs="Arial"/>
          <w:szCs w:val="22"/>
        </w:rPr>
        <w:t xml:space="preserve">ystem for </w:t>
      </w:r>
      <w:r w:rsidR="00DB076B">
        <w:rPr>
          <w:rFonts w:eastAsia="Times New Roman" w:cs="Arial"/>
          <w:szCs w:val="22"/>
        </w:rPr>
        <w:t>four</w:t>
      </w:r>
      <w:r>
        <w:rPr>
          <w:rFonts w:eastAsia="Times New Roman" w:cs="Arial"/>
          <w:szCs w:val="22"/>
        </w:rPr>
        <w:t xml:space="preserve"> of the last </w:t>
      </w:r>
      <w:r w:rsidR="00DB076B">
        <w:rPr>
          <w:rFonts w:eastAsia="Times New Roman" w:cs="Arial"/>
          <w:szCs w:val="22"/>
        </w:rPr>
        <w:t>five</w:t>
      </w:r>
      <w:r>
        <w:rPr>
          <w:rFonts w:eastAsia="Times New Roman" w:cs="Arial"/>
          <w:szCs w:val="22"/>
        </w:rPr>
        <w:t xml:space="preserve"> years. </w:t>
      </w:r>
      <w:r w:rsidR="00DB076B">
        <w:rPr>
          <w:rFonts w:eastAsia="Times New Roman" w:cs="Arial"/>
          <w:szCs w:val="22"/>
        </w:rPr>
        <w:t>R</w:t>
      </w:r>
      <w:r>
        <w:rPr>
          <w:rFonts w:eastAsia="Times New Roman" w:cs="Arial"/>
          <w:szCs w:val="22"/>
        </w:rPr>
        <w:t xml:space="preserve">esults for workplace climate </w:t>
      </w:r>
      <w:r w:rsidR="00DB076B">
        <w:rPr>
          <w:rFonts w:eastAsia="Times New Roman" w:cs="Arial"/>
          <w:szCs w:val="22"/>
        </w:rPr>
        <w:t xml:space="preserve">also </w:t>
      </w:r>
      <w:r>
        <w:rPr>
          <w:rFonts w:eastAsia="Times New Roman" w:cs="Arial"/>
          <w:szCs w:val="22"/>
        </w:rPr>
        <w:t>are favorable</w:t>
      </w:r>
      <w:r w:rsidR="00DB076B">
        <w:rPr>
          <w:rFonts w:eastAsia="Times New Roman" w:cs="Arial"/>
          <w:szCs w:val="22"/>
        </w:rPr>
        <w:t>; for example, p</w:t>
      </w:r>
      <w:r>
        <w:rPr>
          <w:rFonts w:eastAsia="Times New Roman" w:cs="Arial"/>
          <w:szCs w:val="22"/>
        </w:rPr>
        <w:t xml:space="preserve">erceived safety results </w:t>
      </w:r>
      <w:r w:rsidR="00DB076B">
        <w:rPr>
          <w:rFonts w:eastAsia="Times New Roman" w:cs="Arial"/>
          <w:szCs w:val="22"/>
        </w:rPr>
        <w:t>related to</w:t>
      </w:r>
      <w:r>
        <w:rPr>
          <w:rFonts w:eastAsia="Times New Roman" w:cs="Arial"/>
          <w:szCs w:val="22"/>
        </w:rPr>
        <w:t xml:space="preserve"> service and professionalism (Figure 7.3-5) show beneficial trends</w:t>
      </w:r>
      <w:r w:rsidR="00DB076B">
        <w:rPr>
          <w:rFonts w:eastAsia="Times New Roman" w:cs="Arial"/>
          <w:szCs w:val="22"/>
        </w:rPr>
        <w:t>,</w:t>
      </w:r>
      <w:r>
        <w:rPr>
          <w:rFonts w:eastAsia="Times New Roman" w:cs="Arial"/>
          <w:szCs w:val="22"/>
        </w:rPr>
        <w:t xml:space="preserve"> </w:t>
      </w:r>
      <w:r w:rsidR="00DB076B">
        <w:rPr>
          <w:rFonts w:eastAsia="Times New Roman" w:cs="Arial"/>
          <w:szCs w:val="22"/>
        </w:rPr>
        <w:t>with</w:t>
      </w:r>
      <w:r>
        <w:rPr>
          <w:rFonts w:eastAsia="Times New Roman" w:cs="Arial"/>
          <w:szCs w:val="22"/>
        </w:rPr>
        <w:t xml:space="preserve"> all areas exceed</w:t>
      </w:r>
      <w:r w:rsidR="00DB076B">
        <w:rPr>
          <w:rFonts w:eastAsia="Times New Roman" w:cs="Arial"/>
          <w:szCs w:val="22"/>
        </w:rPr>
        <w:t>ing</w:t>
      </w:r>
      <w:r>
        <w:rPr>
          <w:rFonts w:eastAsia="Times New Roman" w:cs="Arial"/>
          <w:szCs w:val="22"/>
        </w:rPr>
        <w:t xml:space="preserve"> </w:t>
      </w:r>
      <w:r w:rsidR="00DB076B">
        <w:rPr>
          <w:rFonts w:eastAsia="Times New Roman" w:cs="Arial"/>
          <w:szCs w:val="22"/>
        </w:rPr>
        <w:t xml:space="preserve">the </w:t>
      </w:r>
      <w:r>
        <w:rPr>
          <w:rFonts w:eastAsia="Times New Roman" w:cs="Arial"/>
          <w:szCs w:val="22"/>
        </w:rPr>
        <w:t xml:space="preserve">national top decile. </w:t>
      </w:r>
      <w:r w:rsidR="00DB076B">
        <w:rPr>
          <w:rFonts w:eastAsia="Times New Roman" w:cs="Arial"/>
          <w:szCs w:val="22"/>
        </w:rPr>
        <w:t>In addition, r</w:t>
      </w:r>
      <w:r>
        <w:rPr>
          <w:rFonts w:eastAsia="Times New Roman" w:cs="Arial"/>
          <w:szCs w:val="22"/>
        </w:rPr>
        <w:t>esults of the Canter Q12 survey (Figure 7.3-6) show consistent</w:t>
      </w:r>
      <w:r w:rsidR="00DB076B">
        <w:rPr>
          <w:rFonts w:eastAsia="Times New Roman" w:cs="Arial"/>
          <w:szCs w:val="22"/>
        </w:rPr>
        <w:t>ly</w:t>
      </w:r>
      <w:r>
        <w:rPr>
          <w:rFonts w:eastAsia="Times New Roman" w:cs="Arial"/>
          <w:szCs w:val="22"/>
        </w:rPr>
        <w:t xml:space="preserve"> good levels </w:t>
      </w:r>
      <w:r w:rsidR="00DB076B">
        <w:rPr>
          <w:rFonts w:eastAsia="Times New Roman" w:cs="Arial"/>
          <w:szCs w:val="22"/>
        </w:rPr>
        <w:t xml:space="preserve">that </w:t>
      </w:r>
      <w:r>
        <w:rPr>
          <w:rFonts w:eastAsia="Times New Roman" w:cs="Arial"/>
          <w:szCs w:val="22"/>
        </w:rPr>
        <w:t>exceed top</w:t>
      </w:r>
      <w:r w:rsidR="00DB076B">
        <w:rPr>
          <w:rFonts w:eastAsia="Times New Roman" w:cs="Arial"/>
          <w:szCs w:val="22"/>
        </w:rPr>
        <w:t>-</w:t>
      </w:r>
      <w:r>
        <w:rPr>
          <w:rFonts w:eastAsia="Times New Roman" w:cs="Arial"/>
          <w:szCs w:val="22"/>
        </w:rPr>
        <w:t xml:space="preserve">decile scores for overall workplace climate. </w:t>
      </w:r>
    </w:p>
    <w:p w14:paraId="634B2253" w14:textId="00F4A58D" w:rsidR="005E22BD" w:rsidRDefault="000A11B9">
      <w:pPr>
        <w:pStyle w:val="Heading3"/>
        <w:divId w:val="905190427"/>
        <w:rPr>
          <w:rFonts w:eastAsia="Times New Roman" w:cs="Arial"/>
        </w:rPr>
      </w:pPr>
      <w:r>
        <w:rPr>
          <w:rFonts w:eastAsia="Times New Roman" w:cs="Arial"/>
        </w:rPr>
        <w:t>d. Considering the applicant</w:t>
      </w:r>
      <w:r w:rsidR="005663C4">
        <w:rPr>
          <w:rFonts w:eastAsia="Times New Roman" w:cs="Arial"/>
        </w:rPr>
        <w:t>’</w:t>
      </w:r>
      <w:r>
        <w:rPr>
          <w:rFonts w:eastAsia="Times New Roman" w:cs="Arial"/>
        </w:rPr>
        <w:t xml:space="preserve">s key business/organization factors, what are the most significant opportunities, vulnerabilities, and/or gaps (related to data, comparisons, linkages) found in its response to </w:t>
      </w:r>
      <w:r w:rsidR="006A7C2B">
        <w:rPr>
          <w:rFonts w:eastAsia="Times New Roman" w:cs="Arial"/>
        </w:rPr>
        <w:t>r</w:t>
      </w:r>
      <w:r>
        <w:rPr>
          <w:rFonts w:eastAsia="Times New Roman" w:cs="Arial"/>
        </w:rPr>
        <w:t xml:space="preserve">esults </w:t>
      </w:r>
      <w:r w:rsidR="006A7C2B">
        <w:rPr>
          <w:rFonts w:eastAsia="Times New Roman" w:cs="Arial"/>
        </w:rPr>
        <w:t>i</w:t>
      </w:r>
      <w:r>
        <w:rPr>
          <w:rFonts w:eastAsia="Times New Roman" w:cs="Arial"/>
        </w:rPr>
        <w:t>tems?</w:t>
      </w:r>
    </w:p>
    <w:p w14:paraId="5470BBBE" w14:textId="78A9003E" w:rsidR="005E22BD" w:rsidRDefault="000A11B9" w:rsidP="00050D3F">
      <w:pPr>
        <w:numPr>
          <w:ilvl w:val="0"/>
          <w:numId w:val="4"/>
        </w:numPr>
        <w:spacing w:after="120"/>
        <w:divId w:val="905190427"/>
        <w:rPr>
          <w:rFonts w:eastAsia="Times New Roman" w:cs="Arial"/>
          <w:szCs w:val="22"/>
        </w:rPr>
      </w:pPr>
      <w:r>
        <w:rPr>
          <w:rFonts w:eastAsia="Times New Roman" w:cs="Arial"/>
          <w:szCs w:val="22"/>
        </w:rPr>
        <w:t xml:space="preserve">Missing results may prevent the applicant from fully understanding its progress </w:t>
      </w:r>
      <w:r w:rsidR="00DB076B">
        <w:rPr>
          <w:rFonts w:eastAsia="Times New Roman" w:cs="Arial"/>
          <w:szCs w:val="22"/>
        </w:rPr>
        <w:t>in relation to</w:t>
      </w:r>
      <w:r>
        <w:rPr>
          <w:rFonts w:eastAsia="Times New Roman" w:cs="Arial"/>
          <w:szCs w:val="22"/>
        </w:rPr>
        <w:t xml:space="preserve"> its vision to be the best in the nation. </w:t>
      </w:r>
      <w:r w:rsidR="00DB076B">
        <w:rPr>
          <w:rFonts w:eastAsia="Times New Roman" w:cs="Arial"/>
          <w:szCs w:val="22"/>
        </w:rPr>
        <w:t>For example, the applicant does not present r</w:t>
      </w:r>
      <w:r>
        <w:rPr>
          <w:rFonts w:eastAsia="Times New Roman" w:cs="Arial"/>
          <w:szCs w:val="22"/>
        </w:rPr>
        <w:t>esults for</w:t>
      </w:r>
      <w:r w:rsidR="00DB076B">
        <w:rPr>
          <w:rFonts w:eastAsia="Times New Roman" w:cs="Arial"/>
          <w:szCs w:val="22"/>
        </w:rPr>
        <w:t xml:space="preserve"> its</w:t>
      </w:r>
      <w:r>
        <w:rPr>
          <w:rFonts w:eastAsia="Times New Roman" w:cs="Arial"/>
          <w:szCs w:val="22"/>
        </w:rPr>
        <w:t xml:space="preserve"> efforts to close the student achievement gap, a strategic challenge, including </w:t>
      </w:r>
      <w:r w:rsidR="00DB076B">
        <w:rPr>
          <w:rFonts w:eastAsia="Times New Roman" w:cs="Arial"/>
          <w:szCs w:val="22"/>
        </w:rPr>
        <w:t xml:space="preserve">results on </w:t>
      </w:r>
      <w:r>
        <w:rPr>
          <w:rFonts w:eastAsia="Times New Roman" w:cs="Arial"/>
          <w:szCs w:val="22"/>
        </w:rPr>
        <w:t>student use of support services or interventions to promote equitable access. Also</w:t>
      </w:r>
      <w:r w:rsidR="00DB076B">
        <w:rPr>
          <w:rFonts w:eastAsia="Times New Roman" w:cs="Arial"/>
          <w:szCs w:val="22"/>
        </w:rPr>
        <w:t xml:space="preserve"> missing are</w:t>
      </w:r>
      <w:r>
        <w:rPr>
          <w:rFonts w:eastAsia="Times New Roman" w:cs="Arial"/>
          <w:szCs w:val="22"/>
        </w:rPr>
        <w:t xml:space="preserve"> results for </w:t>
      </w:r>
      <w:r w:rsidR="00DB076B">
        <w:rPr>
          <w:rFonts w:eastAsia="Times New Roman" w:cs="Arial"/>
          <w:szCs w:val="22"/>
        </w:rPr>
        <w:t xml:space="preserve">the </w:t>
      </w:r>
      <w:r>
        <w:rPr>
          <w:rFonts w:eastAsia="Times New Roman" w:cs="Arial"/>
          <w:szCs w:val="22"/>
        </w:rPr>
        <w:t xml:space="preserve">satisfaction and engagement of some suppliers and partners, including those for engagement of employers and advisory committee members, technology companies, the community (including the local </w:t>
      </w:r>
      <w:r w:rsidR="006A7C2B">
        <w:rPr>
          <w:rFonts w:eastAsia="Times New Roman" w:cs="Arial"/>
          <w:szCs w:val="22"/>
        </w:rPr>
        <w:t>c</w:t>
      </w:r>
      <w:r>
        <w:rPr>
          <w:rFonts w:eastAsia="Times New Roman" w:cs="Arial"/>
          <w:szCs w:val="22"/>
        </w:rPr>
        <w:t xml:space="preserve">hamber of </w:t>
      </w:r>
      <w:r w:rsidR="006A7C2B">
        <w:rPr>
          <w:rFonts w:eastAsia="Times New Roman" w:cs="Arial"/>
          <w:szCs w:val="22"/>
        </w:rPr>
        <w:t>c</w:t>
      </w:r>
      <w:r>
        <w:rPr>
          <w:rFonts w:eastAsia="Times New Roman" w:cs="Arial"/>
          <w:szCs w:val="22"/>
        </w:rPr>
        <w:t>ommerce), and engagement of lab support providers. Additionally, some key workforce-related results are missing, such as workforce capability results relat</w:t>
      </w:r>
      <w:r w:rsidR="00DB076B">
        <w:rPr>
          <w:rFonts w:eastAsia="Times New Roman" w:cs="Arial"/>
          <w:szCs w:val="22"/>
        </w:rPr>
        <w:t>ed</w:t>
      </w:r>
      <w:r>
        <w:rPr>
          <w:rFonts w:eastAsia="Times New Roman" w:cs="Arial"/>
          <w:szCs w:val="22"/>
        </w:rPr>
        <w:t xml:space="preserve"> to academic credentials or appropriate skills, accessibility results (which may impact inclusion), and participation </w:t>
      </w:r>
      <w:r w:rsidR="00DB076B">
        <w:rPr>
          <w:rFonts w:eastAsia="Times New Roman" w:cs="Arial"/>
          <w:szCs w:val="22"/>
        </w:rPr>
        <w:t xml:space="preserve">in </w:t>
      </w:r>
      <w:r>
        <w:rPr>
          <w:rFonts w:eastAsia="Times New Roman" w:cs="Arial"/>
          <w:szCs w:val="22"/>
        </w:rPr>
        <w:t>and satisfaction with wellness programs (the applicant</w:t>
      </w:r>
      <w:r w:rsidR="005663C4">
        <w:rPr>
          <w:rFonts w:eastAsia="Times New Roman" w:cs="Arial"/>
          <w:szCs w:val="22"/>
        </w:rPr>
        <w:t>’</w:t>
      </w:r>
      <w:r>
        <w:rPr>
          <w:rFonts w:eastAsia="Times New Roman" w:cs="Arial"/>
          <w:szCs w:val="22"/>
        </w:rPr>
        <w:t xml:space="preserve">s indicator of workplace health). </w:t>
      </w:r>
      <w:r w:rsidR="00456897">
        <w:rPr>
          <w:rFonts w:eastAsia="Times New Roman" w:cs="Arial"/>
          <w:szCs w:val="22"/>
        </w:rPr>
        <w:t>Further, a</w:t>
      </w:r>
      <w:r>
        <w:rPr>
          <w:rFonts w:eastAsia="Times New Roman" w:cs="Arial"/>
          <w:szCs w:val="22"/>
        </w:rPr>
        <w:t xml:space="preserve"> number of expected </w:t>
      </w:r>
      <w:r w:rsidR="00456897">
        <w:rPr>
          <w:rFonts w:eastAsia="Times New Roman" w:cs="Arial"/>
          <w:szCs w:val="22"/>
        </w:rPr>
        <w:t xml:space="preserve">leadership and </w:t>
      </w:r>
      <w:r w:rsidR="005E3D0E">
        <w:rPr>
          <w:rFonts w:eastAsia="Times New Roman" w:cs="Arial"/>
          <w:szCs w:val="22"/>
        </w:rPr>
        <w:t>governance</w:t>
      </w:r>
      <w:r w:rsidR="00456897">
        <w:rPr>
          <w:rFonts w:eastAsia="Times New Roman" w:cs="Arial"/>
          <w:szCs w:val="22"/>
        </w:rPr>
        <w:t xml:space="preserve"> </w:t>
      </w:r>
      <w:r>
        <w:rPr>
          <w:rFonts w:eastAsia="Times New Roman" w:cs="Arial"/>
          <w:szCs w:val="22"/>
        </w:rPr>
        <w:t>results are missing</w:t>
      </w:r>
      <w:r w:rsidR="00456897">
        <w:rPr>
          <w:rFonts w:eastAsia="Times New Roman" w:cs="Arial"/>
          <w:szCs w:val="22"/>
        </w:rPr>
        <w:t>, including</w:t>
      </w:r>
      <w:r>
        <w:rPr>
          <w:rFonts w:eastAsia="Times New Roman" w:cs="Arial"/>
          <w:szCs w:val="22"/>
        </w:rPr>
        <w:t xml:space="preserve"> </w:t>
      </w:r>
      <w:r w:rsidR="00456897">
        <w:rPr>
          <w:rFonts w:eastAsia="Times New Roman" w:cs="Arial"/>
          <w:szCs w:val="22"/>
        </w:rPr>
        <w:t xml:space="preserve">measures of </w:t>
      </w:r>
      <w:r>
        <w:rPr>
          <w:rFonts w:eastAsia="Times New Roman" w:cs="Arial"/>
          <w:szCs w:val="22"/>
        </w:rPr>
        <w:t>l</w:t>
      </w:r>
      <w:r w:rsidR="00456897">
        <w:rPr>
          <w:rFonts w:eastAsia="Times New Roman" w:cs="Arial"/>
          <w:szCs w:val="22"/>
        </w:rPr>
        <w:t>egal and</w:t>
      </w:r>
      <w:r>
        <w:rPr>
          <w:rFonts w:eastAsia="Times New Roman" w:cs="Arial"/>
          <w:szCs w:val="22"/>
        </w:rPr>
        <w:t xml:space="preserve"> regulat</w:t>
      </w:r>
      <w:r w:rsidR="00456897">
        <w:rPr>
          <w:rFonts w:eastAsia="Times New Roman" w:cs="Arial"/>
          <w:szCs w:val="22"/>
        </w:rPr>
        <w:t>ory</w:t>
      </w:r>
      <w:r>
        <w:rPr>
          <w:rFonts w:eastAsia="Times New Roman" w:cs="Arial"/>
          <w:szCs w:val="22"/>
        </w:rPr>
        <w:t xml:space="preserve"> </w:t>
      </w:r>
      <w:r w:rsidR="00FC7C2D">
        <w:rPr>
          <w:rFonts w:eastAsia="Times New Roman" w:cs="Arial"/>
          <w:szCs w:val="22"/>
        </w:rPr>
        <w:t>compliance</w:t>
      </w:r>
      <w:r>
        <w:rPr>
          <w:rFonts w:eastAsia="Times New Roman" w:cs="Arial"/>
          <w:szCs w:val="22"/>
        </w:rPr>
        <w:t xml:space="preserve"> and accreditation performance. </w:t>
      </w:r>
      <w:r w:rsidR="00456897">
        <w:rPr>
          <w:rFonts w:eastAsia="Times New Roman" w:cs="Arial"/>
          <w:szCs w:val="22"/>
        </w:rPr>
        <w:t>Other e</w:t>
      </w:r>
      <w:r>
        <w:rPr>
          <w:rFonts w:eastAsia="Times New Roman" w:cs="Arial"/>
          <w:szCs w:val="22"/>
        </w:rPr>
        <w:t xml:space="preserve">xamples </w:t>
      </w:r>
      <w:r w:rsidR="00456897">
        <w:rPr>
          <w:rFonts w:eastAsia="Times New Roman" w:cs="Arial"/>
          <w:szCs w:val="22"/>
        </w:rPr>
        <w:t>are missing</w:t>
      </w:r>
      <w:r>
        <w:rPr>
          <w:rFonts w:eastAsia="Times New Roman" w:cs="Arial"/>
          <w:szCs w:val="22"/>
        </w:rPr>
        <w:t xml:space="preserve"> </w:t>
      </w:r>
      <w:r w:rsidR="00456897">
        <w:rPr>
          <w:rFonts w:eastAsia="Times New Roman" w:cs="Arial"/>
          <w:szCs w:val="22"/>
        </w:rPr>
        <w:t>measures of SL</w:t>
      </w:r>
      <w:r>
        <w:rPr>
          <w:rFonts w:eastAsia="Times New Roman" w:cs="Arial"/>
          <w:szCs w:val="22"/>
        </w:rPr>
        <w:t xml:space="preserve"> communications and engagement with students, Board self-assessments, </w:t>
      </w:r>
      <w:r w:rsidR="00456897">
        <w:rPr>
          <w:rFonts w:eastAsia="Times New Roman" w:cs="Arial"/>
          <w:szCs w:val="22"/>
        </w:rPr>
        <w:t xml:space="preserve">and </w:t>
      </w:r>
      <w:r>
        <w:rPr>
          <w:rFonts w:eastAsia="Times New Roman" w:cs="Arial"/>
          <w:szCs w:val="22"/>
        </w:rPr>
        <w:t xml:space="preserve">grievances and complaints, </w:t>
      </w:r>
      <w:r w:rsidR="00456897">
        <w:rPr>
          <w:rFonts w:eastAsia="Times New Roman" w:cs="Arial"/>
          <w:szCs w:val="22"/>
        </w:rPr>
        <w:t>as well as</w:t>
      </w:r>
      <w:r>
        <w:rPr>
          <w:rFonts w:eastAsia="Times New Roman" w:cs="Arial"/>
          <w:szCs w:val="22"/>
        </w:rPr>
        <w:t xml:space="preserve"> measures addressing risk with educational programs. </w:t>
      </w:r>
      <w:r w:rsidR="00456897">
        <w:rPr>
          <w:rFonts w:eastAsia="Times New Roman" w:cs="Arial"/>
          <w:szCs w:val="22"/>
        </w:rPr>
        <w:t>T</w:t>
      </w:r>
      <w:r>
        <w:rPr>
          <w:rFonts w:eastAsia="Times New Roman" w:cs="Arial"/>
          <w:szCs w:val="22"/>
        </w:rPr>
        <w:t xml:space="preserve">he applicant </w:t>
      </w:r>
      <w:r w:rsidR="00456897">
        <w:rPr>
          <w:rFonts w:eastAsia="Times New Roman" w:cs="Arial"/>
          <w:szCs w:val="22"/>
        </w:rPr>
        <w:t xml:space="preserve">also </w:t>
      </w:r>
      <w:r>
        <w:rPr>
          <w:rFonts w:eastAsia="Times New Roman" w:cs="Arial"/>
          <w:szCs w:val="22"/>
        </w:rPr>
        <w:t xml:space="preserve">has not provided many expected performance results for societal well-being and key community support, including </w:t>
      </w:r>
      <w:r w:rsidR="00456897">
        <w:rPr>
          <w:rFonts w:eastAsia="Times New Roman" w:cs="Arial"/>
          <w:szCs w:val="22"/>
        </w:rPr>
        <w:t>measures</w:t>
      </w:r>
      <w:r>
        <w:rPr>
          <w:rFonts w:eastAsia="Times New Roman" w:cs="Arial"/>
          <w:szCs w:val="22"/>
        </w:rPr>
        <w:t xml:space="preserve"> relat</w:t>
      </w:r>
      <w:r w:rsidR="00456897">
        <w:rPr>
          <w:rFonts w:eastAsia="Times New Roman" w:cs="Arial"/>
          <w:szCs w:val="22"/>
        </w:rPr>
        <w:t>ed</w:t>
      </w:r>
      <w:r>
        <w:rPr>
          <w:rFonts w:eastAsia="Times New Roman" w:cs="Arial"/>
          <w:szCs w:val="22"/>
        </w:rPr>
        <w:t xml:space="preserve"> to students (graduate placements in programs of need</w:t>
      </w:r>
      <w:r w:rsidR="00456897">
        <w:rPr>
          <w:rFonts w:eastAsia="Times New Roman" w:cs="Arial"/>
          <w:szCs w:val="22"/>
        </w:rPr>
        <w:t xml:space="preserve">, </w:t>
      </w:r>
      <w:r>
        <w:rPr>
          <w:rFonts w:eastAsia="Times New Roman" w:cs="Arial"/>
          <w:szCs w:val="22"/>
        </w:rPr>
        <w:t xml:space="preserve">faculty and student events for community benefit), businesses (certification, advisory groups, and </w:t>
      </w:r>
      <w:r w:rsidR="001C09A4">
        <w:rPr>
          <w:rFonts w:eastAsia="Times New Roman" w:cs="Arial"/>
          <w:szCs w:val="22"/>
        </w:rPr>
        <w:t>dual-credit</w:t>
      </w:r>
      <w:r>
        <w:rPr>
          <w:rFonts w:eastAsia="Times New Roman" w:cs="Arial"/>
          <w:szCs w:val="22"/>
        </w:rPr>
        <w:t xml:space="preserve"> programs), and community learning events. Results are also not reported for the socially important indicators of career-placement and readiness, retaining students in higher-income positions, and keeping students local. </w:t>
      </w:r>
    </w:p>
    <w:p w14:paraId="03DF4FF4" w14:textId="12B2EF02" w:rsidR="005E22BD" w:rsidRDefault="000A11B9" w:rsidP="00050D3F">
      <w:pPr>
        <w:numPr>
          <w:ilvl w:val="0"/>
          <w:numId w:val="4"/>
        </w:numPr>
        <w:spacing w:after="120"/>
        <w:divId w:val="905190427"/>
        <w:rPr>
          <w:rFonts w:eastAsia="Times New Roman" w:cs="Arial"/>
          <w:szCs w:val="22"/>
        </w:rPr>
      </w:pPr>
      <w:r>
        <w:rPr>
          <w:rFonts w:eastAsia="Times New Roman" w:cs="Arial"/>
          <w:szCs w:val="22"/>
        </w:rPr>
        <w:t xml:space="preserve">Addressing missing segmentation </w:t>
      </w:r>
      <w:r w:rsidR="00265CE2">
        <w:rPr>
          <w:rFonts w:eastAsia="Times New Roman" w:cs="Arial"/>
          <w:szCs w:val="22"/>
        </w:rPr>
        <w:t>in</w:t>
      </w:r>
      <w:r>
        <w:rPr>
          <w:rFonts w:eastAsia="Times New Roman" w:cs="Arial"/>
          <w:szCs w:val="22"/>
        </w:rPr>
        <w:t xml:space="preserve"> some key results may help the applicant in understanding </w:t>
      </w:r>
      <w:r w:rsidR="00456897">
        <w:rPr>
          <w:rFonts w:eastAsia="Times New Roman" w:cs="Arial"/>
          <w:szCs w:val="22"/>
        </w:rPr>
        <w:t xml:space="preserve">its </w:t>
      </w:r>
      <w:r>
        <w:rPr>
          <w:rFonts w:eastAsia="Times New Roman" w:cs="Arial"/>
          <w:szCs w:val="22"/>
        </w:rPr>
        <w:t xml:space="preserve">performance </w:t>
      </w:r>
      <w:r w:rsidR="00265CE2">
        <w:rPr>
          <w:rFonts w:eastAsia="Times New Roman" w:cs="Arial"/>
          <w:szCs w:val="22"/>
        </w:rPr>
        <w:t xml:space="preserve">in relation to </w:t>
      </w:r>
      <w:r>
        <w:rPr>
          <w:rFonts w:eastAsia="Times New Roman" w:cs="Arial"/>
          <w:szCs w:val="22"/>
        </w:rPr>
        <w:t xml:space="preserve">all key groups or areas. For example, no data are presented for student learning by different student population segments. Indicators of student success, such as </w:t>
      </w:r>
      <w:r w:rsidR="00265CE2">
        <w:rPr>
          <w:rFonts w:eastAsia="Times New Roman" w:cs="Arial"/>
          <w:szCs w:val="22"/>
        </w:rPr>
        <w:t>annual (f</w:t>
      </w:r>
      <w:r>
        <w:rPr>
          <w:rFonts w:eastAsia="Times New Roman" w:cs="Arial"/>
          <w:szCs w:val="22"/>
        </w:rPr>
        <w:t>all-to</w:t>
      </w:r>
      <w:r w:rsidR="00265CE2">
        <w:rPr>
          <w:rFonts w:eastAsia="Times New Roman" w:cs="Arial"/>
          <w:szCs w:val="22"/>
        </w:rPr>
        <w:t>-f</w:t>
      </w:r>
      <w:r>
        <w:rPr>
          <w:rFonts w:eastAsia="Times New Roman" w:cs="Arial"/>
          <w:szCs w:val="22"/>
        </w:rPr>
        <w:t>all</w:t>
      </w:r>
      <w:r w:rsidR="00265CE2">
        <w:rPr>
          <w:rFonts w:eastAsia="Times New Roman" w:cs="Arial"/>
          <w:szCs w:val="22"/>
        </w:rPr>
        <w:t>)</w:t>
      </w:r>
      <w:r>
        <w:rPr>
          <w:rFonts w:eastAsia="Times New Roman" w:cs="Arial"/>
          <w:szCs w:val="22"/>
        </w:rPr>
        <w:t xml:space="preserve"> student persistence rates (Figure 7.1-9), graduation rates (Figure 7.1-3,3b), and number of students transferring to four-year institutions (Figure 7.1-6) are not segmented to provide </w:t>
      </w:r>
      <w:r w:rsidR="00265CE2">
        <w:rPr>
          <w:rFonts w:eastAsia="Times New Roman" w:cs="Arial"/>
          <w:szCs w:val="22"/>
        </w:rPr>
        <w:t>results</w:t>
      </w:r>
      <w:r>
        <w:rPr>
          <w:rFonts w:eastAsia="Times New Roman" w:cs="Arial"/>
          <w:szCs w:val="22"/>
        </w:rPr>
        <w:t xml:space="preserve"> for the </w:t>
      </w:r>
      <w:r w:rsidR="00265CE2">
        <w:rPr>
          <w:rFonts w:eastAsia="Times New Roman" w:cs="Arial"/>
          <w:szCs w:val="22"/>
        </w:rPr>
        <w:t>applicant</w:t>
      </w:r>
      <w:r w:rsidR="005663C4">
        <w:rPr>
          <w:rFonts w:eastAsia="Times New Roman" w:cs="Arial"/>
          <w:szCs w:val="22"/>
        </w:rPr>
        <w:t>’</w:t>
      </w:r>
      <w:r w:rsidR="00265CE2">
        <w:rPr>
          <w:rFonts w:eastAsia="Times New Roman" w:cs="Arial"/>
          <w:szCs w:val="22"/>
        </w:rPr>
        <w:t xml:space="preserve">s </w:t>
      </w:r>
      <w:r>
        <w:rPr>
          <w:rFonts w:eastAsia="Times New Roman" w:cs="Arial"/>
          <w:szCs w:val="22"/>
        </w:rPr>
        <w:t xml:space="preserve">certificate programs, workforce badges, or career preparation courses. Segmentation </w:t>
      </w:r>
      <w:r w:rsidR="00265CE2">
        <w:rPr>
          <w:rFonts w:eastAsia="Times New Roman" w:cs="Arial"/>
          <w:szCs w:val="22"/>
        </w:rPr>
        <w:t xml:space="preserve">of results </w:t>
      </w:r>
      <w:r>
        <w:rPr>
          <w:rFonts w:eastAsia="Times New Roman" w:cs="Arial"/>
          <w:szCs w:val="22"/>
        </w:rPr>
        <w:t>by student sub-groups is missing for measures of satisfaction, dissatisfaction, and engagement</w:t>
      </w:r>
      <w:r w:rsidR="00265CE2">
        <w:rPr>
          <w:rFonts w:eastAsia="Times New Roman" w:cs="Arial"/>
          <w:szCs w:val="22"/>
        </w:rPr>
        <w:t>,</w:t>
      </w:r>
      <w:r>
        <w:rPr>
          <w:rFonts w:eastAsia="Times New Roman" w:cs="Arial"/>
          <w:szCs w:val="22"/>
        </w:rPr>
        <w:t xml:space="preserve"> such as RBM Overall Satisfaction (Figure 7.2-1), Satisfaction with Academic Services (Figure 7.2-3), Level of Student Engagement (Figure 7.2-20), and Percent Students Achieving Goals (Figure 7.2-23). Additionally, workforce-focused results do not show </w:t>
      </w:r>
      <w:r w:rsidR="00265CE2">
        <w:rPr>
          <w:rFonts w:eastAsia="Times New Roman" w:cs="Arial"/>
          <w:szCs w:val="22"/>
        </w:rPr>
        <w:t>data for</w:t>
      </w:r>
      <w:r>
        <w:rPr>
          <w:rFonts w:eastAsia="Times New Roman" w:cs="Arial"/>
          <w:szCs w:val="22"/>
        </w:rPr>
        <w:t xml:space="preserve"> non-tenure</w:t>
      </w:r>
      <w:r w:rsidR="001C09A4">
        <w:rPr>
          <w:rFonts w:eastAsia="Times New Roman" w:cs="Arial"/>
          <w:szCs w:val="22"/>
        </w:rPr>
        <w:t>-track,</w:t>
      </w:r>
      <w:r>
        <w:rPr>
          <w:rFonts w:eastAsia="Times New Roman" w:cs="Arial"/>
          <w:szCs w:val="22"/>
        </w:rPr>
        <w:t xml:space="preserve"> full-time, part-time, and adjunct faculty </w:t>
      </w:r>
      <w:r w:rsidR="00265CE2">
        <w:rPr>
          <w:rFonts w:eastAsia="Times New Roman" w:cs="Arial"/>
          <w:szCs w:val="22"/>
        </w:rPr>
        <w:t>members, particularly</w:t>
      </w:r>
      <w:r>
        <w:rPr>
          <w:rFonts w:eastAsia="Times New Roman" w:cs="Arial"/>
          <w:szCs w:val="22"/>
        </w:rPr>
        <w:t xml:space="preserve"> key indicators such as workforce capacity and capability, climate, engagement, and development. </w:t>
      </w:r>
      <w:r w:rsidR="00265CE2">
        <w:rPr>
          <w:rFonts w:eastAsia="Times New Roman" w:cs="Arial"/>
          <w:szCs w:val="22"/>
        </w:rPr>
        <w:t>M</w:t>
      </w:r>
      <w:r>
        <w:rPr>
          <w:rFonts w:eastAsia="Times New Roman" w:cs="Arial"/>
          <w:szCs w:val="22"/>
        </w:rPr>
        <w:t>ost key leadership, governance</w:t>
      </w:r>
      <w:r w:rsidR="00265CE2">
        <w:rPr>
          <w:rFonts w:eastAsia="Times New Roman" w:cs="Arial"/>
          <w:szCs w:val="22"/>
        </w:rPr>
        <w:t>,</w:t>
      </w:r>
      <w:r>
        <w:rPr>
          <w:rFonts w:eastAsia="Times New Roman" w:cs="Arial"/>
          <w:szCs w:val="22"/>
        </w:rPr>
        <w:t xml:space="preserve"> and societal well-being results </w:t>
      </w:r>
      <w:r w:rsidR="00265CE2">
        <w:rPr>
          <w:rFonts w:eastAsia="Times New Roman" w:cs="Arial"/>
          <w:szCs w:val="22"/>
        </w:rPr>
        <w:t xml:space="preserve">also </w:t>
      </w:r>
      <w:r>
        <w:rPr>
          <w:rFonts w:eastAsia="Times New Roman" w:cs="Arial"/>
          <w:szCs w:val="22"/>
        </w:rPr>
        <w:t xml:space="preserve">lack segmentation. For example, </w:t>
      </w:r>
      <w:r w:rsidR="00265CE2">
        <w:rPr>
          <w:rFonts w:eastAsia="Times New Roman" w:cs="Arial"/>
          <w:szCs w:val="22"/>
        </w:rPr>
        <w:t xml:space="preserve">segmentation of results by </w:t>
      </w:r>
      <w:r>
        <w:rPr>
          <w:rFonts w:eastAsia="Times New Roman" w:cs="Arial"/>
          <w:szCs w:val="22"/>
        </w:rPr>
        <w:t xml:space="preserve">student </w:t>
      </w:r>
      <w:r w:rsidR="00265CE2">
        <w:rPr>
          <w:rFonts w:eastAsia="Times New Roman" w:cs="Arial"/>
          <w:szCs w:val="22"/>
        </w:rPr>
        <w:t xml:space="preserve">groups </w:t>
      </w:r>
      <w:r>
        <w:rPr>
          <w:rFonts w:eastAsia="Times New Roman" w:cs="Arial"/>
          <w:szCs w:val="22"/>
        </w:rPr>
        <w:t>(career seeking vs</w:t>
      </w:r>
      <w:r w:rsidR="00265CE2">
        <w:rPr>
          <w:rFonts w:eastAsia="Times New Roman" w:cs="Arial"/>
          <w:szCs w:val="22"/>
        </w:rPr>
        <w:t>.</w:t>
      </w:r>
      <w:r>
        <w:rPr>
          <w:rFonts w:eastAsia="Times New Roman" w:cs="Arial"/>
          <w:szCs w:val="22"/>
        </w:rPr>
        <w:t xml:space="preserve"> non-career seeking) </w:t>
      </w:r>
      <w:r w:rsidR="00265CE2">
        <w:rPr>
          <w:rFonts w:eastAsia="Times New Roman" w:cs="Arial"/>
          <w:szCs w:val="22"/>
        </w:rPr>
        <w:t>and</w:t>
      </w:r>
      <w:r>
        <w:rPr>
          <w:rFonts w:eastAsia="Times New Roman" w:cs="Arial"/>
          <w:szCs w:val="22"/>
        </w:rPr>
        <w:t xml:space="preserve"> faculty </w:t>
      </w:r>
      <w:r w:rsidR="00265CE2">
        <w:rPr>
          <w:rFonts w:eastAsia="Times New Roman" w:cs="Arial"/>
          <w:szCs w:val="22"/>
        </w:rPr>
        <w:t xml:space="preserve">groups </w:t>
      </w:r>
      <w:r>
        <w:rPr>
          <w:rFonts w:eastAsia="Times New Roman" w:cs="Arial"/>
          <w:szCs w:val="22"/>
        </w:rPr>
        <w:t>(PT vs</w:t>
      </w:r>
      <w:r w:rsidR="00265CE2">
        <w:rPr>
          <w:rFonts w:eastAsia="Times New Roman" w:cs="Arial"/>
          <w:szCs w:val="22"/>
        </w:rPr>
        <w:t>.</w:t>
      </w:r>
      <w:r>
        <w:rPr>
          <w:rFonts w:eastAsia="Times New Roman" w:cs="Arial"/>
          <w:szCs w:val="22"/>
        </w:rPr>
        <w:t xml:space="preserve"> FT) </w:t>
      </w:r>
      <w:r w:rsidR="00265CE2">
        <w:rPr>
          <w:rFonts w:eastAsia="Times New Roman" w:cs="Arial"/>
          <w:szCs w:val="22"/>
        </w:rPr>
        <w:t xml:space="preserve">is lacking in </w:t>
      </w:r>
      <w:r>
        <w:rPr>
          <w:rFonts w:eastAsia="Times New Roman" w:cs="Arial"/>
          <w:szCs w:val="22"/>
        </w:rPr>
        <w:t>Leadership Reinforcement of Values (Figure 7.4-2), Stakeholder Trust in Senior Leaders (Figure 7.4-10), Ethical Environment (Figure 7.4-11</w:t>
      </w:r>
      <w:r w:rsidR="00265CE2">
        <w:rPr>
          <w:rFonts w:eastAsia="Times New Roman" w:cs="Arial"/>
          <w:szCs w:val="22"/>
        </w:rPr>
        <w:t>)</w:t>
      </w:r>
      <w:r>
        <w:rPr>
          <w:rFonts w:eastAsia="Times New Roman" w:cs="Arial"/>
          <w:szCs w:val="22"/>
        </w:rPr>
        <w:t xml:space="preserve">, </w:t>
      </w:r>
      <w:r w:rsidR="00265CE2">
        <w:rPr>
          <w:rFonts w:eastAsia="Times New Roman" w:cs="Arial"/>
          <w:szCs w:val="22"/>
        </w:rPr>
        <w:t>and</w:t>
      </w:r>
      <w:r>
        <w:rPr>
          <w:rFonts w:eastAsia="Times New Roman" w:cs="Arial"/>
          <w:szCs w:val="22"/>
        </w:rPr>
        <w:t xml:space="preserve"> Perception of Walk It Right Ethics Program (Figure 7.4-12). F</w:t>
      </w:r>
      <w:r w:rsidR="00265CE2">
        <w:rPr>
          <w:rFonts w:eastAsia="Times New Roman" w:cs="Arial"/>
          <w:szCs w:val="22"/>
        </w:rPr>
        <w:t>urther</w:t>
      </w:r>
      <w:r>
        <w:rPr>
          <w:rFonts w:eastAsia="Times New Roman" w:cs="Arial"/>
          <w:szCs w:val="22"/>
        </w:rPr>
        <w:t xml:space="preserve">, </w:t>
      </w:r>
      <w:r w:rsidR="00FC7C2D">
        <w:rPr>
          <w:rFonts w:eastAsia="Times New Roman" w:cs="Arial"/>
          <w:szCs w:val="22"/>
        </w:rPr>
        <w:t>no</w:t>
      </w:r>
      <w:r>
        <w:rPr>
          <w:rFonts w:eastAsia="Times New Roman" w:cs="Arial"/>
          <w:szCs w:val="22"/>
        </w:rPr>
        <w:t xml:space="preserve"> results are provided </w:t>
      </w:r>
      <w:r w:rsidR="00265CE2">
        <w:rPr>
          <w:rFonts w:eastAsia="Times New Roman" w:cs="Arial"/>
          <w:szCs w:val="22"/>
        </w:rPr>
        <w:t>on</w:t>
      </w:r>
      <w:r>
        <w:rPr>
          <w:rFonts w:eastAsia="Times New Roman" w:cs="Arial"/>
          <w:szCs w:val="22"/>
        </w:rPr>
        <w:t xml:space="preserve"> the net revenue </w:t>
      </w:r>
      <w:r w:rsidR="00265CE2">
        <w:rPr>
          <w:rFonts w:eastAsia="Times New Roman" w:cs="Arial"/>
          <w:szCs w:val="22"/>
        </w:rPr>
        <w:t xml:space="preserve">related to </w:t>
      </w:r>
      <w:r>
        <w:rPr>
          <w:rFonts w:eastAsia="Times New Roman" w:cs="Arial"/>
          <w:szCs w:val="22"/>
        </w:rPr>
        <w:t>credit/degree students</w:t>
      </w:r>
      <w:r w:rsidR="00265CE2">
        <w:rPr>
          <w:rFonts w:eastAsia="Times New Roman" w:cs="Arial"/>
          <w:szCs w:val="22"/>
        </w:rPr>
        <w:t xml:space="preserve"> who make up</w:t>
      </w:r>
      <w:r>
        <w:rPr>
          <w:rFonts w:eastAsia="Times New Roman" w:cs="Arial"/>
          <w:szCs w:val="22"/>
        </w:rPr>
        <w:t xml:space="preserve"> 70% of the student population</w:t>
      </w:r>
      <w:r w:rsidR="00265CE2">
        <w:rPr>
          <w:rFonts w:eastAsia="Times New Roman" w:cs="Arial"/>
          <w:szCs w:val="22"/>
        </w:rPr>
        <w:t xml:space="preserve"> or on </w:t>
      </w:r>
      <w:r>
        <w:rPr>
          <w:rFonts w:eastAsia="Times New Roman" w:cs="Arial"/>
          <w:szCs w:val="22"/>
        </w:rPr>
        <w:t>affordability by market, educational offering, or student</w:t>
      </w:r>
      <w:r w:rsidR="00893DFC">
        <w:rPr>
          <w:rFonts w:eastAsia="Times New Roman" w:cs="Arial"/>
          <w:szCs w:val="22"/>
        </w:rPr>
        <w:t xml:space="preserve"> group</w:t>
      </w:r>
      <w:r>
        <w:rPr>
          <w:rFonts w:eastAsia="Times New Roman" w:cs="Arial"/>
          <w:szCs w:val="22"/>
        </w:rPr>
        <w:t xml:space="preserve"> </w:t>
      </w:r>
      <w:r w:rsidR="00265CE2">
        <w:rPr>
          <w:rFonts w:eastAsia="Times New Roman" w:cs="Arial"/>
          <w:szCs w:val="22"/>
        </w:rPr>
        <w:t>(</w:t>
      </w:r>
      <w:r>
        <w:rPr>
          <w:rFonts w:eastAsia="Times New Roman" w:cs="Arial"/>
          <w:szCs w:val="22"/>
        </w:rPr>
        <w:t>career seeking, transfer, non-</w:t>
      </w:r>
      <w:r w:rsidR="00FC7C2D">
        <w:rPr>
          <w:rFonts w:eastAsia="Times New Roman" w:cs="Arial"/>
          <w:szCs w:val="22"/>
        </w:rPr>
        <w:t>degree,</w:t>
      </w:r>
      <w:r>
        <w:rPr>
          <w:rFonts w:eastAsia="Times New Roman" w:cs="Arial"/>
          <w:szCs w:val="22"/>
        </w:rPr>
        <w:t xml:space="preserve"> and </w:t>
      </w:r>
      <w:r w:rsidR="00731E04">
        <w:rPr>
          <w:rFonts w:eastAsia="Times New Roman" w:cs="Arial"/>
          <w:szCs w:val="22"/>
        </w:rPr>
        <w:t>dual-credit</w:t>
      </w:r>
      <w:r>
        <w:rPr>
          <w:rFonts w:eastAsia="Times New Roman" w:cs="Arial"/>
          <w:szCs w:val="22"/>
        </w:rPr>
        <w:t xml:space="preserve"> students</w:t>
      </w:r>
      <w:r w:rsidR="00265CE2">
        <w:rPr>
          <w:rFonts w:eastAsia="Times New Roman" w:cs="Arial"/>
          <w:szCs w:val="22"/>
        </w:rPr>
        <w:t>)</w:t>
      </w:r>
      <w:r>
        <w:rPr>
          <w:rFonts w:eastAsia="Times New Roman" w:cs="Arial"/>
          <w:szCs w:val="22"/>
        </w:rPr>
        <w:t xml:space="preserve">. </w:t>
      </w:r>
    </w:p>
    <w:p w14:paraId="290AF4A5" w14:textId="6DA28DFA" w:rsidR="005E22BD" w:rsidRDefault="000A11B9" w:rsidP="00050D3F">
      <w:pPr>
        <w:numPr>
          <w:ilvl w:val="0"/>
          <w:numId w:val="4"/>
        </w:numPr>
        <w:spacing w:after="120"/>
        <w:divId w:val="905190427"/>
        <w:rPr>
          <w:rFonts w:eastAsia="Times New Roman" w:cs="Arial"/>
          <w:szCs w:val="22"/>
        </w:rPr>
      </w:pPr>
      <w:r>
        <w:rPr>
          <w:rFonts w:eastAsia="Times New Roman" w:cs="Arial"/>
          <w:szCs w:val="22"/>
        </w:rPr>
        <w:t>Several key results highlight areas where unfavorable levels, trends</w:t>
      </w:r>
      <w:r w:rsidR="00893DFC">
        <w:rPr>
          <w:rFonts w:eastAsia="Times New Roman" w:cs="Arial"/>
          <w:szCs w:val="22"/>
        </w:rPr>
        <w:t>,</w:t>
      </w:r>
      <w:r>
        <w:rPr>
          <w:rFonts w:eastAsia="Times New Roman" w:cs="Arial"/>
          <w:szCs w:val="22"/>
        </w:rPr>
        <w:t xml:space="preserve"> or comparisons may </w:t>
      </w:r>
      <w:r w:rsidR="00893DFC">
        <w:rPr>
          <w:rFonts w:eastAsia="Times New Roman" w:cs="Arial"/>
          <w:szCs w:val="22"/>
        </w:rPr>
        <w:t xml:space="preserve">limit </w:t>
      </w:r>
      <w:r>
        <w:rPr>
          <w:rFonts w:eastAsia="Times New Roman" w:cs="Arial"/>
          <w:szCs w:val="22"/>
        </w:rPr>
        <w:t>the applicant</w:t>
      </w:r>
      <w:r w:rsidR="005663C4">
        <w:rPr>
          <w:rFonts w:eastAsia="Times New Roman" w:cs="Arial"/>
          <w:szCs w:val="22"/>
        </w:rPr>
        <w:t>’</w:t>
      </w:r>
      <w:r>
        <w:rPr>
          <w:rFonts w:eastAsia="Times New Roman" w:cs="Arial"/>
          <w:szCs w:val="22"/>
        </w:rPr>
        <w:t>s ability to achieve its vision of being the best. For example, the applicant</w:t>
      </w:r>
      <w:r w:rsidR="005663C4">
        <w:rPr>
          <w:rFonts w:eastAsia="Times New Roman" w:cs="Arial"/>
          <w:szCs w:val="22"/>
        </w:rPr>
        <w:t>’</w:t>
      </w:r>
      <w:r>
        <w:rPr>
          <w:rFonts w:eastAsia="Times New Roman" w:cs="Arial"/>
          <w:szCs w:val="22"/>
        </w:rPr>
        <w:t xml:space="preserve">s clock </w:t>
      </w:r>
      <w:r>
        <w:rPr>
          <w:rFonts w:eastAsia="Times New Roman" w:cs="Arial"/>
          <w:szCs w:val="22"/>
        </w:rPr>
        <w:lastRenderedPageBreak/>
        <w:t xml:space="preserve">hours have consistently been below the DASHER </w:t>
      </w:r>
      <w:r w:rsidR="00731E04">
        <w:rPr>
          <w:rFonts w:eastAsia="Times New Roman" w:cs="Arial"/>
          <w:szCs w:val="22"/>
        </w:rPr>
        <w:t>t</w:t>
      </w:r>
      <w:r>
        <w:rPr>
          <w:rFonts w:eastAsia="Times New Roman" w:cs="Arial"/>
          <w:szCs w:val="22"/>
        </w:rPr>
        <w:t xml:space="preserve">op </w:t>
      </w:r>
      <w:r w:rsidR="00731E04">
        <w:rPr>
          <w:rFonts w:eastAsia="Times New Roman" w:cs="Arial"/>
          <w:szCs w:val="22"/>
        </w:rPr>
        <w:t>p</w:t>
      </w:r>
      <w:r>
        <w:rPr>
          <w:rFonts w:eastAsia="Times New Roman" w:cs="Arial"/>
          <w:szCs w:val="22"/>
        </w:rPr>
        <w:t xml:space="preserve">eer, </w:t>
      </w:r>
      <w:r w:rsidR="00893DFC">
        <w:rPr>
          <w:rFonts w:eastAsia="Times New Roman" w:cs="Arial"/>
          <w:szCs w:val="22"/>
        </w:rPr>
        <w:t xml:space="preserve">the </w:t>
      </w:r>
      <w:r w:rsidR="006A7C2B">
        <w:rPr>
          <w:rFonts w:eastAsia="Times New Roman" w:cs="Arial"/>
          <w:szCs w:val="22"/>
        </w:rPr>
        <w:t>National Community College Benchmarking Project (</w:t>
      </w:r>
      <w:r>
        <w:rPr>
          <w:rFonts w:eastAsia="Times New Roman" w:cs="Arial"/>
          <w:szCs w:val="22"/>
        </w:rPr>
        <w:t>NCCBP</w:t>
      </w:r>
      <w:r w:rsidR="006A7C2B">
        <w:rPr>
          <w:rFonts w:eastAsia="Times New Roman" w:cs="Arial"/>
          <w:szCs w:val="22"/>
        </w:rPr>
        <w:t>)</w:t>
      </w:r>
      <w:r>
        <w:rPr>
          <w:rFonts w:eastAsia="Times New Roman" w:cs="Arial"/>
          <w:szCs w:val="22"/>
        </w:rPr>
        <w:t xml:space="preserve"> 90th percentile</w:t>
      </w:r>
      <w:r w:rsidR="00893DFC">
        <w:rPr>
          <w:rFonts w:eastAsia="Times New Roman" w:cs="Arial"/>
          <w:szCs w:val="22"/>
        </w:rPr>
        <w:t>,</w:t>
      </w:r>
      <w:r>
        <w:rPr>
          <w:rFonts w:eastAsia="Times New Roman" w:cs="Arial"/>
          <w:szCs w:val="22"/>
        </w:rPr>
        <w:t xml:space="preserve"> and the IPE</w:t>
      </w:r>
      <w:r w:rsidR="007B4856">
        <w:rPr>
          <w:rFonts w:eastAsia="Times New Roman" w:cs="Arial"/>
          <w:szCs w:val="22"/>
        </w:rPr>
        <w:t>Ex2</w:t>
      </w:r>
      <w:r>
        <w:rPr>
          <w:rFonts w:eastAsia="Times New Roman" w:cs="Arial"/>
          <w:szCs w:val="22"/>
        </w:rPr>
        <w:t xml:space="preserve"> </w:t>
      </w:r>
      <w:r w:rsidR="00731E04">
        <w:rPr>
          <w:rFonts w:eastAsia="Times New Roman" w:cs="Arial"/>
          <w:szCs w:val="22"/>
        </w:rPr>
        <w:t>t</w:t>
      </w:r>
      <w:r>
        <w:rPr>
          <w:rFonts w:eastAsia="Times New Roman" w:cs="Arial"/>
          <w:szCs w:val="22"/>
        </w:rPr>
        <w:t xml:space="preserve">op </w:t>
      </w:r>
      <w:r w:rsidR="00731E04">
        <w:rPr>
          <w:rFonts w:eastAsia="Times New Roman" w:cs="Arial"/>
          <w:szCs w:val="22"/>
        </w:rPr>
        <w:t>q</w:t>
      </w:r>
      <w:r>
        <w:rPr>
          <w:rFonts w:eastAsia="Times New Roman" w:cs="Arial"/>
          <w:szCs w:val="22"/>
        </w:rPr>
        <w:t>uartile (Fig</w:t>
      </w:r>
      <w:r w:rsidR="00893DFC">
        <w:rPr>
          <w:rFonts w:eastAsia="Times New Roman" w:cs="Arial"/>
          <w:szCs w:val="22"/>
        </w:rPr>
        <w:t>ure</w:t>
      </w:r>
      <w:r>
        <w:rPr>
          <w:rFonts w:eastAsia="Times New Roman" w:cs="Arial"/>
          <w:szCs w:val="22"/>
        </w:rPr>
        <w:t xml:space="preserve"> 7.5-13)</w:t>
      </w:r>
      <w:r w:rsidR="00893DFC">
        <w:rPr>
          <w:rFonts w:eastAsia="Times New Roman" w:cs="Arial"/>
          <w:szCs w:val="22"/>
        </w:rPr>
        <w:t>,</w:t>
      </w:r>
      <w:r>
        <w:rPr>
          <w:rFonts w:eastAsia="Times New Roman" w:cs="Arial"/>
          <w:szCs w:val="22"/>
        </w:rPr>
        <w:t xml:space="preserve"> and </w:t>
      </w:r>
      <w:r w:rsidR="00893DFC">
        <w:rPr>
          <w:rFonts w:eastAsia="Times New Roman" w:cs="Arial"/>
          <w:szCs w:val="22"/>
        </w:rPr>
        <w:t xml:space="preserve">its </w:t>
      </w:r>
      <w:r>
        <w:rPr>
          <w:rFonts w:eastAsia="Times New Roman" w:cs="Arial"/>
          <w:szCs w:val="22"/>
        </w:rPr>
        <w:t xml:space="preserve">market share </w:t>
      </w:r>
      <w:r w:rsidR="00893DFC">
        <w:rPr>
          <w:rFonts w:eastAsia="Times New Roman" w:cs="Arial"/>
          <w:szCs w:val="22"/>
        </w:rPr>
        <w:t>for</w:t>
      </w:r>
      <w:r>
        <w:rPr>
          <w:rFonts w:eastAsia="Times New Roman" w:cs="Arial"/>
          <w:szCs w:val="22"/>
        </w:rPr>
        <w:t xml:space="preserve"> credit students has been flat over the last five years and below </w:t>
      </w:r>
      <w:r w:rsidR="00893DFC">
        <w:rPr>
          <w:rFonts w:eastAsia="Times New Roman" w:cs="Arial"/>
          <w:szCs w:val="22"/>
        </w:rPr>
        <w:t xml:space="preserve">the </w:t>
      </w:r>
      <w:r>
        <w:rPr>
          <w:rFonts w:eastAsia="Times New Roman" w:cs="Arial"/>
          <w:szCs w:val="22"/>
        </w:rPr>
        <w:t>Dasher and NCCBP benchmarks (Fig</w:t>
      </w:r>
      <w:r w:rsidR="00893DFC">
        <w:rPr>
          <w:rFonts w:eastAsia="Times New Roman" w:cs="Arial"/>
          <w:szCs w:val="22"/>
        </w:rPr>
        <w:t>ure</w:t>
      </w:r>
      <w:r>
        <w:rPr>
          <w:rFonts w:eastAsia="Times New Roman" w:cs="Arial"/>
          <w:szCs w:val="22"/>
        </w:rPr>
        <w:t xml:space="preserve"> 7.5-11). Even during a move to remote operations precipitated by the pandemic, safety drop</w:t>
      </w:r>
      <w:r w:rsidR="00893DFC">
        <w:rPr>
          <w:rFonts w:eastAsia="Times New Roman" w:cs="Arial"/>
          <w:szCs w:val="22"/>
        </w:rPr>
        <w:t>-</w:t>
      </w:r>
      <w:r>
        <w:rPr>
          <w:rFonts w:eastAsia="Times New Roman" w:cs="Arial"/>
          <w:szCs w:val="22"/>
        </w:rPr>
        <w:t xml:space="preserve">box inputs have remained higher than pre-pandemic levels in 2018 (Figure 7.1-19). </w:t>
      </w:r>
      <w:r w:rsidR="00893DFC">
        <w:rPr>
          <w:rFonts w:eastAsia="Times New Roman" w:cs="Arial"/>
          <w:szCs w:val="22"/>
        </w:rPr>
        <w:t>In addition, b</w:t>
      </w:r>
      <w:r>
        <w:rPr>
          <w:rFonts w:eastAsia="Times New Roman" w:cs="Arial"/>
          <w:szCs w:val="22"/>
        </w:rPr>
        <w:t xml:space="preserve">oth the Canter and CEE surveys indicate that </w:t>
      </w:r>
      <w:r w:rsidR="006A7C2B">
        <w:rPr>
          <w:rFonts w:eastAsia="Times New Roman" w:cs="Arial"/>
          <w:szCs w:val="22"/>
        </w:rPr>
        <w:t xml:space="preserve">engagement </w:t>
      </w:r>
      <w:r w:rsidR="00893DFC">
        <w:rPr>
          <w:rFonts w:eastAsia="Times New Roman" w:cs="Arial"/>
          <w:szCs w:val="22"/>
        </w:rPr>
        <w:t xml:space="preserve">results for the </w:t>
      </w:r>
      <w:r>
        <w:rPr>
          <w:rFonts w:eastAsia="Times New Roman" w:cs="Arial"/>
          <w:szCs w:val="22"/>
        </w:rPr>
        <w:t xml:space="preserve">staff </w:t>
      </w:r>
      <w:r w:rsidR="00893DFC">
        <w:rPr>
          <w:rFonts w:eastAsia="Times New Roman" w:cs="Arial"/>
          <w:szCs w:val="22"/>
        </w:rPr>
        <w:t xml:space="preserve">segment </w:t>
      </w:r>
      <w:r>
        <w:rPr>
          <w:rFonts w:eastAsia="Times New Roman" w:cs="Arial"/>
          <w:szCs w:val="22"/>
        </w:rPr>
        <w:t>are lower for all workforce engagement factors (Figures 7.3-9</w:t>
      </w:r>
      <w:r w:rsidR="00893DFC">
        <w:rPr>
          <w:rFonts w:eastAsia="Times New Roman" w:cs="Arial"/>
          <w:szCs w:val="22"/>
        </w:rPr>
        <w:t xml:space="preserve"> and 7.3-</w:t>
      </w:r>
      <w:r>
        <w:rPr>
          <w:rFonts w:eastAsia="Times New Roman" w:cs="Arial"/>
          <w:szCs w:val="22"/>
        </w:rPr>
        <w:t xml:space="preserve">10) than for other workforce segments. </w:t>
      </w:r>
      <w:r w:rsidR="000F7CD0">
        <w:rPr>
          <w:rFonts w:eastAsia="Times New Roman" w:cs="Arial"/>
          <w:szCs w:val="22"/>
        </w:rPr>
        <w:t>Lower results for t</w:t>
      </w:r>
      <w:r>
        <w:rPr>
          <w:rFonts w:eastAsia="Times New Roman" w:cs="Arial"/>
          <w:szCs w:val="22"/>
        </w:rPr>
        <w:t>h</w:t>
      </w:r>
      <w:r w:rsidR="000F7CD0">
        <w:rPr>
          <w:rFonts w:eastAsia="Times New Roman" w:cs="Arial"/>
          <w:szCs w:val="22"/>
        </w:rPr>
        <w:t>e staff segment relative</w:t>
      </w:r>
      <w:r>
        <w:rPr>
          <w:rFonts w:eastAsia="Times New Roman" w:cs="Arial"/>
          <w:szCs w:val="22"/>
        </w:rPr>
        <w:t xml:space="preserve"> to faculty and administrator</w:t>
      </w:r>
      <w:r w:rsidR="000F7CD0">
        <w:rPr>
          <w:rFonts w:eastAsia="Times New Roman" w:cs="Arial"/>
          <w:szCs w:val="22"/>
        </w:rPr>
        <w:t xml:space="preserve"> segment</w:t>
      </w:r>
      <w:r>
        <w:rPr>
          <w:rFonts w:eastAsia="Times New Roman" w:cs="Arial"/>
          <w:szCs w:val="22"/>
        </w:rPr>
        <w:t xml:space="preserve">s </w:t>
      </w:r>
      <w:r w:rsidR="006A7C2B">
        <w:rPr>
          <w:rFonts w:eastAsia="Times New Roman" w:cs="Arial"/>
          <w:szCs w:val="22"/>
        </w:rPr>
        <w:t>are</w:t>
      </w:r>
      <w:r w:rsidR="000F7CD0">
        <w:rPr>
          <w:rFonts w:eastAsia="Times New Roman" w:cs="Arial"/>
          <w:szCs w:val="22"/>
        </w:rPr>
        <w:t xml:space="preserve"> also reflected </w:t>
      </w:r>
      <w:r>
        <w:rPr>
          <w:rFonts w:eastAsia="Times New Roman" w:cs="Arial"/>
          <w:szCs w:val="22"/>
        </w:rPr>
        <w:t xml:space="preserve">in </w:t>
      </w:r>
      <w:r w:rsidR="000F7CD0">
        <w:rPr>
          <w:rFonts w:eastAsia="Times New Roman" w:cs="Arial"/>
          <w:szCs w:val="22"/>
        </w:rPr>
        <w:t xml:space="preserve">the measures showing </w:t>
      </w:r>
      <w:r>
        <w:rPr>
          <w:rFonts w:eastAsia="Times New Roman" w:cs="Arial"/>
          <w:szCs w:val="22"/>
        </w:rPr>
        <w:t xml:space="preserve">lower investment </w:t>
      </w:r>
      <w:r w:rsidR="000F7CD0">
        <w:rPr>
          <w:rFonts w:eastAsia="Times New Roman" w:cs="Arial"/>
          <w:szCs w:val="22"/>
        </w:rPr>
        <w:t>in</w:t>
      </w:r>
      <w:r>
        <w:rPr>
          <w:rFonts w:eastAsia="Times New Roman" w:cs="Arial"/>
          <w:szCs w:val="22"/>
        </w:rPr>
        <w:t xml:space="preserve"> staff learning and development (Figure 7.3-13), lower satisfaction for this work</w:t>
      </w:r>
      <w:r w:rsidR="000F7CD0">
        <w:rPr>
          <w:rFonts w:eastAsia="Times New Roman" w:cs="Arial"/>
          <w:szCs w:val="22"/>
        </w:rPr>
        <w:t xml:space="preserve"> </w:t>
      </w:r>
      <w:r>
        <w:rPr>
          <w:rFonts w:eastAsia="Times New Roman" w:cs="Arial"/>
          <w:szCs w:val="22"/>
        </w:rPr>
        <w:t>group with Bright Star peer</w:t>
      </w:r>
      <w:r w:rsidR="000F7CD0">
        <w:rPr>
          <w:rFonts w:eastAsia="Times New Roman" w:cs="Arial"/>
          <w:szCs w:val="22"/>
        </w:rPr>
        <w:t xml:space="preserve"> </w:t>
      </w:r>
      <w:r>
        <w:rPr>
          <w:rFonts w:eastAsia="Times New Roman" w:cs="Arial"/>
          <w:szCs w:val="22"/>
        </w:rPr>
        <w:t>mentoring (Figure 7.3-14), lower participation in leadership development (Figure 7.3-15)</w:t>
      </w:r>
      <w:r w:rsidR="000F7CD0">
        <w:rPr>
          <w:rFonts w:eastAsia="Times New Roman" w:cs="Arial"/>
          <w:szCs w:val="22"/>
        </w:rPr>
        <w:t>,</w:t>
      </w:r>
      <w:r>
        <w:rPr>
          <w:rFonts w:eastAsia="Times New Roman" w:cs="Arial"/>
          <w:szCs w:val="22"/>
        </w:rPr>
        <w:t xml:space="preserve"> and </w:t>
      </w:r>
      <w:r w:rsidR="000F7CD0">
        <w:rPr>
          <w:rFonts w:eastAsia="Times New Roman" w:cs="Arial"/>
          <w:szCs w:val="22"/>
        </w:rPr>
        <w:t xml:space="preserve">an </w:t>
      </w:r>
      <w:r>
        <w:rPr>
          <w:rFonts w:eastAsia="Times New Roman" w:cs="Arial"/>
          <w:szCs w:val="22"/>
        </w:rPr>
        <w:t xml:space="preserve">uneven </w:t>
      </w:r>
      <w:r w:rsidR="006A7C2B">
        <w:rPr>
          <w:rFonts w:eastAsia="Times New Roman" w:cs="Arial"/>
          <w:szCs w:val="22"/>
        </w:rPr>
        <w:t xml:space="preserve">trend for </w:t>
      </w:r>
      <w:r>
        <w:rPr>
          <w:rFonts w:eastAsia="Times New Roman" w:cs="Arial"/>
          <w:szCs w:val="22"/>
        </w:rPr>
        <w:t>attrition. F</w:t>
      </w:r>
      <w:r w:rsidR="000F7CD0">
        <w:rPr>
          <w:rFonts w:eastAsia="Times New Roman" w:cs="Arial"/>
          <w:szCs w:val="22"/>
        </w:rPr>
        <w:t xml:space="preserve">urther </w:t>
      </w:r>
      <w:r w:rsidR="000A32FD">
        <w:rPr>
          <w:rFonts w:eastAsia="Times New Roman" w:cs="Arial"/>
          <w:szCs w:val="22"/>
        </w:rPr>
        <w:t xml:space="preserve">demonstrating </w:t>
      </w:r>
      <w:r w:rsidR="000F7CD0">
        <w:rPr>
          <w:rFonts w:eastAsia="Times New Roman" w:cs="Arial"/>
          <w:szCs w:val="22"/>
        </w:rPr>
        <w:t>performance that may limit the applicant</w:t>
      </w:r>
      <w:r w:rsidR="005663C4">
        <w:rPr>
          <w:rFonts w:eastAsia="Times New Roman" w:cs="Arial"/>
          <w:szCs w:val="22"/>
        </w:rPr>
        <w:t>’</w:t>
      </w:r>
      <w:r w:rsidR="000F7CD0">
        <w:rPr>
          <w:rFonts w:eastAsia="Times New Roman" w:cs="Arial"/>
          <w:szCs w:val="22"/>
        </w:rPr>
        <w:t xml:space="preserve">s </w:t>
      </w:r>
      <w:r w:rsidR="000A32FD">
        <w:rPr>
          <w:rFonts w:eastAsia="Times New Roman" w:cs="Arial"/>
          <w:szCs w:val="22"/>
        </w:rPr>
        <w:t>advancement</w:t>
      </w:r>
      <w:r>
        <w:rPr>
          <w:rFonts w:eastAsia="Times New Roman" w:cs="Arial"/>
          <w:szCs w:val="22"/>
        </w:rPr>
        <w:t>, seven of the applicant</w:t>
      </w:r>
      <w:r w:rsidR="005663C4">
        <w:rPr>
          <w:rFonts w:eastAsia="Times New Roman" w:cs="Arial"/>
          <w:szCs w:val="22"/>
        </w:rPr>
        <w:t>’</w:t>
      </w:r>
      <w:r>
        <w:rPr>
          <w:rFonts w:eastAsia="Times New Roman" w:cs="Arial"/>
          <w:szCs w:val="22"/>
        </w:rPr>
        <w:t>s 15 strategic goals have a red status</w:t>
      </w:r>
      <w:r w:rsidR="000F7CD0">
        <w:rPr>
          <w:rFonts w:eastAsia="Times New Roman" w:cs="Arial"/>
          <w:szCs w:val="22"/>
        </w:rPr>
        <w:t>,</w:t>
      </w:r>
      <w:r>
        <w:rPr>
          <w:rFonts w:eastAsia="Times New Roman" w:cs="Arial"/>
          <w:szCs w:val="22"/>
        </w:rPr>
        <w:t xml:space="preserve"> indicating </w:t>
      </w:r>
      <w:r w:rsidR="000F7CD0">
        <w:rPr>
          <w:rFonts w:eastAsia="Times New Roman" w:cs="Arial"/>
          <w:szCs w:val="22"/>
        </w:rPr>
        <w:t xml:space="preserve">that </w:t>
      </w:r>
      <w:r>
        <w:rPr>
          <w:rFonts w:eastAsia="Times New Roman" w:cs="Arial"/>
          <w:szCs w:val="22"/>
        </w:rPr>
        <w:t>they have not been met, and many action plans (Fig</w:t>
      </w:r>
      <w:r w:rsidR="000F7CD0">
        <w:rPr>
          <w:rFonts w:eastAsia="Times New Roman" w:cs="Arial"/>
          <w:szCs w:val="22"/>
        </w:rPr>
        <w:t>ure</w:t>
      </w:r>
      <w:r>
        <w:rPr>
          <w:rFonts w:eastAsia="Times New Roman" w:cs="Arial"/>
          <w:szCs w:val="22"/>
        </w:rPr>
        <w:t xml:space="preserve"> 7.5-18) </w:t>
      </w:r>
      <w:r w:rsidR="000F7CD0">
        <w:rPr>
          <w:rFonts w:eastAsia="Times New Roman" w:cs="Arial"/>
          <w:szCs w:val="22"/>
        </w:rPr>
        <w:t>have a</w:t>
      </w:r>
      <w:r>
        <w:rPr>
          <w:rFonts w:eastAsia="Times New Roman" w:cs="Arial"/>
          <w:szCs w:val="22"/>
        </w:rPr>
        <w:t xml:space="preserve"> red or yellow status. </w:t>
      </w:r>
    </w:p>
    <w:p w14:paraId="102DAB4E" w14:textId="43119000" w:rsidR="00E816F5" w:rsidRDefault="00E816F5">
      <w:pPr>
        <w:spacing w:after="0"/>
        <w:rPr>
          <w:rFonts w:eastAsia="Times New Roman" w:cs="Arial"/>
          <w:szCs w:val="22"/>
        </w:rPr>
      </w:pPr>
      <w:r>
        <w:rPr>
          <w:rFonts w:eastAsia="Times New Roman" w:cs="Arial"/>
          <w:szCs w:val="22"/>
        </w:rPr>
        <w:br w:type="page"/>
      </w:r>
    </w:p>
    <w:p w14:paraId="66301309"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1.1</w:t>
      </w:r>
    </w:p>
    <w:p w14:paraId="5D57287E" w14:textId="77777777" w:rsidR="005E22BD" w:rsidRDefault="000A11B9">
      <w:pPr>
        <w:pStyle w:val="Heading2"/>
        <w:divId w:val="905190427"/>
        <w:rPr>
          <w:rFonts w:eastAsia="Times New Roman" w:cs="Arial"/>
        </w:rPr>
      </w:pPr>
      <w:r>
        <w:rPr>
          <w:rFonts w:eastAsia="Times New Roman" w:cs="Arial"/>
        </w:rPr>
        <w:t>Senior Leadership</w:t>
      </w:r>
    </w:p>
    <w:p w14:paraId="73B95D03" w14:textId="77777777" w:rsidR="005E22BD" w:rsidRDefault="000A11B9">
      <w:pPr>
        <w:pStyle w:val="Heading3"/>
        <w:divId w:val="905190427"/>
        <w:rPr>
          <w:rFonts w:eastAsia="Times New Roman" w:cs="Arial"/>
        </w:rPr>
      </w:pPr>
      <w:r>
        <w:rPr>
          <w:rFonts w:eastAsia="Times New Roman" w:cs="Arial"/>
        </w:rPr>
        <w:t>Relevant Key Factors</w:t>
      </w:r>
    </w:p>
    <w:p w14:paraId="293223DE" w14:textId="77777777" w:rsidR="005E22BD" w:rsidRDefault="000A11B9">
      <w:pPr>
        <w:numPr>
          <w:ilvl w:val="0"/>
          <w:numId w:val="5"/>
        </w:numPr>
        <w:spacing w:before="100" w:beforeAutospacing="1" w:after="100" w:afterAutospacing="1"/>
        <w:divId w:val="905190427"/>
        <w:rPr>
          <w:rFonts w:eastAsia="Times New Roman" w:cs="Arial"/>
          <w:szCs w:val="22"/>
        </w:rPr>
      </w:pPr>
      <w:r>
        <w:rPr>
          <w:rFonts w:eastAsia="Times New Roman" w:cs="Arial"/>
          <w:szCs w:val="22"/>
        </w:rPr>
        <w:t>Mission</w:t>
      </w:r>
      <w:r w:rsidR="000834C7">
        <w:rPr>
          <w:rFonts w:eastAsia="Times New Roman" w:cs="Arial"/>
          <w:szCs w:val="22"/>
        </w:rPr>
        <w:t>—</w:t>
      </w:r>
      <w:r>
        <w:rPr>
          <w:rFonts w:eastAsia="Times New Roman" w:cs="Arial"/>
          <w:szCs w:val="22"/>
        </w:rPr>
        <w:t>Empowering students to be successful in the workforce and their communities; Vision</w:t>
      </w:r>
      <w:r w:rsidR="000834C7">
        <w:rPr>
          <w:rFonts w:eastAsia="Times New Roman" w:cs="Arial"/>
          <w:szCs w:val="22"/>
        </w:rPr>
        <w:t>—</w:t>
      </w:r>
      <w:r>
        <w:rPr>
          <w:rFonts w:eastAsia="Times New Roman" w:cs="Arial"/>
          <w:szCs w:val="22"/>
        </w:rPr>
        <w:t>Will be the best in the nation in providing students with accessibility, affordability, career-readiness, and social responsibility. Values</w:t>
      </w:r>
      <w:r w:rsidR="000834C7">
        <w:rPr>
          <w:rFonts w:eastAsia="Times New Roman" w:cs="Arial"/>
          <w:szCs w:val="22"/>
        </w:rPr>
        <w:t>—</w:t>
      </w:r>
      <w:r>
        <w:rPr>
          <w:rFonts w:eastAsia="Times New Roman" w:cs="Arial"/>
          <w:szCs w:val="22"/>
        </w:rPr>
        <w:t>Students First; Community-Engaged; Collaboration; Partnership Excellence</w:t>
      </w:r>
    </w:p>
    <w:p w14:paraId="47959C95" w14:textId="0FD218B0" w:rsidR="00B52F91" w:rsidRDefault="000A11B9">
      <w:pPr>
        <w:numPr>
          <w:ilvl w:val="0"/>
          <w:numId w:val="5"/>
        </w:numPr>
        <w:spacing w:before="100" w:beforeAutospacing="1" w:after="100" w:afterAutospacing="1"/>
        <w:divId w:val="905190427"/>
        <w:rPr>
          <w:rFonts w:eastAsia="Times New Roman" w:cs="Arial"/>
          <w:szCs w:val="22"/>
        </w:rPr>
      </w:pPr>
      <w:r>
        <w:rPr>
          <w:rFonts w:eastAsia="Times New Roman" w:cs="Arial"/>
          <w:szCs w:val="22"/>
        </w:rPr>
        <w:t>Tenured</w:t>
      </w:r>
      <w:r w:rsidR="009C211C">
        <w:rPr>
          <w:rFonts w:eastAsia="Times New Roman" w:cs="Arial"/>
          <w:szCs w:val="22"/>
        </w:rPr>
        <w:t>/</w:t>
      </w:r>
      <w:r>
        <w:rPr>
          <w:rFonts w:eastAsia="Times New Roman" w:cs="Arial"/>
          <w:szCs w:val="22"/>
        </w:rPr>
        <w:t>tenure-track faculty (250); Adjunct</w:t>
      </w:r>
      <w:r w:rsidR="009C211C">
        <w:rPr>
          <w:rFonts w:eastAsia="Times New Roman" w:cs="Arial"/>
          <w:szCs w:val="22"/>
        </w:rPr>
        <w:t>/</w:t>
      </w:r>
      <w:r>
        <w:rPr>
          <w:rFonts w:eastAsia="Times New Roman" w:cs="Arial"/>
          <w:szCs w:val="22"/>
        </w:rPr>
        <w:t>non-tenure</w:t>
      </w:r>
      <w:r w:rsidR="009C211C">
        <w:rPr>
          <w:rFonts w:eastAsia="Times New Roman" w:cs="Arial"/>
          <w:szCs w:val="22"/>
        </w:rPr>
        <w:t>-</w:t>
      </w:r>
      <w:r>
        <w:rPr>
          <w:rFonts w:eastAsia="Times New Roman" w:cs="Arial"/>
          <w:szCs w:val="22"/>
        </w:rPr>
        <w:t xml:space="preserve">track faculty, FT &amp; PT (200); </w:t>
      </w:r>
      <w:r w:rsidR="00235345">
        <w:rPr>
          <w:rFonts w:eastAsia="Times New Roman" w:cs="Arial"/>
          <w:szCs w:val="22"/>
        </w:rPr>
        <w:t>management (60); professional support (250); support (400); temp.</w:t>
      </w:r>
      <w:r>
        <w:rPr>
          <w:rFonts w:eastAsia="Times New Roman" w:cs="Arial"/>
          <w:szCs w:val="22"/>
        </w:rPr>
        <w:t xml:space="preserve"> (50)</w:t>
      </w:r>
      <w:r w:rsidR="00B52F91">
        <w:rPr>
          <w:rFonts w:eastAsia="Times New Roman" w:cs="Arial"/>
          <w:szCs w:val="22"/>
        </w:rPr>
        <w:t>.</w:t>
      </w:r>
    </w:p>
    <w:p w14:paraId="4A164A46" w14:textId="1327B08C" w:rsidR="005E22BD" w:rsidRDefault="000A11B9">
      <w:pPr>
        <w:numPr>
          <w:ilvl w:val="0"/>
          <w:numId w:val="5"/>
        </w:numPr>
        <w:spacing w:before="100" w:beforeAutospacing="1" w:after="100" w:afterAutospacing="1"/>
        <w:divId w:val="905190427"/>
        <w:rPr>
          <w:rFonts w:eastAsia="Times New Roman" w:cs="Arial"/>
          <w:szCs w:val="22"/>
        </w:rPr>
      </w:pPr>
      <w:r>
        <w:rPr>
          <w:rFonts w:eastAsia="Times New Roman" w:cs="Arial"/>
          <w:szCs w:val="22"/>
        </w:rPr>
        <w:t>CPBT is governing</w:t>
      </w:r>
      <w:r w:rsidR="009C211C">
        <w:rPr>
          <w:rFonts w:eastAsia="Times New Roman" w:cs="Arial"/>
          <w:szCs w:val="22"/>
        </w:rPr>
        <w:t>/</w:t>
      </w:r>
      <w:r>
        <w:rPr>
          <w:rFonts w:eastAsia="Times New Roman" w:cs="Arial"/>
          <w:szCs w:val="22"/>
        </w:rPr>
        <w:t>policy-setting body; President is CEO</w:t>
      </w:r>
      <w:r w:rsidR="009C211C">
        <w:rPr>
          <w:rFonts w:eastAsia="Times New Roman" w:cs="Arial"/>
          <w:szCs w:val="22"/>
        </w:rPr>
        <w:t>,</w:t>
      </w:r>
      <w:r>
        <w:rPr>
          <w:rFonts w:eastAsia="Times New Roman" w:cs="Arial"/>
          <w:szCs w:val="22"/>
        </w:rPr>
        <w:t xml:space="preserve"> reports to the Chancellor</w:t>
      </w:r>
      <w:r w:rsidR="009C211C">
        <w:rPr>
          <w:rFonts w:eastAsia="Times New Roman" w:cs="Arial"/>
          <w:szCs w:val="22"/>
        </w:rPr>
        <w:t>,</w:t>
      </w:r>
      <w:r>
        <w:rPr>
          <w:rFonts w:eastAsia="Times New Roman" w:cs="Arial"/>
          <w:szCs w:val="22"/>
        </w:rPr>
        <w:t xml:space="preserve"> who reports to CPBT; President</w:t>
      </w:r>
      <w:r w:rsidR="005663C4">
        <w:rPr>
          <w:rFonts w:eastAsia="Times New Roman" w:cs="Arial"/>
          <w:szCs w:val="22"/>
        </w:rPr>
        <w:t>’</w:t>
      </w:r>
      <w:r>
        <w:rPr>
          <w:rFonts w:eastAsia="Times New Roman" w:cs="Arial"/>
          <w:szCs w:val="22"/>
        </w:rPr>
        <w:t>s Team (</w:t>
      </w:r>
      <w:r w:rsidR="009C211C">
        <w:rPr>
          <w:rFonts w:eastAsia="Times New Roman" w:cs="Arial"/>
          <w:szCs w:val="22"/>
        </w:rPr>
        <w:t>senior leaders</w:t>
      </w:r>
      <w:r>
        <w:rPr>
          <w:rFonts w:eastAsia="Times New Roman" w:cs="Arial"/>
          <w:szCs w:val="22"/>
        </w:rPr>
        <w:t>) includes president, vice presidents of academic</w:t>
      </w:r>
      <w:r w:rsidR="009C211C">
        <w:rPr>
          <w:rFonts w:eastAsia="Times New Roman" w:cs="Arial"/>
          <w:szCs w:val="22"/>
        </w:rPr>
        <w:t>/</w:t>
      </w:r>
      <w:r>
        <w:rPr>
          <w:rFonts w:eastAsia="Times New Roman" w:cs="Arial"/>
          <w:szCs w:val="22"/>
        </w:rPr>
        <w:t xml:space="preserve">student services; finance; administration; community engagement, outreach, communications; human resources. Elected faculty governance </w:t>
      </w:r>
      <w:r w:rsidR="006316B6">
        <w:rPr>
          <w:rFonts w:eastAsia="Times New Roman" w:cs="Arial"/>
          <w:szCs w:val="22"/>
        </w:rPr>
        <w:t>w/</w:t>
      </w:r>
      <w:r>
        <w:rPr>
          <w:rFonts w:eastAsia="Times New Roman" w:cs="Arial"/>
          <w:szCs w:val="22"/>
        </w:rPr>
        <w:t>board</w:t>
      </w:r>
      <w:r w:rsidR="009C211C">
        <w:rPr>
          <w:rFonts w:eastAsia="Times New Roman" w:cs="Arial"/>
          <w:szCs w:val="22"/>
        </w:rPr>
        <w:t>/</w:t>
      </w:r>
      <w:r>
        <w:rPr>
          <w:rFonts w:eastAsia="Times New Roman" w:cs="Arial"/>
          <w:szCs w:val="22"/>
        </w:rPr>
        <w:t>committee structure.</w:t>
      </w:r>
    </w:p>
    <w:p w14:paraId="542C48DA" w14:textId="77777777" w:rsidR="005E22BD" w:rsidRDefault="000A11B9">
      <w:pPr>
        <w:numPr>
          <w:ilvl w:val="0"/>
          <w:numId w:val="5"/>
        </w:numPr>
        <w:spacing w:before="100" w:beforeAutospacing="1" w:after="100" w:afterAutospacing="1"/>
        <w:divId w:val="905190427"/>
        <w:rPr>
          <w:rFonts w:eastAsia="Times New Roman" w:cs="Arial"/>
          <w:szCs w:val="22"/>
        </w:rPr>
      </w:pPr>
      <w:r>
        <w:rPr>
          <w:rFonts w:eastAsia="Times New Roman" w:cs="Arial"/>
          <w:szCs w:val="22"/>
        </w:rPr>
        <w:t>Transfer schools</w:t>
      </w:r>
      <w:r w:rsidR="00EC0FE9">
        <w:rPr>
          <w:rFonts w:eastAsia="Times New Roman" w:cs="Arial"/>
          <w:szCs w:val="22"/>
        </w:rPr>
        <w:t>/</w:t>
      </w:r>
      <w:r>
        <w:rPr>
          <w:rFonts w:eastAsia="Times New Roman" w:cs="Arial"/>
          <w:szCs w:val="22"/>
        </w:rPr>
        <w:t>sister colleges</w:t>
      </w:r>
      <w:r w:rsidR="00EC0FE9">
        <w:rPr>
          <w:rFonts w:eastAsia="Times New Roman" w:cs="Arial"/>
          <w:szCs w:val="22"/>
        </w:rPr>
        <w:t>, feeder high schools</w:t>
      </w:r>
      <w:r>
        <w:rPr>
          <w:rFonts w:eastAsia="Times New Roman" w:cs="Arial"/>
          <w:szCs w:val="22"/>
        </w:rPr>
        <w:t xml:space="preserve">, Foundation, </w:t>
      </w:r>
      <w:r w:rsidR="00EC0FE9">
        <w:rPr>
          <w:rFonts w:eastAsia="Times New Roman" w:cs="Arial"/>
          <w:szCs w:val="22"/>
        </w:rPr>
        <w:t xml:space="preserve">donors, alumni association, alumni, </w:t>
      </w:r>
      <w:r w:rsidR="001F46D7">
        <w:rPr>
          <w:rFonts w:eastAsia="Times New Roman" w:cs="Arial"/>
          <w:szCs w:val="22"/>
        </w:rPr>
        <w:t>employers/advisory committees</w:t>
      </w:r>
      <w:r w:rsidR="00EC0FE9">
        <w:rPr>
          <w:rFonts w:eastAsia="Times New Roman" w:cs="Arial"/>
          <w:szCs w:val="22"/>
        </w:rPr>
        <w:t>, technology partners, local c</w:t>
      </w:r>
      <w:r>
        <w:rPr>
          <w:rFonts w:eastAsia="Times New Roman" w:cs="Arial"/>
          <w:szCs w:val="22"/>
        </w:rPr>
        <w:t>ommunity including chamber of commerce</w:t>
      </w:r>
    </w:p>
    <w:p w14:paraId="41F3C2D7" w14:textId="5F35749B" w:rsidR="005E22BD" w:rsidRDefault="000A11B9">
      <w:pPr>
        <w:numPr>
          <w:ilvl w:val="0"/>
          <w:numId w:val="5"/>
        </w:numPr>
        <w:spacing w:before="100" w:beforeAutospacing="1" w:after="100" w:afterAutospacing="1"/>
        <w:divId w:val="905190427"/>
        <w:rPr>
          <w:rFonts w:eastAsia="Times New Roman" w:cs="Arial"/>
          <w:szCs w:val="22"/>
        </w:rPr>
      </w:pPr>
      <w:r>
        <w:rPr>
          <w:rFonts w:eastAsia="Times New Roman" w:cs="Arial"/>
          <w:szCs w:val="22"/>
        </w:rPr>
        <w:t xml:space="preserve">Decreased state funding, </w:t>
      </w:r>
      <w:r w:rsidR="006316B6">
        <w:rPr>
          <w:rFonts w:eastAsia="Times New Roman" w:cs="Arial"/>
          <w:szCs w:val="22"/>
        </w:rPr>
        <w:t xml:space="preserve">influx </w:t>
      </w:r>
      <w:r>
        <w:rPr>
          <w:rFonts w:eastAsia="Times New Roman" w:cs="Arial"/>
          <w:szCs w:val="22"/>
        </w:rPr>
        <w:t xml:space="preserve">of </w:t>
      </w:r>
      <w:r w:rsidR="00DB6E5E">
        <w:rPr>
          <w:rFonts w:eastAsia="Times New Roman" w:cs="Arial"/>
          <w:szCs w:val="22"/>
        </w:rPr>
        <w:t>dual-credit</w:t>
      </w:r>
      <w:r>
        <w:rPr>
          <w:rFonts w:eastAsia="Times New Roman" w:cs="Arial"/>
          <w:szCs w:val="22"/>
        </w:rPr>
        <w:t xml:space="preserve"> high school students, increased competition for students, demands </w:t>
      </w:r>
      <w:r w:rsidR="00DB6E5E">
        <w:rPr>
          <w:rFonts w:eastAsia="Times New Roman" w:cs="Arial"/>
          <w:szCs w:val="22"/>
        </w:rPr>
        <w:t>to close achievement gap</w:t>
      </w:r>
      <w:r>
        <w:rPr>
          <w:rFonts w:eastAsia="Times New Roman" w:cs="Arial"/>
          <w:szCs w:val="22"/>
        </w:rPr>
        <w:t xml:space="preserve">, ensuring qualifications of incoming </w:t>
      </w:r>
      <w:r w:rsidR="00EC0FE9">
        <w:rPr>
          <w:rFonts w:eastAsia="Times New Roman" w:cs="Arial"/>
          <w:szCs w:val="22"/>
        </w:rPr>
        <w:t xml:space="preserve">FT/PT </w:t>
      </w:r>
      <w:r>
        <w:rPr>
          <w:rFonts w:eastAsia="Times New Roman" w:cs="Arial"/>
          <w:szCs w:val="22"/>
        </w:rPr>
        <w:t>faculty</w:t>
      </w:r>
      <w:r w:rsidR="00235345">
        <w:rPr>
          <w:rFonts w:eastAsia="Times New Roman" w:cs="Arial"/>
          <w:szCs w:val="22"/>
        </w:rPr>
        <w:t>.</w:t>
      </w:r>
    </w:p>
    <w:p w14:paraId="3F867E4F" w14:textId="0A26CB41" w:rsidR="005E22BD" w:rsidRDefault="000A11B9">
      <w:pPr>
        <w:numPr>
          <w:ilvl w:val="0"/>
          <w:numId w:val="5"/>
        </w:numPr>
        <w:spacing w:before="100" w:beforeAutospacing="1" w:after="100" w:afterAutospacing="1"/>
        <w:divId w:val="905190427"/>
        <w:rPr>
          <w:rFonts w:eastAsia="Times New Roman" w:cs="Arial"/>
          <w:szCs w:val="22"/>
        </w:rPr>
      </w:pPr>
      <w:r>
        <w:rPr>
          <w:rFonts w:eastAsia="Times New Roman" w:cs="Arial"/>
          <w:szCs w:val="22"/>
        </w:rPr>
        <w:t xml:space="preserve">Baldrige-based </w:t>
      </w:r>
      <w:r w:rsidR="00C95E51">
        <w:rPr>
          <w:rFonts w:eastAsia="Times New Roman" w:cs="Arial"/>
          <w:szCs w:val="22"/>
        </w:rPr>
        <w:t>PDCA</w:t>
      </w:r>
      <w:r>
        <w:rPr>
          <w:rFonts w:eastAsia="Times New Roman" w:cs="Arial"/>
          <w:szCs w:val="22"/>
        </w:rPr>
        <w:t>.</w:t>
      </w:r>
    </w:p>
    <w:p w14:paraId="25A86C20"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01"/>
        <w:gridCol w:w="4256"/>
        <w:gridCol w:w="1200"/>
      </w:tblGrid>
      <w:tr w:rsidR="005E22BD" w14:paraId="3DA4B6C5"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4948CFC8"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958026D"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1061D01D"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1379AB13"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6495FD79"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3046640"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0AD3986B" w14:textId="0D70118D" w:rsidR="005E22BD" w:rsidRDefault="000A11B9">
            <w:pPr>
              <w:rPr>
                <w:rFonts w:eastAsia="Times New Roman" w:cs="Arial"/>
                <w:szCs w:val="22"/>
              </w:rPr>
            </w:pPr>
            <w:r>
              <w:rPr>
                <w:rFonts w:eastAsia="Times New Roman" w:cs="Arial"/>
                <w:szCs w:val="22"/>
              </w:rPr>
              <w:t xml:space="preserve">Based on </w:t>
            </w:r>
            <w:r w:rsidR="00FC7C2D">
              <w:rPr>
                <w:rFonts w:eastAsia="Times New Roman" w:cs="Arial"/>
                <w:szCs w:val="22"/>
              </w:rPr>
              <w:t>nationally recognized</w:t>
            </w:r>
            <w:r>
              <w:rPr>
                <w:rFonts w:eastAsia="Times New Roman" w:cs="Arial"/>
                <w:szCs w:val="22"/>
              </w:rPr>
              <w:t xml:space="preserve"> best practices, </w:t>
            </w:r>
            <w:r w:rsidR="006F2406">
              <w:rPr>
                <w:rFonts w:eastAsia="Times New Roman" w:cs="Arial"/>
                <w:szCs w:val="22"/>
              </w:rPr>
              <w:t>senior leaders (</w:t>
            </w:r>
            <w:r>
              <w:rPr>
                <w:rFonts w:eastAsia="Times New Roman" w:cs="Arial"/>
                <w:szCs w:val="22"/>
              </w:rPr>
              <w:t>SLs</w:t>
            </w:r>
            <w:r w:rsidR="006F2406">
              <w:rPr>
                <w:rFonts w:eastAsia="Times New Roman" w:cs="Arial"/>
                <w:szCs w:val="22"/>
              </w:rPr>
              <w:t>)</w:t>
            </w:r>
            <w:r>
              <w:rPr>
                <w:rFonts w:eastAsia="Times New Roman" w:cs="Arial"/>
                <w:szCs w:val="22"/>
              </w:rPr>
              <w:t xml:space="preserve"> implemented a </w:t>
            </w:r>
            <w:r w:rsidRPr="006A7C2B">
              <w:rPr>
                <w:rFonts w:eastAsia="Times New Roman" w:cs="Arial"/>
                <w:szCs w:val="22"/>
              </w:rPr>
              <w:t>Culture Walk</w:t>
            </w:r>
            <w:r>
              <w:rPr>
                <w:rFonts w:eastAsia="Times New Roman" w:cs="Arial"/>
                <w:szCs w:val="22"/>
              </w:rPr>
              <w:t xml:space="preserve"> program in 2016 to demonstrate their commitment to ethical and legal behavior. </w:t>
            </w:r>
            <w:r w:rsidR="006A7C2B">
              <w:rPr>
                <w:rFonts w:eastAsia="Times New Roman" w:cs="Arial"/>
                <w:szCs w:val="22"/>
              </w:rPr>
              <w:t>President</w:t>
            </w:r>
            <w:r w:rsidR="005663C4">
              <w:rPr>
                <w:rFonts w:eastAsia="Times New Roman" w:cs="Arial"/>
                <w:szCs w:val="22"/>
              </w:rPr>
              <w:t>’</w:t>
            </w:r>
            <w:r w:rsidR="006A7C2B">
              <w:rPr>
                <w:rFonts w:eastAsia="Times New Roman" w:cs="Arial"/>
                <w:szCs w:val="22"/>
              </w:rPr>
              <w:t>s Team (</w:t>
            </w:r>
            <w:r>
              <w:rPr>
                <w:rFonts w:eastAsia="Times New Roman" w:cs="Arial"/>
                <w:szCs w:val="22"/>
              </w:rPr>
              <w:t>PT</w:t>
            </w:r>
            <w:r w:rsidR="006A7C2B">
              <w:rPr>
                <w:rFonts w:eastAsia="Times New Roman" w:cs="Arial"/>
                <w:szCs w:val="22"/>
              </w:rPr>
              <w:t>)</w:t>
            </w:r>
            <w:r>
              <w:rPr>
                <w:rFonts w:eastAsia="Times New Roman" w:cs="Arial"/>
                <w:szCs w:val="22"/>
              </w:rPr>
              <w:t xml:space="preserve"> members serve as resources for workforce questions and guidance. The applicant logs </w:t>
            </w:r>
            <w:r w:rsidRPr="006A7C2B">
              <w:rPr>
                <w:rFonts w:eastAsia="Times New Roman" w:cs="Arial"/>
                <w:szCs w:val="22"/>
              </w:rPr>
              <w:t>Culture Walk</w:t>
            </w:r>
            <w:r>
              <w:rPr>
                <w:rFonts w:eastAsia="Times New Roman" w:cs="Arial"/>
                <w:szCs w:val="22"/>
              </w:rPr>
              <w:t xml:space="preserve"> issues, takes action, and records outcomes; SLs conduct an annual </w:t>
            </w:r>
            <w:r w:rsidRPr="006A7C2B">
              <w:rPr>
                <w:rFonts w:eastAsia="Times New Roman" w:cs="Arial"/>
                <w:szCs w:val="22"/>
              </w:rPr>
              <w:t>Culture Walk</w:t>
            </w:r>
            <w:r>
              <w:rPr>
                <w:rFonts w:eastAsia="Times New Roman" w:cs="Arial"/>
                <w:szCs w:val="22"/>
              </w:rPr>
              <w:t xml:space="preserve"> review. Employees are required to participate in an annual review and pass a test on their </w:t>
            </w:r>
            <w:r w:rsidRPr="006A7C2B">
              <w:rPr>
                <w:rFonts w:eastAsia="Times New Roman" w:cs="Arial"/>
                <w:szCs w:val="22"/>
              </w:rPr>
              <w:t>Culture Walk</w:t>
            </w:r>
            <w:r>
              <w:rPr>
                <w:rFonts w:eastAsia="Times New Roman" w:cs="Arial"/>
                <w:szCs w:val="22"/>
              </w:rPr>
              <w:t xml:space="preserve"> competency; new employees receive </w:t>
            </w:r>
            <w:r w:rsidRPr="006A7C2B">
              <w:rPr>
                <w:rFonts w:eastAsia="Times New Roman" w:cs="Arial"/>
                <w:szCs w:val="22"/>
              </w:rPr>
              <w:t>Culture Walk</w:t>
            </w:r>
            <w:r>
              <w:rPr>
                <w:rFonts w:eastAsia="Times New Roman" w:cs="Arial"/>
                <w:szCs w:val="22"/>
              </w:rPr>
              <w:t xml:space="preserve"> information during </w:t>
            </w:r>
            <w:r w:rsidR="006A7C2B">
              <w:rPr>
                <w:rFonts w:eastAsia="Times New Roman" w:cs="Arial"/>
                <w:szCs w:val="22"/>
              </w:rPr>
              <w:t>new</w:t>
            </w:r>
            <w:r w:rsidR="009656F0">
              <w:rPr>
                <w:rFonts w:eastAsia="Times New Roman" w:cs="Arial"/>
                <w:szCs w:val="22"/>
              </w:rPr>
              <w:t xml:space="preserve"> </w:t>
            </w:r>
            <w:r w:rsidR="006A7C2B">
              <w:rPr>
                <w:rFonts w:eastAsia="Times New Roman" w:cs="Arial"/>
                <w:szCs w:val="22"/>
              </w:rPr>
              <w:t>employee orientation (</w:t>
            </w:r>
            <w:r>
              <w:rPr>
                <w:rFonts w:eastAsia="Times New Roman" w:cs="Arial"/>
                <w:szCs w:val="22"/>
              </w:rPr>
              <w:t>NEO</w:t>
            </w:r>
            <w:r w:rsidR="006A7C2B">
              <w:rPr>
                <w:rFonts w:eastAsia="Times New Roman" w:cs="Arial"/>
                <w:szCs w:val="22"/>
              </w:rPr>
              <w:t>)</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5ABEFD18" w14:textId="77777777" w:rsidR="009D550C" w:rsidRDefault="000A11B9">
            <w:pPr>
              <w:rPr>
                <w:rFonts w:eastAsia="Times New Roman" w:cs="Arial"/>
                <w:szCs w:val="22"/>
              </w:rPr>
            </w:pPr>
            <w:r>
              <w:rPr>
                <w:rFonts w:eastAsia="Times New Roman" w:cs="Arial"/>
                <w:szCs w:val="22"/>
              </w:rPr>
              <w:t xml:space="preserve">5 </w:t>
            </w:r>
            <w:r w:rsidR="009D550C">
              <w:rPr>
                <w:rFonts w:eastAsia="Times New Roman" w:cs="Arial"/>
                <w:szCs w:val="22"/>
              </w:rPr>
              <w:t xml:space="preserve">examiners </w:t>
            </w:r>
            <w:r>
              <w:rPr>
                <w:rFonts w:eastAsia="Times New Roman" w:cs="Arial"/>
                <w:szCs w:val="22"/>
              </w:rPr>
              <w:t>(</w:t>
            </w:r>
            <w:bookmarkStart w:id="4" w:name="_Hlk66361030"/>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Ex6</w:t>
            </w:r>
            <w:bookmarkEnd w:id="4"/>
            <w:r>
              <w:rPr>
                <w:rFonts w:eastAsia="Times New Roman" w:cs="Arial"/>
                <w:szCs w:val="22"/>
              </w:rPr>
              <w:t xml:space="preserve">) </w:t>
            </w:r>
            <w:r w:rsidR="009D550C">
              <w:rPr>
                <w:rFonts w:eastAsia="Times New Roman" w:cs="Arial"/>
                <w:szCs w:val="22"/>
              </w:rPr>
              <w:t xml:space="preserve">identified </w:t>
            </w:r>
            <w:r>
              <w:rPr>
                <w:rFonts w:eastAsia="Times New Roman" w:cs="Arial"/>
                <w:szCs w:val="22"/>
              </w:rPr>
              <w:t xml:space="preserve">as a strength with some variations to the specifics approaches and if this was rooted in best practices. </w:t>
            </w:r>
          </w:p>
          <w:p w14:paraId="57264982" w14:textId="5229EB6B" w:rsidR="009D550C" w:rsidRDefault="000A11B9">
            <w:pPr>
              <w:rPr>
                <w:rFonts w:eastAsia="Times New Roman" w:cs="Arial"/>
                <w:szCs w:val="22"/>
              </w:rPr>
            </w:pPr>
            <w:r>
              <w:rPr>
                <w:rFonts w:eastAsia="Times New Roman" w:cs="Arial"/>
                <w:szCs w:val="22"/>
              </w:rPr>
              <w:t>NOTE: Leaving this comment in (but have un</w:t>
            </w:r>
            <w:r w:rsidR="00FC7C2D">
              <w:rPr>
                <w:rFonts w:eastAsia="Times New Roman" w:cs="Arial"/>
                <w:szCs w:val="22"/>
              </w:rPr>
              <w:t>doubled</w:t>
            </w:r>
            <w:r>
              <w:rPr>
                <w:rFonts w:eastAsia="Times New Roman" w:cs="Arial"/>
                <w:szCs w:val="22"/>
              </w:rPr>
              <w:t xml:space="preserve">) based on discussions as this is focused on specifically the </w:t>
            </w:r>
            <w:r w:rsidR="002B5D3E" w:rsidRPr="002B5D3E">
              <w:rPr>
                <w:rFonts w:eastAsia="Times New Roman" w:cs="Arial"/>
                <w:szCs w:val="22"/>
              </w:rPr>
              <w:t>Culture Walk</w:t>
            </w:r>
            <w:r w:rsidRPr="002B5D3E">
              <w:rPr>
                <w:rFonts w:eastAsia="Times New Roman" w:cs="Arial"/>
                <w:szCs w:val="22"/>
              </w:rPr>
              <w:t xml:space="preserve"> </w:t>
            </w:r>
            <w:r>
              <w:rPr>
                <w:rFonts w:eastAsia="Times New Roman" w:cs="Arial"/>
                <w:szCs w:val="22"/>
              </w:rPr>
              <w:t>for legal/ethical behavior and not necessarily</w:t>
            </w:r>
            <w:r w:rsidR="009D550C">
              <w:rPr>
                <w:rFonts w:eastAsia="Times New Roman" w:cs="Arial"/>
                <w:szCs w:val="22"/>
              </w:rPr>
              <w:t xml:space="preserve"> on</w:t>
            </w:r>
            <w:r>
              <w:rPr>
                <w:rFonts w:eastAsia="Times New Roman" w:cs="Arial"/>
                <w:szCs w:val="22"/>
              </w:rPr>
              <w:t xml:space="preserve"> </w:t>
            </w:r>
            <w:r w:rsidR="00FC7C2D">
              <w:rPr>
                <w:rFonts w:eastAsia="Times New Roman" w:cs="Arial"/>
                <w:szCs w:val="22"/>
              </w:rPr>
              <w:t>senior</w:t>
            </w:r>
            <w:r>
              <w:rPr>
                <w:rFonts w:eastAsia="Times New Roman" w:cs="Arial"/>
                <w:szCs w:val="22"/>
              </w:rPr>
              <w:t xml:space="preserve"> leaders</w:t>
            </w:r>
            <w:r w:rsidR="005663C4">
              <w:rPr>
                <w:rFonts w:eastAsia="Times New Roman" w:cs="Arial"/>
                <w:szCs w:val="22"/>
              </w:rPr>
              <w:t>’</w:t>
            </w:r>
            <w:r>
              <w:rPr>
                <w:rFonts w:eastAsia="Times New Roman" w:cs="Arial"/>
                <w:szCs w:val="22"/>
              </w:rPr>
              <w:t xml:space="preserve"> personal actions</w:t>
            </w:r>
            <w:r w:rsidR="009D550C">
              <w:rPr>
                <w:rFonts w:eastAsia="Times New Roman" w:cs="Arial"/>
                <w:szCs w:val="22"/>
              </w:rPr>
              <w:t xml:space="preserve"> </w:t>
            </w:r>
            <w:r>
              <w:rPr>
                <w:rFonts w:eastAsia="Times New Roman" w:cs="Arial"/>
                <w:szCs w:val="22"/>
              </w:rPr>
              <w:t>...</w:t>
            </w:r>
            <w:r w:rsidR="009D550C">
              <w:rPr>
                <w:rFonts w:eastAsia="Times New Roman" w:cs="Arial"/>
                <w:szCs w:val="22"/>
              </w:rPr>
              <w:t xml:space="preserve"> </w:t>
            </w:r>
            <w:r>
              <w:rPr>
                <w:rFonts w:eastAsia="Times New Roman" w:cs="Arial"/>
                <w:szCs w:val="22"/>
              </w:rPr>
              <w:t xml:space="preserve">would expect </w:t>
            </w:r>
            <w:r w:rsidR="00FC7C2D">
              <w:rPr>
                <w:rFonts w:eastAsia="Times New Roman" w:cs="Arial"/>
                <w:szCs w:val="22"/>
              </w:rPr>
              <w:t>a lot</w:t>
            </w:r>
            <w:r>
              <w:rPr>
                <w:rFonts w:eastAsia="Times New Roman" w:cs="Arial"/>
                <w:szCs w:val="22"/>
              </w:rPr>
              <w:t xml:space="preserve"> more to support personal actions as a strength; and it is differentiate</w:t>
            </w:r>
            <w:r w:rsidR="009D550C">
              <w:rPr>
                <w:rFonts w:eastAsia="Times New Roman" w:cs="Arial"/>
                <w:szCs w:val="22"/>
              </w:rPr>
              <w:t>d</w:t>
            </w:r>
            <w:r>
              <w:rPr>
                <w:rFonts w:eastAsia="Times New Roman" w:cs="Arial"/>
                <w:szCs w:val="22"/>
              </w:rPr>
              <w:t xml:space="preserve"> from the OFI for </w:t>
            </w:r>
            <w:r w:rsidR="009D550C">
              <w:rPr>
                <w:rFonts w:eastAsia="Times New Roman" w:cs="Arial"/>
                <w:szCs w:val="22"/>
              </w:rPr>
              <w:t>a(1)/</w:t>
            </w:r>
            <w:r>
              <w:rPr>
                <w:rFonts w:eastAsia="Times New Roman" w:cs="Arial"/>
                <w:szCs w:val="22"/>
              </w:rPr>
              <w:t>c</w:t>
            </w:r>
            <w:r w:rsidR="009D550C">
              <w:rPr>
                <w:rFonts w:eastAsia="Times New Roman" w:cs="Arial"/>
                <w:szCs w:val="22"/>
              </w:rPr>
              <w:t>(</w:t>
            </w:r>
            <w:r>
              <w:rPr>
                <w:rFonts w:eastAsia="Times New Roman" w:cs="Arial"/>
                <w:szCs w:val="22"/>
              </w:rPr>
              <w:t>2</w:t>
            </w:r>
            <w:r w:rsidR="009D550C">
              <w:rPr>
                <w:rFonts w:eastAsia="Times New Roman" w:cs="Arial"/>
                <w:szCs w:val="22"/>
              </w:rPr>
              <w:t>)</w:t>
            </w:r>
            <w:r>
              <w:rPr>
                <w:rFonts w:eastAsia="Times New Roman" w:cs="Arial"/>
                <w:szCs w:val="22"/>
              </w:rPr>
              <w:t xml:space="preserve"> about personal actions</w:t>
            </w:r>
            <w:r w:rsidR="009D550C">
              <w:rPr>
                <w:rFonts w:eastAsia="Times New Roman" w:cs="Arial"/>
                <w:szCs w:val="22"/>
              </w:rPr>
              <w:t>.</w:t>
            </w:r>
            <w:r>
              <w:rPr>
                <w:rFonts w:eastAsia="Times New Roman" w:cs="Arial"/>
                <w:szCs w:val="22"/>
              </w:rPr>
              <w:t xml:space="preserve"> But have un</w:t>
            </w:r>
            <w:r w:rsidR="009D550C">
              <w:rPr>
                <w:rFonts w:eastAsia="Times New Roman" w:cs="Arial"/>
                <w:szCs w:val="22"/>
              </w:rPr>
              <w:t>doubled</w:t>
            </w:r>
            <w:r>
              <w:rPr>
                <w:rFonts w:eastAsia="Times New Roman" w:cs="Arial"/>
                <w:szCs w:val="22"/>
              </w:rPr>
              <w:t xml:space="preserve"> to ensure that</w:t>
            </w:r>
            <w:r w:rsidR="009D550C">
              <w:rPr>
                <w:rFonts w:eastAsia="Times New Roman" w:cs="Arial"/>
                <w:szCs w:val="22"/>
              </w:rPr>
              <w:t xml:space="preserve"> it</w:t>
            </w:r>
            <w:r>
              <w:rPr>
                <w:rFonts w:eastAsia="Times New Roman" w:cs="Arial"/>
                <w:szCs w:val="22"/>
              </w:rPr>
              <w:t xml:space="preserve"> is </w:t>
            </w:r>
            <w:r w:rsidR="009D550C">
              <w:rPr>
                <w:rFonts w:eastAsia="Times New Roman" w:cs="Arial"/>
                <w:szCs w:val="22"/>
              </w:rPr>
              <w:t>not</w:t>
            </w:r>
            <w:r>
              <w:rPr>
                <w:rFonts w:eastAsia="Times New Roman" w:cs="Arial"/>
                <w:szCs w:val="22"/>
              </w:rPr>
              <w:t xml:space="preserve"> </w:t>
            </w:r>
            <w:r w:rsidR="002B5D3E">
              <w:rPr>
                <w:rFonts w:eastAsia="Times New Roman" w:cs="Arial"/>
                <w:szCs w:val="22"/>
              </w:rPr>
              <w:t>in</w:t>
            </w:r>
            <w:r>
              <w:rPr>
                <w:rFonts w:eastAsia="Times New Roman" w:cs="Arial"/>
                <w:szCs w:val="22"/>
              </w:rPr>
              <w:t xml:space="preserve"> conflict </w:t>
            </w:r>
            <w:r w:rsidR="002B5D3E">
              <w:rPr>
                <w:rFonts w:eastAsia="Times New Roman" w:cs="Arial"/>
                <w:szCs w:val="22"/>
              </w:rPr>
              <w:t>with</w:t>
            </w:r>
            <w:r>
              <w:rPr>
                <w:rFonts w:eastAsia="Times New Roman" w:cs="Arial"/>
                <w:szCs w:val="22"/>
              </w:rPr>
              <w:t xml:space="preserve"> the </w:t>
            </w:r>
            <w:r w:rsidR="003464D3">
              <w:rPr>
                <w:rFonts w:eastAsia="Times New Roman" w:cs="Arial"/>
                <w:szCs w:val="22"/>
              </w:rPr>
              <w:t>a(1)/</w:t>
            </w:r>
            <w:r>
              <w:rPr>
                <w:rFonts w:eastAsia="Times New Roman" w:cs="Arial"/>
                <w:szCs w:val="22"/>
              </w:rPr>
              <w:t>c</w:t>
            </w:r>
            <w:r w:rsidR="002B5D3E">
              <w:rPr>
                <w:rFonts w:eastAsia="Times New Roman" w:cs="Arial"/>
                <w:szCs w:val="22"/>
              </w:rPr>
              <w:t>(</w:t>
            </w:r>
            <w:r>
              <w:rPr>
                <w:rFonts w:eastAsia="Times New Roman" w:cs="Arial"/>
                <w:szCs w:val="22"/>
              </w:rPr>
              <w:t>2</w:t>
            </w:r>
            <w:r w:rsidR="002B5D3E">
              <w:rPr>
                <w:rFonts w:eastAsia="Times New Roman" w:cs="Arial"/>
                <w:szCs w:val="22"/>
              </w:rPr>
              <w:t>)</w:t>
            </w:r>
            <w:r>
              <w:rPr>
                <w:rFonts w:eastAsia="Times New Roman" w:cs="Arial"/>
                <w:szCs w:val="22"/>
              </w:rPr>
              <w:t xml:space="preserve"> </w:t>
            </w:r>
            <w:r w:rsidR="002B5D3E">
              <w:rPr>
                <w:rFonts w:eastAsia="Times New Roman" w:cs="Arial"/>
                <w:szCs w:val="22"/>
              </w:rPr>
              <w:t>OFI</w:t>
            </w:r>
            <w:r>
              <w:rPr>
                <w:rFonts w:eastAsia="Times New Roman" w:cs="Arial"/>
                <w:szCs w:val="22"/>
              </w:rPr>
              <w:t xml:space="preserve">. </w:t>
            </w:r>
          </w:p>
          <w:p w14:paraId="728AFB63" w14:textId="0938CDAE" w:rsidR="005E22BD" w:rsidRDefault="006F2406">
            <w:pPr>
              <w:rPr>
                <w:rFonts w:eastAsia="Times New Roman" w:cs="Arial"/>
                <w:szCs w:val="22"/>
              </w:rPr>
            </w:pPr>
            <w:r>
              <w:rPr>
                <w:rFonts w:eastAsia="Times New Roman" w:cs="Arial"/>
                <w:szCs w:val="22"/>
              </w:rPr>
              <w:t>More</w:t>
            </w:r>
            <w:r w:rsidR="000A11B9">
              <w:rPr>
                <w:rFonts w:eastAsia="Times New Roman" w:cs="Arial"/>
                <w:szCs w:val="22"/>
              </w:rPr>
              <w:t xml:space="preserve"> evidence</w:t>
            </w:r>
            <w:r>
              <w:rPr>
                <w:rFonts w:eastAsia="Times New Roman" w:cs="Arial"/>
                <w:szCs w:val="22"/>
              </w:rPr>
              <w:t xml:space="preserve">: </w:t>
            </w:r>
            <w:r w:rsidR="000A11B9">
              <w:rPr>
                <w:rFonts w:eastAsia="Times New Roman" w:cs="Arial"/>
                <w:szCs w:val="22"/>
              </w:rPr>
              <w:t>Students learn about the Culture Walk program upon enrollment and access a confidential online portal to report issues, concerns, events.</w:t>
            </w:r>
          </w:p>
        </w:tc>
        <w:tc>
          <w:tcPr>
            <w:tcW w:w="0" w:type="auto"/>
            <w:tcBorders>
              <w:bottom w:val="single" w:sz="6" w:space="0" w:color="000000"/>
              <w:right w:val="single" w:sz="6" w:space="0" w:color="000000"/>
            </w:tcBorders>
            <w:tcMar>
              <w:top w:w="75" w:type="dxa"/>
              <w:left w:w="75" w:type="dxa"/>
              <w:bottom w:w="75" w:type="dxa"/>
              <w:right w:w="75" w:type="dxa"/>
            </w:tcMar>
            <w:hideMark/>
          </w:tcPr>
          <w:p w14:paraId="58DAFFD9" w14:textId="77777777" w:rsidR="005E22BD" w:rsidRDefault="000A11B9">
            <w:pPr>
              <w:rPr>
                <w:rFonts w:eastAsia="Times New Roman" w:cs="Arial"/>
                <w:szCs w:val="22"/>
              </w:rPr>
            </w:pPr>
            <w:r>
              <w:rPr>
                <w:rFonts w:eastAsia="Times New Roman" w:cs="Arial"/>
                <w:szCs w:val="22"/>
              </w:rPr>
              <w:t>a(2)</w:t>
            </w:r>
          </w:p>
        </w:tc>
      </w:tr>
      <w:tr w:rsidR="005E22BD" w14:paraId="1DFF2E7B"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929FC65"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AC4AF0C" w14:textId="6779BB46" w:rsidR="005E22BD" w:rsidRDefault="000A11B9">
            <w:pPr>
              <w:rPr>
                <w:rFonts w:eastAsia="Times New Roman" w:cs="Arial"/>
                <w:szCs w:val="22"/>
              </w:rPr>
            </w:pPr>
            <w:r>
              <w:rPr>
                <w:rFonts w:eastAsia="Times New Roman" w:cs="Arial"/>
                <w:szCs w:val="22"/>
              </w:rPr>
              <w:t xml:space="preserve">The </w:t>
            </w:r>
            <w:r w:rsidR="00C74F71">
              <w:rPr>
                <w:rFonts w:eastAsia="Times New Roman" w:cs="Arial"/>
                <w:szCs w:val="22"/>
              </w:rPr>
              <w:t>applicant</w:t>
            </w:r>
            <w:r w:rsidR="005663C4">
              <w:rPr>
                <w:rFonts w:eastAsia="Times New Roman" w:cs="Arial"/>
                <w:szCs w:val="22"/>
              </w:rPr>
              <w:t>’</w:t>
            </w:r>
            <w:r>
              <w:rPr>
                <w:rFonts w:eastAsia="Times New Roman" w:cs="Arial"/>
                <w:szCs w:val="22"/>
              </w:rPr>
              <w:t>s vision</w:t>
            </w:r>
            <w:r w:rsidR="009D550C">
              <w:rPr>
                <w:rFonts w:eastAsia="Times New Roman" w:cs="Arial"/>
                <w:szCs w:val="22"/>
              </w:rPr>
              <w:t xml:space="preserve"> and values</w:t>
            </w:r>
            <w:r>
              <w:rPr>
                <w:rFonts w:eastAsia="Times New Roman" w:cs="Arial"/>
                <w:szCs w:val="22"/>
              </w:rPr>
              <w:t xml:space="preserve"> are established by SL</w:t>
            </w:r>
            <w:r w:rsidR="009D550C">
              <w:rPr>
                <w:rFonts w:eastAsia="Times New Roman" w:cs="Arial"/>
                <w:szCs w:val="22"/>
              </w:rPr>
              <w:t>s</w:t>
            </w:r>
            <w:r>
              <w:rPr>
                <w:rFonts w:eastAsia="Times New Roman" w:cs="Arial"/>
                <w:szCs w:val="22"/>
              </w:rPr>
              <w:t xml:space="preserve"> within the Strategic Planning Process (SPP) and are communicated and reinforced to employees </w:t>
            </w:r>
            <w:r w:rsidR="00FC7C2D">
              <w:rPr>
                <w:rFonts w:eastAsia="Times New Roman" w:cs="Arial"/>
                <w:szCs w:val="22"/>
              </w:rPr>
              <w:t>through</w:t>
            </w:r>
            <w:r>
              <w:rPr>
                <w:rFonts w:eastAsia="Times New Roman" w:cs="Arial"/>
                <w:szCs w:val="22"/>
              </w:rPr>
              <w:t xml:space="preserve"> various communications methods (Figure 1.1-2). For example, SL</w:t>
            </w:r>
            <w:r w:rsidR="009D550C">
              <w:rPr>
                <w:rFonts w:eastAsia="Times New Roman" w:cs="Arial"/>
                <w:szCs w:val="22"/>
              </w:rPr>
              <w:t>s</w:t>
            </w:r>
            <w:r>
              <w:rPr>
                <w:rFonts w:eastAsia="Times New Roman" w:cs="Arial"/>
                <w:szCs w:val="22"/>
              </w:rPr>
              <w:t xml:space="preserve"> introduce the </w:t>
            </w:r>
            <w:r w:rsidR="009D550C">
              <w:rPr>
                <w:rFonts w:eastAsia="Times New Roman" w:cs="Arial"/>
                <w:szCs w:val="22"/>
              </w:rPr>
              <w:t xml:space="preserve">vision and values </w:t>
            </w:r>
            <w:r>
              <w:rPr>
                <w:rFonts w:eastAsia="Times New Roman" w:cs="Arial"/>
                <w:szCs w:val="22"/>
              </w:rPr>
              <w:t>at the NEO</w:t>
            </w:r>
            <w:r w:rsidR="002B5D3E">
              <w:rPr>
                <w:rFonts w:eastAsia="Times New Roman" w:cs="Arial"/>
                <w:szCs w:val="22"/>
              </w:rPr>
              <w:t>,</w:t>
            </w:r>
            <w:r>
              <w:rPr>
                <w:rFonts w:eastAsia="Times New Roman" w:cs="Arial"/>
                <w:szCs w:val="22"/>
              </w:rPr>
              <w:t xml:space="preserve"> and </w:t>
            </w:r>
            <w:r w:rsidR="009D550C">
              <w:rPr>
                <w:rFonts w:eastAsia="Times New Roman" w:cs="Arial"/>
                <w:szCs w:val="22"/>
              </w:rPr>
              <w:t xml:space="preserve">they </w:t>
            </w:r>
            <w:r>
              <w:rPr>
                <w:rFonts w:eastAsia="Times New Roman" w:cs="Arial"/>
                <w:szCs w:val="22"/>
              </w:rPr>
              <w:t xml:space="preserve">are </w:t>
            </w:r>
            <w:r>
              <w:rPr>
                <w:rFonts w:eastAsia="Times New Roman" w:cs="Arial"/>
                <w:szCs w:val="22"/>
              </w:rPr>
              <w:lastRenderedPageBreak/>
              <w:t>discussed at department meetings. SL</w:t>
            </w:r>
            <w:r w:rsidR="009D550C">
              <w:rPr>
                <w:rFonts w:eastAsia="Times New Roman" w:cs="Arial"/>
                <w:szCs w:val="22"/>
              </w:rPr>
              <w:t>s</w:t>
            </w:r>
            <w:r>
              <w:rPr>
                <w:rFonts w:eastAsia="Times New Roman" w:cs="Arial"/>
                <w:szCs w:val="22"/>
              </w:rPr>
              <w:t xml:space="preserve"> receive feedback on how they reflect the </w:t>
            </w:r>
            <w:r w:rsidR="00C74F71">
              <w:rPr>
                <w:rFonts w:eastAsia="Times New Roman" w:cs="Arial"/>
                <w:szCs w:val="22"/>
              </w:rPr>
              <w:t>applicant</w:t>
            </w:r>
            <w:r w:rsidR="005663C4">
              <w:rPr>
                <w:rFonts w:eastAsia="Times New Roman" w:cs="Arial"/>
                <w:szCs w:val="22"/>
              </w:rPr>
              <w:t>’</w:t>
            </w:r>
            <w:r>
              <w:rPr>
                <w:rFonts w:eastAsia="Times New Roman" w:cs="Arial"/>
                <w:szCs w:val="22"/>
              </w:rPr>
              <w:t>s values in their annual performance reviews</w:t>
            </w:r>
            <w:r w:rsidR="009D550C">
              <w:rPr>
                <w:rFonts w:eastAsia="Times New Roman" w:cs="Arial"/>
                <w:szCs w:val="22"/>
              </w:rPr>
              <w:t>,</w:t>
            </w:r>
            <w:r>
              <w:rPr>
                <w:rFonts w:eastAsia="Times New Roman" w:cs="Arial"/>
                <w:szCs w:val="22"/>
              </w:rPr>
              <w:t xml:space="preserve"> providing some opportunities for learning. This approach </w:t>
            </w:r>
            <w:r w:rsidR="009D550C">
              <w:rPr>
                <w:rFonts w:eastAsia="Times New Roman" w:cs="Arial"/>
                <w:szCs w:val="22"/>
              </w:rPr>
              <w:t>helps reinforce</w:t>
            </w:r>
            <w:r>
              <w:rPr>
                <w:rFonts w:eastAsia="Times New Roman" w:cs="Arial"/>
                <w:szCs w:val="22"/>
              </w:rPr>
              <w:t xml:space="preserve"> the </w:t>
            </w:r>
            <w:r w:rsidR="00C74F71">
              <w:rPr>
                <w:rFonts w:eastAsia="Times New Roman" w:cs="Arial"/>
                <w:szCs w:val="22"/>
              </w:rPr>
              <w:t>applicant</w:t>
            </w:r>
            <w:r w:rsidR="005663C4">
              <w:rPr>
                <w:rFonts w:eastAsia="Times New Roman" w:cs="Arial"/>
                <w:szCs w:val="22"/>
              </w:rPr>
              <w:t>’</w:t>
            </w:r>
            <w:r>
              <w:rPr>
                <w:rFonts w:eastAsia="Times New Roman" w:cs="Arial"/>
                <w:szCs w:val="22"/>
              </w:rPr>
              <w:t xml:space="preserve">s Students First </w:t>
            </w:r>
            <w:r w:rsidR="009D550C">
              <w:rPr>
                <w:rFonts w:eastAsia="Times New Roman" w:cs="Arial"/>
                <w:szCs w:val="22"/>
              </w:rPr>
              <w:t>value</w:t>
            </w:r>
            <w:r>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A932D45" w14:textId="23E7E29E" w:rsidR="00094579" w:rsidRDefault="000A11B9">
            <w:pPr>
              <w:rPr>
                <w:rFonts w:eastAsia="Times New Roman" w:cs="Arial"/>
                <w:szCs w:val="22"/>
              </w:rPr>
            </w:pPr>
            <w:r>
              <w:rPr>
                <w:rFonts w:eastAsia="Times New Roman" w:cs="Arial"/>
                <w:szCs w:val="22"/>
              </w:rPr>
              <w:lastRenderedPageBreak/>
              <w:t>4 examiners (</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identified as </w:t>
            </w:r>
            <w:r w:rsidR="00FC7C2D">
              <w:rPr>
                <w:rFonts w:eastAsia="Times New Roman" w:cs="Arial"/>
                <w:szCs w:val="22"/>
              </w:rPr>
              <w:t>a</w:t>
            </w:r>
            <w:r>
              <w:rPr>
                <w:rFonts w:eastAsia="Times New Roman" w:cs="Arial"/>
                <w:szCs w:val="22"/>
              </w:rPr>
              <w:t xml:space="preserve"> strength at the </w:t>
            </w:r>
            <w:r w:rsidR="009D550C">
              <w:rPr>
                <w:rFonts w:eastAsia="Times New Roman" w:cs="Arial"/>
                <w:szCs w:val="22"/>
              </w:rPr>
              <w:t>overall for</w:t>
            </w:r>
            <w:r>
              <w:rPr>
                <w:rFonts w:eastAsia="Times New Roman" w:cs="Arial"/>
                <w:szCs w:val="22"/>
              </w:rPr>
              <w:t xml:space="preserve"> setting and </w:t>
            </w:r>
            <w:r w:rsidR="009D550C">
              <w:rPr>
                <w:rFonts w:eastAsia="Times New Roman" w:cs="Arial"/>
                <w:szCs w:val="22"/>
              </w:rPr>
              <w:t xml:space="preserve">at </w:t>
            </w:r>
            <w:r>
              <w:rPr>
                <w:rFonts w:eastAsia="Times New Roman" w:cs="Arial"/>
                <w:szCs w:val="22"/>
              </w:rPr>
              <w:t>multiple level</w:t>
            </w:r>
            <w:r w:rsidR="009D550C">
              <w:rPr>
                <w:rFonts w:eastAsia="Times New Roman" w:cs="Arial"/>
                <w:szCs w:val="22"/>
              </w:rPr>
              <w:t xml:space="preserve"> for</w:t>
            </w:r>
            <w:r>
              <w:rPr>
                <w:rFonts w:eastAsia="Times New Roman" w:cs="Arial"/>
                <w:szCs w:val="22"/>
              </w:rPr>
              <w:t xml:space="preserve"> specifically address</w:t>
            </w:r>
            <w:r w:rsidR="009D550C">
              <w:rPr>
                <w:rFonts w:eastAsia="Times New Roman" w:cs="Arial"/>
                <w:szCs w:val="22"/>
              </w:rPr>
              <w:t>ing</w:t>
            </w:r>
            <w:r>
              <w:rPr>
                <w:rFonts w:eastAsia="Times New Roman" w:cs="Arial"/>
                <w:szCs w:val="22"/>
              </w:rPr>
              <w:t xml:space="preserve"> employees. (</w:t>
            </w:r>
            <w:r w:rsidR="009D550C">
              <w:rPr>
                <w:rFonts w:eastAsia="Times New Roman" w:cs="Arial"/>
                <w:szCs w:val="22"/>
              </w:rPr>
              <w:t xml:space="preserve">There </w:t>
            </w:r>
            <w:r>
              <w:rPr>
                <w:rFonts w:eastAsia="Times New Roman" w:cs="Arial"/>
                <w:szCs w:val="22"/>
              </w:rPr>
              <w:t>is an optional OFI for other stakeholders</w:t>
            </w:r>
            <w:r w:rsidR="00FD460C">
              <w:rPr>
                <w:rFonts w:eastAsia="Times New Roman" w:cs="Arial"/>
                <w:szCs w:val="22"/>
              </w:rPr>
              <w:t>—</w:t>
            </w:r>
            <w:r>
              <w:rPr>
                <w:rFonts w:eastAsia="Times New Roman" w:cs="Arial"/>
                <w:szCs w:val="22"/>
              </w:rPr>
              <w:t xml:space="preserve">but at </w:t>
            </w:r>
            <w:r w:rsidR="002B5D3E">
              <w:rPr>
                <w:rFonts w:eastAsia="Times New Roman" w:cs="Arial"/>
                <w:szCs w:val="22"/>
              </w:rPr>
              <w:t xml:space="preserve">multiple </w:t>
            </w:r>
            <w:r>
              <w:rPr>
                <w:rFonts w:eastAsia="Times New Roman" w:cs="Arial"/>
                <w:szCs w:val="22"/>
              </w:rPr>
              <w:t xml:space="preserve">level, currently choosing not </w:t>
            </w:r>
            <w:r w:rsidR="002B5D3E">
              <w:rPr>
                <w:rFonts w:eastAsia="Times New Roman" w:cs="Arial"/>
                <w:szCs w:val="22"/>
              </w:rPr>
              <w:t xml:space="preserve">to </w:t>
            </w:r>
            <w:r>
              <w:rPr>
                <w:rFonts w:eastAsia="Times New Roman" w:cs="Arial"/>
                <w:szCs w:val="22"/>
              </w:rPr>
              <w:t>use</w:t>
            </w:r>
            <w:r w:rsidR="009D550C">
              <w:rPr>
                <w:rFonts w:eastAsia="Times New Roman" w:cs="Arial"/>
                <w:szCs w:val="22"/>
              </w:rPr>
              <w:t xml:space="preserve"> it</w:t>
            </w:r>
            <w:r w:rsidR="002B5D3E">
              <w:rPr>
                <w:rFonts w:eastAsia="Times New Roman" w:cs="Arial"/>
                <w:szCs w:val="22"/>
              </w:rPr>
              <w:t>.</w:t>
            </w:r>
            <w:r>
              <w:rPr>
                <w:rFonts w:eastAsia="Times New Roman" w:cs="Arial"/>
                <w:szCs w:val="22"/>
              </w:rPr>
              <w:t xml:space="preserve">) </w:t>
            </w:r>
          </w:p>
          <w:p w14:paraId="367C189B" w14:textId="11ED99E6" w:rsidR="005E22BD" w:rsidRDefault="000A11B9">
            <w:pPr>
              <w:rPr>
                <w:rFonts w:eastAsia="Times New Roman" w:cs="Arial"/>
                <w:szCs w:val="22"/>
              </w:rPr>
            </w:pPr>
            <w:r>
              <w:rPr>
                <w:rFonts w:eastAsia="Times New Roman" w:cs="Arial"/>
                <w:szCs w:val="22"/>
              </w:rPr>
              <w:lastRenderedPageBreak/>
              <w:t>Triennially in</w:t>
            </w:r>
            <w:r w:rsidR="00094579">
              <w:rPr>
                <w:rFonts w:eastAsia="Times New Roman" w:cs="Arial"/>
                <w:szCs w:val="22"/>
              </w:rPr>
              <w:t xml:space="preserve"> </w:t>
            </w:r>
            <w:r>
              <w:rPr>
                <w:rFonts w:eastAsia="Times New Roman" w:cs="Arial"/>
                <w:szCs w:val="22"/>
              </w:rPr>
              <w:t>the SPP (</w:t>
            </w:r>
            <w:r w:rsidR="003464D3">
              <w:rPr>
                <w:rFonts w:eastAsia="Times New Roman" w:cs="Arial"/>
                <w:szCs w:val="22"/>
              </w:rPr>
              <w:t>F</w:t>
            </w:r>
            <w:r>
              <w:rPr>
                <w:rFonts w:eastAsia="Times New Roman" w:cs="Arial"/>
                <w:szCs w:val="22"/>
              </w:rPr>
              <w:t>ig 2.1-1); Leadership Communications Process and NEO; annual performance reviews. Leaders deploy them in departmental meetings. SL</w:t>
            </w:r>
            <w:r w:rsidR="00094579">
              <w:rPr>
                <w:rFonts w:eastAsia="Times New Roman" w:cs="Arial"/>
                <w:szCs w:val="22"/>
              </w:rPr>
              <w:t>s</w:t>
            </w:r>
            <w:r>
              <w:rPr>
                <w:rFonts w:eastAsia="Times New Roman" w:cs="Arial"/>
                <w:szCs w:val="22"/>
              </w:rPr>
              <w:t xml:space="preserve"> explain in person in NEO. SL</w:t>
            </w:r>
            <w:r w:rsidR="00094579">
              <w:rPr>
                <w:rFonts w:eastAsia="Times New Roman" w:cs="Arial"/>
                <w:szCs w:val="22"/>
              </w:rPr>
              <w:t>s</w:t>
            </w:r>
            <w:r>
              <w:rPr>
                <w:rFonts w:eastAsia="Times New Roman" w:cs="Arial"/>
                <w:szCs w:val="22"/>
              </w:rPr>
              <w:t xml:space="preserve"> set expectations for demonstration of values in </w:t>
            </w:r>
            <w:r w:rsidR="00FC7C2D">
              <w:rPr>
                <w:rFonts w:eastAsia="Times New Roman" w:cs="Arial"/>
                <w:szCs w:val="22"/>
              </w:rPr>
              <w:t>everyday</w:t>
            </w:r>
            <w:r>
              <w:rPr>
                <w:rFonts w:eastAsia="Times New Roman" w:cs="Arial"/>
                <w:szCs w:val="22"/>
              </w:rPr>
              <w:t xml:space="preserve"> action</w:t>
            </w:r>
            <w:r w:rsidR="00094579">
              <w:rPr>
                <w:rFonts w:eastAsia="Times New Roman" w:cs="Arial"/>
                <w:szCs w:val="22"/>
              </w:rPr>
              <w:t>,</w:t>
            </w:r>
            <w:r>
              <w:rPr>
                <w:rFonts w:eastAsia="Times New Roman" w:cs="Arial"/>
                <w:szCs w:val="22"/>
              </w:rPr>
              <w:t xml:space="preserve"> and employees are evaluated annually and provided feedback.</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1C8C375" w14:textId="77777777" w:rsidR="005E22BD" w:rsidRDefault="000A11B9">
            <w:pPr>
              <w:rPr>
                <w:rFonts w:eastAsia="Times New Roman" w:cs="Arial"/>
                <w:szCs w:val="22"/>
              </w:rPr>
            </w:pPr>
            <w:r>
              <w:rPr>
                <w:rFonts w:eastAsia="Times New Roman" w:cs="Arial"/>
                <w:szCs w:val="22"/>
              </w:rPr>
              <w:lastRenderedPageBreak/>
              <w:t>a(1)</w:t>
            </w:r>
          </w:p>
        </w:tc>
      </w:tr>
      <w:tr w:rsidR="005E22BD" w14:paraId="60A4C60A" w14:textId="77777777" w:rsidTr="00E13B6B">
        <w:trPr>
          <w:divId w:val="905190427"/>
        </w:trPr>
        <w:tc>
          <w:tcPr>
            <w:tcW w:w="0" w:type="auto"/>
            <w:tcBorders>
              <w:right w:val="single" w:sz="6" w:space="0" w:color="000000"/>
            </w:tcBorders>
            <w:tcMar>
              <w:top w:w="75" w:type="dxa"/>
              <w:left w:w="75" w:type="dxa"/>
              <w:bottom w:w="75" w:type="dxa"/>
              <w:right w:w="75" w:type="dxa"/>
            </w:tcMar>
            <w:hideMark/>
          </w:tcPr>
          <w:p w14:paraId="61A6E964" w14:textId="77777777" w:rsidR="005E22BD" w:rsidRDefault="005E22BD">
            <w:pPr>
              <w:rPr>
                <w:rFonts w:eastAsia="Times New Roman" w:cs="Arial"/>
                <w:szCs w:val="22"/>
              </w:rPr>
            </w:pPr>
          </w:p>
        </w:tc>
        <w:tc>
          <w:tcPr>
            <w:tcW w:w="0" w:type="auto"/>
            <w:tcBorders>
              <w:right w:val="single" w:sz="6" w:space="0" w:color="000000"/>
            </w:tcBorders>
            <w:tcMar>
              <w:top w:w="75" w:type="dxa"/>
              <w:left w:w="75" w:type="dxa"/>
              <w:bottom w:w="75" w:type="dxa"/>
              <w:right w:w="75" w:type="dxa"/>
            </w:tcMar>
            <w:hideMark/>
          </w:tcPr>
          <w:p w14:paraId="5B5490D2" w14:textId="1C56AAC6" w:rsidR="005E22BD" w:rsidRDefault="000A11B9">
            <w:pPr>
              <w:rPr>
                <w:rFonts w:eastAsia="Times New Roman" w:cs="Arial"/>
                <w:szCs w:val="22"/>
              </w:rPr>
            </w:pPr>
            <w:r>
              <w:rPr>
                <w:rFonts w:eastAsia="Times New Roman" w:cs="Arial"/>
                <w:szCs w:val="22"/>
              </w:rPr>
              <w:t>SL</w:t>
            </w:r>
            <w:r w:rsidR="00094579">
              <w:rPr>
                <w:rFonts w:eastAsia="Times New Roman" w:cs="Arial"/>
                <w:szCs w:val="22"/>
              </w:rPr>
              <w:t>s</w:t>
            </w:r>
            <w:r>
              <w:rPr>
                <w:rFonts w:eastAsia="Times New Roman" w:cs="Arial"/>
                <w:szCs w:val="22"/>
              </w:rPr>
              <w:t xml:space="preserve"> create an environment for success </w:t>
            </w:r>
            <w:r w:rsidR="00094579">
              <w:rPr>
                <w:rFonts w:eastAsia="Times New Roman" w:cs="Arial"/>
                <w:szCs w:val="22"/>
              </w:rPr>
              <w:t xml:space="preserve">by </w:t>
            </w:r>
            <w:r>
              <w:rPr>
                <w:rFonts w:eastAsia="Times New Roman" w:cs="Arial"/>
                <w:szCs w:val="22"/>
              </w:rPr>
              <w:t xml:space="preserve">integrating communications approaches to drive the achievement of </w:t>
            </w:r>
            <w:r w:rsidR="00094579">
              <w:rPr>
                <w:rFonts w:eastAsia="Times New Roman" w:cs="Arial"/>
                <w:szCs w:val="22"/>
              </w:rPr>
              <w:t>the applicant</w:t>
            </w:r>
            <w:r w:rsidR="005663C4">
              <w:rPr>
                <w:rFonts w:eastAsia="Times New Roman" w:cs="Arial"/>
                <w:szCs w:val="22"/>
              </w:rPr>
              <w:t>’</w:t>
            </w:r>
            <w:r w:rsidR="00094579">
              <w:rPr>
                <w:rFonts w:eastAsia="Times New Roman" w:cs="Arial"/>
                <w:szCs w:val="22"/>
              </w:rPr>
              <w:t xml:space="preserve">s </w:t>
            </w:r>
            <w:r>
              <w:rPr>
                <w:rFonts w:eastAsia="Times New Roman" w:cs="Arial"/>
                <w:szCs w:val="22"/>
              </w:rPr>
              <w:t>mission. SL</w:t>
            </w:r>
            <w:r w:rsidR="00094579">
              <w:rPr>
                <w:rFonts w:eastAsia="Times New Roman" w:cs="Arial"/>
                <w:szCs w:val="22"/>
              </w:rPr>
              <w:t>s</w:t>
            </w:r>
            <w:r>
              <w:rPr>
                <w:rFonts w:eastAsia="Times New Roman" w:cs="Arial"/>
                <w:szCs w:val="22"/>
              </w:rPr>
              <w:t xml:space="preserve"> help ensure cultural alignment through feedback and integration with change management approaches, NEO</w:t>
            </w:r>
            <w:r w:rsidR="00094579">
              <w:rPr>
                <w:rFonts w:eastAsia="Times New Roman" w:cs="Arial"/>
                <w:szCs w:val="22"/>
              </w:rPr>
              <w:t>,</w:t>
            </w:r>
            <w:r>
              <w:rPr>
                <w:rFonts w:eastAsia="Times New Roman" w:cs="Arial"/>
                <w:szCs w:val="22"/>
              </w:rPr>
              <w:t xml:space="preserve"> and employee surveys. In SPP, </w:t>
            </w:r>
            <w:r w:rsidR="006B1FBA">
              <w:rPr>
                <w:rFonts w:eastAsia="Times New Roman" w:cs="Arial"/>
                <w:szCs w:val="22"/>
              </w:rPr>
              <w:t>s</w:t>
            </w:r>
            <w:r>
              <w:rPr>
                <w:rFonts w:eastAsia="Times New Roman" w:cs="Arial"/>
                <w:szCs w:val="22"/>
              </w:rPr>
              <w:t xml:space="preserve">tep </w:t>
            </w:r>
            <w:r w:rsidR="00094579">
              <w:rPr>
                <w:rFonts w:eastAsia="Times New Roman" w:cs="Arial"/>
                <w:szCs w:val="22"/>
              </w:rPr>
              <w:t>5</w:t>
            </w:r>
            <w:r>
              <w:rPr>
                <w:rFonts w:eastAsia="Times New Roman" w:cs="Arial"/>
                <w:szCs w:val="22"/>
              </w:rPr>
              <w:t xml:space="preserve">, the </w:t>
            </w:r>
            <w:r w:rsidR="00094579">
              <w:rPr>
                <w:rFonts w:eastAsia="Times New Roman" w:cs="Arial"/>
                <w:szCs w:val="22"/>
              </w:rPr>
              <w:t xml:space="preserve">PT and unit leaders </w:t>
            </w:r>
            <w:r>
              <w:rPr>
                <w:rFonts w:eastAsia="Times New Roman" w:cs="Arial"/>
                <w:szCs w:val="22"/>
              </w:rPr>
              <w:t>address innovation and change management</w:t>
            </w:r>
            <w:r w:rsidR="002B5D3E">
              <w:rPr>
                <w:rFonts w:eastAsia="Times New Roman" w:cs="Arial"/>
                <w:szCs w:val="22"/>
              </w:rPr>
              <w:t>,</w:t>
            </w:r>
            <w:r>
              <w:rPr>
                <w:rFonts w:eastAsia="Times New Roman" w:cs="Arial"/>
                <w:szCs w:val="22"/>
              </w:rPr>
              <w:t xml:space="preserve"> and </w:t>
            </w:r>
            <w:r w:rsidR="003464D3">
              <w:rPr>
                <w:rFonts w:eastAsia="Times New Roman" w:cs="Arial"/>
                <w:szCs w:val="22"/>
              </w:rPr>
              <w:t xml:space="preserve">they </w:t>
            </w:r>
            <w:r>
              <w:rPr>
                <w:rFonts w:eastAsia="Times New Roman" w:cs="Arial"/>
                <w:szCs w:val="22"/>
              </w:rPr>
              <w:t xml:space="preserve">use PDCA to continually evaluate and improve these processes. Short- and longer-term systematic succession plans are in place for the </w:t>
            </w:r>
            <w:r w:rsidR="003464D3">
              <w:rPr>
                <w:rFonts w:eastAsia="Times New Roman" w:cs="Arial"/>
                <w:szCs w:val="22"/>
              </w:rPr>
              <w:t>P</w:t>
            </w:r>
            <w:r>
              <w:rPr>
                <w:rFonts w:eastAsia="Times New Roman" w:cs="Arial"/>
                <w:szCs w:val="22"/>
              </w:rPr>
              <w:t xml:space="preserve">resident and PT to ensure continuity and smooth transitions, as needed. These approaches may help the </w:t>
            </w:r>
            <w:r w:rsidR="00C74F71">
              <w:rPr>
                <w:rFonts w:eastAsia="Times New Roman" w:cs="Arial"/>
                <w:szCs w:val="22"/>
              </w:rPr>
              <w:t>applicant</w:t>
            </w:r>
            <w:r>
              <w:rPr>
                <w:rFonts w:eastAsia="Times New Roman" w:cs="Arial"/>
                <w:szCs w:val="22"/>
              </w:rPr>
              <w:t xml:space="preserve"> achieve organizational sustainability.</w:t>
            </w:r>
          </w:p>
        </w:tc>
        <w:tc>
          <w:tcPr>
            <w:tcW w:w="0" w:type="auto"/>
            <w:tcBorders>
              <w:right w:val="single" w:sz="6" w:space="0" w:color="000000"/>
            </w:tcBorders>
            <w:tcMar>
              <w:top w:w="75" w:type="dxa"/>
              <w:left w:w="75" w:type="dxa"/>
              <w:bottom w:w="75" w:type="dxa"/>
              <w:right w:w="75" w:type="dxa"/>
            </w:tcMar>
            <w:hideMark/>
          </w:tcPr>
          <w:p w14:paraId="6818D8E8" w14:textId="0D3A98E5" w:rsidR="00094579" w:rsidRDefault="000A11B9">
            <w:pPr>
              <w:rPr>
                <w:rFonts w:eastAsia="Times New Roman" w:cs="Arial"/>
                <w:szCs w:val="22"/>
              </w:rPr>
            </w:pPr>
            <w:r>
              <w:rPr>
                <w:rFonts w:eastAsia="Times New Roman" w:cs="Arial"/>
                <w:szCs w:val="22"/>
              </w:rPr>
              <w:t>6 examiners (</w:t>
            </w:r>
            <w:r w:rsidR="007B4856">
              <w:rPr>
                <w:rFonts w:eastAsia="Times New Roman" w:cs="Arial"/>
                <w:szCs w:val="22"/>
              </w:rPr>
              <w:t>Ex1, Ex2, Ex4</w:t>
            </w:r>
            <w:r>
              <w:rPr>
                <w:rFonts w:eastAsia="Times New Roman" w:cs="Arial"/>
                <w:szCs w:val="22"/>
              </w:rPr>
              <w:t xml:space="preserve">, </w:t>
            </w:r>
            <w:r w:rsidR="007B4856">
              <w:rPr>
                <w:rFonts w:eastAsia="Times New Roman" w:cs="Arial"/>
                <w:szCs w:val="22"/>
              </w:rPr>
              <w:t>Ex5, Ex6</w:t>
            </w:r>
            <w:r>
              <w:rPr>
                <w:rFonts w:eastAsia="Times New Roman" w:cs="Arial"/>
                <w:szCs w:val="22"/>
              </w:rPr>
              <w:t>,</w:t>
            </w:r>
            <w:r w:rsidR="007B4856">
              <w:rPr>
                <w:rFonts w:eastAsia="Times New Roman" w:cs="Arial"/>
                <w:szCs w:val="22"/>
              </w:rPr>
              <w:t xml:space="preserve"> Ex7</w:t>
            </w:r>
            <w:r>
              <w:rPr>
                <w:rFonts w:eastAsia="Times New Roman" w:cs="Arial"/>
                <w:szCs w:val="22"/>
              </w:rPr>
              <w:t xml:space="preserve">) identified as a strength at the </w:t>
            </w:r>
            <w:r w:rsidR="00094579">
              <w:rPr>
                <w:rFonts w:eastAsia="Times New Roman" w:cs="Arial"/>
                <w:szCs w:val="22"/>
              </w:rPr>
              <w:t xml:space="preserve">overall/multiple </w:t>
            </w:r>
            <w:r>
              <w:rPr>
                <w:rFonts w:eastAsia="Times New Roman" w:cs="Arial"/>
                <w:szCs w:val="22"/>
              </w:rPr>
              <w:t>levels</w:t>
            </w:r>
            <w:r w:rsidR="00094579">
              <w:rPr>
                <w:rFonts w:eastAsia="Times New Roman" w:cs="Arial"/>
                <w:szCs w:val="22"/>
              </w:rPr>
              <w:t>,</w:t>
            </w:r>
            <w:r>
              <w:rPr>
                <w:rFonts w:eastAsia="Times New Roman" w:cs="Arial"/>
                <w:szCs w:val="22"/>
              </w:rPr>
              <w:t xml:space="preserve"> with some differences in the examples</w:t>
            </w:r>
            <w:r w:rsidR="00094579">
              <w:rPr>
                <w:rFonts w:eastAsia="Times New Roman" w:cs="Arial"/>
                <w:szCs w:val="22"/>
              </w:rPr>
              <w:t>,</w:t>
            </w:r>
            <w:r>
              <w:rPr>
                <w:rFonts w:eastAsia="Times New Roman" w:cs="Arial"/>
                <w:szCs w:val="22"/>
              </w:rPr>
              <w:t xml:space="preserve"> and incorporate learning. </w:t>
            </w:r>
          </w:p>
          <w:p w14:paraId="046DCDE4" w14:textId="77777777" w:rsidR="002B5D3E" w:rsidRDefault="000A11B9">
            <w:pPr>
              <w:rPr>
                <w:rFonts w:eastAsia="Times New Roman" w:cs="Arial"/>
                <w:szCs w:val="22"/>
              </w:rPr>
            </w:pPr>
            <w:r>
              <w:rPr>
                <w:rFonts w:eastAsia="Times New Roman" w:cs="Arial"/>
                <w:szCs w:val="22"/>
              </w:rPr>
              <w:t xml:space="preserve">A change management process creates and reinforces the organizational culture and fosters employee engagement, which is measured by the employee engagement survey. </w:t>
            </w:r>
          </w:p>
          <w:p w14:paraId="6C578BE1" w14:textId="77777777" w:rsidR="002B5D3E" w:rsidRDefault="000A11B9">
            <w:pPr>
              <w:rPr>
                <w:rFonts w:eastAsia="Times New Roman" w:cs="Arial"/>
                <w:szCs w:val="22"/>
              </w:rPr>
            </w:pPr>
            <w:r>
              <w:rPr>
                <w:rFonts w:eastAsia="Times New Roman" w:cs="Arial"/>
                <w:szCs w:val="22"/>
              </w:rPr>
              <w:t xml:space="preserve">The </w:t>
            </w:r>
            <w:r w:rsidR="00094579">
              <w:rPr>
                <w:rFonts w:eastAsia="Times New Roman" w:cs="Arial"/>
                <w:szCs w:val="22"/>
              </w:rPr>
              <w:t>4-</w:t>
            </w:r>
            <w:r>
              <w:rPr>
                <w:rFonts w:eastAsia="Times New Roman" w:cs="Arial"/>
                <w:szCs w:val="22"/>
              </w:rPr>
              <w:t>step innovation process has helped with agility</w:t>
            </w:r>
            <w:r w:rsidR="00094579">
              <w:rPr>
                <w:rFonts w:eastAsia="Times New Roman" w:cs="Arial"/>
                <w:szCs w:val="22"/>
              </w:rPr>
              <w:t>,</w:t>
            </w:r>
            <w:r>
              <w:rPr>
                <w:rFonts w:eastAsia="Times New Roman" w:cs="Arial"/>
                <w:szCs w:val="22"/>
              </w:rPr>
              <w:t xml:space="preserve"> with the example of being able to quickly include workforce and student communication during the start of the pandemic. </w:t>
            </w:r>
          </w:p>
          <w:p w14:paraId="4DE5D8F4" w14:textId="567FFD70" w:rsidR="002B5D3E" w:rsidRDefault="000A11B9">
            <w:pPr>
              <w:rPr>
                <w:rFonts w:eastAsia="Times New Roman" w:cs="Arial"/>
                <w:szCs w:val="22"/>
              </w:rPr>
            </w:pPr>
            <w:r>
              <w:rPr>
                <w:rFonts w:eastAsia="Times New Roman" w:cs="Arial"/>
                <w:szCs w:val="22"/>
              </w:rPr>
              <w:t xml:space="preserve">The applicant has a short term </w:t>
            </w:r>
            <w:r w:rsidR="00FC7C2D">
              <w:rPr>
                <w:rFonts w:eastAsia="Times New Roman" w:cs="Arial"/>
                <w:szCs w:val="22"/>
              </w:rPr>
              <w:t>8-week</w:t>
            </w:r>
            <w:r>
              <w:rPr>
                <w:rFonts w:eastAsia="Times New Roman" w:cs="Arial"/>
                <w:szCs w:val="22"/>
              </w:rPr>
              <w:t xml:space="preserve"> success plan so that someone can step in quickly to SL </w:t>
            </w:r>
            <w:r w:rsidR="005E3D0E">
              <w:rPr>
                <w:rFonts w:eastAsia="Times New Roman" w:cs="Arial"/>
                <w:szCs w:val="22"/>
              </w:rPr>
              <w:t>positions and</w:t>
            </w:r>
            <w:r>
              <w:rPr>
                <w:rFonts w:eastAsia="Times New Roman" w:cs="Arial"/>
                <w:szCs w:val="22"/>
              </w:rPr>
              <w:t xml:space="preserve"> has a </w:t>
            </w:r>
            <w:r w:rsidR="00FC7C2D">
              <w:rPr>
                <w:rFonts w:eastAsia="Times New Roman" w:cs="Arial"/>
                <w:szCs w:val="22"/>
              </w:rPr>
              <w:t>longer-term</w:t>
            </w:r>
            <w:r>
              <w:rPr>
                <w:rFonts w:eastAsia="Times New Roman" w:cs="Arial"/>
                <w:szCs w:val="22"/>
              </w:rPr>
              <w:t xml:space="preserve"> succession plan for the president and the </w:t>
            </w:r>
            <w:r w:rsidR="00FC7C2D">
              <w:rPr>
                <w:rFonts w:eastAsia="Times New Roman" w:cs="Arial"/>
                <w:szCs w:val="22"/>
              </w:rPr>
              <w:t>president</w:t>
            </w:r>
            <w:r w:rsidR="005663C4">
              <w:rPr>
                <w:rFonts w:eastAsia="Times New Roman" w:cs="Arial"/>
                <w:szCs w:val="22"/>
              </w:rPr>
              <w:t>’</w:t>
            </w:r>
            <w:r w:rsidR="00FC7C2D">
              <w:rPr>
                <w:rFonts w:eastAsia="Times New Roman" w:cs="Arial"/>
                <w:szCs w:val="22"/>
              </w:rPr>
              <w:t>s</w:t>
            </w:r>
            <w:r>
              <w:rPr>
                <w:rFonts w:eastAsia="Times New Roman" w:cs="Arial"/>
                <w:szCs w:val="22"/>
              </w:rPr>
              <w:t xml:space="preserve"> team. </w:t>
            </w:r>
          </w:p>
          <w:p w14:paraId="5644ACEB" w14:textId="759E1DB0" w:rsidR="005E22BD" w:rsidRDefault="000A11B9">
            <w:pPr>
              <w:rPr>
                <w:rFonts w:eastAsia="Times New Roman" w:cs="Arial"/>
                <w:szCs w:val="22"/>
              </w:rPr>
            </w:pPr>
            <w:r>
              <w:rPr>
                <w:rFonts w:eastAsia="Times New Roman" w:cs="Arial"/>
                <w:szCs w:val="22"/>
              </w:rPr>
              <w:t>Strong evidence of integration via the Listening, communications, strategic planning, NWIP, and Leadership system; as well as succession planning and culture alignment efforts. also deployed through communications methods and NEO and STAR. PDCA used to evaluate opportunities.</w:t>
            </w:r>
          </w:p>
        </w:tc>
        <w:tc>
          <w:tcPr>
            <w:tcW w:w="0" w:type="auto"/>
            <w:tcBorders>
              <w:right w:val="single" w:sz="6" w:space="0" w:color="000000"/>
            </w:tcBorders>
            <w:tcMar>
              <w:top w:w="75" w:type="dxa"/>
              <w:left w:w="75" w:type="dxa"/>
              <w:bottom w:w="75" w:type="dxa"/>
              <w:right w:w="75" w:type="dxa"/>
            </w:tcMar>
            <w:hideMark/>
          </w:tcPr>
          <w:p w14:paraId="23AA8B0A" w14:textId="77777777" w:rsidR="005E22BD" w:rsidRDefault="000A11B9">
            <w:pPr>
              <w:rPr>
                <w:rFonts w:eastAsia="Times New Roman" w:cs="Arial"/>
                <w:szCs w:val="22"/>
              </w:rPr>
            </w:pPr>
            <w:r>
              <w:rPr>
                <w:rFonts w:eastAsia="Times New Roman" w:cs="Arial"/>
                <w:szCs w:val="22"/>
              </w:rPr>
              <w:t>c(1)</w:t>
            </w:r>
          </w:p>
        </w:tc>
      </w:tr>
      <w:tr w:rsidR="00E13B6B" w14:paraId="1A1C534F"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tcPr>
          <w:p w14:paraId="55ECB529" w14:textId="77777777" w:rsidR="00E13B6B" w:rsidRDefault="00E13B6B">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tcPr>
          <w:p w14:paraId="74EECEF1" w14:textId="77777777" w:rsidR="00E13B6B" w:rsidRDefault="00E13B6B">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tcPr>
          <w:p w14:paraId="0885E6B8" w14:textId="77777777" w:rsidR="00E13B6B" w:rsidRDefault="00E13B6B">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tcPr>
          <w:p w14:paraId="13F0DB5E" w14:textId="77777777" w:rsidR="00E13B6B" w:rsidRDefault="00E13B6B">
            <w:pPr>
              <w:rPr>
                <w:rFonts w:eastAsia="Times New Roman" w:cs="Arial"/>
                <w:szCs w:val="22"/>
              </w:rPr>
            </w:pPr>
          </w:p>
        </w:tc>
      </w:tr>
    </w:tbl>
    <w:p w14:paraId="2C4E4B72"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9656F0" w14:paraId="1EB3C79B" w14:textId="77777777" w:rsidTr="009656F0">
        <w:tc>
          <w:tcPr>
            <w:tcW w:w="10080" w:type="dxa"/>
          </w:tcPr>
          <w:p w14:paraId="68C83BB5" w14:textId="77777777" w:rsidR="009656F0" w:rsidRDefault="009656F0" w:rsidP="009656F0">
            <w:pPr>
              <w:rPr>
                <w:rFonts w:eastAsia="Times New Roman" w:cs="Arial"/>
                <w:szCs w:val="22"/>
              </w:rPr>
            </w:pPr>
            <w:r>
              <w:rPr>
                <w:rFonts w:eastAsia="Times New Roman" w:cs="Arial"/>
                <w:szCs w:val="22"/>
              </w:rPr>
              <w:t xml:space="preserve">Note: did not use a c(1) STR about innovation and intelligent risk (1 examiner); there is an OFI at the multiple level that would conflict with it, and there is some innovation addressed in the current c(1) strength. </w:t>
            </w:r>
          </w:p>
          <w:p w14:paraId="5939EFDD" w14:textId="0B29DE6C" w:rsidR="009656F0" w:rsidRDefault="009656F0" w:rsidP="009656F0">
            <w:pPr>
              <w:rPr>
                <w:rFonts w:eastAsia="Times New Roman" w:cs="Arial"/>
                <w:szCs w:val="22"/>
              </w:rPr>
            </w:pPr>
            <w:r>
              <w:rPr>
                <w:rFonts w:eastAsia="Times New Roman" w:cs="Arial"/>
                <w:szCs w:val="22"/>
              </w:rPr>
              <w:t xml:space="preserve">Did not use a, b, and c(2) strengths as they were weaker strengths (even though ID’d by multiple examiners) as there are OFIs for the same areas that were more relevant and pertinent for the applicant; but gave a little credit for communications in a c(1) STR comment. </w:t>
            </w:r>
          </w:p>
        </w:tc>
      </w:tr>
    </w:tbl>
    <w:p w14:paraId="6EE9EC15" w14:textId="77777777" w:rsidR="005E22BD" w:rsidRDefault="000A11B9">
      <w:pPr>
        <w:pStyle w:val="Heading3"/>
        <w:divId w:val="905190427"/>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04"/>
        <w:gridCol w:w="4153"/>
        <w:gridCol w:w="1200"/>
      </w:tblGrid>
      <w:tr w:rsidR="00C6190C" w14:paraId="4F757E75"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1F12C3B6"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2DEAEE1E"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28BDB5F0"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10F98524" w14:textId="77777777" w:rsidR="005E22BD" w:rsidRDefault="000A11B9">
            <w:pPr>
              <w:jc w:val="center"/>
              <w:rPr>
                <w:rFonts w:eastAsia="Times New Roman" w:cs="Arial"/>
                <w:b/>
                <w:bCs/>
                <w:szCs w:val="22"/>
              </w:rPr>
            </w:pPr>
            <w:r>
              <w:rPr>
                <w:rFonts w:eastAsia="Times New Roman" w:cs="Arial"/>
                <w:b/>
                <w:bCs/>
                <w:szCs w:val="22"/>
              </w:rPr>
              <w:t>Item Ref.</w:t>
            </w:r>
          </w:p>
        </w:tc>
      </w:tr>
      <w:tr w:rsidR="00C6190C" w14:paraId="5A89E05C"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69813A2C" w14:textId="77777777" w:rsidR="005E22BD" w:rsidRDefault="000A11B9">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1DA1AADD" w14:textId="4569D5E0" w:rsidR="005E22BD" w:rsidRDefault="004F16FC" w:rsidP="003A2E55">
            <w:pPr>
              <w:rPr>
                <w:rFonts w:eastAsia="Times New Roman" w:cs="Arial"/>
                <w:szCs w:val="22"/>
              </w:rPr>
            </w:pPr>
            <w:r>
              <w:rPr>
                <w:rFonts w:eastAsia="Times New Roman" w:cs="Arial"/>
                <w:szCs w:val="22"/>
              </w:rPr>
              <w:t xml:space="preserve">It </w:t>
            </w:r>
            <w:r w:rsidR="003A2E55">
              <w:rPr>
                <w:rFonts w:eastAsia="Times New Roman" w:cs="Arial"/>
                <w:szCs w:val="22"/>
              </w:rPr>
              <w:t xml:space="preserve">is not evident how </w:t>
            </w:r>
            <w:r w:rsidR="000A11B9">
              <w:rPr>
                <w:rFonts w:eastAsia="Times New Roman" w:cs="Arial"/>
                <w:szCs w:val="22"/>
              </w:rPr>
              <w:t>SL</w:t>
            </w:r>
            <w:r w:rsidR="003A2E55">
              <w:rPr>
                <w:rFonts w:eastAsia="Times New Roman" w:cs="Arial"/>
                <w:szCs w:val="22"/>
              </w:rPr>
              <w:t>s</w:t>
            </w:r>
            <w:r w:rsidR="005663C4">
              <w:rPr>
                <w:rFonts w:eastAsia="Times New Roman" w:cs="Arial"/>
                <w:szCs w:val="22"/>
              </w:rPr>
              <w:t>’</w:t>
            </w:r>
            <w:r w:rsidR="000A11B9">
              <w:rPr>
                <w:rFonts w:eastAsia="Times New Roman" w:cs="Arial"/>
                <w:szCs w:val="22"/>
              </w:rPr>
              <w:t xml:space="preserve"> personal actions reflect a commitment to </w:t>
            </w:r>
            <w:r w:rsidR="003A2E55">
              <w:rPr>
                <w:rFonts w:eastAsia="Times New Roman" w:cs="Arial"/>
                <w:szCs w:val="22"/>
              </w:rPr>
              <w:t>the applicant</w:t>
            </w:r>
            <w:r w:rsidR="005663C4">
              <w:rPr>
                <w:rFonts w:eastAsia="Times New Roman" w:cs="Arial"/>
                <w:szCs w:val="22"/>
              </w:rPr>
              <w:t>’</w:t>
            </w:r>
            <w:r w:rsidR="003A2E55">
              <w:rPr>
                <w:rFonts w:eastAsia="Times New Roman" w:cs="Arial"/>
                <w:szCs w:val="22"/>
              </w:rPr>
              <w:t xml:space="preserve">s </w:t>
            </w:r>
            <w:r w:rsidR="000A11B9">
              <w:rPr>
                <w:rFonts w:eastAsia="Times New Roman" w:cs="Arial"/>
                <w:szCs w:val="22"/>
              </w:rPr>
              <w:t xml:space="preserve">values </w:t>
            </w:r>
            <w:r w:rsidR="003A2E55">
              <w:rPr>
                <w:rFonts w:eastAsia="Times New Roman" w:cs="Arial"/>
                <w:szCs w:val="22"/>
              </w:rPr>
              <w:t xml:space="preserve">or </w:t>
            </w:r>
            <w:r w:rsidR="000A11B9">
              <w:rPr>
                <w:rFonts w:eastAsia="Times New Roman" w:cs="Arial"/>
                <w:szCs w:val="22"/>
              </w:rPr>
              <w:t xml:space="preserve">how </w:t>
            </w:r>
            <w:r w:rsidR="003A2E55">
              <w:rPr>
                <w:rFonts w:eastAsia="Times New Roman" w:cs="Arial"/>
                <w:szCs w:val="22"/>
              </w:rPr>
              <w:t xml:space="preserve">SLs </w:t>
            </w:r>
            <w:r w:rsidR="000A11B9">
              <w:rPr>
                <w:rFonts w:eastAsia="Times New Roman" w:cs="Arial"/>
                <w:szCs w:val="22"/>
              </w:rPr>
              <w:t>demonstrate personal accountability for</w:t>
            </w:r>
            <w:r w:rsidR="003A2E55">
              <w:rPr>
                <w:rFonts w:eastAsia="Times New Roman" w:cs="Arial"/>
                <w:szCs w:val="22"/>
              </w:rPr>
              <w:t xml:space="preserve"> the applicant</w:t>
            </w:r>
            <w:r w:rsidR="005663C4">
              <w:rPr>
                <w:rFonts w:eastAsia="Times New Roman" w:cs="Arial"/>
                <w:szCs w:val="22"/>
              </w:rPr>
              <w:t>’</w:t>
            </w:r>
            <w:r w:rsidR="003A2E55">
              <w:rPr>
                <w:rFonts w:eastAsia="Times New Roman" w:cs="Arial"/>
                <w:szCs w:val="22"/>
              </w:rPr>
              <w:t>s</w:t>
            </w:r>
            <w:r w:rsidR="000A11B9">
              <w:rPr>
                <w:rFonts w:eastAsia="Times New Roman" w:cs="Arial"/>
                <w:szCs w:val="22"/>
              </w:rPr>
              <w:t xml:space="preserve"> actions. For example, </w:t>
            </w:r>
            <w:r w:rsidR="003A2E55">
              <w:rPr>
                <w:rFonts w:eastAsia="Times New Roman" w:cs="Arial"/>
                <w:szCs w:val="22"/>
              </w:rPr>
              <w:t xml:space="preserve">the </w:t>
            </w:r>
            <w:r w:rsidR="000A11B9" w:rsidRPr="003464D3">
              <w:rPr>
                <w:rFonts w:eastAsia="Times New Roman" w:cs="Arial"/>
                <w:szCs w:val="22"/>
              </w:rPr>
              <w:t>Culture Walk</w:t>
            </w:r>
            <w:r w:rsidR="000A11B9">
              <w:rPr>
                <w:rFonts w:eastAsia="Times New Roman" w:cs="Arial"/>
                <w:szCs w:val="22"/>
              </w:rPr>
              <w:t xml:space="preserve"> </w:t>
            </w:r>
            <w:r w:rsidR="003A2E55">
              <w:rPr>
                <w:rFonts w:eastAsia="Times New Roman" w:cs="Arial"/>
                <w:szCs w:val="22"/>
              </w:rPr>
              <w:t>appears to be limited to promoting</w:t>
            </w:r>
            <w:r w:rsidR="003A2E55">
              <w:t xml:space="preserve"> </w:t>
            </w:r>
            <w:r w:rsidR="003A2E55" w:rsidRPr="003A2E55">
              <w:rPr>
                <w:rFonts w:eastAsia="Times New Roman" w:cs="Arial"/>
                <w:szCs w:val="22"/>
              </w:rPr>
              <w:t>ethical and legal behavior</w:t>
            </w:r>
            <w:r w:rsidR="003A2E55">
              <w:rPr>
                <w:rFonts w:eastAsia="Times New Roman" w:cs="Arial"/>
                <w:szCs w:val="22"/>
              </w:rPr>
              <w:t xml:space="preserve">, </w:t>
            </w:r>
            <w:r w:rsidR="003A2E55" w:rsidRPr="003A2E55">
              <w:rPr>
                <w:rFonts w:eastAsia="Times New Roman" w:cs="Arial"/>
                <w:szCs w:val="22"/>
              </w:rPr>
              <w:t>inclusion</w:t>
            </w:r>
            <w:r w:rsidR="003A2E55">
              <w:rPr>
                <w:rFonts w:eastAsia="Times New Roman" w:cs="Arial"/>
                <w:szCs w:val="22"/>
              </w:rPr>
              <w:t>,</w:t>
            </w:r>
            <w:r w:rsidR="003A2E55" w:rsidRPr="003A2E55">
              <w:rPr>
                <w:rFonts w:eastAsia="Times New Roman" w:cs="Arial"/>
                <w:szCs w:val="22"/>
              </w:rPr>
              <w:t xml:space="preserve"> and equity</w:t>
            </w:r>
            <w:r w:rsidR="003A2E55">
              <w:rPr>
                <w:rFonts w:eastAsia="Times New Roman" w:cs="Arial"/>
                <w:szCs w:val="22"/>
              </w:rPr>
              <w:t xml:space="preserve">, rather than </w:t>
            </w:r>
            <w:r w:rsidR="003464D3">
              <w:rPr>
                <w:rFonts w:eastAsia="Times New Roman" w:cs="Arial"/>
                <w:szCs w:val="22"/>
              </w:rPr>
              <w:t>addressing</w:t>
            </w:r>
            <w:r w:rsidR="00607919">
              <w:rPr>
                <w:rFonts w:eastAsia="Times New Roman" w:cs="Arial"/>
                <w:szCs w:val="22"/>
              </w:rPr>
              <w:t xml:space="preserve"> </w:t>
            </w:r>
            <w:r w:rsidR="000A11B9">
              <w:rPr>
                <w:rFonts w:eastAsia="Times New Roman" w:cs="Arial"/>
                <w:szCs w:val="22"/>
              </w:rPr>
              <w:t>values and</w:t>
            </w:r>
            <w:r w:rsidR="003A2E55">
              <w:rPr>
                <w:rFonts w:eastAsia="Times New Roman" w:cs="Arial"/>
                <w:szCs w:val="22"/>
              </w:rPr>
              <w:t xml:space="preserve"> personal</w:t>
            </w:r>
            <w:r w:rsidR="000A11B9">
              <w:rPr>
                <w:rFonts w:eastAsia="Times New Roman" w:cs="Arial"/>
                <w:szCs w:val="22"/>
              </w:rPr>
              <w:t xml:space="preserve"> accountability</w:t>
            </w:r>
            <w:r w:rsidR="003A2E55">
              <w:rPr>
                <w:rFonts w:eastAsia="Times New Roman" w:cs="Arial"/>
                <w:szCs w:val="22"/>
              </w:rPr>
              <w:t xml:space="preserve"> more broadly</w:t>
            </w:r>
            <w:r w:rsidR="000A11B9">
              <w:rPr>
                <w:rFonts w:eastAsia="Times New Roman" w:cs="Arial"/>
                <w:szCs w:val="22"/>
              </w:rPr>
              <w:t xml:space="preserve">. </w:t>
            </w:r>
            <w:r>
              <w:rPr>
                <w:rFonts w:eastAsia="Times New Roman" w:cs="Arial"/>
                <w:szCs w:val="22"/>
              </w:rPr>
              <w:t xml:space="preserve">In addition, it is not clear how SLs demonstrate their commitment to the values of being community-engaged and of </w:t>
            </w:r>
            <w:r w:rsidR="000A11B9">
              <w:rPr>
                <w:rFonts w:eastAsia="Times New Roman" w:cs="Arial"/>
                <w:szCs w:val="22"/>
              </w:rPr>
              <w:t xml:space="preserve">partnership excellence. </w:t>
            </w:r>
            <w:r>
              <w:rPr>
                <w:rFonts w:eastAsia="Times New Roman" w:cs="Arial"/>
                <w:szCs w:val="22"/>
              </w:rPr>
              <w:t>S</w:t>
            </w:r>
            <w:r w:rsidR="000A11B9">
              <w:rPr>
                <w:rFonts w:eastAsia="Times New Roman" w:cs="Arial"/>
                <w:szCs w:val="22"/>
              </w:rPr>
              <w:t xml:space="preserve">ystematic approaches </w:t>
            </w:r>
            <w:r>
              <w:rPr>
                <w:rFonts w:eastAsia="Times New Roman" w:cs="Arial"/>
                <w:szCs w:val="22"/>
              </w:rPr>
              <w:t>in these areas</w:t>
            </w:r>
            <w:r w:rsidR="000A11B9">
              <w:rPr>
                <w:rFonts w:eastAsia="Times New Roman" w:cs="Arial"/>
                <w:szCs w:val="22"/>
              </w:rPr>
              <w:t xml:space="preserve"> may enable SLs to enhance the mission of empowering students.</w:t>
            </w:r>
          </w:p>
        </w:tc>
        <w:tc>
          <w:tcPr>
            <w:tcW w:w="0" w:type="auto"/>
            <w:tcBorders>
              <w:bottom w:val="single" w:sz="6" w:space="0" w:color="000000"/>
              <w:right w:val="single" w:sz="6" w:space="0" w:color="000000"/>
            </w:tcBorders>
            <w:tcMar>
              <w:top w:w="75" w:type="dxa"/>
              <w:left w:w="75" w:type="dxa"/>
              <w:bottom w:w="75" w:type="dxa"/>
              <w:right w:w="75" w:type="dxa"/>
            </w:tcMar>
            <w:hideMark/>
          </w:tcPr>
          <w:p w14:paraId="13057F79" w14:textId="77777777" w:rsidR="004F16FC" w:rsidRDefault="000A11B9">
            <w:pPr>
              <w:rPr>
                <w:rFonts w:eastAsia="Times New Roman" w:cs="Arial"/>
                <w:szCs w:val="22"/>
              </w:rPr>
            </w:pPr>
            <w:r>
              <w:rPr>
                <w:rFonts w:eastAsia="Times New Roman" w:cs="Arial"/>
                <w:szCs w:val="22"/>
              </w:rPr>
              <w:t>5 examiners (</w:t>
            </w:r>
            <w:r w:rsidR="007B4856">
              <w:rPr>
                <w:rFonts w:eastAsia="Times New Roman" w:cs="Arial"/>
                <w:szCs w:val="22"/>
              </w:rPr>
              <w:t>Ex1</w:t>
            </w:r>
            <w:r>
              <w:rPr>
                <w:rFonts w:eastAsia="Times New Roman" w:cs="Arial"/>
                <w:szCs w:val="22"/>
              </w:rPr>
              <w:t>,</w:t>
            </w:r>
            <w:r w:rsidR="007B4856">
              <w:rPr>
                <w:rFonts w:eastAsia="Times New Roman" w:cs="Arial"/>
                <w:szCs w:val="22"/>
              </w:rPr>
              <w:t xml:space="preserve"> Ex3, Ex5</w:t>
            </w:r>
            <w:r>
              <w:rPr>
                <w:rFonts w:eastAsia="Times New Roman" w:cs="Arial"/>
                <w:szCs w:val="22"/>
              </w:rPr>
              <w:t xml:space="preserve">, </w:t>
            </w:r>
            <w:r w:rsidR="007B4856">
              <w:rPr>
                <w:rFonts w:eastAsia="Times New Roman" w:cs="Arial"/>
                <w:szCs w:val="22"/>
              </w:rPr>
              <w:t>Ex6, Ex7</w:t>
            </w:r>
            <w:r>
              <w:rPr>
                <w:rFonts w:eastAsia="Times New Roman" w:cs="Arial"/>
                <w:szCs w:val="22"/>
              </w:rPr>
              <w:t>) had some overall elements of a and/or c</w:t>
            </w:r>
            <w:r w:rsidR="004F16FC">
              <w:rPr>
                <w:rFonts w:eastAsia="Times New Roman" w:cs="Arial"/>
                <w:szCs w:val="22"/>
              </w:rPr>
              <w:t>(</w:t>
            </w:r>
            <w:r>
              <w:rPr>
                <w:rFonts w:eastAsia="Times New Roman" w:cs="Arial"/>
                <w:szCs w:val="22"/>
              </w:rPr>
              <w:t>2</w:t>
            </w:r>
            <w:r w:rsidR="004F16FC">
              <w:rPr>
                <w:rFonts w:eastAsia="Times New Roman" w:cs="Arial"/>
                <w:szCs w:val="22"/>
              </w:rPr>
              <w:t>)</w:t>
            </w:r>
            <w:r>
              <w:rPr>
                <w:rFonts w:eastAsia="Times New Roman" w:cs="Arial"/>
                <w:szCs w:val="22"/>
              </w:rPr>
              <w:t xml:space="preserve"> as an OFI</w:t>
            </w:r>
            <w:r w:rsidR="004F16FC">
              <w:rPr>
                <w:rFonts w:eastAsia="Times New Roman" w:cs="Arial"/>
                <w:szCs w:val="22"/>
              </w:rPr>
              <w:t>. B</w:t>
            </w:r>
            <w:r>
              <w:rPr>
                <w:rFonts w:eastAsia="Times New Roman" w:cs="Arial"/>
                <w:szCs w:val="22"/>
              </w:rPr>
              <w:t>ased on the issues</w:t>
            </w:r>
            <w:r w:rsidR="004F16FC">
              <w:rPr>
                <w:rFonts w:eastAsia="Times New Roman" w:cs="Arial"/>
                <w:szCs w:val="22"/>
              </w:rPr>
              <w:t>, I</w:t>
            </w:r>
            <w:r>
              <w:rPr>
                <w:rFonts w:eastAsia="Times New Roman" w:cs="Arial"/>
                <w:szCs w:val="22"/>
              </w:rPr>
              <w:t xml:space="preserve"> merged into 1 OFI to address the gap with SL personal actions and personal accountability. The</w:t>
            </w:r>
            <w:r w:rsidR="004F16FC">
              <w:rPr>
                <w:rFonts w:eastAsia="Times New Roman" w:cs="Arial"/>
                <w:szCs w:val="22"/>
              </w:rPr>
              <w:t xml:space="preserve"> applicant</w:t>
            </w:r>
            <w:r>
              <w:rPr>
                <w:rFonts w:eastAsia="Times New Roman" w:cs="Arial"/>
                <w:szCs w:val="22"/>
              </w:rPr>
              <w:t xml:space="preserve"> give</w:t>
            </w:r>
            <w:r w:rsidR="004F16FC">
              <w:rPr>
                <w:rFonts w:eastAsia="Times New Roman" w:cs="Arial"/>
                <w:szCs w:val="22"/>
              </w:rPr>
              <w:t>s</w:t>
            </w:r>
            <w:r>
              <w:rPr>
                <w:rFonts w:eastAsia="Times New Roman" w:cs="Arial"/>
                <w:szCs w:val="22"/>
              </w:rPr>
              <w:t xml:space="preserve"> general examples of things </w:t>
            </w:r>
            <w:r w:rsidR="004F16FC">
              <w:rPr>
                <w:rFonts w:eastAsia="Times New Roman" w:cs="Arial"/>
                <w:szCs w:val="22"/>
              </w:rPr>
              <w:t xml:space="preserve">it does … </w:t>
            </w:r>
            <w:r>
              <w:rPr>
                <w:rFonts w:eastAsia="Times New Roman" w:cs="Arial"/>
                <w:szCs w:val="22"/>
              </w:rPr>
              <w:t>but actual personal actions</w:t>
            </w:r>
            <w:r w:rsidR="004F16FC">
              <w:rPr>
                <w:rFonts w:eastAsia="Times New Roman" w:cs="Arial"/>
                <w:szCs w:val="22"/>
              </w:rPr>
              <w:t xml:space="preserve"> are</w:t>
            </w:r>
            <w:r>
              <w:rPr>
                <w:rFonts w:eastAsia="Times New Roman" w:cs="Arial"/>
                <w:szCs w:val="22"/>
              </w:rPr>
              <w:t xml:space="preserve"> absent. </w:t>
            </w:r>
          </w:p>
          <w:p w14:paraId="5BF15195" w14:textId="6A1F2351" w:rsidR="004F16FC" w:rsidRDefault="000A11B9" w:rsidP="004F16FC">
            <w:pPr>
              <w:rPr>
                <w:rFonts w:eastAsia="Times New Roman" w:cs="Arial"/>
                <w:szCs w:val="22"/>
              </w:rPr>
            </w:pPr>
            <w:r>
              <w:rPr>
                <w:rFonts w:eastAsia="Times New Roman" w:cs="Arial"/>
                <w:szCs w:val="22"/>
              </w:rPr>
              <w:t xml:space="preserve">I have </w:t>
            </w:r>
            <w:r w:rsidR="004F16FC">
              <w:rPr>
                <w:rFonts w:eastAsia="Times New Roman" w:cs="Arial"/>
                <w:szCs w:val="22"/>
              </w:rPr>
              <w:t>double</w:t>
            </w:r>
            <w:r>
              <w:rPr>
                <w:rFonts w:eastAsia="Times New Roman" w:cs="Arial"/>
                <w:szCs w:val="22"/>
              </w:rPr>
              <w:t xml:space="preserve">d </w:t>
            </w:r>
            <w:r w:rsidR="004F16FC">
              <w:rPr>
                <w:rFonts w:eastAsia="Times New Roman" w:cs="Arial"/>
                <w:szCs w:val="22"/>
              </w:rPr>
              <w:t xml:space="preserve">the </w:t>
            </w:r>
            <w:r>
              <w:rPr>
                <w:rFonts w:eastAsia="Times New Roman" w:cs="Arial"/>
                <w:szCs w:val="22"/>
              </w:rPr>
              <w:t xml:space="preserve">OFI based on its relevance to what SL should be </w:t>
            </w:r>
            <w:r w:rsidR="002B5D3E">
              <w:rPr>
                <w:rFonts w:eastAsia="Times New Roman" w:cs="Arial"/>
                <w:szCs w:val="22"/>
              </w:rPr>
              <w:t>“</w:t>
            </w:r>
            <w:r>
              <w:rPr>
                <w:rFonts w:eastAsia="Times New Roman" w:cs="Arial"/>
                <w:szCs w:val="22"/>
              </w:rPr>
              <w:t>doing</w:t>
            </w:r>
            <w:r w:rsidR="002B5D3E">
              <w:rPr>
                <w:rFonts w:eastAsia="Times New Roman" w:cs="Arial"/>
                <w:szCs w:val="22"/>
              </w:rPr>
              <w:t>”</w:t>
            </w:r>
            <w:r>
              <w:rPr>
                <w:rFonts w:eastAsia="Times New Roman" w:cs="Arial"/>
                <w:szCs w:val="22"/>
              </w:rPr>
              <w:t xml:space="preserve"> to lead the org at the overall level. </w:t>
            </w:r>
          </w:p>
          <w:p w14:paraId="2865911F" w14:textId="77777777" w:rsidR="004F16FC" w:rsidRDefault="000A11B9" w:rsidP="004F16FC">
            <w:pPr>
              <w:rPr>
                <w:rFonts w:eastAsia="Times New Roman" w:cs="Arial"/>
                <w:szCs w:val="22"/>
              </w:rPr>
            </w:pPr>
            <w:r>
              <w:rPr>
                <w:rFonts w:eastAsia="Times New Roman" w:cs="Arial"/>
                <w:szCs w:val="22"/>
              </w:rPr>
              <w:t xml:space="preserve">Evidence includes: </w:t>
            </w:r>
          </w:p>
          <w:p w14:paraId="7A627171" w14:textId="089A741F" w:rsidR="004F16FC" w:rsidRDefault="000A11B9" w:rsidP="004F16FC">
            <w:pPr>
              <w:rPr>
                <w:rFonts w:eastAsia="Times New Roman" w:cs="Arial"/>
                <w:szCs w:val="22"/>
              </w:rPr>
            </w:pPr>
            <w:r>
              <w:rPr>
                <w:rFonts w:eastAsia="Times New Roman" w:cs="Arial"/>
                <w:szCs w:val="22"/>
              </w:rPr>
              <w:t>It is introduced in NEO but not sure how “first do no harm” relates to actual commitment or examples</w:t>
            </w:r>
            <w:r w:rsidR="004F16FC">
              <w:rPr>
                <w:rFonts w:eastAsia="Times New Roman" w:cs="Arial"/>
                <w:szCs w:val="22"/>
              </w:rPr>
              <w:t>.</w:t>
            </w:r>
          </w:p>
          <w:p w14:paraId="3704CC1C" w14:textId="65701A69" w:rsidR="004F16FC" w:rsidRDefault="000A11B9" w:rsidP="004F16FC">
            <w:pPr>
              <w:rPr>
                <w:rFonts w:eastAsia="Times New Roman" w:cs="Arial"/>
                <w:szCs w:val="22"/>
              </w:rPr>
            </w:pPr>
            <w:r>
              <w:rPr>
                <w:rFonts w:eastAsia="Times New Roman" w:cs="Arial"/>
                <w:szCs w:val="22"/>
              </w:rPr>
              <w:t>SL</w:t>
            </w:r>
            <w:r w:rsidR="004F16FC">
              <w:rPr>
                <w:rFonts w:eastAsia="Times New Roman" w:cs="Arial"/>
                <w:szCs w:val="22"/>
              </w:rPr>
              <w:t>s</w:t>
            </w:r>
            <w:r>
              <w:rPr>
                <w:rFonts w:eastAsia="Times New Roman" w:cs="Arial"/>
                <w:szCs w:val="22"/>
              </w:rPr>
              <w:t xml:space="preserve"> serve as resources but what makes employees go to SL for a challenging situation</w:t>
            </w:r>
            <w:r w:rsidR="004F16FC">
              <w:rPr>
                <w:rFonts w:eastAsia="Times New Roman" w:cs="Arial"/>
                <w:szCs w:val="22"/>
              </w:rPr>
              <w:t>.</w:t>
            </w:r>
          </w:p>
          <w:p w14:paraId="5E24A3F2" w14:textId="0986849F" w:rsidR="005E22BD" w:rsidRDefault="00FC7C2D" w:rsidP="004F16FC">
            <w:pPr>
              <w:rPr>
                <w:rFonts w:eastAsia="Times New Roman" w:cs="Arial"/>
                <w:szCs w:val="22"/>
              </w:rPr>
            </w:pPr>
            <w:r>
              <w:rPr>
                <w:rFonts w:eastAsia="Times New Roman" w:cs="Arial"/>
                <w:szCs w:val="22"/>
              </w:rPr>
              <w:t>Self-serve</w:t>
            </w:r>
            <w:r w:rsidR="000A11B9">
              <w:rPr>
                <w:rFonts w:eastAsia="Times New Roman" w:cs="Arial"/>
                <w:szCs w:val="22"/>
              </w:rPr>
              <w:t xml:space="preserve"> reporting mechanisms</w:t>
            </w:r>
            <w:r w:rsidR="004F16FC">
              <w:rPr>
                <w:rFonts w:eastAsia="Times New Roman" w:cs="Arial"/>
                <w:szCs w:val="22"/>
              </w:rPr>
              <w:t>,</w:t>
            </w:r>
            <w:r w:rsidR="000A11B9">
              <w:rPr>
                <w:rFonts w:eastAsia="Times New Roman" w:cs="Arial"/>
                <w:szCs w:val="22"/>
              </w:rPr>
              <w:t xml:space="preserve"> but how most stakeholders</w:t>
            </w:r>
            <w:r w:rsidR="004F16FC">
              <w:rPr>
                <w:rFonts w:eastAsia="Times New Roman" w:cs="Arial"/>
                <w:szCs w:val="22"/>
              </w:rPr>
              <w:t xml:space="preserve"> are</w:t>
            </w:r>
            <w:r w:rsidR="000A11B9">
              <w:rPr>
                <w:rFonts w:eastAsia="Times New Roman" w:cs="Arial"/>
                <w:szCs w:val="22"/>
              </w:rPr>
              <w:t xml:space="preserve"> aware of legal or ethical situations is not clear. Information is visible and reviewed by leaders, but little to no evidence of their specific actions</w:t>
            </w:r>
            <w:r w:rsidR="004F16FC">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3EB25594" w14:textId="77777777" w:rsidR="005E22BD" w:rsidRDefault="000A11B9">
            <w:pPr>
              <w:rPr>
                <w:rFonts w:eastAsia="Times New Roman" w:cs="Arial"/>
                <w:szCs w:val="22"/>
              </w:rPr>
            </w:pPr>
            <w:r>
              <w:rPr>
                <w:rFonts w:eastAsia="Times New Roman" w:cs="Arial"/>
                <w:szCs w:val="22"/>
              </w:rPr>
              <w:t>a(1),c(2)</w:t>
            </w:r>
          </w:p>
        </w:tc>
      </w:tr>
      <w:tr w:rsidR="00C6190C" w14:paraId="3C8CAA8E"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671223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D3A1D99" w14:textId="781E5AE7" w:rsidR="005E22BD" w:rsidRDefault="000A11B9">
            <w:pPr>
              <w:rPr>
                <w:rFonts w:eastAsia="Times New Roman" w:cs="Arial"/>
                <w:szCs w:val="22"/>
              </w:rPr>
            </w:pPr>
            <w:r>
              <w:rPr>
                <w:rFonts w:eastAsia="Times New Roman" w:cs="Arial"/>
                <w:szCs w:val="22"/>
              </w:rPr>
              <w:t xml:space="preserve">Beyond the </w:t>
            </w:r>
            <w:r w:rsidRPr="003D5F9E">
              <w:rPr>
                <w:rFonts w:eastAsia="Times New Roman" w:cs="Arial"/>
                <w:szCs w:val="22"/>
              </w:rPr>
              <w:t>Culture Walk</w:t>
            </w:r>
            <w:r>
              <w:rPr>
                <w:rFonts w:eastAsia="Times New Roman" w:cs="Arial"/>
                <w:szCs w:val="22"/>
              </w:rPr>
              <w:t xml:space="preserve"> program, systematic processes for SLs to create a culture that fosters inclusion and cultivates organizational agility and resilience is not evident. For example, </w:t>
            </w:r>
            <w:r w:rsidR="00C6190C">
              <w:rPr>
                <w:rFonts w:eastAsia="Times New Roman" w:cs="Arial"/>
                <w:szCs w:val="22"/>
              </w:rPr>
              <w:t xml:space="preserve">it is not evident how the applicant ensures inclusion of individuals with diverse backgrounds in efforts </w:t>
            </w:r>
            <w:r w:rsidR="002B5D3E">
              <w:rPr>
                <w:rFonts w:eastAsia="Times New Roman" w:cs="Arial"/>
                <w:szCs w:val="22"/>
              </w:rPr>
              <w:t xml:space="preserve">to </w:t>
            </w:r>
            <w:r>
              <w:rPr>
                <w:rFonts w:eastAsia="Times New Roman" w:cs="Arial"/>
                <w:szCs w:val="22"/>
              </w:rPr>
              <w:t>develop future leaders</w:t>
            </w:r>
            <w:r w:rsidR="00607919">
              <w:rPr>
                <w:rFonts w:eastAsia="Times New Roman" w:cs="Arial"/>
                <w:szCs w:val="22"/>
              </w:rPr>
              <w:t>;</w:t>
            </w:r>
            <w:r>
              <w:rPr>
                <w:rFonts w:eastAsia="Times New Roman" w:cs="Arial"/>
                <w:szCs w:val="22"/>
              </w:rPr>
              <w:t xml:space="preserve"> nor is it evident how innovation processes contribute to cultivating agility or resilience.</w:t>
            </w:r>
            <w:r w:rsidR="00C6190C">
              <w:rPr>
                <w:rFonts w:eastAsia="Times New Roman" w:cs="Arial"/>
                <w:szCs w:val="22"/>
              </w:rPr>
              <w:t xml:space="preserve"> Approaches in these areas</w:t>
            </w:r>
            <w:r>
              <w:rPr>
                <w:rFonts w:eastAsia="Times New Roman" w:cs="Arial"/>
                <w:szCs w:val="22"/>
              </w:rPr>
              <w:t xml:space="preserve"> may enhance the applicant</w:t>
            </w:r>
            <w:r w:rsidR="005663C4">
              <w:rPr>
                <w:rFonts w:eastAsia="Times New Roman" w:cs="Arial"/>
                <w:szCs w:val="22"/>
              </w:rPr>
              <w:t>’</w:t>
            </w:r>
            <w:r>
              <w:rPr>
                <w:rFonts w:eastAsia="Times New Roman" w:cs="Arial"/>
                <w:szCs w:val="22"/>
              </w:rPr>
              <w:t xml:space="preserve">s ability to empower students in a diverse society and </w:t>
            </w:r>
            <w:r w:rsidR="00484747">
              <w:rPr>
                <w:rFonts w:eastAsia="Times New Roman" w:cs="Arial"/>
                <w:szCs w:val="22"/>
              </w:rPr>
              <w:t xml:space="preserve">diverse </w:t>
            </w:r>
            <w:r>
              <w:rPr>
                <w:rFonts w:eastAsia="Times New Roman" w:cs="Arial"/>
                <w:szCs w:val="22"/>
              </w:rPr>
              <w:t>communities.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3C54ABC" w14:textId="2CBE8844" w:rsidR="00607919" w:rsidRDefault="000A11B9">
            <w:pPr>
              <w:rPr>
                <w:rFonts w:eastAsia="Times New Roman" w:cs="Arial"/>
                <w:szCs w:val="22"/>
              </w:rPr>
            </w:pPr>
            <w:r>
              <w:rPr>
                <w:rFonts w:eastAsia="Times New Roman" w:cs="Arial"/>
                <w:szCs w:val="22"/>
              </w:rPr>
              <w:t>Multiple</w:t>
            </w:r>
            <w:r w:rsidR="00607919">
              <w:rPr>
                <w:rFonts w:eastAsia="Times New Roman" w:cs="Arial"/>
                <w:szCs w:val="22"/>
              </w:rPr>
              <w:t>-</w:t>
            </w:r>
            <w:r>
              <w:rPr>
                <w:rFonts w:eastAsia="Times New Roman" w:cs="Arial"/>
                <w:szCs w:val="22"/>
              </w:rPr>
              <w:t>level comment supported by 3 examiners (</w:t>
            </w:r>
            <w:r w:rsidR="007B4856">
              <w:rPr>
                <w:rFonts w:eastAsia="Times New Roman" w:cs="Arial"/>
                <w:szCs w:val="22"/>
              </w:rPr>
              <w:t>Ex1, Ex3</w:t>
            </w:r>
            <w:r>
              <w:rPr>
                <w:rFonts w:eastAsia="Times New Roman" w:cs="Arial"/>
                <w:szCs w:val="22"/>
              </w:rPr>
              <w:t>,</w:t>
            </w:r>
            <w:r w:rsidR="007B4856">
              <w:rPr>
                <w:rFonts w:eastAsia="Times New Roman" w:cs="Arial"/>
                <w:szCs w:val="22"/>
              </w:rPr>
              <w:t xml:space="preserve"> Ex5</w:t>
            </w:r>
            <w:r>
              <w:rPr>
                <w:rFonts w:eastAsia="Times New Roman" w:cs="Arial"/>
                <w:szCs w:val="22"/>
              </w:rPr>
              <w:t>) in various fashion</w:t>
            </w:r>
            <w:r w:rsidR="00607919">
              <w:rPr>
                <w:rFonts w:eastAsia="Times New Roman" w:cs="Arial"/>
                <w:szCs w:val="22"/>
              </w:rPr>
              <w:t>s</w:t>
            </w:r>
            <w:r w:rsidR="00FD460C">
              <w:rPr>
                <w:rFonts w:eastAsia="Times New Roman" w:cs="Arial"/>
                <w:szCs w:val="22"/>
              </w:rPr>
              <w:t>—</w:t>
            </w:r>
            <w:r>
              <w:rPr>
                <w:rFonts w:eastAsia="Times New Roman" w:cs="Arial"/>
                <w:szCs w:val="22"/>
              </w:rPr>
              <w:t>2 addressing equity and inclusion and one focused on agi</w:t>
            </w:r>
            <w:r w:rsidR="00607919">
              <w:rPr>
                <w:rFonts w:eastAsia="Times New Roman" w:cs="Arial"/>
                <w:szCs w:val="22"/>
              </w:rPr>
              <w:t>lity</w:t>
            </w:r>
            <w:r>
              <w:rPr>
                <w:rFonts w:eastAsia="Times New Roman" w:cs="Arial"/>
                <w:szCs w:val="22"/>
              </w:rPr>
              <w:t xml:space="preserve"> and reliance; I merge</w:t>
            </w:r>
            <w:r w:rsidR="00607919">
              <w:rPr>
                <w:rFonts w:eastAsia="Times New Roman" w:cs="Arial"/>
                <w:szCs w:val="22"/>
              </w:rPr>
              <w:t>d</w:t>
            </w:r>
            <w:r>
              <w:rPr>
                <w:rFonts w:eastAsia="Times New Roman" w:cs="Arial"/>
                <w:szCs w:val="22"/>
              </w:rPr>
              <w:t xml:space="preserve"> into on</w:t>
            </w:r>
            <w:r w:rsidR="00607919">
              <w:rPr>
                <w:rFonts w:eastAsia="Times New Roman" w:cs="Arial"/>
                <w:szCs w:val="22"/>
              </w:rPr>
              <w:t>e</w:t>
            </w:r>
            <w:r>
              <w:rPr>
                <w:rFonts w:eastAsia="Times New Roman" w:cs="Arial"/>
                <w:szCs w:val="22"/>
              </w:rPr>
              <w:t xml:space="preserve"> comment to capture 3 aspects, based on suggestions for refinement and discussion with SME. </w:t>
            </w:r>
          </w:p>
          <w:p w14:paraId="31D3EA7E" w14:textId="78D5E726" w:rsidR="00607919" w:rsidRDefault="000A11B9">
            <w:pPr>
              <w:rPr>
                <w:rFonts w:eastAsia="Times New Roman" w:cs="Arial"/>
                <w:szCs w:val="22"/>
              </w:rPr>
            </w:pPr>
            <w:r>
              <w:rPr>
                <w:rFonts w:eastAsia="Times New Roman" w:cs="Arial"/>
                <w:szCs w:val="22"/>
              </w:rPr>
              <w:t xml:space="preserve">Evidence </w:t>
            </w:r>
            <w:r w:rsidR="00FD460C">
              <w:rPr>
                <w:rFonts w:eastAsia="Times New Roman" w:cs="Arial"/>
                <w:szCs w:val="22"/>
              </w:rPr>
              <w:t>—</w:t>
            </w:r>
            <w:r>
              <w:rPr>
                <w:rFonts w:eastAsia="Times New Roman" w:cs="Arial"/>
                <w:szCs w:val="22"/>
              </w:rPr>
              <w:t xml:space="preserve">-It is unclear that </w:t>
            </w:r>
            <w:r w:rsidR="00C82021">
              <w:rPr>
                <w:rFonts w:eastAsia="Times New Roman" w:cs="Arial"/>
                <w:szCs w:val="22"/>
              </w:rPr>
              <w:t>the applicant</w:t>
            </w:r>
            <w:r w:rsidR="005663C4">
              <w:rPr>
                <w:rFonts w:eastAsia="Times New Roman" w:cs="Arial"/>
                <w:szCs w:val="22"/>
              </w:rPr>
              <w:t>’</w:t>
            </w:r>
            <w:r>
              <w:rPr>
                <w:rFonts w:eastAsia="Times New Roman" w:cs="Arial"/>
                <w:szCs w:val="22"/>
              </w:rPr>
              <w:t xml:space="preserve">s approach to workforce selection helps </w:t>
            </w:r>
            <w:r w:rsidR="009A0B0A">
              <w:rPr>
                <w:rFonts w:eastAsia="Times New Roman" w:cs="Arial"/>
                <w:szCs w:val="22"/>
              </w:rPr>
              <w:t>e</w:t>
            </w:r>
            <w:r>
              <w:rPr>
                <w:rFonts w:eastAsia="Times New Roman" w:cs="Arial"/>
                <w:szCs w:val="22"/>
              </w:rPr>
              <w:t xml:space="preserve">nsure inclusion of diverse backgrounds by participation representing broad cross-sections of the institution. </w:t>
            </w:r>
          </w:p>
          <w:p w14:paraId="0A5F0D56" w14:textId="77777777" w:rsidR="00607919" w:rsidRDefault="000A11B9">
            <w:pPr>
              <w:rPr>
                <w:rFonts w:eastAsia="Times New Roman" w:cs="Arial"/>
                <w:szCs w:val="22"/>
              </w:rPr>
            </w:pPr>
            <w:r>
              <w:rPr>
                <w:rFonts w:eastAsia="Times New Roman" w:cs="Arial"/>
                <w:szCs w:val="22"/>
              </w:rPr>
              <w:t>Northwest Innovation Process seems to be a self-initiated program for idea gathering</w:t>
            </w:r>
            <w:r w:rsidR="00607919">
              <w:rPr>
                <w:rFonts w:eastAsia="Times New Roman" w:cs="Arial"/>
                <w:szCs w:val="22"/>
              </w:rPr>
              <w:t>.</w:t>
            </w:r>
          </w:p>
          <w:p w14:paraId="54BA3FE5" w14:textId="6A81A335" w:rsidR="00607919" w:rsidRDefault="000A11B9">
            <w:pPr>
              <w:rPr>
                <w:rFonts w:eastAsia="Times New Roman" w:cs="Arial"/>
                <w:szCs w:val="22"/>
              </w:rPr>
            </w:pPr>
            <w:r>
              <w:rPr>
                <w:rFonts w:eastAsia="Times New Roman" w:cs="Arial"/>
                <w:szCs w:val="22"/>
              </w:rPr>
              <w:t xml:space="preserve">Change management process describes ad hoc application to a particular initiative but does not describe organizational capacity for agility or resilience. </w:t>
            </w:r>
          </w:p>
          <w:p w14:paraId="698E6865" w14:textId="0BA9C4BD" w:rsidR="005E22BD" w:rsidRDefault="000A11B9">
            <w:pPr>
              <w:rPr>
                <w:rFonts w:eastAsia="Times New Roman" w:cs="Arial"/>
                <w:szCs w:val="22"/>
              </w:rPr>
            </w:pPr>
            <w:r>
              <w:rPr>
                <w:rFonts w:eastAsia="Times New Roman" w:cs="Arial"/>
                <w:szCs w:val="22"/>
              </w:rPr>
              <w:t>Weekly PT meetings track progress on objectives</w:t>
            </w:r>
            <w:r w:rsidR="00607919">
              <w:rPr>
                <w:rFonts w:eastAsia="Times New Roman" w:cs="Arial"/>
                <w:szCs w:val="22"/>
              </w:rPr>
              <w:t>, but these</w:t>
            </w:r>
            <w:r>
              <w:rPr>
                <w:rFonts w:eastAsia="Times New Roman" w:cs="Arial"/>
                <w:szCs w:val="22"/>
              </w:rPr>
              <w:t xml:space="preserve"> are driven by month</w:t>
            </w:r>
            <w:r w:rsidR="00607919">
              <w:rPr>
                <w:rFonts w:eastAsia="Times New Roman" w:cs="Arial"/>
                <w:szCs w:val="22"/>
              </w:rPr>
              <w:t>ly</w:t>
            </w:r>
            <w:r>
              <w:rPr>
                <w:rFonts w:eastAsia="Times New Roman" w:cs="Arial"/>
                <w:szCs w:val="22"/>
              </w:rPr>
              <w:t xml:space="preserve"> meetings of workgroups </w:t>
            </w:r>
            <w:r>
              <w:rPr>
                <w:rFonts w:eastAsia="Times New Roman" w:cs="Arial"/>
                <w:szCs w:val="22"/>
              </w:rPr>
              <w:lastRenderedPageBreak/>
              <w:t>performing the actions</w:t>
            </w:r>
            <w:r w:rsidR="00607919">
              <w:rPr>
                <w:rFonts w:eastAsia="Times New Roman" w:cs="Arial"/>
                <w:szCs w:val="22"/>
              </w:rPr>
              <w:t>—</w:t>
            </w:r>
            <w:r>
              <w:rPr>
                <w:rFonts w:eastAsia="Times New Roman" w:cs="Arial"/>
                <w:szCs w:val="22"/>
              </w:rPr>
              <w:t>seems incongruous</w:t>
            </w:r>
            <w:r w:rsidR="00607919">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747E79A" w14:textId="77777777" w:rsidR="005E22BD" w:rsidRDefault="000A11B9">
            <w:pPr>
              <w:rPr>
                <w:rFonts w:eastAsia="Times New Roman" w:cs="Arial"/>
                <w:szCs w:val="22"/>
              </w:rPr>
            </w:pPr>
            <w:r>
              <w:rPr>
                <w:rFonts w:eastAsia="Times New Roman" w:cs="Arial"/>
                <w:szCs w:val="22"/>
              </w:rPr>
              <w:lastRenderedPageBreak/>
              <w:t>c(1)</w:t>
            </w:r>
          </w:p>
        </w:tc>
      </w:tr>
      <w:tr w:rsidR="00C6190C" w14:paraId="3E1B01D0"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B77D87B"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FB8F127" w14:textId="3F924AA7" w:rsidR="005E22BD" w:rsidRDefault="000A11B9">
            <w:pPr>
              <w:rPr>
                <w:rFonts w:eastAsia="Times New Roman" w:cs="Arial"/>
                <w:szCs w:val="22"/>
              </w:rPr>
            </w:pPr>
            <w:r>
              <w:rPr>
                <w:rFonts w:eastAsia="Times New Roman" w:cs="Arial"/>
                <w:szCs w:val="22"/>
              </w:rPr>
              <w:t xml:space="preserve">It is not evident </w:t>
            </w:r>
            <w:r w:rsidR="00C6190C">
              <w:rPr>
                <w:rFonts w:eastAsia="Times New Roman" w:cs="Arial"/>
                <w:szCs w:val="22"/>
              </w:rPr>
              <w:t xml:space="preserve">how </w:t>
            </w:r>
            <w:r>
              <w:rPr>
                <w:rFonts w:eastAsia="Times New Roman" w:cs="Arial"/>
                <w:szCs w:val="22"/>
              </w:rPr>
              <w:t>SLs effectively encourage two-way communication with the workforce, students,</w:t>
            </w:r>
            <w:r w:rsidR="005B2ACF">
              <w:rPr>
                <w:rFonts w:eastAsia="Times New Roman" w:cs="Arial"/>
                <w:szCs w:val="22"/>
              </w:rPr>
              <w:t xml:space="preserve"> and key</w:t>
            </w:r>
            <w:r>
              <w:rPr>
                <w:rFonts w:eastAsia="Times New Roman" w:cs="Arial"/>
                <w:szCs w:val="22"/>
              </w:rPr>
              <w:t xml:space="preserve"> </w:t>
            </w:r>
            <w:r w:rsidR="00FC7C2D">
              <w:rPr>
                <w:rFonts w:eastAsia="Times New Roman" w:cs="Arial"/>
                <w:szCs w:val="22"/>
              </w:rPr>
              <w:t>partners</w:t>
            </w:r>
            <w:r>
              <w:rPr>
                <w:rFonts w:eastAsia="Times New Roman" w:cs="Arial"/>
                <w:szCs w:val="22"/>
              </w:rPr>
              <w:t xml:space="preserve"> using </w:t>
            </w:r>
            <w:r w:rsidR="00C6190C">
              <w:rPr>
                <w:rFonts w:eastAsia="Times New Roman" w:cs="Arial"/>
                <w:szCs w:val="22"/>
              </w:rPr>
              <w:t>the applicant</w:t>
            </w:r>
            <w:r w:rsidR="005663C4">
              <w:rPr>
                <w:rFonts w:eastAsia="Times New Roman" w:cs="Arial"/>
                <w:szCs w:val="22"/>
              </w:rPr>
              <w:t>’</w:t>
            </w:r>
            <w:r w:rsidR="00C6190C">
              <w:rPr>
                <w:rFonts w:eastAsia="Times New Roman" w:cs="Arial"/>
                <w:szCs w:val="22"/>
              </w:rPr>
              <w:t xml:space="preserve">s </w:t>
            </w:r>
            <w:r>
              <w:rPr>
                <w:rFonts w:eastAsia="Times New Roman" w:cs="Arial"/>
                <w:szCs w:val="22"/>
              </w:rPr>
              <w:t xml:space="preserve">communications methods (Figure 1.1-2). </w:t>
            </w:r>
            <w:r w:rsidR="00C6190C">
              <w:rPr>
                <w:rFonts w:eastAsia="Times New Roman" w:cs="Arial"/>
                <w:szCs w:val="22"/>
              </w:rPr>
              <w:t>For example, i</w:t>
            </w:r>
            <w:r>
              <w:rPr>
                <w:rFonts w:eastAsia="Times New Roman" w:cs="Arial"/>
                <w:szCs w:val="22"/>
              </w:rPr>
              <w:t xml:space="preserve">t is not evident how STAR-Point achieves </w:t>
            </w:r>
            <w:r w:rsidR="00C6190C">
              <w:rPr>
                <w:rFonts w:eastAsia="Times New Roman" w:cs="Arial"/>
                <w:szCs w:val="22"/>
              </w:rPr>
              <w:t>frank</w:t>
            </w:r>
            <w:r w:rsidR="003464D3">
              <w:rPr>
                <w:rFonts w:eastAsia="Times New Roman" w:cs="Arial"/>
                <w:szCs w:val="22"/>
              </w:rPr>
              <w:t>,</w:t>
            </w:r>
            <w:r w:rsidR="00C6190C">
              <w:rPr>
                <w:rFonts w:eastAsia="Times New Roman" w:cs="Arial"/>
                <w:szCs w:val="22"/>
              </w:rPr>
              <w:t xml:space="preserve"> two-way communication </w:t>
            </w:r>
            <w:r>
              <w:rPr>
                <w:rFonts w:eastAsia="Times New Roman" w:cs="Arial"/>
                <w:szCs w:val="22"/>
              </w:rPr>
              <w:t xml:space="preserve">or how </w:t>
            </w:r>
            <w:r w:rsidR="00C6190C">
              <w:rPr>
                <w:rFonts w:eastAsia="Times New Roman" w:cs="Arial"/>
                <w:szCs w:val="22"/>
              </w:rPr>
              <w:t xml:space="preserve">such </w:t>
            </w:r>
            <w:r>
              <w:rPr>
                <w:rFonts w:eastAsia="Times New Roman" w:cs="Arial"/>
                <w:szCs w:val="22"/>
              </w:rPr>
              <w:t xml:space="preserve">communication is achieved in department meetings. </w:t>
            </w:r>
            <w:r w:rsidR="005B2ACF">
              <w:rPr>
                <w:rFonts w:eastAsia="Times New Roman" w:cs="Arial"/>
                <w:szCs w:val="22"/>
              </w:rPr>
              <w:t>F</w:t>
            </w:r>
            <w:r>
              <w:rPr>
                <w:rFonts w:eastAsia="Times New Roman" w:cs="Arial"/>
                <w:szCs w:val="22"/>
              </w:rPr>
              <w:t xml:space="preserve">ully engaging the workforce and </w:t>
            </w:r>
            <w:r w:rsidR="005B2ACF">
              <w:rPr>
                <w:rFonts w:eastAsia="Times New Roman" w:cs="Arial"/>
                <w:szCs w:val="22"/>
              </w:rPr>
              <w:t xml:space="preserve">students </w:t>
            </w:r>
            <w:r>
              <w:rPr>
                <w:rFonts w:eastAsia="Times New Roman" w:cs="Arial"/>
                <w:szCs w:val="22"/>
              </w:rPr>
              <w:t>may advance the applicant</w:t>
            </w:r>
            <w:r w:rsidR="005663C4">
              <w:rPr>
                <w:rFonts w:eastAsia="Times New Roman" w:cs="Arial"/>
                <w:szCs w:val="22"/>
              </w:rPr>
              <w:t>’</w:t>
            </w:r>
            <w:r>
              <w:rPr>
                <w:rFonts w:eastAsia="Times New Roman" w:cs="Arial"/>
                <w:szCs w:val="22"/>
              </w:rPr>
              <w:t>s performance excellence journey.</w:t>
            </w:r>
          </w:p>
        </w:tc>
        <w:tc>
          <w:tcPr>
            <w:tcW w:w="0" w:type="auto"/>
            <w:tcBorders>
              <w:bottom w:val="single" w:sz="6" w:space="0" w:color="000000"/>
              <w:right w:val="single" w:sz="6" w:space="0" w:color="000000"/>
            </w:tcBorders>
            <w:tcMar>
              <w:top w:w="75" w:type="dxa"/>
              <w:left w:w="75" w:type="dxa"/>
              <w:bottom w:w="75" w:type="dxa"/>
              <w:right w:w="75" w:type="dxa"/>
            </w:tcMar>
            <w:hideMark/>
          </w:tcPr>
          <w:p w14:paraId="2526E7AB" w14:textId="073DD4B7" w:rsidR="00C6190C" w:rsidRDefault="000A11B9">
            <w:pPr>
              <w:rPr>
                <w:rFonts w:eastAsia="Times New Roman" w:cs="Arial"/>
                <w:szCs w:val="22"/>
              </w:rPr>
            </w:pPr>
            <w:r>
              <w:rPr>
                <w:rFonts w:eastAsia="Times New Roman" w:cs="Arial"/>
                <w:szCs w:val="22"/>
              </w:rPr>
              <w:t>Supported by 4 examiners (</w:t>
            </w:r>
            <w:r w:rsidR="002B5D3E">
              <w:rPr>
                <w:rFonts w:eastAsia="Times New Roman" w:cs="Arial"/>
                <w:szCs w:val="22"/>
              </w:rPr>
              <w:t xml:space="preserve">Ex2, Ex3, Ex4, </w:t>
            </w:r>
            <w:r w:rsidR="007B4856">
              <w:rPr>
                <w:rFonts w:eastAsia="Times New Roman" w:cs="Arial"/>
                <w:szCs w:val="22"/>
              </w:rPr>
              <w:t>Ex6</w:t>
            </w:r>
            <w:r>
              <w:rPr>
                <w:rFonts w:eastAsia="Times New Roman" w:cs="Arial"/>
                <w:szCs w:val="22"/>
              </w:rPr>
              <w:t xml:space="preserve">) in some fashion based on the gaps in the communications approaches and/or effectively engaging aspect at the overall level. </w:t>
            </w:r>
          </w:p>
          <w:p w14:paraId="3508326C" w14:textId="6A161531" w:rsidR="005E22BD" w:rsidRDefault="000A11B9">
            <w:pPr>
              <w:rPr>
                <w:rFonts w:eastAsia="Times New Roman" w:cs="Arial"/>
                <w:szCs w:val="22"/>
              </w:rPr>
            </w:pPr>
            <w:r>
              <w:rPr>
                <w:rFonts w:eastAsia="Times New Roman" w:cs="Arial"/>
                <w:szCs w:val="22"/>
              </w:rPr>
              <w:t>Example</w:t>
            </w:r>
            <w:r w:rsidR="00C6190C">
              <w:rPr>
                <w:rFonts w:eastAsia="Times New Roman" w:cs="Arial"/>
                <w:szCs w:val="22"/>
              </w:rPr>
              <w:t>:</w:t>
            </w:r>
            <w:r>
              <w:rPr>
                <w:rFonts w:eastAsia="Times New Roman" w:cs="Arial"/>
                <w:szCs w:val="22"/>
              </w:rPr>
              <w:t xml:space="preserve"> it is not evident how STAR-Point achieves frank two-way communication. Nor is it clear how frank two-way communication is achieved in department meetings where staff may be uncomfortable speaking.</w:t>
            </w:r>
          </w:p>
        </w:tc>
        <w:tc>
          <w:tcPr>
            <w:tcW w:w="0" w:type="auto"/>
            <w:tcBorders>
              <w:bottom w:val="single" w:sz="6" w:space="0" w:color="000000"/>
              <w:right w:val="single" w:sz="6" w:space="0" w:color="000000"/>
            </w:tcBorders>
            <w:tcMar>
              <w:top w:w="75" w:type="dxa"/>
              <w:left w:w="75" w:type="dxa"/>
              <w:bottom w:w="75" w:type="dxa"/>
              <w:right w:w="75" w:type="dxa"/>
            </w:tcMar>
            <w:hideMark/>
          </w:tcPr>
          <w:p w14:paraId="16831721" w14:textId="77777777" w:rsidR="005E22BD" w:rsidRDefault="000A11B9">
            <w:pPr>
              <w:rPr>
                <w:rFonts w:eastAsia="Times New Roman" w:cs="Arial"/>
                <w:szCs w:val="22"/>
              </w:rPr>
            </w:pPr>
            <w:r>
              <w:rPr>
                <w:rFonts w:eastAsia="Times New Roman" w:cs="Arial"/>
                <w:szCs w:val="22"/>
              </w:rPr>
              <w:t>b</w:t>
            </w:r>
          </w:p>
        </w:tc>
      </w:tr>
    </w:tbl>
    <w:p w14:paraId="2D216493"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484747" w14:paraId="3D345523" w14:textId="77777777" w:rsidTr="00484747">
        <w:tc>
          <w:tcPr>
            <w:tcW w:w="10170" w:type="dxa"/>
          </w:tcPr>
          <w:p w14:paraId="0495FFDC" w14:textId="77777777" w:rsidR="00484747" w:rsidRDefault="00484747" w:rsidP="00484747">
            <w:pPr>
              <w:rPr>
                <w:rFonts w:eastAsia="Times New Roman" w:cs="Arial"/>
                <w:szCs w:val="22"/>
              </w:rPr>
            </w:pPr>
            <w:r>
              <w:rPr>
                <w:rFonts w:eastAsia="Times New Roman" w:cs="Arial"/>
                <w:szCs w:val="22"/>
              </w:rPr>
              <w:t xml:space="preserve">3 OFIs not used: </w:t>
            </w:r>
          </w:p>
          <w:p w14:paraId="098551B3" w14:textId="77777777" w:rsidR="00484747" w:rsidRDefault="00484747" w:rsidP="00484747">
            <w:pPr>
              <w:rPr>
                <w:rFonts w:eastAsia="Times New Roman" w:cs="Arial"/>
                <w:szCs w:val="22"/>
              </w:rPr>
            </w:pPr>
            <w:r>
              <w:rPr>
                <w:rFonts w:eastAsia="Times New Roman" w:cs="Arial"/>
                <w:szCs w:val="22"/>
              </w:rPr>
              <w:t xml:space="preserve">1. c(2), multiple level—"unclear how the applicant’s system of review of achievement of strategy and priority action plans helps to create a focus on action.” (Ex1, Ex2) </w:t>
            </w:r>
          </w:p>
          <w:p w14:paraId="5A9BEB09" w14:textId="77777777" w:rsidR="00484747" w:rsidRDefault="00484747" w:rsidP="00484747">
            <w:pPr>
              <w:rPr>
                <w:rFonts w:eastAsia="Times New Roman" w:cs="Arial"/>
                <w:szCs w:val="22"/>
              </w:rPr>
            </w:pPr>
            <w:r>
              <w:rPr>
                <w:rFonts w:eastAsia="Times New Roman" w:cs="Arial"/>
                <w:szCs w:val="22"/>
              </w:rPr>
              <w:t xml:space="preserve">2. a(1), multiple level—“It is not evident that SLs use a systematic process to deploy MVV to key suppliers, partners, students, and other customers and stakeholders.” (Ex3, Ex5, Ex6, Ex7). Choose to hold this one out as there were more relevant OFIs ... but open to moving it back in the mix. There was a suggestion to add this as an additional OFI by Ex4—but have chosen not to do so at this point as think the other OFIs are more relevant. IF this would support a KT ... may need to add as a 4th OFI. </w:t>
            </w:r>
          </w:p>
          <w:p w14:paraId="1F849AD3" w14:textId="2A949C27" w:rsidR="00484747" w:rsidRDefault="00484747" w:rsidP="00484747">
            <w:pPr>
              <w:rPr>
                <w:rFonts w:eastAsia="Times New Roman" w:cs="Arial"/>
                <w:szCs w:val="22"/>
              </w:rPr>
            </w:pPr>
            <w:r>
              <w:rPr>
                <w:rFonts w:eastAsia="Times New Roman" w:cs="Arial"/>
                <w:szCs w:val="22"/>
              </w:rPr>
              <w:t>3. a(2), c(1) OFI for L—"It is not clear how the applicant evaluates several senior leadership processes such as the SL communication, innovation and intelligent risk taking, and succession planning. While processes are described, evaluation of the processes and learnings are not clear. Example is given of changing a survey from Laney Mess to Canter but no information about whether this resulted from an evaluative process. No information was provided as to how the data may be analyzed or about evaluating the effectiveness of the processes for SL communication beyond satisfaction data.” (Ex4, Ex5)</w:t>
            </w:r>
          </w:p>
        </w:tc>
      </w:tr>
    </w:tbl>
    <w:p w14:paraId="5683D993"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170"/>
      </w:tblGrid>
      <w:tr w:rsidR="00484747" w14:paraId="2A01C9DA" w14:textId="77777777" w:rsidTr="00484747">
        <w:tc>
          <w:tcPr>
            <w:tcW w:w="10170" w:type="dxa"/>
          </w:tcPr>
          <w:p w14:paraId="40BDA2BE" w14:textId="77777777" w:rsidR="00484747" w:rsidRDefault="00484747" w:rsidP="00484747">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60</w:t>
            </w:r>
          </w:p>
          <w:p w14:paraId="4619346E" w14:textId="77777777" w:rsidR="00484747" w:rsidRDefault="00484747" w:rsidP="00484747">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4FFD4C88" w14:textId="77777777" w:rsidR="00484747" w:rsidRDefault="00484747" w:rsidP="00484747">
            <w:pPr>
              <w:rPr>
                <w:rStyle w:val="Strong"/>
                <w:rFonts w:eastAsia="Times New Roman" w:cs="Arial"/>
                <w:b w:val="0"/>
                <w:bCs w:val="0"/>
                <w:szCs w:val="22"/>
              </w:rPr>
            </w:pPr>
            <w:r w:rsidRPr="00FD460C">
              <w:rPr>
                <w:rFonts w:eastAsia="Times New Roman" w:cs="Arial"/>
                <w:b/>
                <w:bCs/>
                <w:szCs w:val="22"/>
              </w:rPr>
              <w:t>Why shouldn</w:t>
            </w:r>
            <w:r>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Score should not be below this range as the applicant has answered most of the overall questions, rather than the basic; processes appear to be well</w:t>
            </w:r>
            <w:r>
              <w:rPr>
                <w:rStyle w:val="Strong"/>
                <w:rFonts w:eastAsia="Times New Roman" w:cs="Arial"/>
                <w:b w:val="0"/>
                <w:bCs w:val="0"/>
                <w:szCs w:val="22"/>
              </w:rPr>
              <w:t xml:space="preserve"> </w:t>
            </w:r>
            <w:r w:rsidRPr="00FD460C">
              <w:rPr>
                <w:rStyle w:val="Strong"/>
                <w:rFonts w:eastAsia="Times New Roman" w:cs="Arial"/>
                <w:b w:val="0"/>
                <w:bCs w:val="0"/>
                <w:szCs w:val="22"/>
              </w:rPr>
              <w:t>deployed, there is some evidence of evaluation, and the approach is well aligned with the Org</w:t>
            </w:r>
            <w:r>
              <w:rPr>
                <w:rStyle w:val="Strong"/>
                <w:rFonts w:eastAsia="Times New Roman" w:cs="Arial"/>
                <w:b w:val="0"/>
                <w:bCs w:val="0"/>
                <w:szCs w:val="22"/>
              </w:rPr>
              <w:t>.</w:t>
            </w:r>
            <w:r w:rsidRPr="00FD460C">
              <w:rPr>
                <w:rStyle w:val="Strong"/>
                <w:rFonts w:eastAsia="Times New Roman" w:cs="Arial"/>
                <w:b w:val="0"/>
                <w:bCs w:val="0"/>
                <w:szCs w:val="22"/>
              </w:rPr>
              <w:t xml:space="preserve"> Profile factors, rather than in the early stages. It is not in the higher range of </w:t>
            </w:r>
            <w:r>
              <w:rPr>
                <w:rStyle w:val="Strong"/>
                <w:rFonts w:eastAsia="Times New Roman" w:cs="Arial"/>
                <w:b w:val="0"/>
                <w:bCs w:val="0"/>
                <w:szCs w:val="22"/>
              </w:rPr>
              <w:t>70–85</w:t>
            </w:r>
            <w:r w:rsidRPr="00FD460C">
              <w:rPr>
                <w:rStyle w:val="Strong"/>
                <w:rFonts w:eastAsia="Times New Roman" w:cs="Arial"/>
                <w:b w:val="0"/>
                <w:bCs w:val="0"/>
                <w:szCs w:val="22"/>
              </w:rPr>
              <w:t xml:space="preserve">% </w:t>
            </w:r>
            <w:r>
              <w:rPr>
                <w:rStyle w:val="Strong"/>
                <w:rFonts w:eastAsia="Times New Roman" w:cs="Arial"/>
                <w:b w:val="0"/>
                <w:bCs w:val="0"/>
                <w:szCs w:val="22"/>
              </w:rPr>
              <w:t>in part because</w:t>
            </w:r>
            <w:r w:rsidRPr="00FD460C">
              <w:rPr>
                <w:rStyle w:val="Strong"/>
                <w:rFonts w:eastAsia="Times New Roman" w:cs="Arial"/>
                <w:b w:val="0"/>
                <w:bCs w:val="0"/>
                <w:szCs w:val="22"/>
              </w:rPr>
              <w:t xml:space="preserve"> the applicant does not respond to several key elements</w:t>
            </w:r>
            <w:r>
              <w:rPr>
                <w:rStyle w:val="Strong"/>
                <w:rFonts w:eastAsia="Times New Roman" w:cs="Arial"/>
                <w:b w:val="0"/>
                <w:bCs w:val="0"/>
                <w:szCs w:val="22"/>
              </w:rPr>
              <w:t xml:space="preserve"> of </w:t>
            </w:r>
            <w:r w:rsidRPr="00FD460C">
              <w:rPr>
                <w:rStyle w:val="Strong"/>
                <w:rFonts w:eastAsia="Times New Roman" w:cs="Arial"/>
                <w:b w:val="0"/>
                <w:bCs w:val="0"/>
                <w:szCs w:val="22"/>
              </w:rPr>
              <w:t>the overall question</w:t>
            </w:r>
            <w:r>
              <w:rPr>
                <w:rStyle w:val="Strong"/>
                <w:rFonts w:eastAsia="Times New Roman" w:cs="Arial"/>
                <w:b w:val="0"/>
                <w:bCs w:val="0"/>
                <w:szCs w:val="22"/>
              </w:rPr>
              <w:t>s,</w:t>
            </w:r>
            <w:r w:rsidRPr="00FD460C">
              <w:rPr>
                <w:rStyle w:val="Strong"/>
                <w:rFonts w:eastAsia="Times New Roman" w:cs="Arial"/>
                <w:b w:val="0"/>
                <w:bCs w:val="0"/>
                <w:szCs w:val="22"/>
              </w:rPr>
              <w:t xml:space="preserve"> with some responses in the multiple questions for approach</w:t>
            </w:r>
            <w:r>
              <w:rPr>
                <w:rStyle w:val="Strong"/>
                <w:rFonts w:eastAsia="Times New Roman" w:cs="Arial"/>
                <w:b w:val="0"/>
                <w:bCs w:val="0"/>
                <w:szCs w:val="22"/>
              </w:rPr>
              <w:t xml:space="preserve"> and also because the other descriptors of 50-65% also seem most descriptive</w:t>
            </w:r>
            <w:r w:rsidRPr="00FD460C">
              <w:rPr>
                <w:rStyle w:val="Strong"/>
                <w:rFonts w:eastAsia="Times New Roman" w:cs="Arial"/>
                <w:b w:val="0"/>
                <w:bCs w:val="0"/>
                <w:szCs w:val="22"/>
              </w:rPr>
              <w:t xml:space="preserve">. </w:t>
            </w:r>
          </w:p>
          <w:p w14:paraId="0AE90F6F" w14:textId="6909B07F" w:rsidR="00484747" w:rsidRDefault="00484747" w:rsidP="00484747">
            <w:pPr>
              <w:rPr>
                <w:rFonts w:eastAsia="Times New Roman" w:cs="Arial"/>
                <w:b/>
                <w:bCs/>
                <w:szCs w:val="22"/>
              </w:rPr>
            </w:pPr>
            <w:r w:rsidRPr="00FD460C">
              <w:rPr>
                <w:rStyle w:val="Strong"/>
                <w:rFonts w:eastAsia="Times New Roman" w:cs="Arial"/>
                <w:b w:val="0"/>
                <w:bCs w:val="0"/>
                <w:szCs w:val="22"/>
              </w:rPr>
              <w:t xml:space="preserve">Recommend a score of 60, with one OFI </w:t>
            </w:r>
            <w:r>
              <w:rPr>
                <w:rStyle w:val="Strong"/>
                <w:rFonts w:eastAsia="Times New Roman" w:cs="Arial"/>
                <w:b w:val="0"/>
                <w:bCs w:val="0"/>
                <w:szCs w:val="22"/>
              </w:rPr>
              <w:t>doubl</w:t>
            </w:r>
            <w:r w:rsidRPr="00FD460C">
              <w:rPr>
                <w:rStyle w:val="Strong"/>
                <w:rFonts w:eastAsia="Times New Roman" w:cs="Arial"/>
                <w:b w:val="0"/>
                <w:bCs w:val="0"/>
                <w:szCs w:val="22"/>
              </w:rPr>
              <w:t>ed.</w:t>
            </w:r>
            <w:r w:rsidRPr="00FD460C">
              <w:rPr>
                <w:rFonts w:eastAsia="Times New Roman" w:cs="Arial"/>
                <w:b/>
                <w:bCs/>
                <w:szCs w:val="22"/>
              </w:rPr>
              <w:t xml:space="preserve"> </w:t>
            </w:r>
          </w:p>
        </w:tc>
      </w:tr>
    </w:tbl>
    <w:p w14:paraId="3D2B6AEF" w14:textId="4C15C215" w:rsidR="00050D3F" w:rsidRDefault="00050D3F" w:rsidP="005B2ACF">
      <w:pPr>
        <w:ind w:right="360"/>
        <w:rPr>
          <w:rFonts w:eastAsia="Times New Roman" w:cs="Arial"/>
          <w:b/>
          <w:bCs/>
          <w:szCs w:val="22"/>
        </w:rPr>
      </w:pPr>
    </w:p>
    <w:p w14:paraId="79C3889A" w14:textId="77777777" w:rsidR="00050D3F" w:rsidRDefault="00050D3F">
      <w:pPr>
        <w:spacing w:after="0"/>
        <w:rPr>
          <w:rFonts w:eastAsia="Times New Roman" w:cs="Arial"/>
          <w:b/>
          <w:bCs/>
          <w:szCs w:val="22"/>
        </w:rPr>
      </w:pPr>
      <w:r>
        <w:rPr>
          <w:rFonts w:eastAsia="Times New Roman" w:cs="Arial"/>
          <w:b/>
          <w:bCs/>
          <w:szCs w:val="22"/>
        </w:rPr>
        <w:br w:type="page"/>
      </w:r>
    </w:p>
    <w:p w14:paraId="42AC1A6E"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1.2</w:t>
      </w:r>
    </w:p>
    <w:p w14:paraId="5F7EB930" w14:textId="77777777" w:rsidR="005E22BD" w:rsidRDefault="000A11B9">
      <w:pPr>
        <w:pStyle w:val="Heading2"/>
        <w:divId w:val="905190427"/>
        <w:rPr>
          <w:rFonts w:eastAsia="Times New Roman" w:cs="Arial"/>
        </w:rPr>
      </w:pPr>
      <w:r>
        <w:rPr>
          <w:rFonts w:eastAsia="Times New Roman" w:cs="Arial"/>
        </w:rPr>
        <w:t>Governance and Societal Contributions</w:t>
      </w:r>
    </w:p>
    <w:p w14:paraId="1B934E5E" w14:textId="77777777" w:rsidR="005E22BD" w:rsidRDefault="000A11B9">
      <w:pPr>
        <w:pStyle w:val="Heading3"/>
        <w:divId w:val="905190427"/>
        <w:rPr>
          <w:rFonts w:eastAsia="Times New Roman" w:cs="Arial"/>
        </w:rPr>
      </w:pPr>
      <w:r>
        <w:rPr>
          <w:rFonts w:eastAsia="Times New Roman" w:cs="Arial"/>
        </w:rPr>
        <w:t>Relevant Key Factors</w:t>
      </w:r>
    </w:p>
    <w:p w14:paraId="06953312" w14:textId="7EBF88AC" w:rsidR="005E22BD" w:rsidRPr="001E1C7A" w:rsidRDefault="000A11B9" w:rsidP="00C578D8">
      <w:pPr>
        <w:numPr>
          <w:ilvl w:val="0"/>
          <w:numId w:val="6"/>
        </w:numPr>
        <w:spacing w:before="100" w:beforeAutospacing="1" w:after="100" w:afterAutospacing="1"/>
        <w:divId w:val="905190427"/>
        <w:rPr>
          <w:rFonts w:eastAsia="Times New Roman" w:cs="Arial"/>
          <w:szCs w:val="22"/>
        </w:rPr>
      </w:pPr>
      <w:r w:rsidRPr="001E1C7A">
        <w:rPr>
          <w:rFonts w:eastAsia="Times New Roman" w:cs="Arial"/>
          <w:szCs w:val="22"/>
        </w:rPr>
        <w:t>Vision</w:t>
      </w:r>
      <w:r w:rsidR="000834C7" w:rsidRPr="001E1C7A">
        <w:rPr>
          <w:rFonts w:eastAsia="Times New Roman" w:cs="Arial"/>
          <w:szCs w:val="22"/>
        </w:rPr>
        <w:t>—</w:t>
      </w:r>
      <w:r w:rsidRPr="001E1C7A">
        <w:rPr>
          <w:rFonts w:eastAsia="Times New Roman" w:cs="Arial"/>
          <w:szCs w:val="22"/>
        </w:rPr>
        <w:t xml:space="preserve">Will be the best in the nation in providing students with accessibility, affordability, career-readiness, and social responsibility. </w:t>
      </w:r>
      <w:r w:rsidR="00E10AFA" w:rsidRPr="001E1C7A">
        <w:rPr>
          <w:rFonts w:eastAsia="Times New Roman" w:cs="Arial"/>
          <w:szCs w:val="22"/>
        </w:rPr>
        <w:t>Values— Students First; Community-Engaged.</w:t>
      </w:r>
    </w:p>
    <w:p w14:paraId="24D4DB2F" w14:textId="77777777" w:rsidR="005E22BD" w:rsidRDefault="000A11B9">
      <w:pPr>
        <w:numPr>
          <w:ilvl w:val="0"/>
          <w:numId w:val="6"/>
        </w:numPr>
        <w:spacing w:before="100" w:beforeAutospacing="1" w:after="100" w:afterAutospacing="1"/>
        <w:divId w:val="905190427"/>
        <w:rPr>
          <w:rFonts w:eastAsia="Times New Roman" w:cs="Arial"/>
          <w:szCs w:val="22"/>
        </w:rPr>
      </w:pPr>
      <w:r>
        <w:rPr>
          <w:rFonts w:eastAsia="Times New Roman" w:cs="Arial"/>
          <w:szCs w:val="22"/>
        </w:rPr>
        <w:t>The work I do contributes to the mission of the college; I am confident about the future of the institution.</w:t>
      </w:r>
    </w:p>
    <w:p w14:paraId="14E962E8" w14:textId="3E956A5C" w:rsidR="005E22BD" w:rsidRDefault="004C103A">
      <w:pPr>
        <w:numPr>
          <w:ilvl w:val="0"/>
          <w:numId w:val="6"/>
        </w:numPr>
        <w:spacing w:before="100" w:beforeAutospacing="1" w:after="100" w:afterAutospacing="1"/>
        <w:divId w:val="905190427"/>
        <w:rPr>
          <w:rFonts w:eastAsia="Times New Roman" w:cs="Arial"/>
          <w:szCs w:val="22"/>
        </w:rPr>
      </w:pPr>
      <w:r>
        <w:rPr>
          <w:rFonts w:eastAsia="Times New Roman" w:cs="Arial"/>
          <w:szCs w:val="22"/>
        </w:rPr>
        <w:t>State coordinating board (Central Polk Board of Trustees); regional accred. (HLC); specialized accred. (7 academic programs w/discipline-specific); local (Board of County Commissioners); federal regs (DoE, Veterans Affairs, OCR, OSHA).</w:t>
      </w:r>
    </w:p>
    <w:p w14:paraId="58842709" w14:textId="0CAA15B0" w:rsidR="005E22BD" w:rsidRDefault="000A11B9">
      <w:pPr>
        <w:numPr>
          <w:ilvl w:val="0"/>
          <w:numId w:val="6"/>
        </w:numPr>
        <w:spacing w:before="100" w:beforeAutospacing="1" w:after="100" w:afterAutospacing="1"/>
        <w:divId w:val="905190427"/>
        <w:rPr>
          <w:rFonts w:eastAsia="Times New Roman" w:cs="Arial"/>
          <w:szCs w:val="22"/>
        </w:rPr>
      </w:pPr>
      <w:r>
        <w:rPr>
          <w:rFonts w:eastAsia="Times New Roman" w:cs="Arial"/>
          <w:szCs w:val="22"/>
        </w:rPr>
        <w:t>CPBT is governing</w:t>
      </w:r>
      <w:r w:rsidR="00167A6F">
        <w:rPr>
          <w:rFonts w:eastAsia="Times New Roman" w:cs="Arial"/>
          <w:szCs w:val="22"/>
        </w:rPr>
        <w:t>/</w:t>
      </w:r>
      <w:r>
        <w:rPr>
          <w:rFonts w:eastAsia="Times New Roman" w:cs="Arial"/>
          <w:szCs w:val="22"/>
        </w:rPr>
        <w:t>policy-setting body; President is CEO</w:t>
      </w:r>
      <w:r w:rsidR="00167A6F">
        <w:rPr>
          <w:rFonts w:eastAsia="Times New Roman" w:cs="Arial"/>
          <w:szCs w:val="22"/>
        </w:rPr>
        <w:t>,</w:t>
      </w:r>
      <w:r>
        <w:rPr>
          <w:rFonts w:eastAsia="Times New Roman" w:cs="Arial"/>
          <w:szCs w:val="22"/>
        </w:rPr>
        <w:t xml:space="preserve"> reports to Chancellor</w:t>
      </w:r>
      <w:r w:rsidR="00167A6F">
        <w:rPr>
          <w:rFonts w:eastAsia="Times New Roman" w:cs="Arial"/>
          <w:szCs w:val="22"/>
        </w:rPr>
        <w:t>,</w:t>
      </w:r>
      <w:r>
        <w:rPr>
          <w:rFonts w:eastAsia="Times New Roman" w:cs="Arial"/>
          <w:szCs w:val="22"/>
        </w:rPr>
        <w:t xml:space="preserve"> who reports to CPBT; President</w:t>
      </w:r>
      <w:r w:rsidR="005663C4">
        <w:rPr>
          <w:rFonts w:eastAsia="Times New Roman" w:cs="Arial"/>
          <w:szCs w:val="22"/>
        </w:rPr>
        <w:t>’</w:t>
      </w:r>
      <w:r>
        <w:rPr>
          <w:rFonts w:eastAsia="Times New Roman" w:cs="Arial"/>
          <w:szCs w:val="22"/>
        </w:rPr>
        <w:t>s Team (</w:t>
      </w:r>
      <w:r w:rsidR="00167A6F">
        <w:rPr>
          <w:rFonts w:eastAsia="Times New Roman" w:cs="Arial"/>
          <w:szCs w:val="22"/>
        </w:rPr>
        <w:t>senior leaders</w:t>
      </w:r>
      <w:r>
        <w:rPr>
          <w:rFonts w:eastAsia="Times New Roman" w:cs="Arial"/>
          <w:szCs w:val="22"/>
        </w:rPr>
        <w:t xml:space="preserve">) includes president, </w:t>
      </w:r>
      <w:r w:rsidR="002B5D3E">
        <w:rPr>
          <w:rFonts w:eastAsia="Times New Roman" w:cs="Arial"/>
          <w:szCs w:val="22"/>
        </w:rPr>
        <w:t>VP</w:t>
      </w:r>
      <w:r>
        <w:rPr>
          <w:rFonts w:eastAsia="Times New Roman" w:cs="Arial"/>
          <w:szCs w:val="22"/>
        </w:rPr>
        <w:t>s of academic</w:t>
      </w:r>
      <w:r w:rsidR="00167A6F">
        <w:rPr>
          <w:rFonts w:eastAsia="Times New Roman" w:cs="Arial"/>
          <w:szCs w:val="22"/>
        </w:rPr>
        <w:t>/</w:t>
      </w:r>
      <w:r>
        <w:rPr>
          <w:rFonts w:eastAsia="Times New Roman" w:cs="Arial"/>
          <w:szCs w:val="22"/>
        </w:rPr>
        <w:t xml:space="preserve">student services; finance; administration; community engagement, outreach, communications; human resources. Elected faculty governance </w:t>
      </w:r>
      <w:r w:rsidR="002B5D3E">
        <w:rPr>
          <w:rFonts w:eastAsia="Times New Roman" w:cs="Arial"/>
          <w:szCs w:val="22"/>
        </w:rPr>
        <w:t>w/</w:t>
      </w:r>
      <w:r>
        <w:rPr>
          <w:rFonts w:eastAsia="Times New Roman" w:cs="Arial"/>
          <w:szCs w:val="22"/>
        </w:rPr>
        <w:t>board</w:t>
      </w:r>
      <w:r w:rsidR="00167A6F">
        <w:rPr>
          <w:rFonts w:eastAsia="Times New Roman" w:cs="Arial"/>
          <w:szCs w:val="22"/>
        </w:rPr>
        <w:t>/</w:t>
      </w:r>
      <w:r>
        <w:rPr>
          <w:rFonts w:eastAsia="Times New Roman" w:cs="Arial"/>
          <w:szCs w:val="22"/>
        </w:rPr>
        <w:t>committee structure.</w:t>
      </w:r>
    </w:p>
    <w:p w14:paraId="74FC42B7" w14:textId="18948169" w:rsidR="00E10AFA" w:rsidRDefault="000A11B9">
      <w:pPr>
        <w:numPr>
          <w:ilvl w:val="0"/>
          <w:numId w:val="6"/>
        </w:numPr>
        <w:spacing w:before="100" w:beforeAutospacing="1" w:after="100" w:afterAutospacing="1"/>
        <w:divId w:val="905190427"/>
        <w:rPr>
          <w:rFonts w:eastAsia="Times New Roman" w:cs="Arial"/>
          <w:szCs w:val="22"/>
        </w:rPr>
      </w:pPr>
      <w:r>
        <w:rPr>
          <w:rFonts w:eastAsia="Times New Roman" w:cs="Arial"/>
          <w:szCs w:val="22"/>
        </w:rPr>
        <w:t>Transfer schools</w:t>
      </w:r>
      <w:r w:rsidR="00167A6F">
        <w:rPr>
          <w:rFonts w:eastAsia="Times New Roman" w:cs="Arial"/>
          <w:szCs w:val="22"/>
        </w:rPr>
        <w:t>/</w:t>
      </w:r>
      <w:r>
        <w:rPr>
          <w:rFonts w:eastAsia="Times New Roman" w:cs="Arial"/>
          <w:szCs w:val="22"/>
        </w:rPr>
        <w:t xml:space="preserve">sister colleges, </w:t>
      </w:r>
      <w:r w:rsidR="00167A6F">
        <w:rPr>
          <w:rFonts w:eastAsia="Times New Roman" w:cs="Arial"/>
          <w:szCs w:val="22"/>
        </w:rPr>
        <w:t xml:space="preserve">feeder </w:t>
      </w:r>
      <w:r>
        <w:rPr>
          <w:rFonts w:eastAsia="Times New Roman" w:cs="Arial"/>
          <w:szCs w:val="22"/>
        </w:rPr>
        <w:t>high s</w:t>
      </w:r>
      <w:r w:rsidR="00167A6F">
        <w:rPr>
          <w:rFonts w:eastAsia="Times New Roman" w:cs="Arial"/>
          <w:szCs w:val="22"/>
        </w:rPr>
        <w:t xml:space="preserve">chools, foundation, donors, alumni association, alumni, </w:t>
      </w:r>
      <w:r w:rsidR="001F46D7">
        <w:rPr>
          <w:rFonts w:eastAsia="Times New Roman" w:cs="Arial"/>
          <w:szCs w:val="22"/>
        </w:rPr>
        <w:t>employers/advisory committees</w:t>
      </w:r>
      <w:r>
        <w:rPr>
          <w:rFonts w:eastAsia="Times New Roman" w:cs="Arial"/>
          <w:szCs w:val="22"/>
        </w:rPr>
        <w:t xml:space="preserve">, </w:t>
      </w:r>
      <w:r w:rsidR="00167A6F">
        <w:rPr>
          <w:rFonts w:eastAsia="Times New Roman" w:cs="Arial"/>
          <w:szCs w:val="22"/>
        </w:rPr>
        <w:t xml:space="preserve">technology </w:t>
      </w:r>
      <w:r>
        <w:rPr>
          <w:rFonts w:eastAsia="Times New Roman" w:cs="Arial"/>
          <w:szCs w:val="22"/>
        </w:rPr>
        <w:t xml:space="preserve">partners, </w:t>
      </w:r>
      <w:r w:rsidR="00167A6F">
        <w:rPr>
          <w:rFonts w:eastAsia="Times New Roman" w:cs="Arial"/>
          <w:szCs w:val="22"/>
        </w:rPr>
        <w:t xml:space="preserve">local </w:t>
      </w:r>
      <w:r>
        <w:rPr>
          <w:rFonts w:eastAsia="Times New Roman" w:cs="Arial"/>
          <w:szCs w:val="22"/>
        </w:rPr>
        <w:t>community including chamber of commerce</w:t>
      </w:r>
    </w:p>
    <w:p w14:paraId="367E3125" w14:textId="1CE56065" w:rsidR="005E22BD" w:rsidRDefault="000A11B9">
      <w:pPr>
        <w:numPr>
          <w:ilvl w:val="0"/>
          <w:numId w:val="6"/>
        </w:numPr>
        <w:spacing w:before="100" w:beforeAutospacing="1" w:after="100" w:afterAutospacing="1"/>
        <w:divId w:val="905190427"/>
        <w:rPr>
          <w:rFonts w:eastAsia="Times New Roman" w:cs="Arial"/>
          <w:szCs w:val="22"/>
        </w:rPr>
      </w:pPr>
      <w:r>
        <w:rPr>
          <w:rFonts w:eastAsia="Times New Roman" w:cs="Arial"/>
          <w:szCs w:val="22"/>
        </w:rPr>
        <w:t xml:space="preserve">Baldrige-based </w:t>
      </w:r>
      <w:r w:rsidR="00C95E51">
        <w:rPr>
          <w:rFonts w:eastAsia="Times New Roman" w:cs="Arial"/>
          <w:szCs w:val="22"/>
        </w:rPr>
        <w:t>PDCA</w:t>
      </w:r>
      <w:r>
        <w:rPr>
          <w:rFonts w:eastAsia="Times New Roman" w:cs="Arial"/>
          <w:szCs w:val="22"/>
        </w:rPr>
        <w:t xml:space="preserve">. </w:t>
      </w:r>
      <w:r w:rsidR="00DB6E5E">
        <w:rPr>
          <w:rFonts w:eastAsia="Times New Roman" w:cs="Arial"/>
          <w:szCs w:val="22"/>
        </w:rPr>
        <w:t>External requirements (accreditation, accountability, system requirement) inform</w:t>
      </w:r>
      <w:r>
        <w:rPr>
          <w:rFonts w:eastAsia="Times New Roman" w:cs="Arial"/>
          <w:szCs w:val="22"/>
        </w:rPr>
        <w:t xml:space="preserve"> internal strategy</w:t>
      </w:r>
      <w:r w:rsidR="00167A6F">
        <w:rPr>
          <w:rFonts w:eastAsia="Times New Roman" w:cs="Arial"/>
          <w:szCs w:val="22"/>
        </w:rPr>
        <w:t>/</w:t>
      </w:r>
      <w:r>
        <w:rPr>
          <w:rFonts w:eastAsia="Times New Roman" w:cs="Arial"/>
          <w:szCs w:val="22"/>
        </w:rPr>
        <w:t>measurement (strategic plan, KPI</w:t>
      </w:r>
      <w:r w:rsidR="00167A6F">
        <w:rPr>
          <w:rFonts w:eastAsia="Times New Roman" w:cs="Arial"/>
          <w:szCs w:val="22"/>
        </w:rPr>
        <w:t>s</w:t>
      </w:r>
      <w:r>
        <w:rPr>
          <w:rFonts w:eastAsia="Times New Roman" w:cs="Arial"/>
          <w:szCs w:val="22"/>
        </w:rPr>
        <w:t>), leading to process improvement (program review process, educational support review process validated by input mechanisms (</w:t>
      </w:r>
      <w:r w:rsidR="005B2ACF">
        <w:rPr>
          <w:rFonts w:eastAsia="Times New Roman" w:cs="Arial"/>
          <w:szCs w:val="22"/>
        </w:rPr>
        <w:t>VOC</w:t>
      </w:r>
      <w:r>
        <w:rPr>
          <w:rFonts w:eastAsia="Times New Roman" w:cs="Arial"/>
          <w:szCs w:val="22"/>
        </w:rPr>
        <w:t>, workforce drivers</w:t>
      </w:r>
      <w:r w:rsidR="00167A6F">
        <w:rPr>
          <w:rFonts w:eastAsia="Times New Roman" w:cs="Arial"/>
          <w:szCs w:val="22"/>
        </w:rPr>
        <w:t>/</w:t>
      </w:r>
      <w:r>
        <w:rPr>
          <w:rFonts w:eastAsia="Times New Roman" w:cs="Arial"/>
          <w:szCs w:val="22"/>
        </w:rPr>
        <w:t>engagement).</w:t>
      </w:r>
    </w:p>
    <w:p w14:paraId="22301DFA"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62"/>
        <w:gridCol w:w="4295"/>
        <w:gridCol w:w="1200"/>
      </w:tblGrid>
      <w:tr w:rsidR="005E22BD" w14:paraId="39996DF6"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2AFAC8E1"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71F91708"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7BF5900E"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16A4568F"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39020CC4"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E1C512E"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F63313F" w14:textId="4590611F" w:rsidR="005E22BD" w:rsidRDefault="000A11B9">
            <w:pPr>
              <w:rPr>
                <w:rFonts w:eastAsia="Times New Roman" w:cs="Arial"/>
                <w:szCs w:val="22"/>
              </w:rPr>
            </w:pPr>
            <w:r>
              <w:rPr>
                <w:rFonts w:eastAsia="Times New Roman" w:cs="Arial"/>
                <w:szCs w:val="22"/>
              </w:rPr>
              <w:t xml:space="preserve">The applicant promotes and ensures ethical behavior in all of its interactions through the </w:t>
            </w:r>
            <w:r w:rsidR="009C115E">
              <w:rPr>
                <w:rFonts w:eastAsia="Times New Roman" w:cs="Arial"/>
                <w:szCs w:val="22"/>
              </w:rPr>
              <w:t>well-</w:t>
            </w:r>
            <w:r>
              <w:rPr>
                <w:rFonts w:eastAsia="Times New Roman" w:cs="Arial"/>
                <w:szCs w:val="22"/>
              </w:rPr>
              <w:t>deployed and integrated</w:t>
            </w:r>
            <w:r w:rsidRPr="009C115E">
              <w:rPr>
                <w:rFonts w:eastAsia="Times New Roman" w:cs="Arial"/>
                <w:i/>
                <w:iCs/>
                <w:szCs w:val="22"/>
              </w:rPr>
              <w:t xml:space="preserve"> </w:t>
            </w:r>
            <w:r w:rsidRPr="003D5F9E">
              <w:rPr>
                <w:rFonts w:eastAsia="Times New Roman" w:cs="Arial"/>
                <w:szCs w:val="22"/>
              </w:rPr>
              <w:t>Culture Walks</w:t>
            </w:r>
            <w:r>
              <w:rPr>
                <w:rFonts w:eastAsia="Times New Roman" w:cs="Arial"/>
                <w:szCs w:val="22"/>
              </w:rPr>
              <w:t xml:space="preserve"> and </w:t>
            </w:r>
            <w:r w:rsidRPr="003D5F9E">
              <w:rPr>
                <w:rFonts w:eastAsia="Times New Roman" w:cs="Arial"/>
                <w:szCs w:val="22"/>
              </w:rPr>
              <w:t>Walk It Right</w:t>
            </w:r>
            <w:r>
              <w:rPr>
                <w:rFonts w:eastAsia="Times New Roman" w:cs="Arial"/>
                <w:szCs w:val="22"/>
              </w:rPr>
              <w:t xml:space="preserve"> programs</w:t>
            </w:r>
            <w:r w:rsidR="009C115E">
              <w:rPr>
                <w:rFonts w:eastAsia="Times New Roman" w:cs="Arial"/>
                <w:szCs w:val="22"/>
              </w:rPr>
              <w:t>, with the latter</w:t>
            </w:r>
            <w:r>
              <w:rPr>
                <w:rFonts w:eastAsia="Times New Roman" w:cs="Arial"/>
                <w:szCs w:val="22"/>
              </w:rPr>
              <w:t xml:space="preserve"> integrated into stakeholder surveys and added to SL reviews</w:t>
            </w:r>
            <w:r w:rsidR="009C115E">
              <w:rPr>
                <w:rFonts w:eastAsia="Times New Roman" w:cs="Arial"/>
                <w:szCs w:val="22"/>
              </w:rPr>
              <w:t xml:space="preserve"> in cycles of improvement</w:t>
            </w:r>
            <w:r>
              <w:rPr>
                <w:rFonts w:eastAsia="Times New Roman" w:cs="Arial"/>
                <w:szCs w:val="22"/>
              </w:rPr>
              <w:t>. Deployment occurs through NEO, leader meetings, the classroom, and stakeholder surveys. These approaches</w:t>
            </w:r>
            <w:r w:rsidR="009C115E">
              <w:rPr>
                <w:rFonts w:eastAsia="Times New Roman" w:cs="Arial"/>
                <w:szCs w:val="22"/>
              </w:rPr>
              <w:t xml:space="preserve"> support</w:t>
            </w:r>
            <w:r>
              <w:rPr>
                <w:rFonts w:eastAsia="Times New Roman" w:cs="Arial"/>
                <w:szCs w:val="22"/>
              </w:rPr>
              <w:t xml:space="preserve"> leaders</w:t>
            </w:r>
            <w:r w:rsidR="005663C4">
              <w:rPr>
                <w:rFonts w:eastAsia="Times New Roman" w:cs="Arial"/>
                <w:szCs w:val="22"/>
              </w:rPr>
              <w:t>’</w:t>
            </w:r>
            <w:r>
              <w:rPr>
                <w:rFonts w:eastAsia="Times New Roman" w:cs="Arial"/>
                <w:szCs w:val="22"/>
              </w:rPr>
              <w:t xml:space="preserve"> effectiveness in addressing </w:t>
            </w:r>
            <w:r w:rsidR="00DD0E2E">
              <w:rPr>
                <w:rFonts w:eastAsia="Times New Roman" w:cs="Arial"/>
                <w:szCs w:val="22"/>
              </w:rPr>
              <w:t>the applicant’</w:t>
            </w:r>
            <w:r>
              <w:rPr>
                <w:rFonts w:eastAsia="Times New Roman" w:cs="Arial"/>
                <w:szCs w:val="22"/>
              </w:rPr>
              <w:t>s key drivers of</w:t>
            </w:r>
            <w:r w:rsidR="00D13994">
              <w:rPr>
                <w:rFonts w:eastAsia="Times New Roman" w:cs="Arial"/>
                <w:szCs w:val="22"/>
              </w:rPr>
              <w:t xml:space="preserve"> workforce</w:t>
            </w:r>
            <w:r>
              <w:rPr>
                <w:rFonts w:eastAsia="Times New Roman" w:cs="Arial"/>
                <w:szCs w:val="22"/>
              </w:rPr>
              <w:t xml:space="preserve"> engagement, especially inclusion and equity (Figure 5.2-1).</w:t>
            </w:r>
          </w:p>
        </w:tc>
        <w:tc>
          <w:tcPr>
            <w:tcW w:w="0" w:type="auto"/>
            <w:tcBorders>
              <w:bottom w:val="single" w:sz="6" w:space="0" w:color="000000"/>
              <w:right w:val="single" w:sz="6" w:space="0" w:color="000000"/>
            </w:tcBorders>
            <w:tcMar>
              <w:top w:w="75" w:type="dxa"/>
              <w:left w:w="75" w:type="dxa"/>
              <w:bottom w:w="75" w:type="dxa"/>
              <w:right w:w="75" w:type="dxa"/>
            </w:tcMar>
            <w:hideMark/>
          </w:tcPr>
          <w:p w14:paraId="266CDD0F" w14:textId="77777777" w:rsidR="009C115E" w:rsidRDefault="000A11B9">
            <w:pPr>
              <w:rPr>
                <w:rFonts w:eastAsia="Times New Roman" w:cs="Arial"/>
                <w:szCs w:val="22"/>
              </w:rPr>
            </w:pPr>
            <w:r>
              <w:rPr>
                <w:rFonts w:eastAsia="Times New Roman" w:cs="Arial"/>
                <w:szCs w:val="22"/>
              </w:rPr>
              <w:t>5 examiners (</w:t>
            </w:r>
            <w:r w:rsidR="007B4856">
              <w:rPr>
                <w:rFonts w:eastAsia="Times New Roman" w:cs="Arial"/>
                <w:szCs w:val="22"/>
              </w:rPr>
              <w:t>Ex1, Ex4, Ex5, Ex6</w:t>
            </w:r>
            <w:r>
              <w:rPr>
                <w:rFonts w:eastAsia="Times New Roman" w:cs="Arial"/>
                <w:szCs w:val="22"/>
              </w:rPr>
              <w:t xml:space="preserve">, </w:t>
            </w:r>
            <w:r w:rsidR="007B4856">
              <w:rPr>
                <w:rFonts w:eastAsia="Times New Roman" w:cs="Arial"/>
                <w:szCs w:val="22"/>
              </w:rPr>
              <w:t>Ex7</w:t>
            </w:r>
            <w:r>
              <w:rPr>
                <w:rFonts w:eastAsia="Times New Roman" w:cs="Arial"/>
                <w:szCs w:val="22"/>
              </w:rPr>
              <w:t xml:space="preserve">) called this out as a STR, with 1 indicating it as a </w:t>
            </w:r>
            <w:r w:rsidR="009C115E">
              <w:rPr>
                <w:rFonts w:eastAsia="Times New Roman" w:cs="Arial"/>
                <w:szCs w:val="22"/>
              </w:rPr>
              <w:t xml:space="preserve">double </w:t>
            </w:r>
            <w:r>
              <w:rPr>
                <w:rFonts w:eastAsia="Times New Roman" w:cs="Arial"/>
                <w:szCs w:val="22"/>
              </w:rPr>
              <w:t xml:space="preserve">STR. This may be significant in linking inclusion in education. </w:t>
            </w:r>
          </w:p>
          <w:p w14:paraId="147B178D" w14:textId="77777777" w:rsidR="009C115E" w:rsidRDefault="000A11B9">
            <w:pPr>
              <w:rPr>
                <w:rFonts w:eastAsia="Times New Roman" w:cs="Arial"/>
                <w:szCs w:val="22"/>
              </w:rPr>
            </w:pPr>
            <w:r>
              <w:rPr>
                <w:rFonts w:eastAsia="Times New Roman" w:cs="Arial"/>
                <w:szCs w:val="22"/>
              </w:rPr>
              <w:t xml:space="preserve">Other examples include: </w:t>
            </w:r>
          </w:p>
          <w:p w14:paraId="564CF8A1" w14:textId="61EB21C3" w:rsidR="009C115E" w:rsidRDefault="000A11B9">
            <w:pPr>
              <w:rPr>
                <w:rFonts w:eastAsia="Times New Roman" w:cs="Arial"/>
                <w:szCs w:val="22"/>
              </w:rPr>
            </w:pPr>
            <w:r>
              <w:rPr>
                <w:rFonts w:eastAsia="Times New Roman" w:cs="Arial"/>
                <w:szCs w:val="22"/>
              </w:rPr>
              <w:t xml:space="preserve">Key ethics processes: Culture </w:t>
            </w:r>
            <w:r w:rsidR="009C115E">
              <w:rPr>
                <w:rFonts w:eastAsia="Times New Roman" w:cs="Arial"/>
                <w:szCs w:val="22"/>
              </w:rPr>
              <w:t xml:space="preserve">Walk </w:t>
            </w:r>
            <w:r>
              <w:rPr>
                <w:rFonts w:eastAsia="Times New Roman" w:cs="Arial"/>
                <w:szCs w:val="22"/>
              </w:rPr>
              <w:t>and Walk It Right. [A</w:t>
            </w:r>
            <w:r w:rsidR="00FD460C">
              <w:rPr>
                <w:rFonts w:eastAsia="Times New Roman" w:cs="Arial"/>
                <w:szCs w:val="22"/>
              </w:rPr>
              <w:t>]</w:t>
            </w:r>
            <w:r>
              <w:rPr>
                <w:rFonts w:eastAsia="Times New Roman" w:cs="Arial"/>
                <w:szCs w:val="22"/>
              </w:rPr>
              <w:t xml:space="preserve"> </w:t>
            </w:r>
          </w:p>
          <w:p w14:paraId="18BAC103" w14:textId="77777777" w:rsidR="009C115E" w:rsidRDefault="000A11B9">
            <w:pPr>
              <w:rPr>
                <w:rFonts w:eastAsia="Times New Roman" w:cs="Arial"/>
                <w:szCs w:val="22"/>
              </w:rPr>
            </w:pPr>
            <w:r>
              <w:rPr>
                <w:rFonts w:eastAsia="Times New Roman" w:cs="Arial"/>
                <w:szCs w:val="22"/>
              </w:rPr>
              <w:t xml:space="preserve">Deployed through: NEO, Leader meetings, classroom. [D] </w:t>
            </w:r>
          </w:p>
          <w:p w14:paraId="30D37380" w14:textId="77777777" w:rsidR="009C115E" w:rsidRDefault="000A11B9">
            <w:pPr>
              <w:rPr>
                <w:rFonts w:eastAsia="Times New Roman" w:cs="Arial"/>
                <w:szCs w:val="22"/>
              </w:rPr>
            </w:pPr>
            <w:r>
              <w:rPr>
                <w:rFonts w:eastAsia="Times New Roman" w:cs="Arial"/>
                <w:szCs w:val="22"/>
              </w:rPr>
              <w:t xml:space="preserve">Improvements: Walk it </w:t>
            </w:r>
            <w:r w:rsidR="009C115E">
              <w:rPr>
                <w:rFonts w:eastAsia="Times New Roman" w:cs="Arial"/>
                <w:szCs w:val="22"/>
              </w:rPr>
              <w:t xml:space="preserve">Right </w:t>
            </w:r>
            <w:r>
              <w:rPr>
                <w:rFonts w:eastAsia="Times New Roman" w:cs="Arial"/>
                <w:szCs w:val="22"/>
              </w:rPr>
              <w:t xml:space="preserve">started in 2016. [L] </w:t>
            </w:r>
          </w:p>
          <w:p w14:paraId="0B650812" w14:textId="4F8B5F4A" w:rsidR="005E22BD" w:rsidRDefault="000A11B9">
            <w:pPr>
              <w:rPr>
                <w:rFonts w:eastAsia="Times New Roman" w:cs="Arial"/>
                <w:szCs w:val="22"/>
              </w:rPr>
            </w:pPr>
            <w:r>
              <w:rPr>
                <w:rFonts w:eastAsia="Times New Roman" w:cs="Arial"/>
                <w:szCs w:val="22"/>
              </w:rPr>
              <w:t xml:space="preserve">Integration and learning: Walk it </w:t>
            </w:r>
            <w:r w:rsidR="009C115E">
              <w:rPr>
                <w:rFonts w:eastAsia="Times New Roman" w:cs="Arial"/>
                <w:szCs w:val="22"/>
              </w:rPr>
              <w:t xml:space="preserve">Right </w:t>
            </w:r>
            <w:r>
              <w:rPr>
                <w:rFonts w:eastAsia="Times New Roman" w:cs="Arial"/>
                <w:szCs w:val="22"/>
              </w:rPr>
              <w:t>added to stakeholder surveys in 2017; added to SL Reviews in 2018. Measures: cases raised, comfort/ease of reporting, number of cases successfully resolved.</w:t>
            </w:r>
          </w:p>
        </w:tc>
        <w:tc>
          <w:tcPr>
            <w:tcW w:w="0" w:type="auto"/>
            <w:tcBorders>
              <w:bottom w:val="single" w:sz="6" w:space="0" w:color="000000"/>
              <w:right w:val="single" w:sz="6" w:space="0" w:color="000000"/>
            </w:tcBorders>
            <w:tcMar>
              <w:top w:w="75" w:type="dxa"/>
              <w:left w:w="75" w:type="dxa"/>
              <w:bottom w:w="75" w:type="dxa"/>
              <w:right w:w="75" w:type="dxa"/>
            </w:tcMar>
            <w:hideMark/>
          </w:tcPr>
          <w:p w14:paraId="3DF34746" w14:textId="77777777" w:rsidR="005E22BD" w:rsidRDefault="000A11B9">
            <w:pPr>
              <w:rPr>
                <w:rFonts w:eastAsia="Times New Roman" w:cs="Arial"/>
                <w:szCs w:val="22"/>
              </w:rPr>
            </w:pPr>
            <w:r>
              <w:rPr>
                <w:rFonts w:eastAsia="Times New Roman" w:cs="Arial"/>
                <w:szCs w:val="22"/>
              </w:rPr>
              <w:t>b(2)</w:t>
            </w:r>
          </w:p>
        </w:tc>
      </w:tr>
      <w:tr w:rsidR="005E22BD" w14:paraId="5AC4389B"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EB087DB"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558AF6D" w14:textId="4D4FEC7C" w:rsidR="005E22BD" w:rsidRDefault="00D13994">
            <w:pPr>
              <w:rPr>
                <w:rFonts w:eastAsia="Times New Roman" w:cs="Arial"/>
                <w:szCs w:val="22"/>
              </w:rPr>
            </w:pPr>
            <w:r>
              <w:rPr>
                <w:rFonts w:eastAsia="Times New Roman" w:cs="Arial"/>
                <w:szCs w:val="22"/>
              </w:rPr>
              <w:t xml:space="preserve">The applicant evaluates the performance of </w:t>
            </w:r>
            <w:r w:rsidR="000A11B9">
              <w:rPr>
                <w:rFonts w:eastAsia="Times New Roman" w:cs="Arial"/>
                <w:szCs w:val="22"/>
              </w:rPr>
              <w:t>SL</w:t>
            </w:r>
            <w:r>
              <w:rPr>
                <w:rFonts w:eastAsia="Times New Roman" w:cs="Arial"/>
                <w:szCs w:val="22"/>
              </w:rPr>
              <w:t>s</w:t>
            </w:r>
            <w:r w:rsidR="000A11B9">
              <w:rPr>
                <w:rFonts w:eastAsia="Times New Roman" w:cs="Arial"/>
                <w:szCs w:val="22"/>
              </w:rPr>
              <w:t xml:space="preserve"> and governance board members</w:t>
            </w:r>
            <w:r>
              <w:rPr>
                <w:rFonts w:eastAsia="Times New Roman" w:cs="Arial"/>
                <w:szCs w:val="22"/>
              </w:rPr>
              <w:t xml:space="preserve"> through a systematic, multilevel process</w:t>
            </w:r>
            <w:r w:rsidR="000A11B9">
              <w:rPr>
                <w:rFonts w:eastAsia="Times New Roman" w:cs="Arial"/>
                <w:szCs w:val="22"/>
              </w:rPr>
              <w:t xml:space="preserve">. Annually, the CPBT conducts a self-evaluation to determine learning needs. The </w:t>
            </w:r>
            <w:r w:rsidR="00DD0E2E">
              <w:rPr>
                <w:rFonts w:eastAsia="Times New Roman" w:cs="Arial"/>
                <w:szCs w:val="22"/>
              </w:rPr>
              <w:t>P</w:t>
            </w:r>
            <w:r w:rsidR="000A11B9">
              <w:rPr>
                <w:rFonts w:eastAsia="Times New Roman" w:cs="Arial"/>
                <w:szCs w:val="22"/>
              </w:rPr>
              <w:t xml:space="preserve">resident is evaluated using an ACCT-endorsed review instrument, as well as the measures of the strategic </w:t>
            </w:r>
            <w:r w:rsidR="000A11B9">
              <w:rPr>
                <w:rFonts w:eastAsia="Times New Roman" w:cs="Arial"/>
                <w:szCs w:val="22"/>
              </w:rPr>
              <w:lastRenderedPageBreak/>
              <w:t xml:space="preserve">dashboard and Culture Walk. Performance review results lead to an annual development plan for SLs and Bright Star graduates. Providing accountability </w:t>
            </w:r>
            <w:r>
              <w:rPr>
                <w:rFonts w:eastAsia="Times New Roman" w:cs="Arial"/>
                <w:szCs w:val="22"/>
              </w:rPr>
              <w:t xml:space="preserve">for performance </w:t>
            </w:r>
            <w:r w:rsidR="000A11B9">
              <w:rPr>
                <w:rFonts w:eastAsia="Times New Roman" w:cs="Arial"/>
                <w:szCs w:val="22"/>
              </w:rPr>
              <w:t>and development</w:t>
            </w:r>
            <w:r>
              <w:rPr>
                <w:rFonts w:eastAsia="Times New Roman" w:cs="Arial"/>
                <w:szCs w:val="22"/>
              </w:rPr>
              <w:t xml:space="preserve"> opportunities supports the applicant in </w:t>
            </w:r>
            <w:r w:rsidR="001E1C7A">
              <w:rPr>
                <w:rFonts w:eastAsia="Times New Roman" w:cs="Arial"/>
                <w:szCs w:val="22"/>
              </w:rPr>
              <w:t>m</w:t>
            </w:r>
            <w:r w:rsidR="001E1C7A" w:rsidRPr="001E1C7A">
              <w:rPr>
                <w:rFonts w:eastAsia="Times New Roman" w:cs="Arial"/>
                <w:szCs w:val="22"/>
              </w:rPr>
              <w:t>aintain</w:t>
            </w:r>
            <w:r w:rsidR="00DD0E2E">
              <w:rPr>
                <w:rFonts w:eastAsia="Times New Roman" w:cs="Arial"/>
                <w:szCs w:val="22"/>
              </w:rPr>
              <w:t>ing</w:t>
            </w:r>
            <w:r w:rsidR="001E1C7A" w:rsidRPr="001E1C7A">
              <w:rPr>
                <w:rFonts w:eastAsia="Times New Roman" w:cs="Arial"/>
                <w:szCs w:val="22"/>
              </w:rPr>
              <w:t xml:space="preserve"> expert, up-to-date</w:t>
            </w:r>
            <w:r w:rsidR="000A11B9">
              <w:rPr>
                <w:rFonts w:eastAsia="Times New Roman" w:cs="Arial"/>
                <w:szCs w:val="22"/>
              </w:rPr>
              <w:t xml:space="preserve"> leadership.</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D4BF938" w14:textId="77777777" w:rsidR="00D13994" w:rsidRDefault="000A11B9">
            <w:pPr>
              <w:rPr>
                <w:rFonts w:eastAsia="Times New Roman" w:cs="Arial"/>
                <w:szCs w:val="22"/>
              </w:rPr>
            </w:pPr>
            <w:r>
              <w:rPr>
                <w:rFonts w:eastAsia="Times New Roman" w:cs="Arial"/>
                <w:szCs w:val="22"/>
              </w:rPr>
              <w:lastRenderedPageBreak/>
              <w:t>Overall STR</w:t>
            </w:r>
            <w:r w:rsidR="00FD460C">
              <w:rPr>
                <w:rFonts w:eastAsia="Times New Roman" w:cs="Arial"/>
                <w:szCs w:val="22"/>
              </w:rPr>
              <w:t>—</w:t>
            </w:r>
            <w:r w:rsidR="007B4856">
              <w:rPr>
                <w:rFonts w:eastAsia="Times New Roman" w:cs="Arial"/>
                <w:szCs w:val="22"/>
              </w:rPr>
              <w:t>All</w:t>
            </w:r>
            <w:r>
              <w:rPr>
                <w:rFonts w:eastAsia="Times New Roman" w:cs="Arial"/>
                <w:szCs w:val="22"/>
              </w:rPr>
              <w:t xml:space="preserve"> examiners called this out as STR.</w:t>
            </w:r>
          </w:p>
          <w:p w14:paraId="04CBE2A9" w14:textId="0E303FDF" w:rsidR="00D13994" w:rsidRDefault="000A11B9">
            <w:pPr>
              <w:rPr>
                <w:rFonts w:eastAsia="Times New Roman" w:cs="Arial"/>
                <w:szCs w:val="22"/>
              </w:rPr>
            </w:pPr>
            <w:r>
              <w:rPr>
                <w:rFonts w:eastAsia="Times New Roman" w:cs="Arial"/>
                <w:szCs w:val="22"/>
              </w:rPr>
              <w:t xml:space="preserve">Examples include: </w:t>
            </w:r>
          </w:p>
          <w:p w14:paraId="02DF9310" w14:textId="77777777" w:rsidR="00D13994" w:rsidRDefault="000A11B9">
            <w:pPr>
              <w:rPr>
                <w:rFonts w:eastAsia="Times New Roman" w:cs="Arial"/>
                <w:szCs w:val="22"/>
              </w:rPr>
            </w:pPr>
            <w:r>
              <w:rPr>
                <w:rFonts w:eastAsia="Times New Roman" w:cs="Arial"/>
                <w:szCs w:val="22"/>
              </w:rPr>
              <w:t xml:space="preserve">40% of compensation tied to overall applicant performance and 60% on individual, strategic, and AP annual </w:t>
            </w:r>
            <w:r>
              <w:rPr>
                <w:rFonts w:eastAsia="Times New Roman" w:cs="Arial"/>
                <w:szCs w:val="22"/>
              </w:rPr>
              <w:lastRenderedPageBreak/>
              <w:t xml:space="preserve">development plan mentoring provided to Bright Star candidates. </w:t>
            </w:r>
          </w:p>
          <w:p w14:paraId="28E5E4E2" w14:textId="77777777" w:rsidR="00D13994" w:rsidRDefault="000A11B9">
            <w:pPr>
              <w:rPr>
                <w:rFonts w:eastAsia="Times New Roman" w:cs="Arial"/>
                <w:szCs w:val="22"/>
              </w:rPr>
            </w:pPr>
            <w:r>
              <w:rPr>
                <w:rFonts w:eastAsia="Times New Roman" w:cs="Arial"/>
                <w:szCs w:val="22"/>
              </w:rPr>
              <w:t xml:space="preserve">A comprehensive approach is presented using a </w:t>
            </w:r>
            <w:r w:rsidR="00FC7C2D">
              <w:rPr>
                <w:rFonts w:eastAsia="Times New Roman" w:cs="Arial"/>
                <w:szCs w:val="22"/>
              </w:rPr>
              <w:t>360-degree</w:t>
            </w:r>
            <w:r>
              <w:rPr>
                <w:rFonts w:eastAsia="Times New Roman" w:cs="Arial"/>
                <w:szCs w:val="22"/>
              </w:rPr>
              <w:t xml:space="preserve"> evaluation for faculty, workforce, the </w:t>
            </w:r>
            <w:r w:rsidR="00FC7C2D">
              <w:rPr>
                <w:rFonts w:eastAsia="Times New Roman" w:cs="Arial"/>
                <w:szCs w:val="22"/>
              </w:rPr>
              <w:t>president,</w:t>
            </w:r>
            <w:r>
              <w:rPr>
                <w:rFonts w:eastAsia="Times New Roman" w:cs="Arial"/>
                <w:szCs w:val="22"/>
              </w:rPr>
              <w:t xml:space="preserve"> and PT. </w:t>
            </w:r>
          </w:p>
          <w:p w14:paraId="570E68EF" w14:textId="77777777" w:rsidR="00D13994" w:rsidRDefault="000A11B9">
            <w:pPr>
              <w:rPr>
                <w:rFonts w:eastAsia="Times New Roman" w:cs="Arial"/>
                <w:szCs w:val="22"/>
              </w:rPr>
            </w:pPr>
            <w:r>
              <w:rPr>
                <w:rFonts w:eastAsia="Times New Roman" w:cs="Arial"/>
                <w:szCs w:val="22"/>
              </w:rPr>
              <w:t xml:space="preserve">The president and each PT member are also reviewed by the Culture Walk rating to assure living the Culture Walk, highly valued by the CPBT. </w:t>
            </w:r>
          </w:p>
          <w:p w14:paraId="664EE4C0" w14:textId="168A69ED" w:rsidR="005E22BD" w:rsidRDefault="000A11B9">
            <w:pPr>
              <w:rPr>
                <w:rFonts w:eastAsia="Times New Roman" w:cs="Arial"/>
                <w:szCs w:val="22"/>
              </w:rPr>
            </w:pPr>
            <w:r>
              <w:rPr>
                <w:rFonts w:eastAsia="Times New Roman" w:cs="Arial"/>
                <w:szCs w:val="22"/>
              </w:rPr>
              <w:t>The CPBT uses an annual self-evaluation to determine its strategic, financial, advocacy for student success, learning needs for development.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BAA9933" w14:textId="77777777" w:rsidR="005E22BD" w:rsidRDefault="000A11B9">
            <w:pPr>
              <w:rPr>
                <w:rFonts w:eastAsia="Times New Roman" w:cs="Arial"/>
                <w:szCs w:val="22"/>
              </w:rPr>
            </w:pPr>
            <w:r>
              <w:rPr>
                <w:rFonts w:eastAsia="Times New Roman" w:cs="Arial"/>
                <w:szCs w:val="22"/>
              </w:rPr>
              <w:lastRenderedPageBreak/>
              <w:t>a(2)</w:t>
            </w:r>
          </w:p>
        </w:tc>
      </w:tr>
      <w:tr w:rsidR="005E22BD" w14:paraId="7986CF87"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34BC6E8C"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BE9BB57" w14:textId="4D6898BC" w:rsidR="005E22BD" w:rsidRDefault="00D13994">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 xml:space="preserve">s governance approaches support its ability to deliver on its value of being community engaged. </w:t>
            </w:r>
            <w:r w:rsidR="000A11B9">
              <w:rPr>
                <w:rFonts w:eastAsia="Times New Roman" w:cs="Arial"/>
                <w:szCs w:val="22"/>
              </w:rPr>
              <w:t>The applicant ensures responsible governance through the board</w:t>
            </w:r>
            <w:r w:rsidR="005663C4">
              <w:rPr>
                <w:rFonts w:eastAsia="Times New Roman" w:cs="Arial"/>
                <w:szCs w:val="22"/>
              </w:rPr>
              <w:t>’</w:t>
            </w:r>
            <w:r w:rsidR="000A11B9">
              <w:rPr>
                <w:rFonts w:eastAsia="Times New Roman" w:cs="Arial"/>
                <w:szCs w:val="22"/>
              </w:rPr>
              <w:t>s fiduciary and leadership oversight; transparency is accomplished through regular open meetings, the board committee structure and meetings, performance reviews, regional events, and community engagement.</w:t>
            </w:r>
            <w:r>
              <w:rPr>
                <w:rFonts w:eastAsia="Times New Roman" w:cs="Arial"/>
                <w:szCs w:val="22"/>
              </w:rPr>
              <w:t xml:space="preserve"> Annual performance outcomes are aligned with strategic objectives</w:t>
            </w:r>
            <w:r w:rsidR="000A11B9">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31A86CCD" w14:textId="77777777" w:rsidR="00D13994" w:rsidRDefault="007B4856">
            <w:pPr>
              <w:rPr>
                <w:rFonts w:eastAsia="Times New Roman" w:cs="Arial"/>
                <w:szCs w:val="22"/>
              </w:rPr>
            </w:pPr>
            <w:r>
              <w:rPr>
                <w:rFonts w:eastAsia="Times New Roman" w:cs="Arial"/>
                <w:szCs w:val="22"/>
              </w:rPr>
              <w:t>All</w:t>
            </w:r>
            <w:r w:rsidR="000A11B9">
              <w:rPr>
                <w:rFonts w:eastAsia="Times New Roman" w:cs="Arial"/>
                <w:szCs w:val="22"/>
              </w:rPr>
              <w:t xml:space="preserve"> examiners had this as a STR at </w:t>
            </w:r>
            <w:r w:rsidR="00D13994">
              <w:rPr>
                <w:rFonts w:eastAsia="Times New Roman" w:cs="Arial"/>
                <w:szCs w:val="22"/>
              </w:rPr>
              <w:t xml:space="preserve">the </w:t>
            </w:r>
            <w:r w:rsidR="000A11B9">
              <w:rPr>
                <w:rFonts w:eastAsia="Times New Roman" w:cs="Arial"/>
                <w:szCs w:val="22"/>
              </w:rPr>
              <w:t>overall level</w:t>
            </w:r>
            <w:r w:rsidR="00D13994">
              <w:rPr>
                <w:rFonts w:eastAsia="Times New Roman" w:cs="Arial"/>
                <w:szCs w:val="22"/>
              </w:rPr>
              <w:t>,</w:t>
            </w:r>
            <w:r w:rsidR="000A11B9">
              <w:rPr>
                <w:rFonts w:eastAsia="Times New Roman" w:cs="Arial"/>
                <w:szCs w:val="22"/>
              </w:rPr>
              <w:t xml:space="preserve"> with some examples of </w:t>
            </w:r>
            <w:r w:rsidR="00FC7C2D">
              <w:rPr>
                <w:rFonts w:eastAsia="Times New Roman" w:cs="Arial"/>
                <w:szCs w:val="22"/>
              </w:rPr>
              <w:t>multiple</w:t>
            </w:r>
            <w:r w:rsidR="00FD460C">
              <w:rPr>
                <w:rFonts w:eastAsia="Times New Roman" w:cs="Arial"/>
                <w:szCs w:val="22"/>
              </w:rPr>
              <w:t xml:space="preserve"> questions</w:t>
            </w:r>
            <w:r w:rsidR="000A11B9">
              <w:rPr>
                <w:rFonts w:eastAsia="Times New Roman" w:cs="Arial"/>
                <w:szCs w:val="22"/>
              </w:rPr>
              <w:t xml:space="preserve">. </w:t>
            </w:r>
          </w:p>
          <w:p w14:paraId="58B19A55" w14:textId="77777777" w:rsidR="00D13994" w:rsidRDefault="000A11B9">
            <w:pPr>
              <w:rPr>
                <w:rFonts w:eastAsia="Times New Roman" w:cs="Arial"/>
                <w:szCs w:val="22"/>
              </w:rPr>
            </w:pPr>
            <w:r>
              <w:rPr>
                <w:rFonts w:eastAsia="Times New Roman" w:cs="Arial"/>
                <w:szCs w:val="22"/>
              </w:rPr>
              <w:t xml:space="preserve">Examples include: </w:t>
            </w:r>
          </w:p>
          <w:p w14:paraId="04CB6509" w14:textId="40B84986" w:rsidR="00D13994" w:rsidRDefault="000A11B9" w:rsidP="00D13994">
            <w:pPr>
              <w:rPr>
                <w:rFonts w:eastAsia="Times New Roman" w:cs="Arial"/>
                <w:szCs w:val="22"/>
              </w:rPr>
            </w:pPr>
            <w:r>
              <w:rPr>
                <w:rFonts w:eastAsia="Times New Roman" w:cs="Arial"/>
                <w:szCs w:val="22"/>
              </w:rPr>
              <w:t>System</w:t>
            </w:r>
            <w:r w:rsidR="005663C4">
              <w:rPr>
                <w:rFonts w:eastAsia="Times New Roman" w:cs="Arial"/>
                <w:szCs w:val="22"/>
              </w:rPr>
              <w:t>’</w:t>
            </w:r>
            <w:r>
              <w:rPr>
                <w:rFonts w:eastAsia="Times New Roman" w:cs="Arial"/>
                <w:szCs w:val="22"/>
              </w:rPr>
              <w:t>s 11-member board ensures responsible fiduciary and leadership oversight via open meetings, committee meetings, perf</w:t>
            </w:r>
            <w:r w:rsidR="00D13994">
              <w:rPr>
                <w:rFonts w:eastAsia="Times New Roman" w:cs="Arial"/>
                <w:szCs w:val="22"/>
              </w:rPr>
              <w:t>.</w:t>
            </w:r>
            <w:r>
              <w:rPr>
                <w:rFonts w:eastAsia="Times New Roman" w:cs="Arial"/>
                <w:szCs w:val="22"/>
              </w:rPr>
              <w:t xml:space="preserve"> reviews, participation in regional events for advocacy, community engagement, and support;</w:t>
            </w:r>
            <w:r w:rsidR="00D13994">
              <w:rPr>
                <w:rFonts w:eastAsia="Times New Roman" w:cs="Arial"/>
                <w:szCs w:val="22"/>
              </w:rPr>
              <w:t xml:space="preserve"> C</w:t>
            </w:r>
            <w:r>
              <w:rPr>
                <w:rFonts w:eastAsia="Times New Roman" w:cs="Arial"/>
                <w:szCs w:val="22"/>
              </w:rPr>
              <w:t xml:space="preserve">ommittee of the Whole meets monthly; standard agenda and public notices enable citizens to participate. </w:t>
            </w:r>
          </w:p>
          <w:p w14:paraId="4EE747B2" w14:textId="77777777" w:rsidR="00D13994" w:rsidRDefault="000A11B9" w:rsidP="00D13994">
            <w:pPr>
              <w:rPr>
                <w:rFonts w:eastAsia="Times New Roman" w:cs="Arial"/>
                <w:szCs w:val="22"/>
              </w:rPr>
            </w:pPr>
            <w:r>
              <w:rPr>
                <w:rFonts w:eastAsia="Times New Roman" w:cs="Arial"/>
                <w:szCs w:val="22"/>
              </w:rPr>
              <w:t xml:space="preserve">Various board committees are in place including Financial Committee, Policy Committee. </w:t>
            </w:r>
          </w:p>
          <w:p w14:paraId="79EE022E" w14:textId="13382E92" w:rsidR="00D13994" w:rsidRDefault="000A11B9" w:rsidP="00D13994">
            <w:pPr>
              <w:rPr>
                <w:rFonts w:eastAsia="Times New Roman" w:cs="Arial"/>
                <w:szCs w:val="22"/>
              </w:rPr>
            </w:pPr>
            <w:r>
              <w:rPr>
                <w:rFonts w:eastAsia="Times New Roman" w:cs="Arial"/>
                <w:szCs w:val="22"/>
              </w:rPr>
              <w:t xml:space="preserve">Also, </w:t>
            </w:r>
            <w:r w:rsidR="00FB61D6">
              <w:rPr>
                <w:rFonts w:eastAsia="Times New Roman" w:cs="Arial"/>
                <w:szCs w:val="22"/>
              </w:rPr>
              <w:t xml:space="preserve">selection </w:t>
            </w:r>
            <w:r>
              <w:rPr>
                <w:rFonts w:eastAsia="Times New Roman" w:cs="Arial"/>
                <w:szCs w:val="22"/>
              </w:rPr>
              <w:t xml:space="preserve">of governance member guided by state statute ensuring county representation, employment relationship, ethnicity, gender, representation of key programs, areas of needed knowledge. </w:t>
            </w:r>
          </w:p>
          <w:p w14:paraId="10C4C137" w14:textId="3AD69D57" w:rsidR="005E22BD" w:rsidRDefault="000A11B9" w:rsidP="00D13994">
            <w:pPr>
              <w:rPr>
                <w:rFonts w:eastAsia="Times New Roman" w:cs="Arial"/>
                <w:szCs w:val="22"/>
              </w:rPr>
            </w:pPr>
            <w:r>
              <w:rPr>
                <w:rFonts w:eastAsia="Times New Roman" w:cs="Arial"/>
                <w:szCs w:val="22"/>
              </w:rPr>
              <w:t>Annual perf</w:t>
            </w:r>
            <w:r w:rsidR="00D13994">
              <w:rPr>
                <w:rFonts w:eastAsia="Times New Roman" w:cs="Arial"/>
                <w:szCs w:val="22"/>
              </w:rPr>
              <w:t>.</w:t>
            </w:r>
            <w:r>
              <w:rPr>
                <w:rFonts w:eastAsia="Times New Roman" w:cs="Arial"/>
                <w:szCs w:val="22"/>
              </w:rPr>
              <w:t xml:space="preserve"> outcomes aligned with SObjs; chancellor facilitates annual board evaluation and 360 of president. System board has lead role in succession planning for chancellor.</w:t>
            </w:r>
          </w:p>
        </w:tc>
        <w:tc>
          <w:tcPr>
            <w:tcW w:w="0" w:type="auto"/>
            <w:tcBorders>
              <w:bottom w:val="single" w:sz="6" w:space="0" w:color="000000"/>
              <w:right w:val="single" w:sz="6" w:space="0" w:color="000000"/>
            </w:tcBorders>
            <w:tcMar>
              <w:top w:w="75" w:type="dxa"/>
              <w:left w:w="75" w:type="dxa"/>
              <w:bottom w:w="75" w:type="dxa"/>
              <w:right w:w="75" w:type="dxa"/>
            </w:tcMar>
            <w:hideMark/>
          </w:tcPr>
          <w:p w14:paraId="67350ED4" w14:textId="77777777" w:rsidR="005E22BD" w:rsidRDefault="000A11B9">
            <w:pPr>
              <w:rPr>
                <w:rFonts w:eastAsia="Times New Roman" w:cs="Arial"/>
                <w:szCs w:val="22"/>
              </w:rPr>
            </w:pPr>
            <w:r>
              <w:rPr>
                <w:rFonts w:eastAsia="Times New Roman" w:cs="Arial"/>
                <w:szCs w:val="22"/>
              </w:rPr>
              <w:t>a(1)</w:t>
            </w:r>
          </w:p>
        </w:tc>
      </w:tr>
    </w:tbl>
    <w:p w14:paraId="43D45931"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9D4C55" w14:paraId="38C4EEE9" w14:textId="77777777" w:rsidTr="009D4C55">
        <w:tc>
          <w:tcPr>
            <w:tcW w:w="10170" w:type="dxa"/>
          </w:tcPr>
          <w:p w14:paraId="0530B60E" w14:textId="0333DA2F" w:rsidR="009D4C55" w:rsidRDefault="009D4C55" w:rsidP="009D4C55">
            <w:pPr>
              <w:rPr>
                <w:rFonts w:eastAsia="Times New Roman" w:cs="Arial"/>
                <w:szCs w:val="22"/>
              </w:rPr>
            </w:pPr>
            <w:r>
              <w:rPr>
                <w:rFonts w:eastAsia="Times New Roman" w:cs="Arial"/>
                <w:szCs w:val="22"/>
              </w:rPr>
              <w:t>Had originally considered 2 additional STR; 1 for c(1) and 1 for b(1)—but to try to cut down to 3 key STR, chose to not include these in R2 as the OFIs for these areas are more relevant to helping the applicant.</w:t>
            </w:r>
            <w:r w:rsidR="005E3D0E">
              <w:rPr>
                <w:rFonts w:eastAsia="Times New Roman" w:cs="Arial"/>
                <w:szCs w:val="22"/>
              </w:rPr>
              <w:t xml:space="preserve"> </w:t>
            </w:r>
          </w:p>
        </w:tc>
      </w:tr>
    </w:tbl>
    <w:p w14:paraId="5DC023CD" w14:textId="77777777" w:rsidR="005E22BD" w:rsidRDefault="000A11B9">
      <w:pPr>
        <w:pStyle w:val="Heading3"/>
        <w:divId w:val="905190427"/>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051"/>
        <w:gridCol w:w="4406"/>
        <w:gridCol w:w="1200"/>
      </w:tblGrid>
      <w:tr w:rsidR="005E22BD" w14:paraId="40D75A7E"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2F2A65A3"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889E2DA"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2CD0875C"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6E596CF"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36478C72"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20B75EB4"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5B8EB72" w14:textId="2D1114B0" w:rsidR="005E22BD" w:rsidRDefault="000A11B9">
            <w:pPr>
              <w:rPr>
                <w:rFonts w:eastAsia="Times New Roman" w:cs="Arial"/>
                <w:szCs w:val="22"/>
              </w:rPr>
            </w:pPr>
            <w:r>
              <w:rPr>
                <w:rFonts w:eastAsia="Times New Roman" w:cs="Arial"/>
                <w:szCs w:val="22"/>
              </w:rPr>
              <w:t>A systematic approach is not evident to effectively respond to ethical breaches, such as potential FERPA violations, Title IX complaints</w:t>
            </w:r>
            <w:r w:rsidR="00864249">
              <w:rPr>
                <w:rFonts w:eastAsia="Times New Roman" w:cs="Arial"/>
                <w:szCs w:val="22"/>
              </w:rPr>
              <w:t>,</w:t>
            </w:r>
            <w:r>
              <w:rPr>
                <w:rFonts w:eastAsia="Times New Roman" w:cs="Arial"/>
                <w:szCs w:val="22"/>
              </w:rPr>
              <w:t xml:space="preserve"> and students being harassed at remote worksites. For example</w:t>
            </w:r>
            <w:r w:rsidR="00FB61D6">
              <w:rPr>
                <w:rFonts w:eastAsia="Times New Roman" w:cs="Arial"/>
                <w:szCs w:val="22"/>
              </w:rPr>
              <w:t>,</w:t>
            </w:r>
            <w:r>
              <w:rPr>
                <w:rFonts w:eastAsia="Times New Roman" w:cs="Arial"/>
                <w:szCs w:val="22"/>
              </w:rPr>
              <w:t xml:space="preserve"> Compliance Services would respond to ethical </w:t>
            </w:r>
            <w:r w:rsidR="00FC7C2D">
              <w:rPr>
                <w:rFonts w:eastAsia="Times New Roman" w:cs="Arial"/>
                <w:szCs w:val="22"/>
              </w:rPr>
              <w:t>breaches,</w:t>
            </w:r>
            <w:r>
              <w:rPr>
                <w:rFonts w:eastAsia="Times New Roman" w:cs="Arial"/>
                <w:szCs w:val="22"/>
              </w:rPr>
              <w:t xml:space="preserve"> but it is not clear what specific process would be used to address breaches</w:t>
            </w:r>
            <w:r w:rsidR="00FB61D6">
              <w:rPr>
                <w:rFonts w:eastAsia="Times New Roman" w:cs="Arial"/>
                <w:szCs w:val="22"/>
              </w:rPr>
              <w:t>,</w:t>
            </w:r>
            <w:r>
              <w:rPr>
                <w:rFonts w:eastAsia="Times New Roman" w:cs="Arial"/>
                <w:szCs w:val="22"/>
              </w:rPr>
              <w:t xml:space="preserve"> as none have yet to occur. Given the </w:t>
            </w:r>
            <w:r w:rsidR="00864249">
              <w:rPr>
                <w:rFonts w:eastAsia="Times New Roman" w:cs="Arial"/>
                <w:szCs w:val="22"/>
              </w:rPr>
              <w:t>applicant</w:t>
            </w:r>
            <w:r w:rsidR="005663C4">
              <w:rPr>
                <w:rFonts w:eastAsia="Times New Roman" w:cs="Arial"/>
                <w:szCs w:val="22"/>
              </w:rPr>
              <w:t>’</w:t>
            </w:r>
            <w:r>
              <w:rPr>
                <w:rFonts w:eastAsia="Times New Roman" w:cs="Arial"/>
                <w:szCs w:val="22"/>
              </w:rPr>
              <w:t>s regulatory requirements and commitment to societal responsibility, being unable to systematically address ethical breaches may have a negative impact</w:t>
            </w:r>
            <w:r w:rsidR="00864249">
              <w:rPr>
                <w:rFonts w:eastAsia="Times New Roman" w:cs="Arial"/>
                <w:szCs w:val="22"/>
              </w:rPr>
              <w:t xml:space="preserve"> on</w:t>
            </w:r>
            <w:r>
              <w:rPr>
                <w:rFonts w:eastAsia="Times New Roman" w:cs="Arial"/>
                <w:szCs w:val="22"/>
              </w:rPr>
              <w:t xml:space="preserve"> the </w:t>
            </w:r>
            <w:r w:rsidR="00864249">
              <w:rPr>
                <w:rFonts w:eastAsia="Times New Roman" w:cs="Arial"/>
                <w:szCs w:val="22"/>
              </w:rPr>
              <w:t>applicant</w:t>
            </w:r>
            <w:r w:rsidR="005663C4">
              <w:rPr>
                <w:rFonts w:eastAsia="Times New Roman" w:cs="Arial"/>
                <w:szCs w:val="22"/>
              </w:rPr>
              <w:t>’</w:t>
            </w:r>
            <w:r>
              <w:rPr>
                <w:rFonts w:eastAsia="Times New Roman" w:cs="Arial"/>
                <w:szCs w:val="22"/>
              </w:rPr>
              <w:t>s reputation.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454F3151" w14:textId="03537C0F" w:rsidR="00D13994" w:rsidRDefault="000A11B9">
            <w:pPr>
              <w:rPr>
                <w:rFonts w:eastAsia="Times New Roman" w:cs="Arial"/>
                <w:szCs w:val="22"/>
              </w:rPr>
            </w:pPr>
            <w:r>
              <w:rPr>
                <w:rFonts w:eastAsia="Times New Roman" w:cs="Arial"/>
                <w:szCs w:val="22"/>
              </w:rPr>
              <w:t>1 examiner (</w:t>
            </w:r>
            <w:r w:rsidR="007B4856">
              <w:rPr>
                <w:rFonts w:eastAsia="Times New Roman" w:cs="Arial"/>
                <w:szCs w:val="22"/>
              </w:rPr>
              <w:t>Ex4</w:t>
            </w:r>
            <w:r>
              <w:rPr>
                <w:rFonts w:eastAsia="Times New Roman" w:cs="Arial"/>
                <w:szCs w:val="22"/>
              </w:rPr>
              <w:t>)</w:t>
            </w:r>
            <w:r w:rsidR="00D13994">
              <w:rPr>
                <w:rFonts w:eastAsia="Times New Roman" w:cs="Arial"/>
                <w:szCs w:val="22"/>
              </w:rPr>
              <w:t>—</w:t>
            </w:r>
            <w:r>
              <w:rPr>
                <w:rFonts w:eastAsia="Times New Roman" w:cs="Arial"/>
                <w:szCs w:val="22"/>
              </w:rPr>
              <w:t>but support this multiple</w:t>
            </w:r>
            <w:r w:rsidR="00DD0E2E">
              <w:rPr>
                <w:rFonts w:eastAsia="Times New Roman" w:cs="Arial"/>
                <w:szCs w:val="22"/>
              </w:rPr>
              <w:t>-level</w:t>
            </w:r>
            <w:r>
              <w:rPr>
                <w:rFonts w:eastAsia="Times New Roman" w:cs="Arial"/>
                <w:szCs w:val="22"/>
              </w:rPr>
              <w:t xml:space="preserve"> </w:t>
            </w:r>
            <w:r w:rsidR="00FD460C">
              <w:rPr>
                <w:rFonts w:eastAsia="Times New Roman" w:cs="Arial"/>
                <w:szCs w:val="22"/>
              </w:rPr>
              <w:t>Criteria question</w:t>
            </w:r>
            <w:r>
              <w:rPr>
                <w:rFonts w:eastAsia="Times New Roman" w:cs="Arial"/>
                <w:szCs w:val="22"/>
              </w:rPr>
              <w:t xml:space="preserve"> issue for this OFI and have confirmed with another SME the criticality of this</w:t>
            </w:r>
            <w:r w:rsidR="00D13994">
              <w:rPr>
                <w:rFonts w:eastAsia="Times New Roman" w:cs="Arial"/>
                <w:szCs w:val="22"/>
              </w:rPr>
              <w:t>. T</w:t>
            </w:r>
            <w:r>
              <w:rPr>
                <w:rFonts w:eastAsia="Times New Roman" w:cs="Arial"/>
                <w:szCs w:val="22"/>
              </w:rPr>
              <w:t xml:space="preserve">hus kept in there because of its relevance to reputation. </w:t>
            </w:r>
          </w:p>
          <w:p w14:paraId="7EC0BE6E" w14:textId="77777777" w:rsidR="00864249" w:rsidRDefault="000A11B9">
            <w:pPr>
              <w:rPr>
                <w:rFonts w:eastAsia="Times New Roman" w:cs="Arial"/>
                <w:szCs w:val="22"/>
              </w:rPr>
            </w:pPr>
            <w:r>
              <w:rPr>
                <w:rFonts w:eastAsia="Times New Roman" w:cs="Arial"/>
                <w:szCs w:val="22"/>
              </w:rPr>
              <w:t xml:space="preserve">Examples include: Information is provided about monitoring for ethical breaches and none have happened. </w:t>
            </w:r>
          </w:p>
          <w:p w14:paraId="693C7209" w14:textId="77777777" w:rsidR="00864249" w:rsidRDefault="000A11B9">
            <w:pPr>
              <w:rPr>
                <w:rFonts w:eastAsia="Times New Roman" w:cs="Arial"/>
                <w:szCs w:val="22"/>
              </w:rPr>
            </w:pPr>
            <w:r>
              <w:rPr>
                <w:rFonts w:eastAsia="Times New Roman" w:cs="Arial"/>
                <w:szCs w:val="22"/>
              </w:rPr>
              <w:t xml:space="preserve">The applicant says the Compliance Services would respond to ethical breaches but not what processes would be used to address them. </w:t>
            </w:r>
          </w:p>
          <w:p w14:paraId="122D35E8" w14:textId="4EEFA354" w:rsidR="005E22BD" w:rsidRDefault="000A11B9">
            <w:pPr>
              <w:rPr>
                <w:rFonts w:eastAsia="Times New Roman" w:cs="Arial"/>
                <w:szCs w:val="22"/>
              </w:rPr>
            </w:pPr>
            <w:r>
              <w:rPr>
                <w:rFonts w:eastAsia="Times New Roman" w:cs="Arial"/>
                <w:szCs w:val="22"/>
              </w:rPr>
              <w:t xml:space="preserve">Have included references to </w:t>
            </w:r>
            <w:r w:rsidR="00FC7C2D">
              <w:rPr>
                <w:rFonts w:eastAsia="Times New Roman" w:cs="Arial"/>
                <w:szCs w:val="22"/>
              </w:rPr>
              <w:t>potential</w:t>
            </w:r>
            <w:r>
              <w:rPr>
                <w:rFonts w:eastAsia="Times New Roman" w:cs="Arial"/>
                <w:szCs w:val="22"/>
              </w:rPr>
              <w:t xml:space="preserve"> FERPA and Title IX complaints as well as addressing if students are harassed by internship collaborators while on remote work sites to have effective approaches to address</w:t>
            </w:r>
            <w:r w:rsidR="00864249">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6B79AF50" w14:textId="77777777" w:rsidR="005E22BD" w:rsidRDefault="000A11B9">
            <w:pPr>
              <w:rPr>
                <w:rFonts w:eastAsia="Times New Roman" w:cs="Arial"/>
                <w:szCs w:val="22"/>
              </w:rPr>
            </w:pPr>
            <w:r>
              <w:rPr>
                <w:rFonts w:eastAsia="Times New Roman" w:cs="Arial"/>
                <w:szCs w:val="22"/>
              </w:rPr>
              <w:t>b(2)</w:t>
            </w:r>
          </w:p>
        </w:tc>
      </w:tr>
      <w:tr w:rsidR="005E22BD" w14:paraId="6DF3F382"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1E3B8F8"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83BEDD7" w14:textId="672C82B3" w:rsidR="005E22BD" w:rsidRDefault="00864249" w:rsidP="00864249">
            <w:pPr>
              <w:rPr>
                <w:rFonts w:eastAsia="Times New Roman" w:cs="Arial"/>
                <w:szCs w:val="22"/>
              </w:rPr>
            </w:pPr>
            <w:r>
              <w:rPr>
                <w:rFonts w:eastAsia="Times New Roman" w:cs="Arial"/>
                <w:szCs w:val="22"/>
              </w:rPr>
              <w:t xml:space="preserve">It is not clear how the applicant identifies its key communities (identified as </w:t>
            </w:r>
            <w:r w:rsidRPr="00864249">
              <w:rPr>
                <w:rFonts w:eastAsia="Times New Roman" w:cs="Arial"/>
                <w:szCs w:val="22"/>
              </w:rPr>
              <w:t>feeder and</w:t>
            </w:r>
            <w:r>
              <w:rPr>
                <w:rFonts w:eastAsia="Times New Roman" w:cs="Arial"/>
                <w:szCs w:val="22"/>
              </w:rPr>
              <w:t xml:space="preserve"> </w:t>
            </w:r>
            <w:r w:rsidRPr="00864249">
              <w:rPr>
                <w:rFonts w:eastAsia="Times New Roman" w:cs="Arial"/>
                <w:szCs w:val="22"/>
              </w:rPr>
              <w:t>transfer schools, local business and community</w:t>
            </w:r>
            <w:r>
              <w:rPr>
                <w:rFonts w:eastAsia="Times New Roman" w:cs="Arial"/>
                <w:szCs w:val="22"/>
              </w:rPr>
              <w:t xml:space="preserve"> </w:t>
            </w:r>
            <w:r w:rsidRPr="00864249">
              <w:rPr>
                <w:rFonts w:eastAsia="Times New Roman" w:cs="Arial"/>
                <w:szCs w:val="22"/>
              </w:rPr>
              <w:t>advisory committees, and industry partners</w:t>
            </w:r>
            <w:r>
              <w:rPr>
                <w:rFonts w:eastAsia="Times New Roman" w:cs="Arial"/>
                <w:szCs w:val="22"/>
              </w:rPr>
              <w:t xml:space="preserve">) </w:t>
            </w:r>
            <w:r w:rsidR="000A11B9">
              <w:rPr>
                <w:rFonts w:eastAsia="Times New Roman" w:cs="Arial"/>
                <w:szCs w:val="22"/>
              </w:rPr>
              <w:t>and determine</w:t>
            </w:r>
            <w:r>
              <w:rPr>
                <w:rFonts w:eastAsia="Times New Roman" w:cs="Arial"/>
                <w:szCs w:val="22"/>
              </w:rPr>
              <w:t>s</w:t>
            </w:r>
            <w:r w:rsidR="000A11B9">
              <w:rPr>
                <w:rFonts w:eastAsia="Times New Roman" w:cs="Arial"/>
                <w:szCs w:val="22"/>
              </w:rPr>
              <w:t xml:space="preserve"> areas for organizational involvement</w:t>
            </w:r>
            <w:r w:rsidR="00FB61D6">
              <w:rPr>
                <w:rFonts w:eastAsia="Times New Roman" w:cs="Arial"/>
                <w:szCs w:val="22"/>
              </w:rPr>
              <w:t>.</w:t>
            </w:r>
            <w:r w:rsidR="000A11B9">
              <w:rPr>
                <w:rFonts w:eastAsia="Times New Roman" w:cs="Arial"/>
                <w:szCs w:val="22"/>
              </w:rPr>
              <w:t xml:space="preserve"> For example, the electric company, which is identified as a key community</w:t>
            </w:r>
            <w:r>
              <w:rPr>
                <w:rFonts w:eastAsia="Times New Roman" w:cs="Arial"/>
                <w:szCs w:val="22"/>
              </w:rPr>
              <w:t>,</w:t>
            </w:r>
            <w:r w:rsidR="000A11B9">
              <w:rPr>
                <w:rFonts w:eastAsia="Times New Roman" w:cs="Arial"/>
                <w:szCs w:val="22"/>
              </w:rPr>
              <w:t xml:space="preserve"> does not appear to be a target for organizational involvement. Given</w:t>
            </w:r>
            <w:r>
              <w:rPr>
                <w:rFonts w:eastAsia="Times New Roman" w:cs="Arial"/>
                <w:szCs w:val="22"/>
              </w:rPr>
              <w:t xml:space="preserve"> that </w:t>
            </w:r>
            <w:r w:rsidR="000A11B9">
              <w:rPr>
                <w:rFonts w:eastAsia="Times New Roman" w:cs="Arial"/>
                <w:szCs w:val="22"/>
              </w:rPr>
              <w:t>the applicant</w:t>
            </w:r>
            <w:r w:rsidR="005663C4">
              <w:rPr>
                <w:rFonts w:eastAsia="Times New Roman" w:cs="Arial"/>
                <w:szCs w:val="22"/>
              </w:rPr>
              <w:t>’</w:t>
            </w:r>
            <w:r w:rsidR="000A11B9">
              <w:rPr>
                <w:rFonts w:eastAsia="Times New Roman" w:cs="Arial"/>
                <w:szCs w:val="22"/>
              </w:rPr>
              <w:t>s key partner/collaborator</w:t>
            </w:r>
            <w:r>
              <w:rPr>
                <w:rFonts w:eastAsia="Times New Roman" w:cs="Arial"/>
                <w:szCs w:val="22"/>
              </w:rPr>
              <w:t xml:space="preserve"> is </w:t>
            </w:r>
            <w:r w:rsidR="000A11B9">
              <w:rPr>
                <w:rFonts w:eastAsia="Times New Roman" w:cs="Arial"/>
                <w:szCs w:val="22"/>
              </w:rPr>
              <w:t xml:space="preserve">the local community, a </w:t>
            </w:r>
            <w:r>
              <w:rPr>
                <w:rFonts w:eastAsia="Times New Roman" w:cs="Arial"/>
                <w:szCs w:val="22"/>
              </w:rPr>
              <w:t>systematic approach</w:t>
            </w:r>
            <w:r w:rsidR="000A11B9">
              <w:rPr>
                <w:rFonts w:eastAsia="Times New Roman" w:cs="Arial"/>
                <w:szCs w:val="22"/>
              </w:rPr>
              <w:t xml:space="preserve"> may allow </w:t>
            </w:r>
            <w:r>
              <w:rPr>
                <w:rFonts w:eastAsia="Times New Roman" w:cs="Arial"/>
                <w:szCs w:val="22"/>
              </w:rPr>
              <w:t xml:space="preserve">the </w:t>
            </w:r>
            <w:r w:rsidR="0062229F">
              <w:rPr>
                <w:rFonts w:eastAsia="Times New Roman" w:cs="Arial"/>
                <w:szCs w:val="22"/>
              </w:rPr>
              <w:t>applicant</w:t>
            </w:r>
            <w:r>
              <w:rPr>
                <w:rFonts w:eastAsia="Times New Roman" w:cs="Arial"/>
                <w:szCs w:val="22"/>
              </w:rPr>
              <w:t xml:space="preserve"> </w:t>
            </w:r>
            <w:r w:rsidR="000A11B9">
              <w:rPr>
                <w:rFonts w:eastAsia="Times New Roman" w:cs="Arial"/>
                <w:szCs w:val="22"/>
              </w:rPr>
              <w:t xml:space="preserve">to better anticipate and evaluate any changes </w:t>
            </w:r>
            <w:r>
              <w:rPr>
                <w:rFonts w:eastAsia="Times New Roman" w:cs="Arial"/>
                <w:szCs w:val="22"/>
              </w:rPr>
              <w:t xml:space="preserve">in </w:t>
            </w:r>
            <w:r w:rsidR="000A11B9">
              <w:rPr>
                <w:rFonts w:eastAsia="Times New Roman" w:cs="Arial"/>
                <w:szCs w:val="22"/>
              </w:rPr>
              <w:t xml:space="preserve">its </w:t>
            </w:r>
            <w:r w:rsidR="00484747">
              <w:rPr>
                <w:rFonts w:eastAsia="Times New Roman" w:cs="Arial"/>
                <w:szCs w:val="22"/>
              </w:rPr>
              <w:t xml:space="preserve">key </w:t>
            </w:r>
            <w:r w:rsidR="000A11B9">
              <w:rPr>
                <w:rFonts w:eastAsia="Times New Roman" w:cs="Arial"/>
                <w:szCs w:val="22"/>
              </w:rPr>
              <w:t>communities or their needs.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2962A28" w14:textId="12E89B7E" w:rsidR="00864249" w:rsidRDefault="000A11B9">
            <w:pPr>
              <w:rPr>
                <w:rFonts w:eastAsia="Times New Roman" w:cs="Arial"/>
                <w:szCs w:val="22"/>
              </w:rPr>
            </w:pPr>
            <w:r>
              <w:rPr>
                <w:rFonts w:eastAsia="Times New Roman" w:cs="Arial"/>
                <w:szCs w:val="22"/>
              </w:rPr>
              <w:t>4 examiners (</w:t>
            </w:r>
            <w:r w:rsidR="007B4856">
              <w:rPr>
                <w:rFonts w:eastAsia="Times New Roman" w:cs="Arial"/>
                <w:szCs w:val="22"/>
              </w:rPr>
              <w:t>Ex1, Ex3, Ex4</w:t>
            </w:r>
            <w:r>
              <w:rPr>
                <w:rFonts w:eastAsia="Times New Roman" w:cs="Arial"/>
                <w:szCs w:val="22"/>
              </w:rPr>
              <w:t>,</w:t>
            </w:r>
            <w:r w:rsidR="007B4856">
              <w:rPr>
                <w:rFonts w:eastAsia="Times New Roman" w:cs="Arial"/>
                <w:szCs w:val="22"/>
              </w:rPr>
              <w:t xml:space="preserve"> Ex7</w:t>
            </w:r>
            <w:r>
              <w:rPr>
                <w:rFonts w:eastAsia="Times New Roman" w:cs="Arial"/>
                <w:szCs w:val="22"/>
              </w:rPr>
              <w:t xml:space="preserve"> as SME identified) had this a</w:t>
            </w:r>
            <w:r w:rsidR="00DD0E2E">
              <w:rPr>
                <w:rFonts w:eastAsia="Times New Roman" w:cs="Arial"/>
                <w:szCs w:val="22"/>
              </w:rPr>
              <w:t>s</w:t>
            </w:r>
            <w:r>
              <w:rPr>
                <w:rFonts w:eastAsia="Times New Roman" w:cs="Arial"/>
                <w:szCs w:val="22"/>
              </w:rPr>
              <w:t xml:space="preserve"> A-</w:t>
            </w:r>
            <w:r w:rsidR="00864249">
              <w:rPr>
                <w:rFonts w:eastAsia="Times New Roman" w:cs="Arial"/>
                <w:szCs w:val="22"/>
              </w:rPr>
              <w:t>multiple-</w:t>
            </w:r>
            <w:r>
              <w:rPr>
                <w:rFonts w:eastAsia="Times New Roman" w:cs="Arial"/>
                <w:szCs w:val="22"/>
              </w:rPr>
              <w:t xml:space="preserve">level comment. </w:t>
            </w:r>
          </w:p>
          <w:p w14:paraId="12FBB917" w14:textId="77777777" w:rsidR="00864249" w:rsidRDefault="000A11B9">
            <w:pPr>
              <w:rPr>
                <w:rFonts w:eastAsia="Times New Roman" w:cs="Arial"/>
                <w:szCs w:val="22"/>
              </w:rPr>
            </w:pPr>
            <w:r>
              <w:rPr>
                <w:rFonts w:eastAsia="Times New Roman" w:cs="Arial"/>
                <w:szCs w:val="22"/>
              </w:rPr>
              <w:t xml:space="preserve">Based on discussion with SME and </w:t>
            </w:r>
            <w:r w:rsidR="007B4856">
              <w:rPr>
                <w:rFonts w:eastAsia="Times New Roman" w:cs="Arial"/>
                <w:szCs w:val="22"/>
              </w:rPr>
              <w:t>Ex6</w:t>
            </w:r>
            <w:r w:rsidR="00FD460C">
              <w:rPr>
                <w:rFonts w:eastAsia="Times New Roman" w:cs="Arial"/>
                <w:szCs w:val="22"/>
              </w:rPr>
              <w:t>—</w:t>
            </w:r>
            <w:r>
              <w:rPr>
                <w:rFonts w:eastAsia="Times New Roman" w:cs="Arial"/>
                <w:szCs w:val="22"/>
              </w:rPr>
              <w:t xml:space="preserve">have refined but have left the OFI for identifying key communities. </w:t>
            </w:r>
          </w:p>
          <w:p w14:paraId="3E2032BD" w14:textId="75DBF966" w:rsidR="005E22BD" w:rsidRDefault="000A11B9">
            <w:pPr>
              <w:rPr>
                <w:rFonts w:eastAsia="Times New Roman" w:cs="Arial"/>
                <w:szCs w:val="22"/>
              </w:rPr>
            </w:pPr>
            <w:r>
              <w:rPr>
                <w:rFonts w:eastAsia="Times New Roman" w:cs="Arial"/>
                <w:szCs w:val="22"/>
              </w:rPr>
              <w:t>Evidence: While the applicant has listed its key communities, it has not given the process by which key communities are identified.</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4474A22" w14:textId="4A758C86" w:rsidR="005E22BD" w:rsidRDefault="000A11B9">
            <w:pPr>
              <w:rPr>
                <w:rFonts w:eastAsia="Times New Roman" w:cs="Arial"/>
                <w:szCs w:val="22"/>
              </w:rPr>
            </w:pPr>
            <w:r>
              <w:rPr>
                <w:rFonts w:eastAsia="Times New Roman" w:cs="Arial"/>
                <w:szCs w:val="22"/>
              </w:rPr>
              <w:t>c</w:t>
            </w:r>
            <w:r w:rsidR="00DD0E2E">
              <w:rPr>
                <w:rFonts w:eastAsia="Times New Roman" w:cs="Arial"/>
                <w:szCs w:val="22"/>
              </w:rPr>
              <w:t>(2)</w:t>
            </w:r>
          </w:p>
        </w:tc>
      </w:tr>
      <w:tr w:rsidR="005E22BD" w14:paraId="231FDFD6"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2D1B77D"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02791A98" w14:textId="26A67FC0" w:rsidR="005E22BD" w:rsidRDefault="005E3D0E">
            <w:pPr>
              <w:rPr>
                <w:rFonts w:eastAsia="Times New Roman" w:cs="Arial"/>
                <w:szCs w:val="22"/>
              </w:rPr>
            </w:pPr>
            <w:r>
              <w:rPr>
                <w:rFonts w:eastAsia="Times New Roman" w:cs="Arial"/>
                <w:szCs w:val="22"/>
              </w:rPr>
              <w:t>S</w:t>
            </w:r>
            <w:r w:rsidR="000A11B9">
              <w:rPr>
                <w:rFonts w:eastAsia="Times New Roman" w:cs="Arial"/>
                <w:szCs w:val="22"/>
              </w:rPr>
              <w:t xml:space="preserve">ystematic evaluation and </w:t>
            </w:r>
            <w:r w:rsidR="00E10AFA">
              <w:rPr>
                <w:rFonts w:eastAsia="Times New Roman" w:cs="Arial"/>
                <w:szCs w:val="22"/>
              </w:rPr>
              <w:t>improvement</w:t>
            </w:r>
            <w:r w:rsidR="001326E3">
              <w:rPr>
                <w:rFonts w:eastAsia="Times New Roman" w:cs="Arial"/>
                <w:szCs w:val="22"/>
              </w:rPr>
              <w:t>, as well as use of</w:t>
            </w:r>
            <w:r w:rsidR="000A11B9">
              <w:rPr>
                <w:rFonts w:eastAsia="Times New Roman" w:cs="Arial"/>
                <w:szCs w:val="22"/>
              </w:rPr>
              <w:t xml:space="preserve"> best practices and innovations</w:t>
            </w:r>
            <w:r w:rsidR="001326E3">
              <w:rPr>
                <w:rFonts w:eastAsia="Times New Roman" w:cs="Arial"/>
                <w:szCs w:val="22"/>
              </w:rPr>
              <w:t>,</w:t>
            </w:r>
            <w:r w:rsidR="000A11B9">
              <w:rPr>
                <w:rFonts w:eastAsia="Times New Roman" w:cs="Arial"/>
                <w:szCs w:val="22"/>
              </w:rPr>
              <w:t xml:space="preserve"> are not evident</w:t>
            </w:r>
            <w:r>
              <w:rPr>
                <w:rFonts w:eastAsia="Times New Roman" w:cs="Arial"/>
                <w:szCs w:val="22"/>
              </w:rPr>
              <w:t xml:space="preserve"> for the applicant’s governance and societal contributions approaches</w:t>
            </w:r>
            <w:r w:rsidR="000A11B9">
              <w:rPr>
                <w:rFonts w:eastAsia="Times New Roman" w:cs="Arial"/>
                <w:szCs w:val="22"/>
              </w:rPr>
              <w:t xml:space="preserve">. For example, </w:t>
            </w:r>
            <w:r w:rsidR="001326E3">
              <w:rPr>
                <w:rFonts w:eastAsia="Times New Roman" w:cs="Arial"/>
                <w:szCs w:val="22"/>
              </w:rPr>
              <w:t xml:space="preserve">it is not evident </w:t>
            </w:r>
            <w:r w:rsidR="000A11B9">
              <w:rPr>
                <w:rFonts w:eastAsia="Times New Roman" w:cs="Arial"/>
                <w:szCs w:val="22"/>
              </w:rPr>
              <w:t xml:space="preserve">how the applicant evaluates the effectiveness of its processes to ensure responsible governance or </w:t>
            </w:r>
            <w:r w:rsidR="001326E3">
              <w:rPr>
                <w:rFonts w:eastAsia="Times New Roman" w:cs="Arial"/>
                <w:szCs w:val="22"/>
              </w:rPr>
              <w:t xml:space="preserve">to assess the </w:t>
            </w:r>
            <w:r w:rsidR="000A11B9">
              <w:rPr>
                <w:rFonts w:eastAsia="Times New Roman" w:cs="Arial"/>
                <w:szCs w:val="22"/>
              </w:rPr>
              <w:t>performance</w:t>
            </w:r>
            <w:r w:rsidR="001326E3">
              <w:rPr>
                <w:rFonts w:eastAsia="Times New Roman" w:cs="Arial"/>
                <w:szCs w:val="22"/>
              </w:rPr>
              <w:t xml:space="preserve"> of</w:t>
            </w:r>
            <w:r w:rsidR="000A11B9">
              <w:rPr>
                <w:rFonts w:eastAsia="Times New Roman" w:cs="Arial"/>
                <w:szCs w:val="22"/>
              </w:rPr>
              <w:t xml:space="preserve"> its SL</w:t>
            </w:r>
            <w:r w:rsidR="001326E3">
              <w:rPr>
                <w:rFonts w:eastAsia="Times New Roman" w:cs="Arial"/>
                <w:szCs w:val="22"/>
              </w:rPr>
              <w:t>s</w:t>
            </w:r>
            <w:r w:rsidR="000A11B9">
              <w:rPr>
                <w:rFonts w:eastAsia="Times New Roman" w:cs="Arial"/>
                <w:szCs w:val="22"/>
              </w:rPr>
              <w:t xml:space="preserve"> and Board</w:t>
            </w:r>
            <w:r w:rsidR="001326E3">
              <w:rPr>
                <w:rFonts w:eastAsia="Times New Roman" w:cs="Arial"/>
                <w:szCs w:val="22"/>
              </w:rPr>
              <w:t>; it is not clear how the applicant arrived at the decision to expand the CPBT in 2018</w:t>
            </w:r>
            <w:r w:rsidR="000A11B9">
              <w:rPr>
                <w:rFonts w:eastAsia="Times New Roman" w:cs="Arial"/>
                <w:szCs w:val="22"/>
              </w:rPr>
              <w:t xml:space="preserve">. </w:t>
            </w:r>
            <w:r w:rsidR="001326E3">
              <w:rPr>
                <w:rFonts w:eastAsia="Times New Roman" w:cs="Arial"/>
                <w:szCs w:val="22"/>
              </w:rPr>
              <w:t xml:space="preserve">Applying </w:t>
            </w:r>
            <w:r w:rsidR="000A11B9">
              <w:rPr>
                <w:rFonts w:eastAsia="Times New Roman" w:cs="Arial"/>
                <w:szCs w:val="22"/>
              </w:rPr>
              <w:t xml:space="preserve">its PDCA </w:t>
            </w:r>
            <w:r w:rsidR="001326E3">
              <w:rPr>
                <w:rFonts w:eastAsia="Times New Roman" w:cs="Arial"/>
                <w:szCs w:val="22"/>
              </w:rPr>
              <w:t xml:space="preserve">system to these </w:t>
            </w:r>
            <w:r w:rsidR="000A11B9">
              <w:rPr>
                <w:rFonts w:eastAsia="Times New Roman" w:cs="Arial"/>
                <w:szCs w:val="22"/>
              </w:rPr>
              <w:t>approach</w:t>
            </w:r>
            <w:r w:rsidR="001326E3">
              <w:rPr>
                <w:rFonts w:eastAsia="Times New Roman" w:cs="Arial"/>
                <w:szCs w:val="22"/>
              </w:rPr>
              <w:t>es</w:t>
            </w:r>
            <w:r w:rsidR="000A11B9">
              <w:rPr>
                <w:rFonts w:eastAsia="Times New Roman" w:cs="Arial"/>
                <w:szCs w:val="22"/>
              </w:rPr>
              <w:t xml:space="preserve"> may </w:t>
            </w:r>
            <w:r w:rsidR="001326E3">
              <w:rPr>
                <w:rFonts w:eastAsia="Times New Roman" w:cs="Arial"/>
                <w:szCs w:val="22"/>
              </w:rPr>
              <w:t xml:space="preserve">help the </w:t>
            </w:r>
            <w:r w:rsidR="001326E3">
              <w:rPr>
                <w:rFonts w:eastAsia="Times New Roman" w:cs="Arial"/>
                <w:szCs w:val="22"/>
              </w:rPr>
              <w:lastRenderedPageBreak/>
              <w:t xml:space="preserve">applicant move toward </w:t>
            </w:r>
            <w:r w:rsidR="000A11B9">
              <w:rPr>
                <w:rFonts w:eastAsia="Times New Roman" w:cs="Arial"/>
                <w:szCs w:val="22"/>
              </w:rPr>
              <w:t>its vision to be the best.</w:t>
            </w:r>
          </w:p>
        </w:tc>
        <w:tc>
          <w:tcPr>
            <w:tcW w:w="0" w:type="auto"/>
            <w:tcBorders>
              <w:bottom w:val="single" w:sz="6" w:space="0" w:color="000000"/>
              <w:right w:val="single" w:sz="6" w:space="0" w:color="000000"/>
            </w:tcBorders>
            <w:tcMar>
              <w:top w:w="75" w:type="dxa"/>
              <w:left w:w="75" w:type="dxa"/>
              <w:bottom w:w="75" w:type="dxa"/>
              <w:right w:w="75" w:type="dxa"/>
            </w:tcMar>
            <w:hideMark/>
          </w:tcPr>
          <w:p w14:paraId="78491DD6" w14:textId="59AE9210" w:rsidR="001326E3" w:rsidRDefault="000A11B9">
            <w:pPr>
              <w:rPr>
                <w:rFonts w:eastAsia="Times New Roman" w:cs="Arial"/>
                <w:szCs w:val="22"/>
              </w:rPr>
            </w:pPr>
            <w:r>
              <w:rPr>
                <w:rFonts w:eastAsia="Times New Roman" w:cs="Arial"/>
                <w:szCs w:val="22"/>
              </w:rPr>
              <w:lastRenderedPageBreak/>
              <w:t>4 examiners (</w:t>
            </w:r>
            <w:r w:rsidR="00FB61D6">
              <w:rPr>
                <w:rFonts w:eastAsia="Times New Roman" w:cs="Arial"/>
                <w:szCs w:val="22"/>
              </w:rPr>
              <w:t xml:space="preserve">Ex3,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had some form of </w:t>
            </w:r>
            <w:r w:rsidR="00FB61D6">
              <w:rPr>
                <w:rFonts w:eastAsia="Times New Roman" w:cs="Arial"/>
                <w:szCs w:val="22"/>
              </w:rPr>
              <w:t xml:space="preserve">learning </w:t>
            </w:r>
            <w:r>
              <w:rPr>
                <w:rFonts w:eastAsia="Times New Roman" w:cs="Arial"/>
                <w:szCs w:val="22"/>
              </w:rPr>
              <w:t>OFI identified</w:t>
            </w:r>
            <w:r w:rsidR="00FD460C">
              <w:rPr>
                <w:rFonts w:eastAsia="Times New Roman" w:cs="Arial"/>
                <w:szCs w:val="22"/>
              </w:rPr>
              <w:t>—</w:t>
            </w:r>
            <w:r>
              <w:rPr>
                <w:rFonts w:eastAsia="Times New Roman" w:cs="Arial"/>
                <w:szCs w:val="22"/>
              </w:rPr>
              <w:t>3 for leadership/governance, 2 specifically for societal</w:t>
            </w:r>
            <w:r w:rsidR="00FD460C">
              <w:rPr>
                <w:rFonts w:eastAsia="Times New Roman" w:cs="Arial"/>
                <w:szCs w:val="22"/>
              </w:rPr>
              <w:t>—</w:t>
            </w:r>
            <w:r>
              <w:rPr>
                <w:rFonts w:eastAsia="Times New Roman" w:cs="Arial"/>
                <w:szCs w:val="22"/>
              </w:rPr>
              <w:t xml:space="preserve">thus merged into 1 OFI. </w:t>
            </w:r>
          </w:p>
          <w:p w14:paraId="6CBEFF05" w14:textId="77777777" w:rsidR="00FB61D6" w:rsidRDefault="000A11B9">
            <w:pPr>
              <w:rPr>
                <w:rFonts w:eastAsia="Times New Roman" w:cs="Arial"/>
                <w:szCs w:val="22"/>
              </w:rPr>
            </w:pPr>
            <w:r>
              <w:rPr>
                <w:rFonts w:eastAsia="Times New Roman" w:cs="Arial"/>
                <w:szCs w:val="22"/>
              </w:rPr>
              <w:t>Per discussion with SME to support this OFI additional support is ...</w:t>
            </w:r>
            <w:r w:rsidR="00FC7C2D">
              <w:rPr>
                <w:rFonts w:eastAsia="Times New Roman" w:cs="Arial"/>
                <w:szCs w:val="22"/>
              </w:rPr>
              <w:t xml:space="preserve"> In</w:t>
            </w:r>
            <w:r>
              <w:rPr>
                <w:rFonts w:eastAsia="Times New Roman" w:cs="Arial"/>
                <w:szCs w:val="22"/>
              </w:rPr>
              <w:t xml:space="preserve"> a learning organization</w:t>
            </w:r>
            <w:r w:rsidR="00FC7C2D">
              <w:rPr>
                <w:rFonts w:eastAsia="Times New Roman" w:cs="Arial"/>
                <w:szCs w:val="22"/>
              </w:rPr>
              <w:t>,</w:t>
            </w:r>
            <w:r>
              <w:rPr>
                <w:rFonts w:eastAsia="Times New Roman" w:cs="Arial"/>
                <w:szCs w:val="22"/>
              </w:rPr>
              <w:t xml:space="preserve"> would expect to see more specific evidence of actual learning/improvements made. </w:t>
            </w:r>
          </w:p>
          <w:p w14:paraId="7AFDE712" w14:textId="53DACB9A" w:rsidR="005E22BD" w:rsidRDefault="000A11B9">
            <w:pPr>
              <w:rPr>
                <w:rFonts w:eastAsia="Times New Roman" w:cs="Arial"/>
                <w:szCs w:val="22"/>
              </w:rPr>
            </w:pPr>
            <w:r>
              <w:rPr>
                <w:rFonts w:eastAsia="Times New Roman" w:cs="Arial"/>
                <w:szCs w:val="22"/>
              </w:rPr>
              <w:t>For example</w:t>
            </w:r>
            <w:r w:rsidR="00FC7C2D">
              <w:rPr>
                <w:rFonts w:eastAsia="Times New Roman" w:cs="Arial"/>
                <w:szCs w:val="22"/>
              </w:rPr>
              <w:t xml:space="preserve"> </w:t>
            </w:r>
            <w:r>
              <w:rPr>
                <w:rFonts w:eastAsia="Times New Roman" w:cs="Arial"/>
                <w:szCs w:val="22"/>
              </w:rPr>
              <w:t>...</w:t>
            </w:r>
            <w:r w:rsidR="00FC7C2D">
              <w:rPr>
                <w:rFonts w:eastAsia="Times New Roman" w:cs="Arial"/>
                <w:szCs w:val="22"/>
              </w:rPr>
              <w:t xml:space="preserve"> </w:t>
            </w:r>
            <w:r>
              <w:rPr>
                <w:rFonts w:eastAsia="Times New Roman" w:cs="Arial"/>
                <w:szCs w:val="22"/>
              </w:rPr>
              <w:t>Multiple evaluative processes within the governance system and performance evaluation</w:t>
            </w:r>
            <w:r w:rsidR="001326E3">
              <w:rPr>
                <w:rFonts w:eastAsia="Times New Roman" w:cs="Arial"/>
                <w:szCs w:val="22"/>
              </w:rPr>
              <w:t>,</w:t>
            </w:r>
            <w:r>
              <w:rPr>
                <w:rFonts w:eastAsia="Times New Roman" w:cs="Arial"/>
                <w:szCs w:val="22"/>
              </w:rPr>
              <w:t xml:space="preserve"> but it is not clear the applicant evaluates the processes themselves. The</w:t>
            </w:r>
            <w:r w:rsidR="001326E3">
              <w:rPr>
                <w:rFonts w:eastAsia="Times New Roman" w:cs="Arial"/>
                <w:szCs w:val="22"/>
              </w:rPr>
              <w:t xml:space="preserve"> applicant</w:t>
            </w:r>
            <w:r>
              <w:rPr>
                <w:rFonts w:eastAsia="Times New Roman" w:cs="Arial"/>
                <w:szCs w:val="22"/>
              </w:rPr>
              <w:t xml:space="preserve"> talk</w:t>
            </w:r>
            <w:r w:rsidR="001326E3">
              <w:rPr>
                <w:rFonts w:eastAsia="Times New Roman" w:cs="Arial"/>
                <w:szCs w:val="22"/>
              </w:rPr>
              <w:t>s</w:t>
            </w:r>
            <w:r>
              <w:rPr>
                <w:rFonts w:eastAsia="Times New Roman" w:cs="Arial"/>
                <w:szCs w:val="22"/>
              </w:rPr>
              <w:t xml:space="preserve"> about doing a number of evals</w:t>
            </w:r>
            <w:r w:rsidR="00FC7C2D">
              <w:rPr>
                <w:rFonts w:eastAsia="Times New Roman" w:cs="Arial"/>
                <w:szCs w:val="22"/>
              </w:rPr>
              <w:t>.</w:t>
            </w:r>
            <w:r w:rsidR="001326E3">
              <w:rPr>
                <w:rFonts w:eastAsia="Times New Roman" w:cs="Arial"/>
                <w:szCs w:val="22"/>
              </w:rPr>
              <w:t>,</w:t>
            </w:r>
            <w:r>
              <w:rPr>
                <w:rFonts w:eastAsia="Times New Roman" w:cs="Arial"/>
                <w:szCs w:val="22"/>
              </w:rPr>
              <w:t xml:space="preserve"> but no actual </w:t>
            </w:r>
            <w:r>
              <w:rPr>
                <w:rFonts w:eastAsia="Times New Roman" w:cs="Arial"/>
                <w:szCs w:val="22"/>
              </w:rPr>
              <w:lastRenderedPageBreak/>
              <w:t xml:space="preserve">improvements noted; and not clear that they are utilizing their own PDCA approach other than reviewing in the SPP. </w:t>
            </w:r>
          </w:p>
        </w:tc>
        <w:tc>
          <w:tcPr>
            <w:tcW w:w="0" w:type="auto"/>
            <w:tcBorders>
              <w:bottom w:val="single" w:sz="6" w:space="0" w:color="000000"/>
              <w:right w:val="single" w:sz="6" w:space="0" w:color="000000"/>
            </w:tcBorders>
            <w:tcMar>
              <w:top w:w="75" w:type="dxa"/>
              <w:left w:w="75" w:type="dxa"/>
              <w:bottom w:w="75" w:type="dxa"/>
              <w:right w:w="75" w:type="dxa"/>
            </w:tcMar>
            <w:hideMark/>
          </w:tcPr>
          <w:p w14:paraId="7996A409" w14:textId="77777777" w:rsidR="005E22BD" w:rsidRDefault="000A11B9">
            <w:pPr>
              <w:rPr>
                <w:rFonts w:eastAsia="Times New Roman" w:cs="Arial"/>
                <w:szCs w:val="22"/>
              </w:rPr>
            </w:pPr>
            <w:r>
              <w:rPr>
                <w:rFonts w:eastAsia="Times New Roman" w:cs="Arial"/>
                <w:szCs w:val="22"/>
              </w:rPr>
              <w:lastRenderedPageBreak/>
              <w:t>a,c</w:t>
            </w:r>
          </w:p>
        </w:tc>
      </w:tr>
      <w:tr w:rsidR="005E22BD" w14:paraId="037AF093"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8DAE43E"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072EDA6" w14:textId="7D1A8CAB" w:rsidR="005E22BD" w:rsidRDefault="0070618B">
            <w:pPr>
              <w:rPr>
                <w:rFonts w:eastAsia="Times New Roman" w:cs="Arial"/>
                <w:szCs w:val="22"/>
              </w:rPr>
            </w:pPr>
            <w:r>
              <w:rPr>
                <w:rFonts w:eastAsia="Times New Roman" w:cs="Arial"/>
                <w:szCs w:val="22"/>
              </w:rPr>
              <w:t xml:space="preserve">It is not clear how the applicant </w:t>
            </w:r>
            <w:r w:rsidR="000A11B9">
              <w:rPr>
                <w:rFonts w:eastAsia="Times New Roman" w:cs="Arial"/>
                <w:szCs w:val="22"/>
              </w:rPr>
              <w:t>systematic</w:t>
            </w:r>
            <w:r>
              <w:rPr>
                <w:rFonts w:eastAsia="Times New Roman" w:cs="Arial"/>
                <w:szCs w:val="22"/>
              </w:rPr>
              <w:t>ally</w:t>
            </w:r>
            <w:r w:rsidR="000A11B9">
              <w:rPr>
                <w:rFonts w:eastAsia="Times New Roman" w:cs="Arial"/>
                <w:szCs w:val="22"/>
              </w:rPr>
              <w:t xml:space="preserve"> address</w:t>
            </w:r>
            <w:r>
              <w:rPr>
                <w:rFonts w:eastAsia="Times New Roman" w:cs="Arial"/>
                <w:szCs w:val="22"/>
              </w:rPr>
              <w:t>es current and</w:t>
            </w:r>
            <w:r w:rsidR="000A11B9">
              <w:rPr>
                <w:rFonts w:eastAsia="Times New Roman" w:cs="Arial"/>
                <w:szCs w:val="22"/>
              </w:rPr>
              <w:t xml:space="preserve"> anticipat</w:t>
            </w:r>
            <w:r>
              <w:rPr>
                <w:rFonts w:eastAsia="Times New Roman" w:cs="Arial"/>
                <w:szCs w:val="22"/>
              </w:rPr>
              <w:t>es</w:t>
            </w:r>
            <w:r w:rsidR="000A11B9">
              <w:rPr>
                <w:rFonts w:eastAsia="Times New Roman" w:cs="Arial"/>
                <w:szCs w:val="22"/>
              </w:rPr>
              <w:t xml:space="preserve"> future concerns with the college</w:t>
            </w:r>
            <w:r w:rsidR="005663C4">
              <w:rPr>
                <w:rFonts w:eastAsia="Times New Roman" w:cs="Arial"/>
                <w:szCs w:val="22"/>
              </w:rPr>
              <w:t>’</w:t>
            </w:r>
            <w:r w:rsidR="000A11B9">
              <w:rPr>
                <w:rFonts w:eastAsia="Times New Roman" w:cs="Arial"/>
                <w:szCs w:val="22"/>
              </w:rPr>
              <w:t>s educational programs, services, and operations. For example, it is unclear that the</w:t>
            </w:r>
            <w:r>
              <w:rPr>
                <w:rFonts w:eastAsia="Times New Roman" w:cs="Arial"/>
                <w:szCs w:val="22"/>
              </w:rPr>
              <w:t xml:space="preserve"> applicant</w:t>
            </w:r>
            <w:r w:rsidR="005663C4">
              <w:rPr>
                <w:rFonts w:eastAsia="Times New Roman" w:cs="Arial"/>
                <w:szCs w:val="22"/>
              </w:rPr>
              <w:t>’</w:t>
            </w:r>
            <w:r>
              <w:rPr>
                <w:rFonts w:eastAsia="Times New Roman" w:cs="Arial"/>
                <w:szCs w:val="22"/>
              </w:rPr>
              <w:t>s</w:t>
            </w:r>
            <w:r w:rsidR="000A11B9">
              <w:rPr>
                <w:rFonts w:eastAsia="Times New Roman" w:cs="Arial"/>
                <w:szCs w:val="22"/>
              </w:rPr>
              <w:t xml:space="preserve"> C</w:t>
            </w:r>
            <w:r>
              <w:rPr>
                <w:rFonts w:eastAsia="Times New Roman" w:cs="Arial"/>
                <w:szCs w:val="22"/>
              </w:rPr>
              <w:t xml:space="preserve">omplaint </w:t>
            </w:r>
            <w:r w:rsidR="000A11B9">
              <w:rPr>
                <w:rFonts w:eastAsia="Times New Roman" w:cs="Arial"/>
                <w:szCs w:val="22"/>
              </w:rPr>
              <w:t>M</w:t>
            </w:r>
            <w:r>
              <w:rPr>
                <w:rFonts w:eastAsia="Times New Roman" w:cs="Arial"/>
                <w:szCs w:val="22"/>
              </w:rPr>
              <w:t xml:space="preserve">anagement </w:t>
            </w:r>
            <w:r w:rsidR="000A11B9">
              <w:rPr>
                <w:rFonts w:eastAsia="Times New Roman" w:cs="Arial"/>
                <w:szCs w:val="22"/>
              </w:rPr>
              <w:t>P</w:t>
            </w:r>
            <w:r>
              <w:rPr>
                <w:rFonts w:eastAsia="Times New Roman" w:cs="Arial"/>
                <w:szCs w:val="22"/>
              </w:rPr>
              <w:t>rocess</w:t>
            </w:r>
            <w:r w:rsidR="000A11B9">
              <w:rPr>
                <w:rFonts w:eastAsia="Times New Roman" w:cs="Arial"/>
                <w:szCs w:val="22"/>
              </w:rPr>
              <w:t xml:space="preserve"> (Figure </w:t>
            </w:r>
            <w:r>
              <w:rPr>
                <w:rFonts w:eastAsia="Times New Roman" w:cs="Arial"/>
                <w:szCs w:val="22"/>
              </w:rPr>
              <w:t>3</w:t>
            </w:r>
            <w:r w:rsidR="000A11B9">
              <w:rPr>
                <w:rFonts w:eastAsia="Times New Roman" w:cs="Arial"/>
                <w:szCs w:val="22"/>
              </w:rPr>
              <w:t xml:space="preserve">.2-1) includes systematic approaches to effectively manage escalation, resolution, and follow-up; nor is it clear how complaints are validated prior to filing with the state. The lack of </w:t>
            </w:r>
            <w:r>
              <w:rPr>
                <w:rFonts w:eastAsia="Times New Roman" w:cs="Arial"/>
                <w:szCs w:val="22"/>
              </w:rPr>
              <w:t xml:space="preserve">a </w:t>
            </w:r>
            <w:r w:rsidR="000A11B9">
              <w:rPr>
                <w:rFonts w:eastAsia="Times New Roman" w:cs="Arial"/>
                <w:szCs w:val="22"/>
              </w:rPr>
              <w:t xml:space="preserve">systematic </w:t>
            </w:r>
            <w:r>
              <w:rPr>
                <w:rFonts w:eastAsia="Times New Roman" w:cs="Arial"/>
                <w:szCs w:val="22"/>
              </w:rPr>
              <w:t xml:space="preserve">approach in this area </w:t>
            </w:r>
            <w:r w:rsidR="000A11B9">
              <w:rPr>
                <w:rFonts w:eastAsia="Times New Roman" w:cs="Arial"/>
                <w:szCs w:val="22"/>
              </w:rPr>
              <w:t xml:space="preserve">may limit </w:t>
            </w:r>
            <w:r w:rsidR="00FB61D6">
              <w:rPr>
                <w:rFonts w:eastAsia="Times New Roman" w:cs="Arial"/>
                <w:szCs w:val="22"/>
              </w:rPr>
              <w:t xml:space="preserve">the </w:t>
            </w:r>
            <w:r w:rsidR="000A11B9">
              <w:rPr>
                <w:rFonts w:eastAsia="Times New Roman" w:cs="Arial"/>
                <w:szCs w:val="22"/>
              </w:rPr>
              <w:t>applicant</w:t>
            </w:r>
            <w:r w:rsidR="005663C4">
              <w:rPr>
                <w:rFonts w:eastAsia="Times New Roman" w:cs="Arial"/>
                <w:szCs w:val="22"/>
              </w:rPr>
              <w:t>’</w:t>
            </w:r>
            <w:r w:rsidR="000A11B9">
              <w:rPr>
                <w:rFonts w:eastAsia="Times New Roman" w:cs="Arial"/>
                <w:szCs w:val="22"/>
              </w:rPr>
              <w:t xml:space="preserve">s ability to demonstrate </w:t>
            </w:r>
            <w:r w:rsidR="00B868DF">
              <w:rPr>
                <w:rFonts w:eastAsia="Times New Roman" w:cs="Arial"/>
                <w:szCs w:val="22"/>
              </w:rPr>
              <w:t>its</w:t>
            </w:r>
            <w:r w:rsidR="000A11B9">
              <w:rPr>
                <w:rFonts w:eastAsia="Times New Roman" w:cs="Arial"/>
                <w:szCs w:val="22"/>
              </w:rPr>
              <w:t xml:space="preserve"> value of </w:t>
            </w:r>
            <w:r w:rsidR="00B868DF">
              <w:rPr>
                <w:rFonts w:eastAsia="Times New Roman" w:cs="Arial"/>
                <w:szCs w:val="22"/>
              </w:rPr>
              <w:t>S</w:t>
            </w:r>
            <w:r w:rsidR="000A11B9">
              <w:rPr>
                <w:rFonts w:eastAsia="Times New Roman" w:cs="Arial"/>
                <w:szCs w:val="22"/>
              </w:rPr>
              <w:t xml:space="preserve">tudents </w:t>
            </w:r>
            <w:r w:rsidR="00B868DF">
              <w:rPr>
                <w:rFonts w:eastAsia="Times New Roman" w:cs="Arial"/>
                <w:szCs w:val="22"/>
              </w:rPr>
              <w:t>F</w:t>
            </w:r>
            <w:r w:rsidR="000A11B9">
              <w:rPr>
                <w:rFonts w:eastAsia="Times New Roman" w:cs="Arial"/>
                <w:szCs w:val="22"/>
              </w:rPr>
              <w:t>irst.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1F80592" w14:textId="77777777" w:rsidR="00FB61D6" w:rsidRDefault="000A11B9">
            <w:pPr>
              <w:rPr>
                <w:rFonts w:eastAsia="Times New Roman" w:cs="Arial"/>
                <w:szCs w:val="22"/>
              </w:rPr>
            </w:pPr>
            <w:r>
              <w:rPr>
                <w:rFonts w:eastAsia="Times New Roman" w:cs="Arial"/>
                <w:szCs w:val="22"/>
              </w:rPr>
              <w:t>As</w:t>
            </w:r>
            <w:r w:rsidR="0070618B">
              <w:rPr>
                <w:rFonts w:eastAsia="Times New Roman" w:cs="Arial"/>
                <w:szCs w:val="22"/>
              </w:rPr>
              <w:t xml:space="preserve"> a</w:t>
            </w:r>
            <w:r>
              <w:rPr>
                <w:rFonts w:eastAsia="Times New Roman" w:cs="Arial"/>
                <w:szCs w:val="22"/>
              </w:rPr>
              <w:t xml:space="preserve"> community </w:t>
            </w:r>
            <w:r w:rsidR="0070618B">
              <w:rPr>
                <w:rFonts w:eastAsia="Times New Roman" w:cs="Arial"/>
                <w:szCs w:val="22"/>
              </w:rPr>
              <w:t>college</w:t>
            </w:r>
            <w:r w:rsidR="00FC7C2D">
              <w:rPr>
                <w:rFonts w:eastAsia="Times New Roman" w:cs="Arial"/>
                <w:szCs w:val="22"/>
              </w:rPr>
              <w:t xml:space="preserve"> … </w:t>
            </w:r>
            <w:r>
              <w:rPr>
                <w:rFonts w:eastAsia="Times New Roman" w:cs="Arial"/>
                <w:szCs w:val="22"/>
              </w:rPr>
              <w:t xml:space="preserve">this OFI warrants staying (per SME discussion). </w:t>
            </w:r>
          </w:p>
          <w:p w14:paraId="6B2E73B8" w14:textId="3F48D9C4" w:rsidR="0070618B" w:rsidRDefault="000A11B9">
            <w:pPr>
              <w:rPr>
                <w:rFonts w:eastAsia="Times New Roman" w:cs="Arial"/>
                <w:szCs w:val="22"/>
              </w:rPr>
            </w:pPr>
            <w:r>
              <w:rPr>
                <w:rFonts w:eastAsia="Times New Roman" w:cs="Arial"/>
                <w:szCs w:val="22"/>
              </w:rPr>
              <w:t xml:space="preserve">2 examiners had this at the </w:t>
            </w:r>
            <w:r w:rsidR="0070618B">
              <w:rPr>
                <w:rFonts w:eastAsia="Times New Roman" w:cs="Arial"/>
                <w:szCs w:val="22"/>
              </w:rPr>
              <w:t>overall</w:t>
            </w:r>
            <w:r>
              <w:rPr>
                <w:rFonts w:eastAsia="Times New Roman" w:cs="Arial"/>
                <w:szCs w:val="22"/>
              </w:rPr>
              <w:t xml:space="preserve">, 1 had it more at the </w:t>
            </w:r>
            <w:r w:rsidR="0070618B">
              <w:rPr>
                <w:rFonts w:eastAsia="Times New Roman" w:cs="Arial"/>
                <w:szCs w:val="22"/>
              </w:rPr>
              <w:t xml:space="preserve">multiple </w:t>
            </w:r>
            <w:r>
              <w:rPr>
                <w:rFonts w:eastAsia="Times New Roman" w:cs="Arial"/>
                <w:szCs w:val="22"/>
              </w:rPr>
              <w:t>level (risk) (</w:t>
            </w:r>
            <w:r w:rsidR="007B4856">
              <w:rPr>
                <w:rFonts w:eastAsia="Times New Roman" w:cs="Arial"/>
                <w:szCs w:val="22"/>
              </w:rPr>
              <w:t>Ex3</w:t>
            </w:r>
            <w:r>
              <w:rPr>
                <w:rFonts w:eastAsia="Times New Roman" w:cs="Arial"/>
                <w:szCs w:val="22"/>
              </w:rPr>
              <w:t xml:space="preserve">, </w:t>
            </w:r>
            <w:r w:rsidR="00FB61D6">
              <w:rPr>
                <w:rFonts w:eastAsia="Times New Roman" w:cs="Arial"/>
                <w:szCs w:val="22"/>
              </w:rPr>
              <w:t xml:space="preserve">Ex4, </w:t>
            </w:r>
            <w:r w:rsidR="007B4856">
              <w:rPr>
                <w:rFonts w:eastAsia="Times New Roman" w:cs="Arial"/>
                <w:szCs w:val="22"/>
              </w:rPr>
              <w:t>Ex7</w:t>
            </w:r>
            <w:r>
              <w:rPr>
                <w:rFonts w:eastAsia="Times New Roman" w:cs="Arial"/>
                <w:szCs w:val="22"/>
              </w:rPr>
              <w:t>)</w:t>
            </w:r>
            <w:r w:rsidR="0070618B">
              <w:rPr>
                <w:rFonts w:eastAsia="Times New Roman" w:cs="Arial"/>
                <w:szCs w:val="22"/>
              </w:rPr>
              <w:t>.</w:t>
            </w:r>
            <w:r>
              <w:rPr>
                <w:rFonts w:eastAsia="Times New Roman" w:cs="Arial"/>
                <w:szCs w:val="22"/>
              </w:rPr>
              <w:t xml:space="preserve"> (OFI from 1 about lack of specific measures put "below the line</w:t>
            </w:r>
            <w:r w:rsidR="0070618B">
              <w:rPr>
                <w:rFonts w:eastAsia="Times New Roman" w:cs="Arial"/>
                <w:szCs w:val="22"/>
              </w:rPr>
              <w:t>.”</w:t>
            </w:r>
            <w:r>
              <w:rPr>
                <w:rFonts w:eastAsia="Times New Roman" w:cs="Arial"/>
                <w:szCs w:val="22"/>
              </w:rPr>
              <w:t>)</w:t>
            </w:r>
          </w:p>
          <w:p w14:paraId="5A106C12" w14:textId="356AADD5" w:rsidR="009C115E" w:rsidRDefault="000A11B9">
            <w:pPr>
              <w:rPr>
                <w:rFonts w:eastAsia="Times New Roman" w:cs="Arial"/>
                <w:szCs w:val="22"/>
              </w:rPr>
            </w:pPr>
            <w:r>
              <w:rPr>
                <w:rFonts w:eastAsia="Times New Roman" w:cs="Arial"/>
                <w:szCs w:val="22"/>
              </w:rPr>
              <w:t xml:space="preserve">This OFI splits the overall </w:t>
            </w:r>
            <w:r w:rsidR="00FD460C">
              <w:rPr>
                <w:rFonts w:eastAsia="Times New Roman" w:cs="Arial"/>
                <w:szCs w:val="22"/>
              </w:rPr>
              <w:t>question</w:t>
            </w:r>
            <w:r>
              <w:rPr>
                <w:rFonts w:eastAsia="Times New Roman" w:cs="Arial"/>
                <w:szCs w:val="22"/>
              </w:rPr>
              <w:t xml:space="preserve"> into elements so that it clearly calls out the gap. Kept the comment more at the </w:t>
            </w:r>
            <w:r w:rsidR="009C115E">
              <w:rPr>
                <w:rFonts w:eastAsia="Times New Roman" w:cs="Arial"/>
                <w:szCs w:val="22"/>
              </w:rPr>
              <w:t xml:space="preserve">overall </w:t>
            </w:r>
            <w:r>
              <w:rPr>
                <w:rFonts w:eastAsia="Times New Roman" w:cs="Arial"/>
                <w:szCs w:val="22"/>
              </w:rPr>
              <w:t xml:space="preserve">level. </w:t>
            </w:r>
          </w:p>
          <w:p w14:paraId="7413CBF3" w14:textId="589B8A96" w:rsidR="005E22BD" w:rsidRDefault="000A11B9">
            <w:pPr>
              <w:rPr>
                <w:rFonts w:eastAsia="Times New Roman" w:cs="Arial"/>
                <w:szCs w:val="22"/>
              </w:rPr>
            </w:pPr>
            <w:r>
              <w:rPr>
                <w:rFonts w:eastAsia="Times New Roman" w:cs="Arial"/>
                <w:szCs w:val="22"/>
              </w:rPr>
              <w:t>Examples include: Evaluation and response to complaints are provide per CMP (Fig</w:t>
            </w:r>
            <w:r w:rsidR="00B868DF">
              <w:rPr>
                <w:rFonts w:eastAsia="Times New Roman" w:cs="Arial"/>
                <w:szCs w:val="22"/>
              </w:rPr>
              <w:t>ure</w:t>
            </w:r>
            <w:r>
              <w:rPr>
                <w:rFonts w:eastAsia="Times New Roman" w:cs="Arial"/>
                <w:szCs w:val="22"/>
              </w:rPr>
              <w:t xml:space="preserve"> </w:t>
            </w:r>
            <w:r w:rsidR="0070618B">
              <w:rPr>
                <w:rFonts w:eastAsia="Times New Roman" w:cs="Arial"/>
                <w:szCs w:val="22"/>
              </w:rPr>
              <w:t>3</w:t>
            </w:r>
            <w:r>
              <w:rPr>
                <w:rFonts w:eastAsia="Times New Roman" w:cs="Arial"/>
                <w:szCs w:val="22"/>
              </w:rPr>
              <w:t xml:space="preserve">.2-1) do not provide a process that describes steps for escalation, resolution, follow up. Validated complaints are filed with state board of ed. How </w:t>
            </w:r>
            <w:r w:rsidR="009C115E">
              <w:rPr>
                <w:rFonts w:eastAsia="Times New Roman" w:cs="Arial"/>
                <w:szCs w:val="22"/>
              </w:rPr>
              <w:t xml:space="preserve">community </w:t>
            </w:r>
            <w:r>
              <w:rPr>
                <w:rFonts w:eastAsia="Times New Roman" w:cs="Arial"/>
                <w:szCs w:val="22"/>
              </w:rPr>
              <w:t>stakeholder concerns, complaints are addressed and resolved.</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6841088" w14:textId="77777777" w:rsidR="005E22BD" w:rsidRDefault="000A11B9">
            <w:pPr>
              <w:rPr>
                <w:rFonts w:eastAsia="Times New Roman" w:cs="Arial"/>
                <w:szCs w:val="22"/>
              </w:rPr>
            </w:pPr>
            <w:r>
              <w:rPr>
                <w:rFonts w:eastAsia="Times New Roman" w:cs="Arial"/>
                <w:szCs w:val="22"/>
              </w:rPr>
              <w:t>b(1)</w:t>
            </w:r>
          </w:p>
        </w:tc>
      </w:tr>
    </w:tbl>
    <w:p w14:paraId="1E6BEF9A"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9D4C55" w14:paraId="0412F03E" w14:textId="77777777" w:rsidTr="009D4C55">
        <w:tc>
          <w:tcPr>
            <w:tcW w:w="10170" w:type="dxa"/>
          </w:tcPr>
          <w:p w14:paraId="3161DD98" w14:textId="77777777" w:rsidR="009D4C55" w:rsidRDefault="009D4C55" w:rsidP="009D4C55">
            <w:pPr>
              <w:rPr>
                <w:rFonts w:eastAsia="Times New Roman" w:cs="Arial"/>
                <w:szCs w:val="22"/>
              </w:rPr>
            </w:pPr>
            <w:r>
              <w:rPr>
                <w:rFonts w:eastAsia="Times New Roman" w:cs="Arial"/>
                <w:szCs w:val="22"/>
              </w:rPr>
              <w:t xml:space="preserve">Did not include an original OFI consideration for b(2) for deployment to various stakeholders as there is a STR for that area of b(2) with its Walk it Right approach; and opted to keep a b(2) OFI specifically around not addressing breaches as saw this as more critical for the applicant. </w:t>
            </w:r>
          </w:p>
          <w:p w14:paraId="127EE0C5" w14:textId="77777777" w:rsidR="009D4C55" w:rsidRDefault="009D4C55" w:rsidP="009D4C55">
            <w:pPr>
              <w:rPr>
                <w:rFonts w:eastAsia="Times New Roman" w:cs="Arial"/>
                <w:szCs w:val="22"/>
              </w:rPr>
            </w:pPr>
            <w:r>
              <w:rPr>
                <w:rFonts w:eastAsia="Times New Roman" w:cs="Arial"/>
                <w:szCs w:val="22"/>
              </w:rPr>
              <w:t xml:space="preserve">There were 3 additional OFIs not used: </w:t>
            </w:r>
          </w:p>
          <w:p w14:paraId="2881A329" w14:textId="77777777" w:rsidR="009D4C55" w:rsidRDefault="009D4C55" w:rsidP="009D4C55">
            <w:pPr>
              <w:rPr>
                <w:rFonts w:eastAsia="Times New Roman" w:cs="Arial"/>
                <w:szCs w:val="22"/>
              </w:rPr>
            </w:pPr>
            <w:r>
              <w:rPr>
                <w:rFonts w:eastAsia="Times New Roman" w:cs="Arial"/>
                <w:szCs w:val="22"/>
              </w:rPr>
              <w:t xml:space="preserve">b(1) concerning lack of compliance measures to address specifics of legal/regulatory and regional accrediting (felt getting to specific); </w:t>
            </w:r>
          </w:p>
          <w:p w14:paraId="105D1B36" w14:textId="77777777" w:rsidR="009D4C55" w:rsidRDefault="009D4C55" w:rsidP="009D4C55">
            <w:pPr>
              <w:rPr>
                <w:rFonts w:eastAsia="Times New Roman" w:cs="Arial"/>
                <w:szCs w:val="22"/>
              </w:rPr>
            </w:pPr>
            <w:r>
              <w:rPr>
                <w:rFonts w:eastAsia="Times New Roman" w:cs="Arial"/>
                <w:szCs w:val="22"/>
              </w:rPr>
              <w:t xml:space="preserve">b(2) about ensuring ethical behaviors are aligned with assuring equity and inclusion with its students—saw this as going beyond the Criteria; and </w:t>
            </w:r>
          </w:p>
          <w:p w14:paraId="5EE9ACC0" w14:textId="77777777" w:rsidR="009D4C55" w:rsidRDefault="009D4C55" w:rsidP="009D4C55">
            <w:pPr>
              <w:rPr>
                <w:rFonts w:eastAsia="Times New Roman" w:cs="Arial"/>
                <w:szCs w:val="22"/>
              </w:rPr>
            </w:pPr>
            <w:r>
              <w:rPr>
                <w:rFonts w:eastAsia="Times New Roman" w:cs="Arial"/>
                <w:szCs w:val="22"/>
              </w:rPr>
              <w:t xml:space="preserve">c(1) about making determinations of what constitutes societal well-being for each constituent—also saw this as going beyond the Criteria. </w:t>
            </w:r>
          </w:p>
          <w:p w14:paraId="3C96E66E" w14:textId="45951C30" w:rsidR="009D4C55" w:rsidRDefault="009D4C55" w:rsidP="009D4C55">
            <w:pPr>
              <w:rPr>
                <w:rFonts w:eastAsia="Times New Roman" w:cs="Arial"/>
                <w:szCs w:val="22"/>
              </w:rPr>
            </w:pPr>
            <w:r>
              <w:rPr>
                <w:rFonts w:eastAsia="Times New Roman" w:cs="Arial"/>
                <w:szCs w:val="22"/>
              </w:rPr>
              <w:t>May use elsewhere in c: It is not evident how community stakeholder concerns shared at open meetings are addressed and resolved.</w:t>
            </w:r>
          </w:p>
        </w:tc>
      </w:tr>
    </w:tbl>
    <w:p w14:paraId="2B2B23A6" w14:textId="47D64AF4" w:rsidR="005E22BD" w:rsidRDefault="000A11B9">
      <w:pPr>
        <w:pStyle w:val="Heading3"/>
        <w:divId w:val="905190427"/>
        <w:rPr>
          <w:rFonts w:eastAsia="Times New Roman" w:cs="Arial"/>
        </w:rPr>
      </w:pPr>
      <w:r>
        <w:rPr>
          <w:rFonts w:eastAsia="Times New Roman" w:cs="Arial"/>
        </w:rPr>
        <w:t>Scoring</w:t>
      </w:r>
    </w:p>
    <w:tbl>
      <w:tblPr>
        <w:tblStyle w:val="TableGrid"/>
        <w:tblW w:w="0" w:type="auto"/>
        <w:tblLook w:val="04A0" w:firstRow="1" w:lastRow="0" w:firstColumn="1" w:lastColumn="0" w:noHBand="0" w:noVBand="1"/>
      </w:tblPr>
      <w:tblGrid>
        <w:gridCol w:w="10224"/>
      </w:tblGrid>
      <w:tr w:rsidR="009D4C55" w14:paraId="30CEBC78" w14:textId="77777777" w:rsidTr="009D4C55">
        <w:trPr>
          <w:divId w:val="905190427"/>
        </w:trPr>
        <w:tc>
          <w:tcPr>
            <w:tcW w:w="10224" w:type="dxa"/>
          </w:tcPr>
          <w:p w14:paraId="7DEE73F1"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60</w:t>
            </w:r>
          </w:p>
          <w:p w14:paraId="3FE2CE80"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7B18D857" w14:textId="5706155C" w:rsidR="009D4C55" w:rsidRDefault="009D4C55" w:rsidP="009D4C55">
            <w:pPr>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 xml:space="preserve">Score should not be below as the applicant has answered </w:t>
            </w:r>
            <w:r>
              <w:rPr>
                <w:rStyle w:val="Strong"/>
                <w:rFonts w:eastAsia="Times New Roman" w:cs="Arial"/>
                <w:b w:val="0"/>
                <w:bCs w:val="0"/>
                <w:szCs w:val="22"/>
              </w:rPr>
              <w:t xml:space="preserve">the </w:t>
            </w:r>
            <w:r w:rsidRPr="00FD460C">
              <w:rPr>
                <w:rStyle w:val="Strong"/>
                <w:rFonts w:eastAsia="Times New Roman" w:cs="Arial"/>
                <w:b w:val="0"/>
                <w:bCs w:val="0"/>
                <w:szCs w:val="22"/>
              </w:rPr>
              <w:t>majority of overall questions, rather than the basic</w:t>
            </w:r>
            <w:r w:rsidR="00B868DF">
              <w:rPr>
                <w:rStyle w:val="Strong"/>
                <w:rFonts w:eastAsia="Times New Roman" w:cs="Arial"/>
                <w:b w:val="0"/>
                <w:bCs w:val="0"/>
                <w:szCs w:val="22"/>
              </w:rPr>
              <w:t>;</w:t>
            </w:r>
            <w:r w:rsidRPr="00FD460C">
              <w:rPr>
                <w:rStyle w:val="Strong"/>
                <w:rFonts w:eastAsia="Times New Roman" w:cs="Arial"/>
                <w:b w:val="0"/>
                <w:bCs w:val="0"/>
                <w:szCs w:val="22"/>
              </w:rPr>
              <w:t xml:space="preserve"> processes appeared to be well deployed but with</w:t>
            </w:r>
            <w:r>
              <w:rPr>
                <w:rStyle w:val="Strong"/>
                <w:rFonts w:eastAsia="Times New Roman" w:cs="Arial"/>
                <w:b w:val="0"/>
                <w:bCs w:val="0"/>
                <w:szCs w:val="22"/>
              </w:rPr>
              <w:t xml:space="preserve"> variation in</w:t>
            </w:r>
            <w:r w:rsidRPr="00FD460C">
              <w:rPr>
                <w:rStyle w:val="Strong"/>
                <w:rFonts w:eastAsia="Times New Roman" w:cs="Arial"/>
                <w:b w:val="0"/>
                <w:bCs w:val="0"/>
                <w:szCs w:val="22"/>
              </w:rPr>
              <w:t xml:space="preserve"> some areas</w:t>
            </w:r>
            <w:r w:rsidR="00B868DF">
              <w:rPr>
                <w:rStyle w:val="Strong"/>
                <w:rFonts w:eastAsia="Times New Roman" w:cs="Arial"/>
                <w:b w:val="0"/>
                <w:bCs w:val="0"/>
                <w:szCs w:val="22"/>
              </w:rPr>
              <w:t>;</w:t>
            </w:r>
            <w:r w:rsidRPr="00FD460C">
              <w:rPr>
                <w:rStyle w:val="Strong"/>
                <w:rFonts w:eastAsia="Times New Roman" w:cs="Arial"/>
                <w:b w:val="0"/>
                <w:bCs w:val="0"/>
                <w:szCs w:val="22"/>
              </w:rPr>
              <w:t xml:space="preserve"> with some evaluation/learning evident. Overall the approach is well aligned with overall needs in the Org</w:t>
            </w:r>
            <w:r>
              <w:rPr>
                <w:rStyle w:val="Strong"/>
                <w:rFonts w:eastAsia="Times New Roman" w:cs="Arial"/>
                <w:b w:val="0"/>
                <w:bCs w:val="0"/>
                <w:szCs w:val="22"/>
              </w:rPr>
              <w:t>.</w:t>
            </w:r>
            <w:r w:rsidRPr="00FD460C">
              <w:rPr>
                <w:rStyle w:val="Strong"/>
                <w:rFonts w:eastAsia="Times New Roman" w:cs="Arial"/>
                <w:b w:val="0"/>
                <w:bCs w:val="0"/>
                <w:szCs w:val="22"/>
              </w:rPr>
              <w:t xml:space="preserve"> Profile. It is not in the higher range of </w:t>
            </w:r>
            <w:r>
              <w:rPr>
                <w:rStyle w:val="Strong"/>
                <w:rFonts w:eastAsia="Times New Roman" w:cs="Arial"/>
                <w:b w:val="0"/>
                <w:bCs w:val="0"/>
                <w:szCs w:val="22"/>
              </w:rPr>
              <w:t>70–85</w:t>
            </w:r>
            <w:r w:rsidRPr="00FD460C">
              <w:rPr>
                <w:rStyle w:val="Strong"/>
                <w:rFonts w:eastAsia="Times New Roman" w:cs="Arial"/>
                <w:b w:val="0"/>
                <w:bCs w:val="0"/>
                <w:szCs w:val="22"/>
              </w:rPr>
              <w:t xml:space="preserve">% as the applicant does not respond to several key elements for many of the multiple questions for approach, deployment is not clear among all areas </w:t>
            </w:r>
            <w:r>
              <w:rPr>
                <w:rStyle w:val="Strong"/>
                <w:rFonts w:eastAsia="Times New Roman" w:cs="Arial"/>
                <w:b w:val="0"/>
                <w:bCs w:val="0"/>
                <w:szCs w:val="22"/>
              </w:rPr>
              <w:t>(</w:t>
            </w:r>
            <w:r w:rsidRPr="00FD460C">
              <w:rPr>
                <w:rStyle w:val="Strong"/>
                <w:rFonts w:eastAsia="Times New Roman" w:cs="Arial"/>
                <w:b w:val="0"/>
                <w:bCs w:val="0"/>
                <w:szCs w:val="22"/>
              </w:rPr>
              <w:t>e.g. suppliers, partners with its community approaches</w:t>
            </w:r>
            <w:r>
              <w:rPr>
                <w:rStyle w:val="Strong"/>
                <w:rFonts w:eastAsia="Times New Roman" w:cs="Arial"/>
                <w:b w:val="0"/>
                <w:bCs w:val="0"/>
                <w:szCs w:val="22"/>
              </w:rPr>
              <w:t>)</w:t>
            </w:r>
            <w:r w:rsidRPr="00FD460C">
              <w:rPr>
                <w:rStyle w:val="Strong"/>
                <w:rFonts w:eastAsia="Times New Roman" w:cs="Arial"/>
                <w:b w:val="0"/>
                <w:bCs w:val="0"/>
                <w:szCs w:val="22"/>
              </w:rPr>
              <w:t xml:space="preserve">, and learning/evaluation would not support this level. </w:t>
            </w:r>
          </w:p>
          <w:p w14:paraId="2C7C1F6F" w14:textId="78694313" w:rsidR="009D4C55" w:rsidRDefault="009D4C55" w:rsidP="009D4C55">
            <w:pPr>
              <w:rPr>
                <w:rFonts w:eastAsia="Times New Roman" w:cs="Arial"/>
              </w:rPr>
            </w:pPr>
            <w:r w:rsidRPr="00FD460C">
              <w:rPr>
                <w:rStyle w:val="Strong"/>
                <w:rFonts w:eastAsia="Times New Roman" w:cs="Arial"/>
                <w:b w:val="0"/>
                <w:bCs w:val="0"/>
                <w:szCs w:val="22"/>
              </w:rPr>
              <w:t xml:space="preserve">Recommend a score of 60 based on the 3 strengths and 4 OFIs, with no comment </w:t>
            </w:r>
            <w:r>
              <w:rPr>
                <w:rStyle w:val="Strong"/>
                <w:rFonts w:eastAsia="Times New Roman" w:cs="Arial"/>
                <w:b w:val="0"/>
                <w:bCs w:val="0"/>
                <w:szCs w:val="22"/>
              </w:rPr>
              <w:t>doubl</w:t>
            </w:r>
            <w:r w:rsidRPr="00FD460C">
              <w:rPr>
                <w:rStyle w:val="Strong"/>
                <w:rFonts w:eastAsia="Times New Roman" w:cs="Arial"/>
                <w:b w:val="0"/>
                <w:bCs w:val="0"/>
                <w:szCs w:val="22"/>
              </w:rPr>
              <w:t>ed.</w:t>
            </w:r>
            <w:r w:rsidRPr="00FD460C">
              <w:rPr>
                <w:rFonts w:eastAsia="Times New Roman" w:cs="Arial"/>
                <w:b/>
                <w:bCs/>
                <w:szCs w:val="22"/>
              </w:rPr>
              <w:t xml:space="preserve"> </w:t>
            </w:r>
          </w:p>
        </w:tc>
      </w:tr>
    </w:tbl>
    <w:p w14:paraId="14B3B235" w14:textId="77777777" w:rsidR="00050D3F" w:rsidRDefault="00050D3F">
      <w:pPr>
        <w:spacing w:after="0"/>
        <w:rPr>
          <w:rFonts w:eastAsia="Times New Roman" w:cs="Arial"/>
          <w:b/>
          <w:bCs/>
          <w:sz w:val="27"/>
          <w:szCs w:val="27"/>
        </w:rPr>
      </w:pPr>
      <w:r>
        <w:rPr>
          <w:rFonts w:eastAsia="Times New Roman" w:cs="Arial"/>
        </w:rPr>
        <w:br w:type="page"/>
      </w:r>
    </w:p>
    <w:p w14:paraId="5EDA1A69"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2.1</w:t>
      </w:r>
    </w:p>
    <w:p w14:paraId="703411F2" w14:textId="77777777" w:rsidR="005E22BD" w:rsidRDefault="000A11B9">
      <w:pPr>
        <w:pStyle w:val="Heading2"/>
        <w:divId w:val="905190427"/>
        <w:rPr>
          <w:rFonts w:eastAsia="Times New Roman" w:cs="Arial"/>
        </w:rPr>
      </w:pPr>
      <w:r>
        <w:rPr>
          <w:rFonts w:eastAsia="Times New Roman" w:cs="Arial"/>
        </w:rPr>
        <w:t>Strategy Development</w:t>
      </w:r>
    </w:p>
    <w:p w14:paraId="18A16F05" w14:textId="77777777" w:rsidR="005E22BD" w:rsidRDefault="000A11B9">
      <w:pPr>
        <w:pStyle w:val="Heading3"/>
        <w:divId w:val="905190427"/>
        <w:rPr>
          <w:rFonts w:eastAsia="Times New Roman" w:cs="Arial"/>
        </w:rPr>
      </w:pPr>
      <w:r>
        <w:rPr>
          <w:rFonts w:eastAsia="Times New Roman" w:cs="Arial"/>
        </w:rPr>
        <w:t>Relevant Key Factors</w:t>
      </w:r>
    </w:p>
    <w:p w14:paraId="426876DF" w14:textId="77777777" w:rsidR="00066937" w:rsidRDefault="00066937" w:rsidP="00066937">
      <w:pPr>
        <w:numPr>
          <w:ilvl w:val="0"/>
          <w:numId w:val="7"/>
        </w:numPr>
        <w:spacing w:before="100" w:beforeAutospacing="1" w:after="100" w:afterAutospacing="1"/>
        <w:divId w:val="905190427"/>
        <w:rPr>
          <w:rFonts w:eastAsia="Times New Roman" w:cs="Arial"/>
          <w:szCs w:val="22"/>
        </w:rPr>
      </w:pPr>
      <w:r>
        <w:rPr>
          <w:rFonts w:eastAsia="Times New Roman" w:cs="Arial"/>
          <w:szCs w:val="22"/>
        </w:rPr>
        <w:t>Vision—Will be the best in the nation in providing students with accessibility, affordability, career-readiness, social responsibility.</w:t>
      </w:r>
    </w:p>
    <w:p w14:paraId="48CACE5C" w14:textId="78914C6A" w:rsidR="005E22BD" w:rsidRPr="00066937" w:rsidRDefault="00351245" w:rsidP="00066937">
      <w:pPr>
        <w:numPr>
          <w:ilvl w:val="0"/>
          <w:numId w:val="7"/>
        </w:numPr>
        <w:spacing w:before="100" w:beforeAutospacing="1" w:after="100" w:afterAutospacing="1"/>
        <w:divId w:val="905190427"/>
        <w:rPr>
          <w:rFonts w:eastAsia="Times New Roman" w:cs="Arial"/>
          <w:szCs w:val="22"/>
        </w:rPr>
      </w:pPr>
      <w:r>
        <w:rPr>
          <w:rFonts w:eastAsia="Times New Roman" w:cs="Arial"/>
          <w:szCs w:val="22"/>
        </w:rPr>
        <w:t>STAR-Point</w:t>
      </w:r>
      <w:r w:rsidR="000A11B9" w:rsidRPr="00066937">
        <w:rPr>
          <w:rFonts w:eastAsia="Times New Roman" w:cs="Arial"/>
          <w:szCs w:val="22"/>
        </w:rPr>
        <w:t xml:space="preserve"> app; </w:t>
      </w:r>
      <w:r w:rsidR="00FB61D6" w:rsidRPr="00066937">
        <w:rPr>
          <w:rFonts w:eastAsia="Times New Roman" w:cs="Arial"/>
          <w:szCs w:val="22"/>
        </w:rPr>
        <w:t xml:space="preserve">internal </w:t>
      </w:r>
      <w:r w:rsidR="000A11B9" w:rsidRPr="00066937">
        <w:rPr>
          <w:rFonts w:eastAsia="Times New Roman" w:cs="Arial"/>
          <w:szCs w:val="22"/>
        </w:rPr>
        <w:t>mobile app; college wireless network; online instructional resources</w:t>
      </w:r>
      <w:r w:rsidR="00167A6F" w:rsidRPr="00066937">
        <w:rPr>
          <w:rFonts w:eastAsia="Times New Roman" w:cs="Arial"/>
          <w:szCs w:val="22"/>
        </w:rPr>
        <w:t>/</w:t>
      </w:r>
      <w:r w:rsidR="000A11B9" w:rsidRPr="00066937">
        <w:rPr>
          <w:rFonts w:eastAsia="Times New Roman" w:cs="Arial"/>
          <w:szCs w:val="22"/>
        </w:rPr>
        <w:t>support services; BOYD, interactive tv, virtual classrooms</w:t>
      </w:r>
      <w:r w:rsidR="00167A6F" w:rsidRPr="00066937">
        <w:rPr>
          <w:rFonts w:eastAsia="Times New Roman" w:cs="Arial"/>
          <w:szCs w:val="22"/>
        </w:rPr>
        <w:t>/</w:t>
      </w:r>
      <w:r w:rsidR="000A11B9" w:rsidRPr="00066937">
        <w:rPr>
          <w:rFonts w:eastAsia="Times New Roman" w:cs="Arial"/>
          <w:szCs w:val="22"/>
        </w:rPr>
        <w:t>podcasting, virtual anatomy table, collaboration technology and virtual discussion rooms, CAD systems</w:t>
      </w:r>
      <w:r w:rsidR="00F8417D" w:rsidRPr="00066937">
        <w:rPr>
          <w:rFonts w:eastAsia="Times New Roman" w:cs="Arial"/>
          <w:szCs w:val="22"/>
        </w:rPr>
        <w:t>.</w:t>
      </w:r>
    </w:p>
    <w:p w14:paraId="275B8567" w14:textId="77777777" w:rsidR="005E22BD" w:rsidRDefault="000A11B9">
      <w:pPr>
        <w:numPr>
          <w:ilvl w:val="0"/>
          <w:numId w:val="7"/>
        </w:numPr>
        <w:spacing w:before="100" w:beforeAutospacing="1" w:after="100" w:afterAutospacing="1"/>
        <w:divId w:val="905190427"/>
        <w:rPr>
          <w:rFonts w:eastAsia="Times New Roman" w:cs="Arial"/>
          <w:szCs w:val="22"/>
        </w:rPr>
      </w:pPr>
      <w:r>
        <w:rPr>
          <w:rFonts w:eastAsia="Times New Roman" w:cs="Arial"/>
          <w:szCs w:val="22"/>
        </w:rPr>
        <w:t>Recent high school graduates inside</w:t>
      </w:r>
      <w:r w:rsidR="00167A6F">
        <w:rPr>
          <w:rFonts w:eastAsia="Times New Roman" w:cs="Arial"/>
          <w:szCs w:val="22"/>
        </w:rPr>
        <w:t>/</w:t>
      </w:r>
      <w:r>
        <w:rPr>
          <w:rFonts w:eastAsia="Times New Roman" w:cs="Arial"/>
          <w:szCs w:val="22"/>
        </w:rPr>
        <w:t>outside service area; nontraditional, transfer, former students</w:t>
      </w:r>
      <w:r w:rsidR="000834C7">
        <w:rPr>
          <w:rFonts w:eastAsia="Times New Roman" w:cs="Arial"/>
          <w:szCs w:val="22"/>
        </w:rPr>
        <w:t>—</w:t>
      </w:r>
      <w:r>
        <w:rPr>
          <w:rFonts w:eastAsia="Times New Roman" w:cs="Arial"/>
          <w:szCs w:val="22"/>
        </w:rPr>
        <w:t>focused recruitment, information about institution, easy access to services</w:t>
      </w:r>
      <w:r w:rsidR="00F8417D">
        <w:rPr>
          <w:rFonts w:eastAsia="Times New Roman" w:cs="Arial"/>
          <w:szCs w:val="22"/>
        </w:rPr>
        <w:t>.</w:t>
      </w:r>
    </w:p>
    <w:p w14:paraId="7D197C0F" w14:textId="1F2D3E98" w:rsidR="005E22BD" w:rsidRDefault="000A11B9">
      <w:pPr>
        <w:numPr>
          <w:ilvl w:val="0"/>
          <w:numId w:val="7"/>
        </w:numPr>
        <w:spacing w:before="100" w:beforeAutospacing="1" w:after="100" w:afterAutospacing="1"/>
        <w:divId w:val="905190427"/>
        <w:rPr>
          <w:rFonts w:eastAsia="Times New Roman" w:cs="Arial"/>
          <w:szCs w:val="22"/>
        </w:rPr>
      </w:pPr>
      <w:r>
        <w:rPr>
          <w:rFonts w:eastAsia="Times New Roman" w:cs="Arial"/>
          <w:szCs w:val="22"/>
        </w:rPr>
        <w:t>Transfer schools</w:t>
      </w:r>
      <w:r w:rsidR="00167A6F">
        <w:rPr>
          <w:rFonts w:eastAsia="Times New Roman" w:cs="Arial"/>
          <w:szCs w:val="22"/>
        </w:rPr>
        <w:t>/</w:t>
      </w:r>
      <w:r>
        <w:rPr>
          <w:rFonts w:eastAsia="Times New Roman" w:cs="Arial"/>
          <w:szCs w:val="22"/>
        </w:rPr>
        <w:t>sister colleges</w:t>
      </w:r>
      <w:r w:rsidR="00167A6F">
        <w:rPr>
          <w:rFonts w:eastAsia="Times New Roman" w:cs="Arial"/>
          <w:szCs w:val="22"/>
        </w:rPr>
        <w:t>, feeder high schools, foundation, donors, alumni association, alumni, emplo</w:t>
      </w:r>
      <w:r>
        <w:rPr>
          <w:rFonts w:eastAsia="Times New Roman" w:cs="Arial"/>
          <w:szCs w:val="22"/>
        </w:rPr>
        <w:t>yers</w:t>
      </w:r>
      <w:r w:rsidR="00167A6F">
        <w:rPr>
          <w:rFonts w:eastAsia="Times New Roman" w:cs="Arial"/>
          <w:szCs w:val="22"/>
        </w:rPr>
        <w:t>/</w:t>
      </w:r>
      <w:r>
        <w:rPr>
          <w:rFonts w:eastAsia="Times New Roman" w:cs="Arial"/>
          <w:szCs w:val="22"/>
        </w:rPr>
        <w:t xml:space="preserve">advisory committees, </w:t>
      </w:r>
      <w:r w:rsidR="00167A6F">
        <w:rPr>
          <w:rFonts w:eastAsia="Times New Roman" w:cs="Arial"/>
          <w:szCs w:val="22"/>
        </w:rPr>
        <w:t>t</w:t>
      </w:r>
      <w:r>
        <w:rPr>
          <w:rFonts w:eastAsia="Times New Roman" w:cs="Arial"/>
          <w:szCs w:val="22"/>
        </w:rPr>
        <w:t xml:space="preserve">echnology partners, </w:t>
      </w:r>
      <w:r w:rsidR="00167A6F">
        <w:rPr>
          <w:rFonts w:eastAsia="Times New Roman" w:cs="Arial"/>
          <w:szCs w:val="22"/>
        </w:rPr>
        <w:t xml:space="preserve">local </w:t>
      </w:r>
      <w:r>
        <w:rPr>
          <w:rFonts w:eastAsia="Times New Roman" w:cs="Arial"/>
          <w:szCs w:val="22"/>
        </w:rPr>
        <w:t>community including chamber of commerce</w:t>
      </w:r>
      <w:r w:rsidR="00FB61D6">
        <w:rPr>
          <w:rFonts w:eastAsia="Times New Roman" w:cs="Arial"/>
          <w:szCs w:val="22"/>
        </w:rPr>
        <w:t>.</w:t>
      </w:r>
    </w:p>
    <w:p w14:paraId="55B93BC4" w14:textId="77777777" w:rsidR="005E22BD" w:rsidRDefault="000A11B9">
      <w:pPr>
        <w:numPr>
          <w:ilvl w:val="0"/>
          <w:numId w:val="7"/>
        </w:numPr>
        <w:spacing w:before="100" w:beforeAutospacing="1" w:after="100" w:afterAutospacing="1"/>
        <w:divId w:val="905190427"/>
        <w:rPr>
          <w:rFonts w:eastAsia="Times New Roman" w:cs="Arial"/>
          <w:szCs w:val="22"/>
        </w:rPr>
      </w:pPr>
      <w:r>
        <w:rPr>
          <w:rFonts w:eastAsia="Times New Roman" w:cs="Arial"/>
          <w:szCs w:val="22"/>
        </w:rPr>
        <w:t>National</w:t>
      </w:r>
      <w:r w:rsidR="00167A6F">
        <w:rPr>
          <w:rFonts w:eastAsia="Times New Roman" w:cs="Arial"/>
          <w:szCs w:val="22"/>
        </w:rPr>
        <w:t>/</w:t>
      </w:r>
      <w:r>
        <w:rPr>
          <w:rFonts w:eastAsia="Times New Roman" w:cs="Arial"/>
          <w:szCs w:val="22"/>
        </w:rPr>
        <w:t>regional estimates</w:t>
      </w:r>
      <w:r w:rsidR="00153A64">
        <w:rPr>
          <w:rFonts w:eastAsia="Times New Roman" w:cs="Arial"/>
          <w:szCs w:val="22"/>
        </w:rPr>
        <w:t>:</w:t>
      </w:r>
      <w:r>
        <w:rPr>
          <w:rFonts w:eastAsia="Times New Roman" w:cs="Arial"/>
          <w:szCs w:val="22"/>
        </w:rPr>
        <w:t xml:space="preserve"> declines in high school graduates over next decade; </w:t>
      </w:r>
      <w:r w:rsidR="00167A6F">
        <w:rPr>
          <w:rFonts w:eastAsia="Times New Roman" w:cs="Arial"/>
          <w:szCs w:val="22"/>
        </w:rPr>
        <w:t xml:space="preserve">lowering of admissions standards of some peers/competitors; development of </w:t>
      </w:r>
      <w:r w:rsidR="00DB6E5E">
        <w:rPr>
          <w:rFonts w:eastAsia="Times New Roman" w:cs="Arial"/>
          <w:szCs w:val="22"/>
        </w:rPr>
        <w:t>dual-credit</w:t>
      </w:r>
      <w:r w:rsidR="00167A6F">
        <w:rPr>
          <w:rFonts w:eastAsia="Times New Roman" w:cs="Arial"/>
          <w:szCs w:val="22"/>
        </w:rPr>
        <w:t xml:space="preserve"> academies</w:t>
      </w:r>
      <w:r>
        <w:rPr>
          <w:rFonts w:eastAsia="Times New Roman" w:cs="Arial"/>
          <w:szCs w:val="22"/>
        </w:rPr>
        <w:t xml:space="preserve">, articulation agreements, collaboration with local employers to increase entry pathways; </w:t>
      </w:r>
      <w:r w:rsidR="00167A6F">
        <w:rPr>
          <w:rFonts w:eastAsia="Times New Roman" w:cs="Arial"/>
          <w:szCs w:val="22"/>
        </w:rPr>
        <w:t xml:space="preserve">increase </w:t>
      </w:r>
      <w:r>
        <w:rPr>
          <w:rFonts w:eastAsia="Times New Roman" w:cs="Arial"/>
          <w:szCs w:val="22"/>
        </w:rPr>
        <w:t>attention on instructor qualifications due to increase in high school enrollment</w:t>
      </w:r>
      <w:r w:rsidR="00F8417D">
        <w:rPr>
          <w:rFonts w:eastAsia="Times New Roman" w:cs="Arial"/>
          <w:szCs w:val="22"/>
        </w:rPr>
        <w:t>.</w:t>
      </w:r>
    </w:p>
    <w:p w14:paraId="3E36B2D5" w14:textId="4DF6CE84" w:rsidR="005E22BD" w:rsidRDefault="000A11B9">
      <w:pPr>
        <w:numPr>
          <w:ilvl w:val="0"/>
          <w:numId w:val="7"/>
        </w:numPr>
        <w:spacing w:before="100" w:beforeAutospacing="1" w:after="100" w:afterAutospacing="1"/>
        <w:divId w:val="905190427"/>
        <w:rPr>
          <w:rFonts w:eastAsia="Times New Roman" w:cs="Arial"/>
          <w:szCs w:val="22"/>
        </w:rPr>
      </w:pPr>
      <w:r>
        <w:rPr>
          <w:rFonts w:eastAsia="Times New Roman" w:cs="Arial"/>
          <w:szCs w:val="22"/>
        </w:rPr>
        <w:t>Student success outcomes, societal responsibility outcomes, partnerships, affordability</w:t>
      </w:r>
      <w:r w:rsidR="00F8417D">
        <w:rPr>
          <w:rFonts w:eastAsia="Times New Roman" w:cs="Arial"/>
          <w:szCs w:val="22"/>
        </w:rPr>
        <w:t>.</w:t>
      </w:r>
    </w:p>
    <w:p w14:paraId="53776D0B"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97"/>
        <w:gridCol w:w="4060"/>
        <w:gridCol w:w="1200"/>
      </w:tblGrid>
      <w:tr w:rsidR="005E22BD" w14:paraId="7515778F"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279F2CC5"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20853904"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31E911D1"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55D3DB7"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15E2183F"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5398A03C" w14:textId="77777777" w:rsidR="005E22BD" w:rsidRDefault="000A11B9">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2147FE3B" w14:textId="38BAD2F3"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s systematic Strategic Planning Process (SPP</w:t>
            </w:r>
            <w:r w:rsidR="00F8417D">
              <w:rPr>
                <w:rFonts w:eastAsia="Times New Roman" w:cs="Arial"/>
                <w:szCs w:val="22"/>
              </w:rPr>
              <w:t>;</w:t>
            </w:r>
            <w:r>
              <w:rPr>
                <w:rFonts w:eastAsia="Times New Roman" w:cs="Arial"/>
                <w:szCs w:val="22"/>
              </w:rPr>
              <w:t xml:space="preserve"> Figure 2.2-1) includes five steps built around PDCA and engages key stakeholder</w:t>
            </w:r>
            <w:r w:rsidR="00F8417D">
              <w:rPr>
                <w:rFonts w:eastAsia="Times New Roman" w:cs="Arial"/>
                <w:szCs w:val="22"/>
              </w:rPr>
              <w:t>s</w:t>
            </w:r>
            <w:r>
              <w:rPr>
                <w:rFonts w:eastAsia="Times New Roman" w:cs="Arial"/>
                <w:szCs w:val="22"/>
              </w:rPr>
              <w:t xml:space="preserve">, partners, suppliers, </w:t>
            </w:r>
            <w:r w:rsidR="00F8417D">
              <w:rPr>
                <w:rFonts w:eastAsia="Times New Roman" w:cs="Arial"/>
                <w:szCs w:val="22"/>
              </w:rPr>
              <w:t xml:space="preserve">and </w:t>
            </w:r>
            <w:r>
              <w:rPr>
                <w:rFonts w:eastAsia="Times New Roman" w:cs="Arial"/>
                <w:szCs w:val="22"/>
              </w:rPr>
              <w:t xml:space="preserve">collaborators, </w:t>
            </w:r>
            <w:r w:rsidR="00F8417D">
              <w:rPr>
                <w:rFonts w:eastAsia="Times New Roman" w:cs="Arial"/>
                <w:szCs w:val="22"/>
              </w:rPr>
              <w:t xml:space="preserve">as well as </w:t>
            </w:r>
            <w:r>
              <w:rPr>
                <w:rFonts w:eastAsia="Times New Roman" w:cs="Arial"/>
                <w:szCs w:val="22"/>
              </w:rPr>
              <w:t xml:space="preserve">the workforce. </w:t>
            </w:r>
            <w:r w:rsidR="00F8417D">
              <w:rPr>
                <w:rFonts w:eastAsia="Times New Roman" w:cs="Arial"/>
                <w:szCs w:val="22"/>
              </w:rPr>
              <w:t>M</w:t>
            </w:r>
            <w:r>
              <w:rPr>
                <w:rFonts w:eastAsia="Times New Roman" w:cs="Arial"/>
                <w:szCs w:val="22"/>
              </w:rPr>
              <w:t>onitor</w:t>
            </w:r>
            <w:r w:rsidR="00F8417D">
              <w:rPr>
                <w:rFonts w:eastAsia="Times New Roman" w:cs="Arial"/>
                <w:szCs w:val="22"/>
              </w:rPr>
              <w:t>ing of sho</w:t>
            </w:r>
            <w:r w:rsidR="00364753">
              <w:rPr>
                <w:rFonts w:eastAsia="Times New Roman" w:cs="Arial"/>
                <w:szCs w:val="22"/>
              </w:rPr>
              <w:t>rt</w:t>
            </w:r>
            <w:r w:rsidR="00F8417D">
              <w:rPr>
                <w:rFonts w:eastAsia="Times New Roman" w:cs="Arial"/>
                <w:szCs w:val="22"/>
              </w:rPr>
              <w:t>- and long-term goals</w:t>
            </w:r>
            <w:r>
              <w:rPr>
                <w:rFonts w:eastAsia="Times New Roman" w:cs="Arial"/>
                <w:szCs w:val="22"/>
              </w:rPr>
              <w:t xml:space="preserve"> quarterly for agility and annually for improvement allow</w:t>
            </w:r>
            <w:r w:rsidR="00364753">
              <w:rPr>
                <w:rFonts w:eastAsia="Times New Roman" w:cs="Arial"/>
                <w:szCs w:val="22"/>
              </w:rPr>
              <w:t>s</w:t>
            </w:r>
            <w:r>
              <w:rPr>
                <w:rFonts w:eastAsia="Times New Roman" w:cs="Arial"/>
                <w:szCs w:val="22"/>
              </w:rPr>
              <w:t xml:space="preserve"> the </w:t>
            </w:r>
            <w:r w:rsidR="00C74F71">
              <w:rPr>
                <w:rFonts w:eastAsia="Times New Roman" w:cs="Arial"/>
                <w:szCs w:val="22"/>
              </w:rPr>
              <w:t>applicant</w:t>
            </w:r>
            <w:r>
              <w:rPr>
                <w:rFonts w:eastAsia="Times New Roman" w:cs="Arial"/>
                <w:szCs w:val="22"/>
              </w:rPr>
              <w:t xml:space="preserve"> to strengthen its core competencies and support its values. The process cascades organizational goals to the workforce through the online Action Plan Management system, with action plan performance posted on the web for transparency.</w:t>
            </w:r>
          </w:p>
        </w:tc>
        <w:tc>
          <w:tcPr>
            <w:tcW w:w="0" w:type="auto"/>
            <w:tcBorders>
              <w:bottom w:val="single" w:sz="6" w:space="0" w:color="000000"/>
              <w:right w:val="single" w:sz="6" w:space="0" w:color="000000"/>
            </w:tcBorders>
            <w:tcMar>
              <w:top w:w="75" w:type="dxa"/>
              <w:left w:w="75" w:type="dxa"/>
              <w:bottom w:w="75" w:type="dxa"/>
              <w:right w:w="75" w:type="dxa"/>
            </w:tcMar>
            <w:hideMark/>
          </w:tcPr>
          <w:p w14:paraId="73263129" w14:textId="77777777" w:rsidR="00FB61D6" w:rsidRDefault="007B4856">
            <w:pPr>
              <w:rPr>
                <w:rFonts w:eastAsia="Times New Roman" w:cs="Arial"/>
                <w:szCs w:val="22"/>
              </w:rPr>
            </w:pPr>
            <w:r>
              <w:rPr>
                <w:rFonts w:eastAsia="Times New Roman" w:cs="Arial"/>
                <w:szCs w:val="22"/>
              </w:rPr>
              <w:t>All examiners.</w:t>
            </w:r>
            <w:r w:rsidR="000A11B9">
              <w:rPr>
                <w:rFonts w:eastAsia="Times New Roman" w:cs="Arial"/>
                <w:szCs w:val="22"/>
              </w:rPr>
              <w:t xml:space="preserve"> </w:t>
            </w:r>
            <w:r>
              <w:rPr>
                <w:rFonts w:eastAsia="Times New Roman" w:cs="Arial"/>
                <w:szCs w:val="22"/>
              </w:rPr>
              <w:t xml:space="preserve">This </w:t>
            </w:r>
            <w:r w:rsidR="000A11B9">
              <w:rPr>
                <w:rFonts w:eastAsia="Times New Roman" w:cs="Arial"/>
                <w:szCs w:val="22"/>
              </w:rPr>
              <w:t xml:space="preserve">is addressed at the multiple level. I </w:t>
            </w:r>
            <w:r w:rsidR="00F8417D">
              <w:rPr>
                <w:rFonts w:eastAsia="Times New Roman" w:cs="Arial"/>
                <w:szCs w:val="22"/>
              </w:rPr>
              <w:t>double</w:t>
            </w:r>
            <w:r w:rsidR="000A11B9">
              <w:rPr>
                <w:rFonts w:eastAsia="Times New Roman" w:cs="Arial"/>
                <w:szCs w:val="22"/>
              </w:rPr>
              <w:t xml:space="preserve">d this based on the strength of the various comments. </w:t>
            </w:r>
          </w:p>
          <w:p w14:paraId="61F0EE81" w14:textId="5F0237DE" w:rsidR="00D824A8" w:rsidRDefault="000A11B9">
            <w:pPr>
              <w:rPr>
                <w:rFonts w:eastAsia="Times New Roman" w:cs="Arial"/>
                <w:szCs w:val="22"/>
              </w:rPr>
            </w:pPr>
            <w:r>
              <w:rPr>
                <w:rFonts w:eastAsia="Times New Roman" w:cs="Arial"/>
                <w:szCs w:val="22"/>
              </w:rPr>
              <w:t>The key process steps are clearly articulated, along with all of the key stakeholders, including suppliers, collaborators, community</w:t>
            </w:r>
            <w:r w:rsidR="00FB61D6">
              <w:rPr>
                <w:rFonts w:eastAsia="Times New Roman" w:cs="Arial"/>
                <w:szCs w:val="22"/>
              </w:rPr>
              <w:t>,</w:t>
            </w:r>
            <w:r>
              <w:rPr>
                <w:rFonts w:eastAsia="Times New Roman" w:cs="Arial"/>
                <w:szCs w:val="22"/>
              </w:rPr>
              <w:t xml:space="preserve"> etc. The ST and LT planning horizons are clearly explained</w:t>
            </w:r>
            <w:r w:rsidR="00D824A8">
              <w:rPr>
                <w:rFonts w:eastAsia="Times New Roman" w:cs="Arial"/>
                <w:szCs w:val="22"/>
              </w:rPr>
              <w:t>.</w:t>
            </w:r>
            <w:r>
              <w:rPr>
                <w:rFonts w:eastAsia="Times New Roman" w:cs="Arial"/>
                <w:szCs w:val="22"/>
              </w:rPr>
              <w:t xml:space="preserve"> Agility and resilience</w:t>
            </w:r>
            <w:r w:rsidR="00D824A8">
              <w:rPr>
                <w:rFonts w:eastAsia="Times New Roman" w:cs="Arial"/>
                <w:szCs w:val="22"/>
              </w:rPr>
              <w:t xml:space="preserve"> are</w:t>
            </w:r>
            <w:r>
              <w:rPr>
                <w:rFonts w:eastAsia="Times New Roman" w:cs="Arial"/>
                <w:szCs w:val="22"/>
              </w:rPr>
              <w:t xml:space="preserve"> included through review and PDCA processes. The plan can be reviewed and modified quarterly as part of the response to drastic environmental changes or emergencies</w:t>
            </w:r>
            <w:r w:rsidR="00D824A8">
              <w:rPr>
                <w:rFonts w:eastAsia="Times New Roman" w:cs="Arial"/>
                <w:szCs w:val="22"/>
              </w:rPr>
              <w:t>.</w:t>
            </w:r>
            <w:r>
              <w:rPr>
                <w:rFonts w:eastAsia="Times New Roman" w:cs="Arial"/>
                <w:szCs w:val="22"/>
              </w:rPr>
              <w:t xml:space="preserve"> </w:t>
            </w:r>
          </w:p>
          <w:p w14:paraId="72FAB93B" w14:textId="77777777" w:rsidR="005E22BD" w:rsidRDefault="000A11B9">
            <w:pPr>
              <w:rPr>
                <w:rFonts w:eastAsia="Times New Roman" w:cs="Arial"/>
                <w:szCs w:val="22"/>
              </w:rPr>
            </w:pPr>
            <w:r>
              <w:rPr>
                <w:rFonts w:eastAsia="Times New Roman" w:cs="Arial"/>
                <w:szCs w:val="22"/>
              </w:rPr>
              <w:t xml:space="preserve">ADLI </w:t>
            </w:r>
          </w:p>
        </w:tc>
        <w:tc>
          <w:tcPr>
            <w:tcW w:w="0" w:type="auto"/>
            <w:tcBorders>
              <w:bottom w:val="single" w:sz="6" w:space="0" w:color="000000"/>
              <w:right w:val="single" w:sz="6" w:space="0" w:color="000000"/>
            </w:tcBorders>
            <w:tcMar>
              <w:top w:w="75" w:type="dxa"/>
              <w:left w:w="75" w:type="dxa"/>
              <w:bottom w:w="75" w:type="dxa"/>
              <w:right w:w="75" w:type="dxa"/>
            </w:tcMar>
            <w:hideMark/>
          </w:tcPr>
          <w:p w14:paraId="17A0FBA1" w14:textId="77777777" w:rsidR="005E22BD" w:rsidRDefault="000A11B9">
            <w:pPr>
              <w:rPr>
                <w:rFonts w:eastAsia="Times New Roman" w:cs="Arial"/>
                <w:szCs w:val="22"/>
              </w:rPr>
            </w:pPr>
            <w:r>
              <w:rPr>
                <w:rFonts w:eastAsia="Times New Roman" w:cs="Arial"/>
                <w:szCs w:val="22"/>
              </w:rPr>
              <w:t>a(1)</w:t>
            </w:r>
          </w:p>
        </w:tc>
      </w:tr>
      <w:tr w:rsidR="005E22BD" w14:paraId="5AA62E3B"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DC8EAAD"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FDFB4C2" w14:textId="6CCE4A4D"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 xml:space="preserve">s strategic objectives are aligned with its strategic advantages, strategic challenges, and core competencies (Figure 2.2-1). Each </w:t>
            </w:r>
            <w:r w:rsidR="00C74F71">
              <w:rPr>
                <w:rFonts w:eastAsia="Times New Roman" w:cs="Arial"/>
                <w:szCs w:val="22"/>
              </w:rPr>
              <w:t xml:space="preserve">objective has </w:t>
            </w:r>
            <w:r>
              <w:rPr>
                <w:rFonts w:eastAsia="Times New Roman" w:cs="Arial"/>
                <w:szCs w:val="22"/>
              </w:rPr>
              <w:t>associated strategic goals, KPIs</w:t>
            </w:r>
            <w:r w:rsidR="00C74F71">
              <w:rPr>
                <w:rFonts w:eastAsia="Times New Roman" w:cs="Arial"/>
                <w:szCs w:val="22"/>
              </w:rPr>
              <w:t>,</w:t>
            </w:r>
            <w:r>
              <w:rPr>
                <w:rFonts w:eastAsia="Times New Roman" w:cs="Arial"/>
                <w:szCs w:val="22"/>
              </w:rPr>
              <w:t xml:space="preserve"> and corresponding action plans or strategic initiatives. The action plans incorporate key changes in educational programs and services that may help the applicant succeed in </w:t>
            </w:r>
            <w:r w:rsidR="00484747">
              <w:rPr>
                <w:rFonts w:eastAsia="Times New Roman" w:cs="Arial"/>
                <w:szCs w:val="22"/>
              </w:rPr>
              <w:t>its</w:t>
            </w:r>
            <w:r>
              <w:rPr>
                <w:rFonts w:eastAsia="Times New Roman" w:cs="Arial"/>
                <w:szCs w:val="22"/>
              </w:rPr>
              <w:t xml:space="preserve"> changing competitive environment.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4263C04" w14:textId="73BD8E9D" w:rsidR="00D824A8" w:rsidRDefault="000A11B9">
            <w:pPr>
              <w:rPr>
                <w:rFonts w:eastAsia="Times New Roman" w:cs="Arial"/>
                <w:szCs w:val="22"/>
              </w:rPr>
            </w:pPr>
            <w:r>
              <w:rPr>
                <w:rFonts w:eastAsia="Times New Roman" w:cs="Arial"/>
                <w:szCs w:val="22"/>
              </w:rPr>
              <w:t xml:space="preserve">This was noted by </w:t>
            </w:r>
            <w:r w:rsidR="00D824A8">
              <w:rPr>
                <w:rFonts w:eastAsia="Times New Roman" w:cs="Arial"/>
                <w:szCs w:val="22"/>
              </w:rPr>
              <w:t>5</w:t>
            </w:r>
            <w:r>
              <w:rPr>
                <w:rFonts w:eastAsia="Times New Roman" w:cs="Arial"/>
                <w:szCs w:val="22"/>
              </w:rPr>
              <w:t xml:space="preserve"> examiners (</w:t>
            </w:r>
            <w:r w:rsidR="007B4856">
              <w:rPr>
                <w:rFonts w:eastAsia="Times New Roman" w:cs="Arial"/>
                <w:szCs w:val="22"/>
              </w:rPr>
              <w:t>Ex1, Ex2, Ex4, Ex5</w:t>
            </w:r>
            <w:r>
              <w:rPr>
                <w:rFonts w:eastAsia="Times New Roman" w:cs="Arial"/>
                <w:szCs w:val="22"/>
              </w:rPr>
              <w:t xml:space="preserve">, </w:t>
            </w:r>
            <w:r w:rsidR="007B4856">
              <w:rPr>
                <w:rFonts w:eastAsia="Times New Roman" w:cs="Arial"/>
                <w:szCs w:val="22"/>
              </w:rPr>
              <w:t>Ex6</w:t>
            </w:r>
            <w:r>
              <w:rPr>
                <w:rFonts w:eastAsia="Times New Roman" w:cs="Arial"/>
                <w:szCs w:val="22"/>
              </w:rPr>
              <w:t>)</w:t>
            </w:r>
            <w:r w:rsidR="007B4856">
              <w:rPr>
                <w:rFonts w:eastAsia="Times New Roman" w:cs="Arial"/>
                <w:szCs w:val="22"/>
              </w:rPr>
              <w:t>.</w:t>
            </w:r>
            <w:r>
              <w:rPr>
                <w:rFonts w:eastAsia="Times New Roman" w:cs="Arial"/>
                <w:szCs w:val="22"/>
              </w:rPr>
              <w:t xml:space="preserve"> The SO</w:t>
            </w:r>
            <w:r w:rsidR="00FB61D6">
              <w:rPr>
                <w:rFonts w:eastAsia="Times New Roman" w:cs="Arial"/>
                <w:szCs w:val="22"/>
              </w:rPr>
              <w:t>b</w:t>
            </w:r>
            <w:r w:rsidR="00FB61D6">
              <w:t>j</w:t>
            </w:r>
            <w:r>
              <w:rPr>
                <w:rFonts w:eastAsia="Times New Roman" w:cs="Arial"/>
                <w:szCs w:val="22"/>
              </w:rPr>
              <w:t xml:space="preserve">s are clearly described in the </w:t>
            </w:r>
            <w:r w:rsidR="00C74F71">
              <w:rPr>
                <w:rFonts w:eastAsia="Times New Roman" w:cs="Arial"/>
                <w:szCs w:val="22"/>
              </w:rPr>
              <w:t xml:space="preserve">figure, </w:t>
            </w:r>
            <w:r>
              <w:rPr>
                <w:rFonts w:eastAsia="Times New Roman" w:cs="Arial"/>
                <w:szCs w:val="22"/>
              </w:rPr>
              <w:t>along with related goals. What is not included</w:t>
            </w:r>
            <w:r w:rsidR="00D824A8">
              <w:rPr>
                <w:rFonts w:eastAsia="Times New Roman" w:cs="Arial"/>
                <w:szCs w:val="22"/>
              </w:rPr>
              <w:t xml:space="preserve"> </w:t>
            </w:r>
            <w:r w:rsidR="00C74F71">
              <w:rPr>
                <w:rFonts w:eastAsia="Times New Roman" w:cs="Arial"/>
                <w:szCs w:val="22"/>
              </w:rPr>
              <w:t>are</w:t>
            </w:r>
            <w:r>
              <w:rPr>
                <w:rFonts w:eastAsia="Times New Roman" w:cs="Arial"/>
                <w:szCs w:val="22"/>
              </w:rPr>
              <w:t xml:space="preserve"> key changes </w:t>
            </w:r>
            <w:r w:rsidR="00D824A8">
              <w:rPr>
                <w:rFonts w:eastAsia="Times New Roman" w:cs="Arial"/>
                <w:szCs w:val="22"/>
              </w:rPr>
              <w:t>it</w:t>
            </w:r>
            <w:r>
              <w:rPr>
                <w:rFonts w:eastAsia="Times New Roman" w:cs="Arial"/>
                <w:szCs w:val="22"/>
              </w:rPr>
              <w:t xml:space="preserve"> plan</w:t>
            </w:r>
            <w:r w:rsidR="00D824A8">
              <w:rPr>
                <w:rFonts w:eastAsia="Times New Roman" w:cs="Arial"/>
                <w:szCs w:val="22"/>
              </w:rPr>
              <w:t>s</w:t>
            </w:r>
            <w:r>
              <w:rPr>
                <w:rFonts w:eastAsia="Times New Roman" w:cs="Arial"/>
                <w:szCs w:val="22"/>
              </w:rPr>
              <w:t xml:space="preserve"> in </w:t>
            </w:r>
            <w:r w:rsidR="00FC7C2D">
              <w:rPr>
                <w:rFonts w:eastAsia="Times New Roman" w:cs="Arial"/>
                <w:szCs w:val="22"/>
              </w:rPr>
              <w:t>services, programs</w:t>
            </w:r>
            <w:r>
              <w:rPr>
                <w:rFonts w:eastAsia="Times New Roman" w:cs="Arial"/>
                <w:szCs w:val="22"/>
              </w:rPr>
              <w:t xml:space="preserve">, customers, markets, suppliers etc. </w:t>
            </w:r>
            <w:r w:rsidR="00D824A8">
              <w:rPr>
                <w:rFonts w:eastAsia="Times New Roman" w:cs="Arial"/>
                <w:szCs w:val="22"/>
              </w:rPr>
              <w:t>It does</w:t>
            </w:r>
            <w:r>
              <w:rPr>
                <w:rFonts w:eastAsia="Times New Roman" w:cs="Arial"/>
                <w:szCs w:val="22"/>
              </w:rPr>
              <w:t xml:space="preserve"> indicate more focus on rural area, which </w:t>
            </w:r>
            <w:r w:rsidR="00C74F71">
              <w:rPr>
                <w:rFonts w:eastAsia="Times New Roman" w:cs="Arial"/>
                <w:szCs w:val="22"/>
              </w:rPr>
              <w:t>is</w:t>
            </w:r>
            <w:r>
              <w:rPr>
                <w:rFonts w:eastAsia="Times New Roman" w:cs="Arial"/>
                <w:szCs w:val="22"/>
              </w:rPr>
              <w:t xml:space="preserve"> part of the multiple </w:t>
            </w:r>
            <w:r w:rsidR="00FC7C2D">
              <w:rPr>
                <w:rFonts w:eastAsia="Times New Roman" w:cs="Arial"/>
                <w:szCs w:val="22"/>
              </w:rPr>
              <w:t>questions</w:t>
            </w:r>
            <w:r>
              <w:rPr>
                <w:rFonts w:eastAsia="Times New Roman" w:cs="Arial"/>
                <w:szCs w:val="22"/>
              </w:rPr>
              <w:t xml:space="preserve">. </w:t>
            </w:r>
          </w:p>
          <w:p w14:paraId="49D90825" w14:textId="77777777" w:rsidR="005E22BD" w:rsidRDefault="000A11B9">
            <w:pPr>
              <w:rPr>
                <w:rFonts w:eastAsia="Times New Roman" w:cs="Arial"/>
                <w:szCs w:val="22"/>
              </w:rPr>
            </w:pPr>
            <w:r>
              <w:rPr>
                <w:rFonts w:eastAsia="Times New Roman" w:cs="Arial"/>
                <w:szCs w:val="22"/>
              </w:rPr>
              <w:t>ADI</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61A511B" w14:textId="77777777" w:rsidR="005E22BD" w:rsidRDefault="000A11B9">
            <w:pPr>
              <w:rPr>
                <w:rFonts w:eastAsia="Times New Roman" w:cs="Arial"/>
                <w:szCs w:val="22"/>
              </w:rPr>
            </w:pPr>
            <w:r>
              <w:rPr>
                <w:rFonts w:eastAsia="Times New Roman" w:cs="Arial"/>
                <w:szCs w:val="22"/>
              </w:rPr>
              <w:t>b(1)</w:t>
            </w:r>
          </w:p>
        </w:tc>
      </w:tr>
      <w:tr w:rsidR="005E22BD" w14:paraId="38112F64"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34487AD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B9CF859" w14:textId="582AC4FD" w:rsidR="005E22BD" w:rsidRDefault="000A11B9">
            <w:pPr>
              <w:rPr>
                <w:rFonts w:eastAsia="Times New Roman" w:cs="Arial"/>
                <w:szCs w:val="22"/>
              </w:rPr>
            </w:pPr>
            <w:r>
              <w:rPr>
                <w:rFonts w:eastAsia="Times New Roman" w:cs="Arial"/>
                <w:szCs w:val="22"/>
              </w:rPr>
              <w:t>The applicant</w:t>
            </w:r>
            <w:r w:rsidR="00066937">
              <w:rPr>
                <w:rFonts w:eastAsia="Times New Roman" w:cs="Arial"/>
                <w:szCs w:val="22"/>
              </w:rPr>
              <w:t xml:space="preserve"> systematically stimulates and incorporates</w:t>
            </w:r>
            <w:r>
              <w:rPr>
                <w:rFonts w:eastAsia="Times New Roman" w:cs="Arial"/>
                <w:szCs w:val="22"/>
              </w:rPr>
              <w:t xml:space="preserve"> innovation</w:t>
            </w:r>
            <w:r w:rsidR="00066937">
              <w:rPr>
                <w:rFonts w:eastAsia="Times New Roman" w:cs="Arial"/>
                <w:szCs w:val="22"/>
              </w:rPr>
              <w:t xml:space="preserve"> through</w:t>
            </w:r>
            <w:r>
              <w:rPr>
                <w:rFonts w:eastAsia="Times New Roman" w:cs="Arial"/>
                <w:szCs w:val="22"/>
              </w:rPr>
              <w:t xml:space="preserve"> SPP </w:t>
            </w:r>
            <w:r w:rsidR="00DF6C38">
              <w:rPr>
                <w:rFonts w:eastAsia="Times New Roman" w:cs="Arial"/>
                <w:szCs w:val="22"/>
              </w:rPr>
              <w:t>s</w:t>
            </w:r>
            <w:r w:rsidR="00066937">
              <w:rPr>
                <w:rFonts w:eastAsia="Times New Roman" w:cs="Arial"/>
                <w:szCs w:val="22"/>
              </w:rPr>
              <w:t>tep 1 (</w:t>
            </w:r>
            <w:r>
              <w:rPr>
                <w:rFonts w:eastAsia="Times New Roman" w:cs="Arial"/>
                <w:szCs w:val="22"/>
              </w:rPr>
              <w:t xml:space="preserve">Visioning) and </w:t>
            </w:r>
            <w:r w:rsidR="00DF6C38">
              <w:rPr>
                <w:rFonts w:eastAsia="Times New Roman" w:cs="Arial"/>
                <w:szCs w:val="22"/>
              </w:rPr>
              <w:t>s</w:t>
            </w:r>
            <w:r>
              <w:rPr>
                <w:rFonts w:eastAsia="Times New Roman" w:cs="Arial"/>
                <w:szCs w:val="22"/>
              </w:rPr>
              <w:t xml:space="preserve">tep 5 </w:t>
            </w:r>
            <w:r w:rsidR="00066937">
              <w:rPr>
                <w:rFonts w:eastAsia="Times New Roman" w:cs="Arial"/>
                <w:szCs w:val="22"/>
              </w:rPr>
              <w:t>(</w:t>
            </w:r>
            <w:r>
              <w:rPr>
                <w:rFonts w:eastAsia="Times New Roman" w:cs="Arial"/>
                <w:szCs w:val="22"/>
              </w:rPr>
              <w:t>Strategy/Process and Innovation</w:t>
            </w:r>
            <w:r w:rsidR="00066937">
              <w:rPr>
                <w:rFonts w:eastAsia="Times New Roman" w:cs="Arial"/>
                <w:szCs w:val="22"/>
              </w:rPr>
              <w:t>)</w:t>
            </w:r>
            <w:r>
              <w:rPr>
                <w:rFonts w:eastAsia="Times New Roman" w:cs="Arial"/>
                <w:szCs w:val="22"/>
              </w:rPr>
              <w:t xml:space="preserve">. </w:t>
            </w:r>
            <w:r w:rsidR="00C74F71">
              <w:rPr>
                <w:rFonts w:eastAsia="Times New Roman" w:cs="Arial"/>
                <w:szCs w:val="22"/>
              </w:rPr>
              <w:t xml:space="preserve">Through </w:t>
            </w:r>
            <w:r>
              <w:rPr>
                <w:rFonts w:eastAsia="Times New Roman" w:cs="Arial"/>
                <w:szCs w:val="22"/>
              </w:rPr>
              <w:t>the Intelligent Risk Analysis</w:t>
            </w:r>
            <w:r w:rsidR="00C74F71">
              <w:rPr>
                <w:rFonts w:eastAsia="Times New Roman" w:cs="Arial"/>
                <w:szCs w:val="22"/>
              </w:rPr>
              <w:t>, the applicant</w:t>
            </w:r>
            <w:r>
              <w:rPr>
                <w:rFonts w:eastAsia="Times New Roman" w:cs="Arial"/>
                <w:szCs w:val="22"/>
              </w:rPr>
              <w:t xml:space="preserve"> prioritizes </w:t>
            </w:r>
            <w:r w:rsidR="00066937">
              <w:rPr>
                <w:rFonts w:eastAsia="Times New Roman" w:cs="Arial"/>
                <w:szCs w:val="22"/>
              </w:rPr>
              <w:t>strategic opportunities</w:t>
            </w:r>
            <w:r>
              <w:rPr>
                <w:rFonts w:eastAsia="Times New Roman" w:cs="Arial"/>
                <w:szCs w:val="22"/>
              </w:rPr>
              <w:t xml:space="preserve">. The </w:t>
            </w:r>
            <w:r w:rsidR="00066937">
              <w:rPr>
                <w:rFonts w:eastAsia="Times New Roman" w:cs="Arial"/>
                <w:szCs w:val="22"/>
              </w:rPr>
              <w:t>strategic opportunities</w:t>
            </w:r>
            <w:r>
              <w:rPr>
                <w:rFonts w:eastAsia="Times New Roman" w:cs="Arial"/>
                <w:szCs w:val="22"/>
              </w:rPr>
              <w:t xml:space="preserve"> for online and competency-based education, transfer articulation, and on</w:t>
            </w:r>
            <w:r w:rsidR="00C74F71">
              <w:rPr>
                <w:rFonts w:eastAsia="Times New Roman" w:cs="Arial"/>
                <w:szCs w:val="22"/>
              </w:rPr>
              <w:t>-</w:t>
            </w:r>
            <w:r>
              <w:rPr>
                <w:rFonts w:eastAsia="Times New Roman" w:cs="Arial"/>
                <w:szCs w:val="22"/>
              </w:rPr>
              <w:t xml:space="preserve">site educational and training among rural communities were results of this process. This </w:t>
            </w:r>
            <w:r w:rsidR="00066937">
              <w:rPr>
                <w:rFonts w:eastAsia="Times New Roman" w:cs="Arial"/>
                <w:szCs w:val="22"/>
              </w:rPr>
              <w:t xml:space="preserve">approach </w:t>
            </w:r>
            <w:r>
              <w:rPr>
                <w:rFonts w:eastAsia="Times New Roman" w:cs="Arial"/>
                <w:szCs w:val="22"/>
              </w:rPr>
              <w:t xml:space="preserve">may help the </w:t>
            </w:r>
            <w:r w:rsidR="00066937">
              <w:rPr>
                <w:rFonts w:eastAsia="Times New Roman" w:cs="Arial"/>
                <w:szCs w:val="22"/>
              </w:rPr>
              <w:t>applicant</w:t>
            </w:r>
            <w:r>
              <w:rPr>
                <w:rFonts w:eastAsia="Times New Roman" w:cs="Arial"/>
                <w:szCs w:val="22"/>
              </w:rPr>
              <w:t xml:space="preserve"> address the strategic challenge of closing the achievement gap.</w:t>
            </w:r>
          </w:p>
        </w:tc>
        <w:tc>
          <w:tcPr>
            <w:tcW w:w="0" w:type="auto"/>
            <w:tcBorders>
              <w:bottom w:val="single" w:sz="6" w:space="0" w:color="000000"/>
              <w:right w:val="single" w:sz="6" w:space="0" w:color="000000"/>
            </w:tcBorders>
            <w:tcMar>
              <w:top w:w="75" w:type="dxa"/>
              <w:left w:w="75" w:type="dxa"/>
              <w:bottom w:w="75" w:type="dxa"/>
              <w:right w:w="75" w:type="dxa"/>
            </w:tcMar>
            <w:hideMark/>
          </w:tcPr>
          <w:p w14:paraId="2FF0464D" w14:textId="77777777" w:rsidR="00D824A8" w:rsidRDefault="000A11B9">
            <w:pPr>
              <w:rPr>
                <w:rFonts w:eastAsia="Times New Roman" w:cs="Arial"/>
                <w:szCs w:val="22"/>
              </w:rPr>
            </w:pPr>
            <w:r>
              <w:rPr>
                <w:rFonts w:eastAsia="Times New Roman" w:cs="Arial"/>
                <w:szCs w:val="22"/>
              </w:rPr>
              <w:t xml:space="preserve">Strength noted by </w:t>
            </w:r>
            <w:r w:rsidR="00D824A8">
              <w:rPr>
                <w:rFonts w:eastAsia="Times New Roman" w:cs="Arial"/>
                <w:szCs w:val="22"/>
              </w:rPr>
              <w:t>5</w:t>
            </w:r>
            <w:r>
              <w:rPr>
                <w:rFonts w:eastAsia="Times New Roman" w:cs="Arial"/>
                <w:szCs w:val="22"/>
              </w:rPr>
              <w:t xml:space="preserve"> examiners</w:t>
            </w:r>
            <w:r w:rsidR="00C74F71">
              <w:rPr>
                <w:rFonts w:eastAsia="Times New Roman" w:cs="Arial"/>
                <w:szCs w:val="22"/>
              </w:rPr>
              <w:t xml:space="preserve"> (</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 Ex7</w:t>
            </w:r>
            <w:r w:rsidR="00C74F71">
              <w:rPr>
                <w:rFonts w:eastAsia="Times New Roman" w:cs="Arial"/>
                <w:szCs w:val="22"/>
              </w:rPr>
              <w:t>)</w:t>
            </w:r>
            <w:r w:rsidR="007B4856">
              <w:rPr>
                <w:rFonts w:eastAsia="Times New Roman" w:cs="Arial"/>
                <w:szCs w:val="22"/>
              </w:rPr>
              <w:t>.</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noted this as an OFI. Most examiners noted that it fit the overall </w:t>
            </w:r>
            <w:r w:rsidR="00FD460C">
              <w:rPr>
                <w:rFonts w:eastAsia="Times New Roman" w:cs="Arial"/>
                <w:szCs w:val="22"/>
              </w:rPr>
              <w:t>question</w:t>
            </w:r>
            <w:r>
              <w:rPr>
                <w:rFonts w:eastAsia="Times New Roman" w:cs="Arial"/>
                <w:szCs w:val="22"/>
              </w:rPr>
              <w:t xml:space="preserve"> with a few areas of the multiple </w:t>
            </w:r>
            <w:r w:rsidR="00FD460C">
              <w:rPr>
                <w:rFonts w:eastAsia="Times New Roman" w:cs="Arial"/>
                <w:szCs w:val="22"/>
              </w:rPr>
              <w:t>questions</w:t>
            </w:r>
            <w:r>
              <w:rPr>
                <w:rFonts w:eastAsia="Times New Roman" w:cs="Arial"/>
                <w:szCs w:val="22"/>
              </w:rPr>
              <w:t xml:space="preserve"> addressed. This was doubled by one examiner (</w:t>
            </w:r>
            <w:r w:rsidR="007B4856">
              <w:rPr>
                <w:rFonts w:eastAsia="Times New Roman" w:cs="Arial"/>
                <w:szCs w:val="22"/>
              </w:rPr>
              <w:t>Ex5</w:t>
            </w:r>
            <w:r>
              <w:rPr>
                <w:rFonts w:eastAsia="Times New Roman" w:cs="Arial"/>
                <w:szCs w:val="22"/>
              </w:rPr>
              <w:t>)</w:t>
            </w:r>
            <w:r w:rsidR="00C74F71">
              <w:rPr>
                <w:rFonts w:eastAsia="Times New Roman" w:cs="Arial"/>
                <w:szCs w:val="22"/>
              </w:rPr>
              <w:t>.</w:t>
            </w:r>
            <w:r>
              <w:rPr>
                <w:rFonts w:eastAsia="Times New Roman" w:cs="Arial"/>
                <w:szCs w:val="22"/>
              </w:rPr>
              <w:t xml:space="preserve"> </w:t>
            </w:r>
          </w:p>
          <w:p w14:paraId="2FC5B4E4" w14:textId="77777777" w:rsidR="005E22BD" w:rsidRDefault="000A11B9">
            <w:pPr>
              <w:rPr>
                <w:rFonts w:eastAsia="Times New Roman" w:cs="Arial"/>
                <w:szCs w:val="22"/>
              </w:rPr>
            </w:pPr>
            <w:r>
              <w:rPr>
                <w:rFonts w:eastAsia="Times New Roman" w:cs="Arial"/>
                <w:szCs w:val="22"/>
              </w:rPr>
              <w:t xml:space="preserve">ADLI </w:t>
            </w:r>
          </w:p>
        </w:tc>
        <w:tc>
          <w:tcPr>
            <w:tcW w:w="0" w:type="auto"/>
            <w:tcBorders>
              <w:bottom w:val="single" w:sz="6" w:space="0" w:color="000000"/>
              <w:right w:val="single" w:sz="6" w:space="0" w:color="000000"/>
            </w:tcBorders>
            <w:tcMar>
              <w:top w:w="75" w:type="dxa"/>
              <w:left w:w="75" w:type="dxa"/>
              <w:bottom w:w="75" w:type="dxa"/>
              <w:right w:w="75" w:type="dxa"/>
            </w:tcMar>
            <w:hideMark/>
          </w:tcPr>
          <w:p w14:paraId="4EB95C27" w14:textId="77777777" w:rsidR="005E22BD" w:rsidRDefault="000A11B9">
            <w:pPr>
              <w:rPr>
                <w:rFonts w:eastAsia="Times New Roman" w:cs="Arial"/>
                <w:szCs w:val="22"/>
              </w:rPr>
            </w:pPr>
            <w:r>
              <w:rPr>
                <w:rFonts w:eastAsia="Times New Roman" w:cs="Arial"/>
                <w:szCs w:val="22"/>
              </w:rPr>
              <w:t>a(2)</w:t>
            </w:r>
          </w:p>
        </w:tc>
      </w:tr>
    </w:tbl>
    <w:p w14:paraId="0653E666" w14:textId="793F3AD2" w:rsidR="005E22BD" w:rsidRDefault="000A11B9">
      <w:pPr>
        <w:pStyle w:val="Heading4"/>
        <w:divId w:val="905190427"/>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224"/>
      </w:tblGrid>
      <w:tr w:rsidR="009D4C55" w14:paraId="3C14A7DA" w14:textId="77777777" w:rsidTr="009D4C55">
        <w:trPr>
          <w:divId w:val="905190427"/>
        </w:trPr>
        <w:tc>
          <w:tcPr>
            <w:tcW w:w="10224" w:type="dxa"/>
          </w:tcPr>
          <w:p w14:paraId="19BAE17C" w14:textId="77777777" w:rsidR="009D4C55" w:rsidRDefault="009D4C55" w:rsidP="009D4C55">
            <w:pPr>
              <w:rPr>
                <w:rFonts w:eastAsia="Times New Roman" w:cs="Arial"/>
                <w:szCs w:val="22"/>
              </w:rPr>
            </w:pPr>
            <w:r>
              <w:rPr>
                <w:rFonts w:eastAsia="Times New Roman" w:cs="Arial"/>
                <w:szCs w:val="22"/>
              </w:rPr>
              <w:t xml:space="preserve">There was a large amount of commonality in the strengths noted by the team. One exception is that one examiner listed innovation as an OFI (Ex2). </w:t>
            </w:r>
          </w:p>
          <w:p w14:paraId="31690FB7" w14:textId="77777777" w:rsidR="009D4C55" w:rsidRDefault="009D4C55" w:rsidP="009D4C55">
            <w:pPr>
              <w:rPr>
                <w:rFonts w:eastAsia="Times New Roman" w:cs="Arial"/>
                <w:szCs w:val="22"/>
              </w:rPr>
            </w:pPr>
            <w:r>
              <w:rPr>
                <w:rFonts w:eastAsia="Times New Roman" w:cs="Arial"/>
                <w:szCs w:val="22"/>
              </w:rPr>
              <w:t xml:space="preserve">Comments not included in the strengths were on the collection and analysis of data used in the SPP, especially regarding technological changes, and blind spots. </w:t>
            </w:r>
          </w:p>
          <w:p w14:paraId="268CA5C4" w14:textId="77777777" w:rsidR="009D4C55" w:rsidRDefault="009D4C55" w:rsidP="009D4C55">
            <w:pPr>
              <w:rPr>
                <w:rFonts w:eastAsia="Times New Roman" w:cs="Arial"/>
                <w:szCs w:val="22"/>
              </w:rPr>
            </w:pPr>
            <w:r>
              <w:rPr>
                <w:rFonts w:eastAsia="Times New Roman" w:cs="Arial"/>
                <w:szCs w:val="22"/>
              </w:rPr>
              <w:t xml:space="preserve">(a3) This was noted by 3 examiners as a strength and 3 examiners as an OFI. </w:t>
            </w:r>
          </w:p>
          <w:p w14:paraId="009A5752" w14:textId="1A1D2E96" w:rsidR="009D4C55" w:rsidRDefault="009D4C55" w:rsidP="009D4C55">
            <w:pPr>
              <w:rPr>
                <w:rFonts w:eastAsia="Times New Roman" w:cs="Arial"/>
              </w:rPr>
            </w:pPr>
            <w:r>
              <w:rPr>
                <w:rFonts w:eastAsia="Times New Roman" w:cs="Arial"/>
                <w:szCs w:val="22"/>
              </w:rPr>
              <w:t>Work systems (a[4]) was noted as a strength by 3 examiners (Ex4, Ex6,</w:t>
            </w:r>
            <w:r w:rsidRPr="00C74F71">
              <w:rPr>
                <w:rFonts w:eastAsia="Times New Roman" w:cs="Arial"/>
                <w:szCs w:val="22"/>
              </w:rPr>
              <w:t xml:space="preserve"> </w:t>
            </w:r>
            <w:r>
              <w:rPr>
                <w:rFonts w:eastAsia="Times New Roman" w:cs="Arial"/>
                <w:szCs w:val="22"/>
              </w:rPr>
              <w:t>Ex7) but conflicts with an OFI in the same area.</w:t>
            </w:r>
            <w:r w:rsidR="005E3D0E">
              <w:rPr>
                <w:rFonts w:eastAsia="Times New Roman" w:cs="Arial"/>
                <w:szCs w:val="22"/>
              </w:rPr>
              <w:t xml:space="preserve"> </w:t>
            </w:r>
          </w:p>
        </w:tc>
      </w:tr>
    </w:tbl>
    <w:p w14:paraId="47B8BA46"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228"/>
        <w:gridCol w:w="4228"/>
        <w:gridCol w:w="1200"/>
      </w:tblGrid>
      <w:tr w:rsidR="005E22BD" w14:paraId="1F7DE153"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14CEF7BC"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630294C7"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751279F2"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60DD2914"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29B0517B"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3B39E6B3" w14:textId="77777777" w:rsidR="005E22BD" w:rsidRDefault="000A11B9">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375427B0" w14:textId="6D4ED622" w:rsidR="005E22BD" w:rsidRDefault="000A11B9">
            <w:pPr>
              <w:rPr>
                <w:rFonts w:eastAsia="Times New Roman" w:cs="Arial"/>
                <w:szCs w:val="22"/>
              </w:rPr>
            </w:pPr>
            <w:r>
              <w:rPr>
                <w:rFonts w:eastAsia="Times New Roman" w:cs="Arial"/>
                <w:szCs w:val="22"/>
              </w:rPr>
              <w:t xml:space="preserve">A systematic process </w:t>
            </w:r>
            <w:r w:rsidR="00D824A8">
              <w:rPr>
                <w:rFonts w:eastAsia="Times New Roman" w:cs="Arial"/>
                <w:szCs w:val="22"/>
              </w:rPr>
              <w:t>is not evident for</w:t>
            </w:r>
            <w:r>
              <w:rPr>
                <w:rFonts w:eastAsia="Times New Roman" w:cs="Arial"/>
                <w:szCs w:val="22"/>
              </w:rPr>
              <w:t xml:space="preserve"> balanc</w:t>
            </w:r>
            <w:r w:rsidR="00FE33BF">
              <w:rPr>
                <w:rFonts w:eastAsia="Times New Roman" w:cs="Arial"/>
                <w:szCs w:val="22"/>
              </w:rPr>
              <w:t>ing</w:t>
            </w:r>
            <w:r>
              <w:rPr>
                <w:rFonts w:eastAsia="Times New Roman" w:cs="Arial"/>
                <w:szCs w:val="22"/>
              </w:rPr>
              <w:t xml:space="preserve"> the needs of all </w:t>
            </w:r>
            <w:r w:rsidR="0066475A">
              <w:rPr>
                <w:rFonts w:eastAsia="Times New Roman" w:cs="Arial"/>
                <w:szCs w:val="22"/>
              </w:rPr>
              <w:t>k</w:t>
            </w:r>
            <w:r w:rsidR="0066475A">
              <w:t xml:space="preserve">ey </w:t>
            </w:r>
            <w:r>
              <w:rPr>
                <w:rFonts w:eastAsia="Times New Roman" w:cs="Arial"/>
                <w:szCs w:val="22"/>
              </w:rPr>
              <w:t xml:space="preserve">stakeholders </w:t>
            </w:r>
            <w:r w:rsidR="00D824A8">
              <w:rPr>
                <w:rFonts w:eastAsia="Times New Roman" w:cs="Arial"/>
                <w:szCs w:val="22"/>
              </w:rPr>
              <w:t xml:space="preserve">while addressing </w:t>
            </w:r>
            <w:r>
              <w:rPr>
                <w:rFonts w:eastAsia="Times New Roman" w:cs="Arial"/>
                <w:szCs w:val="22"/>
              </w:rPr>
              <w:t>the applicant</w:t>
            </w:r>
            <w:r w:rsidR="005663C4">
              <w:rPr>
                <w:rFonts w:eastAsia="Times New Roman" w:cs="Arial"/>
                <w:szCs w:val="22"/>
              </w:rPr>
              <w:t>’</w:t>
            </w:r>
            <w:r>
              <w:rPr>
                <w:rFonts w:eastAsia="Times New Roman" w:cs="Arial"/>
                <w:szCs w:val="22"/>
              </w:rPr>
              <w:t>s</w:t>
            </w:r>
            <w:r w:rsidR="00D824A8">
              <w:rPr>
                <w:rFonts w:eastAsia="Times New Roman" w:cs="Arial"/>
                <w:szCs w:val="22"/>
              </w:rPr>
              <w:t xml:space="preserve"> </w:t>
            </w:r>
            <w:r>
              <w:rPr>
                <w:rFonts w:eastAsia="Times New Roman" w:cs="Arial"/>
                <w:szCs w:val="22"/>
              </w:rPr>
              <w:t xml:space="preserve">strategic challenges and leveraging its core competencies and strategic advantages. </w:t>
            </w:r>
            <w:r w:rsidR="00D824A8">
              <w:rPr>
                <w:rFonts w:eastAsia="Times New Roman" w:cs="Arial"/>
                <w:szCs w:val="22"/>
              </w:rPr>
              <w:t>In particular, t</w:t>
            </w:r>
            <w:r>
              <w:rPr>
                <w:rFonts w:eastAsia="Times New Roman" w:cs="Arial"/>
                <w:szCs w:val="22"/>
              </w:rPr>
              <w:t xml:space="preserve">he </w:t>
            </w:r>
            <w:r w:rsidR="00066937">
              <w:rPr>
                <w:rFonts w:eastAsia="Times New Roman" w:cs="Arial"/>
                <w:szCs w:val="22"/>
              </w:rPr>
              <w:t>applicant</w:t>
            </w:r>
            <w:r w:rsidR="005663C4">
              <w:rPr>
                <w:rFonts w:eastAsia="Times New Roman" w:cs="Arial"/>
                <w:szCs w:val="22"/>
              </w:rPr>
              <w:t>’</w:t>
            </w:r>
            <w:r w:rsidR="00066937">
              <w:rPr>
                <w:rFonts w:eastAsia="Times New Roman" w:cs="Arial"/>
                <w:szCs w:val="22"/>
              </w:rPr>
              <w:t>s strategic objectives</w:t>
            </w:r>
            <w:r>
              <w:rPr>
                <w:rFonts w:eastAsia="Times New Roman" w:cs="Arial"/>
                <w:szCs w:val="22"/>
              </w:rPr>
              <w:t xml:space="preserve"> do not appear to address the key changes </w:t>
            </w:r>
            <w:r w:rsidR="00D824A8">
              <w:rPr>
                <w:rFonts w:eastAsia="Times New Roman" w:cs="Arial"/>
                <w:szCs w:val="22"/>
              </w:rPr>
              <w:t xml:space="preserve">planned </w:t>
            </w:r>
            <w:r>
              <w:rPr>
                <w:rFonts w:eastAsia="Times New Roman" w:cs="Arial"/>
                <w:szCs w:val="22"/>
              </w:rPr>
              <w:t>for educational programs</w:t>
            </w:r>
            <w:r w:rsidR="0066475A">
              <w:rPr>
                <w:rFonts w:eastAsia="Times New Roman" w:cs="Arial"/>
                <w:szCs w:val="22"/>
              </w:rPr>
              <w:t xml:space="preserve"> </w:t>
            </w:r>
            <w:r w:rsidR="0066475A">
              <w:t>and</w:t>
            </w:r>
            <w:r>
              <w:rPr>
                <w:rFonts w:eastAsia="Times New Roman" w:cs="Arial"/>
                <w:szCs w:val="22"/>
              </w:rPr>
              <w:t xml:space="preserve"> competitive changes</w:t>
            </w:r>
            <w:r w:rsidR="00D824A8">
              <w:rPr>
                <w:rFonts w:eastAsia="Times New Roman" w:cs="Arial"/>
                <w:szCs w:val="22"/>
              </w:rPr>
              <w:t>,</w:t>
            </w:r>
            <w:r>
              <w:rPr>
                <w:rFonts w:eastAsia="Times New Roman" w:cs="Arial"/>
                <w:szCs w:val="22"/>
              </w:rPr>
              <w:t xml:space="preserve"> or </w:t>
            </w:r>
            <w:r w:rsidR="00D824A8">
              <w:rPr>
                <w:rFonts w:eastAsia="Times New Roman" w:cs="Arial"/>
                <w:szCs w:val="22"/>
              </w:rPr>
              <w:t xml:space="preserve">to address </w:t>
            </w:r>
            <w:r>
              <w:rPr>
                <w:rFonts w:eastAsia="Times New Roman" w:cs="Arial"/>
                <w:szCs w:val="22"/>
              </w:rPr>
              <w:t>strategic challenges such as decreased state funding and differentiation of multiple student segments</w:t>
            </w:r>
            <w:r w:rsidR="005663C4">
              <w:rPr>
                <w:rFonts w:eastAsia="Times New Roman" w:cs="Arial"/>
                <w:szCs w:val="22"/>
              </w:rPr>
              <w:t>’</w:t>
            </w:r>
            <w:r>
              <w:rPr>
                <w:rFonts w:eastAsia="Times New Roman" w:cs="Arial"/>
                <w:szCs w:val="22"/>
              </w:rPr>
              <w:t xml:space="preserve"> learning needs. </w:t>
            </w:r>
            <w:r w:rsidR="00066937">
              <w:rPr>
                <w:rFonts w:eastAsia="Times New Roman" w:cs="Arial"/>
                <w:szCs w:val="22"/>
              </w:rPr>
              <w:t xml:space="preserve">Without </w:t>
            </w:r>
            <w:r>
              <w:rPr>
                <w:rFonts w:eastAsia="Times New Roman" w:cs="Arial"/>
                <w:szCs w:val="22"/>
              </w:rPr>
              <w:t>addressing these key areas</w:t>
            </w:r>
            <w:r w:rsidR="00066937">
              <w:rPr>
                <w:rFonts w:eastAsia="Times New Roman" w:cs="Arial"/>
                <w:szCs w:val="22"/>
              </w:rPr>
              <w:t>,</w:t>
            </w:r>
            <w:r>
              <w:rPr>
                <w:rFonts w:eastAsia="Times New Roman" w:cs="Arial"/>
                <w:szCs w:val="22"/>
              </w:rPr>
              <w:t xml:space="preserve"> </w:t>
            </w:r>
            <w:r w:rsidR="00066937">
              <w:rPr>
                <w:rFonts w:eastAsia="Times New Roman" w:cs="Arial"/>
                <w:szCs w:val="22"/>
              </w:rPr>
              <w:t xml:space="preserve">the applicant may limit its ability </w:t>
            </w:r>
            <w:r>
              <w:rPr>
                <w:rFonts w:eastAsia="Times New Roman" w:cs="Arial"/>
                <w:szCs w:val="22"/>
              </w:rPr>
              <w:t>to achieve its vision of being the best in the nation in a highly competitive and changing environment.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03C726BC" w14:textId="77777777" w:rsidR="0066475A" w:rsidRDefault="000A11B9">
            <w:pPr>
              <w:rPr>
                <w:rFonts w:eastAsia="Times New Roman" w:cs="Arial"/>
                <w:szCs w:val="22"/>
              </w:rPr>
            </w:pPr>
            <w:r>
              <w:rPr>
                <w:rFonts w:eastAsia="Times New Roman" w:cs="Arial"/>
                <w:szCs w:val="22"/>
              </w:rPr>
              <w:t xml:space="preserve">Stakeholders are involved in the SPP </w:t>
            </w:r>
            <w:r w:rsidR="00FC7C2D">
              <w:rPr>
                <w:rFonts w:eastAsia="Times New Roman" w:cs="Arial"/>
                <w:szCs w:val="22"/>
              </w:rPr>
              <w:t>retreat,</w:t>
            </w:r>
            <w:r>
              <w:rPr>
                <w:rFonts w:eastAsia="Times New Roman" w:cs="Arial"/>
                <w:szCs w:val="22"/>
              </w:rPr>
              <w:t xml:space="preserve"> but it is not clear how their needs are balanced and become part of the goals and action plans. </w:t>
            </w:r>
          </w:p>
          <w:p w14:paraId="10D9227E" w14:textId="2B1EA694" w:rsidR="0066475A" w:rsidRDefault="000A11B9">
            <w:pPr>
              <w:rPr>
                <w:rFonts w:eastAsia="Times New Roman" w:cs="Arial"/>
                <w:szCs w:val="22"/>
              </w:rPr>
            </w:pPr>
            <w:r>
              <w:rPr>
                <w:rFonts w:eastAsia="Times New Roman" w:cs="Arial"/>
                <w:szCs w:val="22"/>
              </w:rPr>
              <w:t>S</w:t>
            </w:r>
            <w:r w:rsidR="00066937">
              <w:rPr>
                <w:rFonts w:eastAsia="Times New Roman" w:cs="Arial"/>
                <w:szCs w:val="22"/>
              </w:rPr>
              <w:t>trategic objectives</w:t>
            </w:r>
            <w:r>
              <w:rPr>
                <w:rFonts w:eastAsia="Times New Roman" w:cs="Arial"/>
                <w:szCs w:val="22"/>
              </w:rPr>
              <w:t xml:space="preserve"> relate to the design and assessment of the curriculum as goals,</w:t>
            </w:r>
            <w:r w:rsidR="00FC7C2D">
              <w:rPr>
                <w:rFonts w:eastAsia="Times New Roman" w:cs="Arial"/>
                <w:szCs w:val="22"/>
              </w:rPr>
              <w:t xml:space="preserve"> </w:t>
            </w:r>
            <w:r>
              <w:rPr>
                <w:rFonts w:eastAsia="Times New Roman" w:cs="Arial"/>
                <w:szCs w:val="22"/>
              </w:rPr>
              <w:t>action plans</w:t>
            </w:r>
            <w:r w:rsidR="00FC7C2D">
              <w:rPr>
                <w:rFonts w:eastAsia="Times New Roman" w:cs="Arial"/>
                <w:szCs w:val="22"/>
              </w:rPr>
              <w:t>,</w:t>
            </w:r>
            <w:r>
              <w:rPr>
                <w:rFonts w:eastAsia="Times New Roman" w:cs="Arial"/>
                <w:szCs w:val="22"/>
              </w:rPr>
              <w:t xml:space="preserve"> and initiatives did not include measurable learning outcomes.</w:t>
            </w:r>
            <w:r w:rsidR="00FC7C2D">
              <w:rPr>
                <w:rFonts w:eastAsia="Times New Roman" w:cs="Arial"/>
                <w:szCs w:val="22"/>
              </w:rPr>
              <w:t xml:space="preserve"> </w:t>
            </w:r>
            <w:r>
              <w:rPr>
                <w:rFonts w:eastAsia="Times New Roman" w:cs="Arial"/>
                <w:szCs w:val="22"/>
              </w:rPr>
              <w:t xml:space="preserve">There were no financial measures indicated in the </w:t>
            </w:r>
            <w:r w:rsidR="00066937">
              <w:rPr>
                <w:rFonts w:eastAsia="Times New Roman" w:cs="Arial"/>
                <w:szCs w:val="22"/>
              </w:rPr>
              <w:t>objectives</w:t>
            </w:r>
            <w:r>
              <w:rPr>
                <w:rFonts w:eastAsia="Times New Roman" w:cs="Arial"/>
                <w:szCs w:val="22"/>
              </w:rPr>
              <w:t xml:space="preserve"> (Fig</w:t>
            </w:r>
            <w:r w:rsidR="00066937">
              <w:rPr>
                <w:rFonts w:eastAsia="Times New Roman" w:cs="Arial"/>
                <w:szCs w:val="22"/>
              </w:rPr>
              <w:t>.</w:t>
            </w:r>
            <w:r>
              <w:rPr>
                <w:rFonts w:eastAsia="Times New Roman" w:cs="Arial"/>
                <w:szCs w:val="22"/>
              </w:rPr>
              <w:t xml:space="preserve"> 2.1-2). It is hard to determine which are ST and which are LT needs unless you assume O-KPIs are </w:t>
            </w:r>
            <w:r w:rsidR="00DF6C38">
              <w:rPr>
                <w:rFonts w:eastAsia="Times New Roman" w:cs="Arial"/>
                <w:szCs w:val="22"/>
              </w:rPr>
              <w:t xml:space="preserve">for </w:t>
            </w:r>
            <w:r>
              <w:rPr>
                <w:rFonts w:eastAsia="Times New Roman" w:cs="Arial"/>
                <w:szCs w:val="22"/>
              </w:rPr>
              <w:t xml:space="preserve">short term. </w:t>
            </w:r>
          </w:p>
          <w:p w14:paraId="3283496E" w14:textId="3422340D" w:rsidR="00D824A8" w:rsidRDefault="000A11B9">
            <w:pPr>
              <w:rPr>
                <w:rFonts w:eastAsia="Times New Roman" w:cs="Arial"/>
                <w:szCs w:val="22"/>
              </w:rPr>
            </w:pPr>
            <w:r>
              <w:rPr>
                <w:rFonts w:eastAsia="Times New Roman" w:cs="Arial"/>
                <w:szCs w:val="22"/>
              </w:rPr>
              <w:t xml:space="preserve">This comment was noted by </w:t>
            </w:r>
            <w:r w:rsidR="00D824A8">
              <w:rPr>
                <w:rFonts w:eastAsia="Times New Roman" w:cs="Arial"/>
                <w:szCs w:val="22"/>
              </w:rPr>
              <w:t>4</w:t>
            </w:r>
            <w:r>
              <w:rPr>
                <w:rFonts w:eastAsia="Times New Roman" w:cs="Arial"/>
                <w:szCs w:val="22"/>
              </w:rPr>
              <w:t xml:space="preserve"> examiners</w:t>
            </w:r>
            <w:r w:rsidR="00D824A8">
              <w:rPr>
                <w:rFonts w:eastAsia="Times New Roman" w:cs="Arial"/>
                <w:szCs w:val="22"/>
              </w:rPr>
              <w:t xml:space="preserve"> </w:t>
            </w:r>
            <w:r>
              <w:rPr>
                <w:rFonts w:eastAsia="Times New Roman" w:cs="Arial"/>
                <w:szCs w:val="22"/>
              </w:rPr>
              <w:t>(</w:t>
            </w:r>
            <w:r w:rsidR="0066475A">
              <w:rPr>
                <w:rFonts w:eastAsia="Times New Roman" w:cs="Arial"/>
                <w:szCs w:val="22"/>
              </w:rPr>
              <w:t xml:space="preserve">Ex2, </w:t>
            </w:r>
            <w:r w:rsidR="007B4856">
              <w:rPr>
                <w:rFonts w:eastAsia="Times New Roman" w:cs="Arial"/>
                <w:szCs w:val="22"/>
              </w:rPr>
              <w:t>Ex3</w:t>
            </w:r>
            <w:r>
              <w:rPr>
                <w:rFonts w:eastAsia="Times New Roman" w:cs="Arial"/>
                <w:szCs w:val="22"/>
              </w:rPr>
              <w:t xml:space="preserve">, </w:t>
            </w:r>
            <w:r w:rsidR="0066475A">
              <w:rPr>
                <w:rFonts w:eastAsia="Times New Roman" w:cs="Arial"/>
                <w:szCs w:val="22"/>
              </w:rPr>
              <w:t>Ex5,</w:t>
            </w:r>
            <w:r w:rsidR="0066475A">
              <w:t xml:space="preserve"> </w:t>
            </w:r>
            <w:r w:rsidR="007B4856">
              <w:rPr>
                <w:rFonts w:eastAsia="Times New Roman" w:cs="Arial"/>
                <w:szCs w:val="22"/>
              </w:rPr>
              <w:t>Ex7</w:t>
            </w:r>
            <w:r>
              <w:rPr>
                <w:rFonts w:eastAsia="Times New Roman" w:cs="Arial"/>
                <w:szCs w:val="22"/>
              </w:rPr>
              <w:t>)</w:t>
            </w:r>
            <w:r w:rsidR="00D824A8">
              <w:rPr>
                <w:rFonts w:eastAsia="Times New Roman" w:cs="Arial"/>
                <w:szCs w:val="22"/>
              </w:rPr>
              <w:t>.</w:t>
            </w:r>
          </w:p>
          <w:p w14:paraId="71A4C72B" w14:textId="77777777" w:rsidR="005E22BD" w:rsidRDefault="00D824A8">
            <w:pPr>
              <w:rPr>
                <w:rFonts w:eastAsia="Times New Roman" w:cs="Arial"/>
                <w:szCs w:val="22"/>
              </w:rPr>
            </w:pPr>
            <w:r>
              <w:rPr>
                <w:rFonts w:eastAsia="Times New Roman" w:cs="Arial"/>
                <w:szCs w:val="22"/>
              </w:rPr>
              <w:t>AI</w:t>
            </w:r>
          </w:p>
        </w:tc>
        <w:tc>
          <w:tcPr>
            <w:tcW w:w="0" w:type="auto"/>
            <w:tcBorders>
              <w:bottom w:val="single" w:sz="6" w:space="0" w:color="000000"/>
              <w:right w:val="single" w:sz="6" w:space="0" w:color="000000"/>
            </w:tcBorders>
            <w:tcMar>
              <w:top w:w="75" w:type="dxa"/>
              <w:left w:w="75" w:type="dxa"/>
              <w:bottom w:w="75" w:type="dxa"/>
              <w:right w:w="75" w:type="dxa"/>
            </w:tcMar>
            <w:hideMark/>
          </w:tcPr>
          <w:p w14:paraId="59799E07" w14:textId="77777777" w:rsidR="005E22BD" w:rsidRDefault="000A11B9">
            <w:pPr>
              <w:rPr>
                <w:rFonts w:eastAsia="Times New Roman" w:cs="Arial"/>
                <w:szCs w:val="22"/>
              </w:rPr>
            </w:pPr>
            <w:r>
              <w:rPr>
                <w:rFonts w:eastAsia="Times New Roman" w:cs="Arial"/>
                <w:szCs w:val="22"/>
              </w:rPr>
              <w:t>b(2)</w:t>
            </w:r>
          </w:p>
        </w:tc>
      </w:tr>
      <w:tr w:rsidR="005E22BD" w14:paraId="6619E269"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C32947A"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B770062" w14:textId="41056D86" w:rsidR="005E22BD" w:rsidRDefault="00354444">
            <w:pPr>
              <w:rPr>
                <w:rFonts w:eastAsia="Times New Roman" w:cs="Arial"/>
                <w:szCs w:val="22"/>
              </w:rPr>
            </w:pPr>
            <w:r>
              <w:rPr>
                <w:rFonts w:eastAsia="Times New Roman" w:cs="Arial"/>
                <w:szCs w:val="22"/>
              </w:rPr>
              <w:t>I</w:t>
            </w:r>
            <w:r w:rsidR="003B1DF4">
              <w:rPr>
                <w:rFonts w:eastAsia="Times New Roman" w:cs="Arial"/>
                <w:szCs w:val="22"/>
              </w:rPr>
              <w:t>t is not clear how the applicant determines what core competencies it will need in the future</w:t>
            </w:r>
            <w:r>
              <w:rPr>
                <w:rFonts w:eastAsia="Times New Roman" w:cs="Arial"/>
                <w:szCs w:val="22"/>
              </w:rPr>
              <w:t xml:space="preserve"> or how it includes the core competencies of suppliers and partners in this determination</w:t>
            </w:r>
            <w:r w:rsidR="003B1DF4">
              <w:rPr>
                <w:rFonts w:eastAsia="Times New Roman" w:cs="Arial"/>
                <w:szCs w:val="22"/>
              </w:rPr>
              <w:t>.</w:t>
            </w:r>
            <w:r w:rsidDel="003B1DF4">
              <w:rPr>
                <w:rFonts w:eastAsia="Times New Roman" w:cs="Arial"/>
                <w:szCs w:val="22"/>
              </w:rPr>
              <w:t xml:space="preserve"> </w:t>
            </w:r>
            <w:r>
              <w:rPr>
                <w:rFonts w:eastAsia="Times New Roman" w:cs="Arial"/>
                <w:szCs w:val="22"/>
              </w:rPr>
              <w:t>Considering the applicant</w:t>
            </w:r>
            <w:r w:rsidR="005663C4">
              <w:rPr>
                <w:rFonts w:eastAsia="Times New Roman" w:cs="Arial"/>
                <w:szCs w:val="22"/>
              </w:rPr>
              <w:t>’</w:t>
            </w:r>
            <w:r>
              <w:rPr>
                <w:rFonts w:eastAsia="Times New Roman" w:cs="Arial"/>
                <w:szCs w:val="22"/>
              </w:rPr>
              <w:t xml:space="preserve">s need for the </w:t>
            </w:r>
            <w:r>
              <w:rPr>
                <w:rFonts w:eastAsia="Times New Roman" w:cs="Arial"/>
                <w:szCs w:val="22"/>
              </w:rPr>
              <w:lastRenderedPageBreak/>
              <w:t xml:space="preserve">core competencies of technology partners, the need to understand and meet the needs of rural students, and the changing demographics of students in a more diverse learning environment, </w:t>
            </w:r>
            <w:r w:rsidR="00DF6C38">
              <w:rPr>
                <w:rFonts w:eastAsia="Times New Roman" w:cs="Arial"/>
                <w:szCs w:val="22"/>
              </w:rPr>
              <w:t>a systematic approach in this area</w:t>
            </w:r>
            <w:r w:rsidR="000A11B9">
              <w:rPr>
                <w:rFonts w:eastAsia="Times New Roman" w:cs="Arial"/>
                <w:szCs w:val="22"/>
              </w:rPr>
              <w:t xml:space="preserve"> may help the </w:t>
            </w:r>
            <w:r w:rsidR="00C74F71">
              <w:rPr>
                <w:rFonts w:eastAsia="Times New Roman" w:cs="Arial"/>
                <w:szCs w:val="22"/>
              </w:rPr>
              <w:t>applicant</w:t>
            </w:r>
            <w:r w:rsidR="000A11B9">
              <w:rPr>
                <w:rFonts w:eastAsia="Times New Roman" w:cs="Arial"/>
                <w:szCs w:val="22"/>
              </w:rPr>
              <w:t xml:space="preserve"> </w:t>
            </w:r>
            <w:r>
              <w:rPr>
                <w:rFonts w:eastAsia="Times New Roman" w:cs="Arial"/>
                <w:szCs w:val="22"/>
              </w:rPr>
              <w:t xml:space="preserve">sustain </w:t>
            </w:r>
            <w:r w:rsidR="000A11B9">
              <w:rPr>
                <w:rFonts w:eastAsia="Times New Roman" w:cs="Arial"/>
                <w:szCs w:val="22"/>
              </w:rPr>
              <w:t>its strategic advantage of student success outcomes.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F569760" w14:textId="77777777" w:rsidR="00D824A8" w:rsidRDefault="000A11B9">
            <w:pPr>
              <w:rPr>
                <w:rFonts w:eastAsia="Times New Roman" w:cs="Arial"/>
                <w:szCs w:val="22"/>
              </w:rPr>
            </w:pPr>
            <w:r>
              <w:rPr>
                <w:rFonts w:eastAsia="Times New Roman" w:cs="Arial"/>
                <w:szCs w:val="22"/>
              </w:rPr>
              <w:lastRenderedPageBreak/>
              <w:t>OFI was noted by three examiners (</w:t>
            </w:r>
            <w:r w:rsidR="007B4856">
              <w:rPr>
                <w:rFonts w:eastAsia="Times New Roman" w:cs="Arial"/>
                <w:szCs w:val="22"/>
              </w:rPr>
              <w:t>Ex3</w:t>
            </w:r>
            <w:r>
              <w:rPr>
                <w:rFonts w:eastAsia="Times New Roman" w:cs="Arial"/>
                <w:szCs w:val="22"/>
              </w:rPr>
              <w:t>,</w:t>
            </w:r>
            <w:r w:rsidR="00D824A8">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Pr>
                <w:rFonts w:eastAsia="Times New Roman" w:cs="Arial"/>
                <w:szCs w:val="22"/>
              </w:rPr>
              <w:t>). This OFI address</w:t>
            </w:r>
            <w:r w:rsidR="00D824A8">
              <w:rPr>
                <w:rFonts w:eastAsia="Times New Roman" w:cs="Arial"/>
                <w:szCs w:val="22"/>
              </w:rPr>
              <w:t>es AI at</w:t>
            </w:r>
            <w:r>
              <w:rPr>
                <w:rFonts w:eastAsia="Times New Roman" w:cs="Arial"/>
                <w:szCs w:val="22"/>
              </w:rPr>
              <w:t xml:space="preserve"> the multiple level. Needs include the involvement of core competencies of technology partners, understanding and meeting the needs of rural students and </w:t>
            </w:r>
            <w:r>
              <w:rPr>
                <w:rFonts w:eastAsia="Times New Roman" w:cs="Arial"/>
                <w:szCs w:val="22"/>
              </w:rPr>
              <w:lastRenderedPageBreak/>
              <w:t xml:space="preserve">changing demographics of students in a more diverse learning environment. Some of these areas are mentioned briefly in the strategic goals without specific timelines other than improvements in results annually. </w:t>
            </w:r>
          </w:p>
          <w:p w14:paraId="47FA2DBE" w14:textId="0FA5BA54" w:rsidR="005E22BD" w:rsidRDefault="000A11B9">
            <w:pPr>
              <w:rPr>
                <w:rFonts w:eastAsia="Times New Roman" w:cs="Arial"/>
                <w:szCs w:val="22"/>
              </w:rPr>
            </w:pPr>
            <w:r>
              <w:rPr>
                <w:rFonts w:eastAsia="Times New Roman" w:cs="Arial"/>
                <w:szCs w:val="22"/>
              </w:rPr>
              <w:t>One concern</w:t>
            </w:r>
            <w:r w:rsidR="005E3D0E">
              <w:rPr>
                <w:rFonts w:eastAsia="Times New Roman" w:cs="Arial"/>
                <w:szCs w:val="22"/>
              </w:rPr>
              <w:t xml:space="preserve"> </w:t>
            </w:r>
            <w:r w:rsidR="007815E2">
              <w:rPr>
                <w:rFonts w:eastAsia="Times New Roman" w:cs="Arial"/>
                <w:szCs w:val="22"/>
              </w:rPr>
              <w:t>of</w:t>
            </w:r>
            <w:r>
              <w:rPr>
                <w:rFonts w:eastAsia="Times New Roman" w:cs="Arial"/>
                <w:szCs w:val="22"/>
              </w:rPr>
              <w:t xml:space="preserve"> the consensus team </w:t>
            </w:r>
            <w:r w:rsidR="007815E2">
              <w:rPr>
                <w:rFonts w:eastAsia="Times New Roman" w:cs="Arial"/>
                <w:szCs w:val="22"/>
              </w:rPr>
              <w:t>regards</w:t>
            </w:r>
            <w:r>
              <w:rPr>
                <w:rFonts w:eastAsia="Times New Roman" w:cs="Arial"/>
                <w:szCs w:val="22"/>
              </w:rPr>
              <w:t xml:space="preserve"> RBM</w:t>
            </w:r>
            <w:r w:rsidR="00D824A8">
              <w:rPr>
                <w:rFonts w:eastAsia="Times New Roman" w:cs="Arial"/>
                <w:szCs w:val="22"/>
              </w:rPr>
              <w:t>—</w:t>
            </w:r>
            <w:r>
              <w:rPr>
                <w:rFonts w:eastAsia="Times New Roman" w:cs="Arial"/>
                <w:szCs w:val="22"/>
              </w:rPr>
              <w:t xml:space="preserve">the relationship management firm used extensively in </w:t>
            </w:r>
            <w:r w:rsidR="00D824A8">
              <w:rPr>
                <w:rFonts w:eastAsia="Times New Roman" w:cs="Arial"/>
                <w:szCs w:val="22"/>
              </w:rPr>
              <w:t xml:space="preserve">item </w:t>
            </w:r>
            <w:r>
              <w:rPr>
                <w:rFonts w:eastAsia="Times New Roman" w:cs="Arial"/>
                <w:szCs w:val="22"/>
              </w:rPr>
              <w:t>3.1. A great deal of important work is done by this supplier with no evidence of what would happen if this supplier changed and where the supplier backup information might be available.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3B9B321" w14:textId="77777777" w:rsidR="005E22BD" w:rsidRDefault="000A11B9">
            <w:pPr>
              <w:rPr>
                <w:rFonts w:eastAsia="Times New Roman" w:cs="Arial"/>
                <w:szCs w:val="22"/>
              </w:rPr>
            </w:pPr>
            <w:r>
              <w:rPr>
                <w:rFonts w:eastAsia="Times New Roman" w:cs="Arial"/>
                <w:szCs w:val="22"/>
              </w:rPr>
              <w:lastRenderedPageBreak/>
              <w:t>a(4)</w:t>
            </w:r>
          </w:p>
        </w:tc>
      </w:tr>
      <w:tr w:rsidR="005E22BD" w14:paraId="4D462FCF"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0A0FC5CB"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A23A296" w14:textId="068606ED" w:rsidR="005E22BD" w:rsidRDefault="00354444">
            <w:pPr>
              <w:rPr>
                <w:rFonts w:eastAsia="Times New Roman" w:cs="Arial"/>
                <w:szCs w:val="22"/>
              </w:rPr>
            </w:pPr>
            <w:r>
              <w:rPr>
                <w:rFonts w:eastAsia="Times New Roman" w:cs="Arial"/>
                <w:szCs w:val="22"/>
              </w:rPr>
              <w:t xml:space="preserve">In </w:t>
            </w:r>
            <w:r w:rsidR="00DF6C38">
              <w:rPr>
                <w:rFonts w:eastAsia="Times New Roman" w:cs="Arial"/>
                <w:szCs w:val="22"/>
              </w:rPr>
              <w:t>the applicant’s</w:t>
            </w:r>
            <w:r>
              <w:rPr>
                <w:rFonts w:eastAsia="Times New Roman" w:cs="Arial"/>
                <w:szCs w:val="22"/>
              </w:rPr>
              <w:t xml:space="preserve"> </w:t>
            </w:r>
            <w:r w:rsidR="000A11B9">
              <w:rPr>
                <w:rFonts w:eastAsia="Times New Roman" w:cs="Arial"/>
                <w:szCs w:val="22"/>
              </w:rPr>
              <w:t>collection and analysis of data</w:t>
            </w:r>
            <w:r>
              <w:rPr>
                <w:rFonts w:eastAsia="Times New Roman" w:cs="Arial"/>
                <w:szCs w:val="22"/>
              </w:rPr>
              <w:t>, it is unclear</w:t>
            </w:r>
            <w:r w:rsidR="000A11B9">
              <w:rPr>
                <w:rFonts w:eastAsia="Times New Roman" w:cs="Arial"/>
                <w:szCs w:val="22"/>
              </w:rPr>
              <w:t xml:space="preserve"> how </w:t>
            </w:r>
            <w:r w:rsidR="00DF6C38">
              <w:rPr>
                <w:rFonts w:eastAsia="Times New Roman" w:cs="Arial"/>
                <w:szCs w:val="22"/>
              </w:rPr>
              <w:t>it</w:t>
            </w:r>
            <w:r w:rsidR="000A11B9">
              <w:rPr>
                <w:rFonts w:eastAsia="Times New Roman" w:cs="Arial"/>
                <w:szCs w:val="22"/>
              </w:rPr>
              <w:t xml:space="preserve"> engages its technolog</w:t>
            </w:r>
            <w:r w:rsidR="00FE33BF">
              <w:rPr>
                <w:rFonts w:eastAsia="Times New Roman" w:cs="Arial"/>
                <w:szCs w:val="22"/>
              </w:rPr>
              <w:t>y</w:t>
            </w:r>
            <w:r w:rsidR="000A11B9">
              <w:rPr>
                <w:rFonts w:eastAsia="Times New Roman" w:cs="Arial"/>
                <w:szCs w:val="22"/>
              </w:rPr>
              <w:t xml:space="preserve"> partners to assess changes and innovations in technology. For example, it is unclear how the applicant engages </w:t>
            </w:r>
            <w:r>
              <w:rPr>
                <w:rFonts w:eastAsia="Times New Roman" w:cs="Arial"/>
                <w:szCs w:val="22"/>
              </w:rPr>
              <w:t xml:space="preserve">these </w:t>
            </w:r>
            <w:r w:rsidR="000A11B9">
              <w:rPr>
                <w:rFonts w:eastAsia="Times New Roman" w:cs="Arial"/>
                <w:szCs w:val="22"/>
              </w:rPr>
              <w:t>partners to anticipate</w:t>
            </w:r>
            <w:r>
              <w:rPr>
                <w:rFonts w:eastAsia="Times New Roman" w:cs="Arial"/>
                <w:szCs w:val="22"/>
              </w:rPr>
              <w:t xml:space="preserve"> and </w:t>
            </w:r>
            <w:r w:rsidR="000A11B9">
              <w:rPr>
                <w:rFonts w:eastAsia="Times New Roman" w:cs="Arial"/>
                <w:szCs w:val="22"/>
              </w:rPr>
              <w:t>prepare for</w:t>
            </w:r>
            <w:r>
              <w:rPr>
                <w:rFonts w:eastAsia="Times New Roman" w:cs="Arial"/>
                <w:szCs w:val="22"/>
              </w:rPr>
              <w:t xml:space="preserve"> technological</w:t>
            </w:r>
            <w:r w:rsidR="000A11B9">
              <w:rPr>
                <w:rFonts w:eastAsia="Times New Roman" w:cs="Arial"/>
                <w:szCs w:val="22"/>
              </w:rPr>
              <w:t xml:space="preserve"> disruptions and in the use of the IRA tool to minimize risk. Given changes such as</w:t>
            </w:r>
            <w:r w:rsidR="0066475A">
              <w:rPr>
                <w:rFonts w:eastAsia="Times New Roman" w:cs="Arial"/>
                <w:szCs w:val="22"/>
              </w:rPr>
              <w:t xml:space="preserve"> </w:t>
            </w:r>
            <w:r w:rsidR="0066475A">
              <w:t>the</w:t>
            </w:r>
            <w:r w:rsidR="000A11B9">
              <w:rPr>
                <w:rFonts w:eastAsia="Times New Roman" w:cs="Arial"/>
                <w:szCs w:val="22"/>
              </w:rPr>
              <w:t xml:space="preserve"> increased use of technology in STEM programs and the decrease in state funding, </w:t>
            </w:r>
            <w:r w:rsidR="000635DD">
              <w:rPr>
                <w:rFonts w:eastAsia="Times New Roman" w:cs="Arial"/>
                <w:szCs w:val="22"/>
              </w:rPr>
              <w:t xml:space="preserve">an approach in this area </w:t>
            </w:r>
            <w:r w:rsidR="000A11B9">
              <w:rPr>
                <w:rFonts w:eastAsia="Times New Roman" w:cs="Arial"/>
                <w:szCs w:val="22"/>
              </w:rPr>
              <w:t>may help the applicant address the risk of not having adequate resources to execute its strategic plan.</w:t>
            </w:r>
          </w:p>
        </w:tc>
        <w:tc>
          <w:tcPr>
            <w:tcW w:w="0" w:type="auto"/>
            <w:tcBorders>
              <w:bottom w:val="single" w:sz="6" w:space="0" w:color="000000"/>
              <w:right w:val="single" w:sz="6" w:space="0" w:color="000000"/>
            </w:tcBorders>
            <w:tcMar>
              <w:top w:w="75" w:type="dxa"/>
              <w:left w:w="75" w:type="dxa"/>
              <w:bottom w:w="75" w:type="dxa"/>
              <w:right w:w="75" w:type="dxa"/>
            </w:tcMar>
            <w:hideMark/>
          </w:tcPr>
          <w:p w14:paraId="0C884102" w14:textId="489E3BB8" w:rsidR="00FE33BF" w:rsidRDefault="000A11B9">
            <w:pPr>
              <w:rPr>
                <w:rFonts w:eastAsia="Times New Roman" w:cs="Arial"/>
                <w:szCs w:val="22"/>
              </w:rPr>
            </w:pPr>
            <w:r>
              <w:rPr>
                <w:rFonts w:eastAsia="Times New Roman" w:cs="Arial"/>
                <w:szCs w:val="22"/>
              </w:rPr>
              <w:t xml:space="preserve">This approach OFI was noted by </w:t>
            </w:r>
            <w:r w:rsidR="0066475A">
              <w:rPr>
                <w:rFonts w:eastAsia="Times New Roman" w:cs="Arial"/>
                <w:szCs w:val="22"/>
              </w:rPr>
              <w:t>5</w:t>
            </w:r>
            <w:r w:rsidR="0066475A">
              <w:t xml:space="preserve"> </w:t>
            </w:r>
            <w:r>
              <w:rPr>
                <w:rFonts w:eastAsia="Times New Roman" w:cs="Arial"/>
                <w:szCs w:val="22"/>
              </w:rPr>
              <w:t>examiners relative to the multiple</w:t>
            </w:r>
            <w:r w:rsidR="00FD460C">
              <w:rPr>
                <w:rFonts w:eastAsia="Times New Roman" w:cs="Arial"/>
                <w:szCs w:val="22"/>
              </w:rPr>
              <w:t xml:space="preserve"> C</w:t>
            </w:r>
            <w:r>
              <w:rPr>
                <w:rFonts w:eastAsia="Times New Roman" w:cs="Arial"/>
                <w:szCs w:val="22"/>
              </w:rPr>
              <w:t>riteria</w:t>
            </w:r>
            <w:r w:rsidR="00FD460C">
              <w:rPr>
                <w:rFonts w:eastAsia="Times New Roman" w:cs="Arial"/>
                <w:szCs w:val="22"/>
              </w:rPr>
              <w:t xml:space="preserve"> questions</w:t>
            </w:r>
            <w:r>
              <w:rPr>
                <w:rFonts w:eastAsia="Times New Roman" w:cs="Arial"/>
                <w:szCs w:val="22"/>
              </w:rPr>
              <w:t xml:space="preserve"> (</w:t>
            </w:r>
            <w:r w:rsidR="007B4856">
              <w:rPr>
                <w:rFonts w:eastAsia="Times New Roman" w:cs="Arial"/>
                <w:szCs w:val="22"/>
              </w:rPr>
              <w:t>Ex3</w:t>
            </w:r>
            <w:r>
              <w:rPr>
                <w:rFonts w:eastAsia="Times New Roman" w:cs="Arial"/>
                <w:szCs w:val="22"/>
              </w:rPr>
              <w:t>,</w:t>
            </w:r>
            <w:r w:rsidR="0066475A">
              <w:rPr>
                <w:rFonts w:eastAsia="Times New Roman" w:cs="Arial"/>
                <w:szCs w:val="22"/>
              </w:rPr>
              <w:t xml:space="preserve"> Ex4,</w:t>
            </w:r>
            <w:r>
              <w:rPr>
                <w:rFonts w:eastAsia="Times New Roman" w:cs="Arial"/>
                <w:szCs w:val="22"/>
              </w:rPr>
              <w:t xml:space="preserve"> </w:t>
            </w:r>
            <w:r w:rsidR="0066475A">
              <w:rPr>
                <w:rFonts w:eastAsia="Times New Roman" w:cs="Arial"/>
                <w:szCs w:val="22"/>
              </w:rPr>
              <w:t>Ex5, Ex6,</w:t>
            </w:r>
            <w:r w:rsidR="0066475A">
              <w:t xml:space="preserve"> </w:t>
            </w:r>
            <w:r w:rsidR="007B4856">
              <w:rPr>
                <w:rFonts w:eastAsia="Times New Roman" w:cs="Arial"/>
                <w:szCs w:val="22"/>
              </w:rPr>
              <w:t>Ex7</w:t>
            </w:r>
            <w:r>
              <w:rPr>
                <w:rFonts w:eastAsia="Times New Roman" w:cs="Arial"/>
                <w:szCs w:val="22"/>
              </w:rPr>
              <w:t xml:space="preserve">). Different multiple areas were noted by different examiners. </w:t>
            </w:r>
          </w:p>
          <w:p w14:paraId="642123EA" w14:textId="6749928E" w:rsidR="005E22BD" w:rsidRDefault="000A11B9">
            <w:pPr>
              <w:rPr>
                <w:rFonts w:eastAsia="Times New Roman" w:cs="Arial"/>
                <w:szCs w:val="22"/>
              </w:rPr>
            </w:pPr>
            <w:r>
              <w:rPr>
                <w:rFonts w:eastAsia="Times New Roman" w:cs="Arial"/>
                <w:szCs w:val="22"/>
              </w:rPr>
              <w:t>Especially noted was lack of comments on potential changes in regulatory and the external environment</w:t>
            </w:r>
            <w:r w:rsidR="000635DD">
              <w:rPr>
                <w:rFonts w:eastAsia="Times New Roman" w:cs="Arial"/>
                <w:szCs w:val="22"/>
              </w:rPr>
              <w:t>;</w:t>
            </w:r>
            <w:r>
              <w:rPr>
                <w:rFonts w:eastAsia="Times New Roman" w:cs="Arial"/>
                <w:szCs w:val="22"/>
              </w:rPr>
              <w:t xml:space="preserve"> technological changes and innovations that may come from partners, collaborators, and suppliers</w:t>
            </w:r>
            <w:r w:rsidR="000635DD">
              <w:rPr>
                <w:rFonts w:eastAsia="Times New Roman" w:cs="Arial"/>
                <w:szCs w:val="22"/>
              </w:rPr>
              <w:t>;</w:t>
            </w:r>
            <w:r>
              <w:rPr>
                <w:rFonts w:eastAsia="Times New Roman" w:cs="Arial"/>
                <w:szCs w:val="22"/>
              </w:rPr>
              <w:t xml:space="preserve"> the ability to address potential blind spots</w:t>
            </w:r>
            <w:r w:rsidR="000635DD">
              <w:rPr>
                <w:rFonts w:eastAsia="Times New Roman" w:cs="Arial"/>
                <w:szCs w:val="22"/>
              </w:rPr>
              <w:t>;</w:t>
            </w:r>
            <w:r>
              <w:rPr>
                <w:rFonts w:eastAsia="Times New Roman" w:cs="Arial"/>
                <w:szCs w:val="22"/>
              </w:rPr>
              <w:t xml:space="preserve"> and the ability to execute the plan.</w:t>
            </w:r>
          </w:p>
        </w:tc>
        <w:tc>
          <w:tcPr>
            <w:tcW w:w="0" w:type="auto"/>
            <w:tcBorders>
              <w:bottom w:val="single" w:sz="6" w:space="0" w:color="000000"/>
              <w:right w:val="single" w:sz="6" w:space="0" w:color="000000"/>
            </w:tcBorders>
            <w:tcMar>
              <w:top w:w="75" w:type="dxa"/>
              <w:left w:w="75" w:type="dxa"/>
              <w:bottom w:w="75" w:type="dxa"/>
              <w:right w:w="75" w:type="dxa"/>
            </w:tcMar>
            <w:hideMark/>
          </w:tcPr>
          <w:p w14:paraId="666BB686" w14:textId="77777777" w:rsidR="005E22BD" w:rsidRDefault="000A11B9">
            <w:pPr>
              <w:rPr>
                <w:rFonts w:eastAsia="Times New Roman" w:cs="Arial"/>
                <w:szCs w:val="22"/>
              </w:rPr>
            </w:pPr>
            <w:r>
              <w:rPr>
                <w:rFonts w:eastAsia="Times New Roman" w:cs="Arial"/>
                <w:szCs w:val="22"/>
              </w:rPr>
              <w:t>a(3)</w:t>
            </w:r>
          </w:p>
        </w:tc>
      </w:tr>
    </w:tbl>
    <w:p w14:paraId="18A4FF14" w14:textId="6CF89D21" w:rsidR="005E22BD" w:rsidRDefault="000A11B9">
      <w:pPr>
        <w:pStyle w:val="Heading4"/>
        <w:divId w:val="905190427"/>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224"/>
      </w:tblGrid>
      <w:tr w:rsidR="009D4C55" w14:paraId="44DEC429" w14:textId="77777777" w:rsidTr="009D4C55">
        <w:trPr>
          <w:divId w:val="905190427"/>
        </w:trPr>
        <w:tc>
          <w:tcPr>
            <w:tcW w:w="10224" w:type="dxa"/>
          </w:tcPr>
          <w:p w14:paraId="15043803" w14:textId="77777777" w:rsidR="009D4C55" w:rsidRPr="009D4C55" w:rsidRDefault="009D4C55" w:rsidP="009D4C55">
            <w:pPr>
              <w:rPr>
                <w:rFonts w:eastAsia="Times New Roman"/>
              </w:rPr>
            </w:pPr>
            <w:r w:rsidRPr="009D4C55">
              <w:rPr>
                <w:rFonts w:eastAsia="Times New Roman"/>
              </w:rPr>
              <w:t>Examiners were really varied on OFIs, with not a lot in any one area.</w:t>
            </w:r>
          </w:p>
          <w:p w14:paraId="3725EC15" w14:textId="5DE58EC0" w:rsidR="009D4C55" w:rsidRDefault="009D4C55" w:rsidP="009D4C55">
            <w:pPr>
              <w:rPr>
                <w:rFonts w:eastAsia="Times New Roman"/>
              </w:rPr>
            </w:pPr>
            <w:r w:rsidRPr="009D4C55">
              <w:rPr>
                <w:rFonts w:eastAsia="Times New Roman"/>
              </w:rPr>
              <w:t>a(1): Two examiners (Ex4, Ex6) noted in a(1) the need for change, prioritization of change initiatives, and resilience, but a(1) was left as a strength. No comments were doubled.</w:t>
            </w:r>
          </w:p>
        </w:tc>
      </w:tr>
    </w:tbl>
    <w:p w14:paraId="3159F1B4" w14:textId="5C70A83A" w:rsidR="005E22BD" w:rsidRDefault="000A11B9">
      <w:pPr>
        <w:pStyle w:val="Heading3"/>
        <w:divId w:val="905190427"/>
        <w:rPr>
          <w:rFonts w:eastAsia="Times New Roman" w:cs="Arial"/>
        </w:rPr>
      </w:pPr>
      <w:r>
        <w:rPr>
          <w:rFonts w:eastAsia="Times New Roman" w:cs="Arial"/>
        </w:rPr>
        <w:t>Scoring</w:t>
      </w:r>
    </w:p>
    <w:tbl>
      <w:tblPr>
        <w:tblStyle w:val="TableGrid"/>
        <w:tblW w:w="0" w:type="auto"/>
        <w:tblLook w:val="04A0" w:firstRow="1" w:lastRow="0" w:firstColumn="1" w:lastColumn="0" w:noHBand="0" w:noVBand="1"/>
      </w:tblPr>
      <w:tblGrid>
        <w:gridCol w:w="10224"/>
      </w:tblGrid>
      <w:tr w:rsidR="009D4C55" w14:paraId="63E66DD6" w14:textId="77777777" w:rsidTr="009D4C55">
        <w:trPr>
          <w:divId w:val="905190427"/>
        </w:trPr>
        <w:tc>
          <w:tcPr>
            <w:tcW w:w="10224" w:type="dxa"/>
          </w:tcPr>
          <w:p w14:paraId="25C49424"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60</w:t>
            </w:r>
          </w:p>
          <w:p w14:paraId="0173EF97"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57BB2468" w14:textId="2E5FD6C0" w:rsidR="009D4C55" w:rsidRDefault="009D4C55" w:rsidP="009D4C55">
            <w:pPr>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Score should not be below as the applicant has answered the overall questions, rather than the basic</w:t>
            </w:r>
            <w:r>
              <w:rPr>
                <w:rStyle w:val="Strong"/>
                <w:rFonts w:eastAsia="Times New Roman" w:cs="Arial"/>
                <w:b w:val="0"/>
                <w:bCs w:val="0"/>
                <w:szCs w:val="22"/>
              </w:rPr>
              <w:t>;</w:t>
            </w:r>
            <w:r w:rsidRPr="00FD460C">
              <w:rPr>
                <w:rStyle w:val="Strong"/>
                <w:rFonts w:eastAsia="Times New Roman" w:cs="Arial"/>
                <w:b w:val="0"/>
                <w:bCs w:val="0"/>
                <w:szCs w:val="22"/>
              </w:rPr>
              <w:t xml:space="preserve"> processes appeared to be well deployed with benefit of doubt; fact-based PDCA improvement is noted</w:t>
            </w:r>
            <w:r w:rsidR="00B868DF">
              <w:rPr>
                <w:rStyle w:val="Strong"/>
                <w:rFonts w:eastAsia="Times New Roman" w:cs="Arial"/>
                <w:b w:val="0"/>
                <w:bCs w:val="0"/>
                <w:szCs w:val="22"/>
              </w:rPr>
              <w:t xml:space="preserve"> and</w:t>
            </w:r>
            <w:r w:rsidRPr="00FD460C">
              <w:rPr>
                <w:rStyle w:val="Strong"/>
                <w:rFonts w:eastAsia="Times New Roman" w:cs="Arial"/>
                <w:b w:val="0"/>
                <w:bCs w:val="0"/>
                <w:szCs w:val="22"/>
              </w:rPr>
              <w:t xml:space="preserve"> innovation was listed as a strength</w:t>
            </w:r>
            <w:r w:rsidR="00B868DF">
              <w:rPr>
                <w:rStyle w:val="Strong"/>
                <w:rFonts w:eastAsia="Times New Roman" w:cs="Arial"/>
                <w:b w:val="0"/>
                <w:bCs w:val="0"/>
                <w:szCs w:val="22"/>
              </w:rPr>
              <w:t>;</w:t>
            </w:r>
            <w:r w:rsidRPr="00FD460C">
              <w:rPr>
                <w:rStyle w:val="Strong"/>
                <w:rFonts w:eastAsia="Times New Roman" w:cs="Arial"/>
                <w:b w:val="0"/>
                <w:bCs w:val="0"/>
                <w:szCs w:val="22"/>
              </w:rPr>
              <w:t xml:space="preserve"> and the approach is well aligned with overall needs in the </w:t>
            </w:r>
            <w:r>
              <w:rPr>
                <w:rStyle w:val="Strong"/>
                <w:rFonts w:eastAsia="Times New Roman" w:cs="Arial"/>
                <w:b w:val="0"/>
                <w:bCs w:val="0"/>
                <w:szCs w:val="22"/>
              </w:rPr>
              <w:t>O</w:t>
            </w:r>
            <w:r w:rsidRPr="00FD460C">
              <w:rPr>
                <w:rStyle w:val="Strong"/>
                <w:rFonts w:eastAsia="Times New Roman" w:cs="Arial"/>
                <w:b w:val="0"/>
                <w:bCs w:val="0"/>
                <w:szCs w:val="22"/>
              </w:rPr>
              <w:t>rg</w:t>
            </w:r>
            <w:r>
              <w:rPr>
                <w:rStyle w:val="Strong"/>
                <w:rFonts w:eastAsia="Times New Roman" w:cs="Arial"/>
                <w:b w:val="0"/>
                <w:bCs w:val="0"/>
                <w:szCs w:val="22"/>
              </w:rPr>
              <w:t>.</w:t>
            </w:r>
            <w:r w:rsidRPr="00FD460C">
              <w:rPr>
                <w:rStyle w:val="Strong"/>
                <w:rFonts w:eastAsia="Times New Roman" w:cs="Arial"/>
                <w:b w:val="0"/>
                <w:bCs w:val="0"/>
                <w:szCs w:val="22"/>
              </w:rPr>
              <w:t xml:space="preserve"> </w:t>
            </w:r>
            <w:r>
              <w:rPr>
                <w:rStyle w:val="Strong"/>
                <w:rFonts w:eastAsia="Times New Roman" w:cs="Arial"/>
                <w:b w:val="0"/>
                <w:bCs w:val="0"/>
                <w:szCs w:val="22"/>
              </w:rPr>
              <w:t>P</w:t>
            </w:r>
            <w:r w:rsidRPr="00FD460C">
              <w:rPr>
                <w:rStyle w:val="Strong"/>
                <w:rFonts w:eastAsia="Times New Roman" w:cs="Arial"/>
                <w:b w:val="0"/>
                <w:bCs w:val="0"/>
                <w:szCs w:val="22"/>
              </w:rPr>
              <w:t xml:space="preserve">rofile. </w:t>
            </w:r>
          </w:p>
          <w:p w14:paraId="41709E99" w14:textId="77777777" w:rsidR="009D4C55" w:rsidRDefault="009D4C55" w:rsidP="009D4C55">
            <w:pPr>
              <w:rPr>
                <w:rStyle w:val="Strong"/>
                <w:rFonts w:eastAsia="Times New Roman" w:cs="Arial"/>
                <w:b w:val="0"/>
                <w:bCs w:val="0"/>
                <w:szCs w:val="22"/>
              </w:rPr>
            </w:pPr>
            <w:r w:rsidRPr="00FD460C">
              <w:rPr>
                <w:rStyle w:val="Strong"/>
                <w:rFonts w:eastAsia="Times New Roman" w:cs="Arial"/>
                <w:b w:val="0"/>
                <w:bCs w:val="0"/>
                <w:szCs w:val="22"/>
              </w:rPr>
              <w:t xml:space="preserve">It is not in the higher range of </w:t>
            </w:r>
            <w:r>
              <w:rPr>
                <w:rStyle w:val="Strong"/>
                <w:rFonts w:eastAsia="Times New Roman" w:cs="Arial"/>
                <w:b w:val="0"/>
                <w:bCs w:val="0"/>
                <w:szCs w:val="22"/>
              </w:rPr>
              <w:t>70–85</w:t>
            </w:r>
            <w:r w:rsidRPr="00FD460C">
              <w:rPr>
                <w:rStyle w:val="Strong"/>
                <w:rFonts w:eastAsia="Times New Roman" w:cs="Arial"/>
                <w:b w:val="0"/>
                <w:bCs w:val="0"/>
                <w:szCs w:val="22"/>
              </w:rPr>
              <w:t xml:space="preserve">% as the applicant does not respond to several key elements for many of the multiple questions for approach, deployment is not clear among all areas </w:t>
            </w:r>
            <w:r>
              <w:rPr>
                <w:rStyle w:val="Strong"/>
                <w:rFonts w:eastAsia="Times New Roman" w:cs="Arial"/>
                <w:b w:val="0"/>
                <w:bCs w:val="0"/>
                <w:szCs w:val="22"/>
              </w:rPr>
              <w:t>(</w:t>
            </w:r>
            <w:r w:rsidRPr="00FD460C">
              <w:rPr>
                <w:rStyle w:val="Strong"/>
                <w:rFonts w:eastAsia="Times New Roman" w:cs="Arial"/>
                <w:b w:val="0"/>
                <w:bCs w:val="0"/>
                <w:szCs w:val="22"/>
              </w:rPr>
              <w:t>e.g.</w:t>
            </w:r>
            <w:r>
              <w:rPr>
                <w:rStyle w:val="Strong"/>
                <w:rFonts w:eastAsia="Times New Roman" w:cs="Arial"/>
                <w:b w:val="0"/>
                <w:bCs w:val="0"/>
                <w:szCs w:val="22"/>
              </w:rPr>
              <w:t>,</w:t>
            </w:r>
            <w:r w:rsidRPr="00FD460C">
              <w:rPr>
                <w:rStyle w:val="Strong"/>
                <w:rFonts w:eastAsia="Times New Roman" w:cs="Arial"/>
                <w:b w:val="0"/>
                <w:bCs w:val="0"/>
                <w:szCs w:val="22"/>
              </w:rPr>
              <w:t xml:space="preserve"> suppliers, partners</w:t>
            </w:r>
            <w:r>
              <w:rPr>
                <w:rStyle w:val="Strong"/>
                <w:rFonts w:eastAsia="Times New Roman" w:cs="Arial"/>
                <w:b w:val="0"/>
                <w:bCs w:val="0"/>
                <w:szCs w:val="22"/>
              </w:rPr>
              <w:t>)</w:t>
            </w:r>
            <w:r w:rsidRPr="00FD460C">
              <w:rPr>
                <w:rStyle w:val="Strong"/>
                <w:rFonts w:eastAsia="Times New Roman" w:cs="Arial"/>
                <w:b w:val="0"/>
                <w:bCs w:val="0"/>
                <w:szCs w:val="22"/>
              </w:rPr>
              <w:t xml:space="preserve">, and it is not clear if the approach is integrated for future needs. </w:t>
            </w:r>
          </w:p>
          <w:p w14:paraId="18811958" w14:textId="3DD6EE8C" w:rsidR="009D4C55" w:rsidRDefault="009D4C55" w:rsidP="009D4C55">
            <w:pPr>
              <w:rPr>
                <w:rStyle w:val="Strong"/>
                <w:rFonts w:eastAsia="Times New Roman" w:cs="Arial"/>
                <w:b w:val="0"/>
                <w:bCs w:val="0"/>
                <w:szCs w:val="22"/>
              </w:rPr>
            </w:pPr>
            <w:r w:rsidRPr="00FD460C">
              <w:rPr>
                <w:rStyle w:val="Strong"/>
                <w:rFonts w:eastAsia="Times New Roman" w:cs="Arial"/>
                <w:b w:val="0"/>
                <w:bCs w:val="0"/>
                <w:szCs w:val="22"/>
              </w:rPr>
              <w:t xml:space="preserve">The score is at the higher end of the range based on the strength of the </w:t>
            </w:r>
            <w:r w:rsidR="00B868DF">
              <w:rPr>
                <w:rStyle w:val="Strong"/>
                <w:rFonts w:eastAsia="Times New Roman" w:cs="Arial"/>
                <w:b w:val="0"/>
                <w:bCs w:val="0"/>
                <w:szCs w:val="22"/>
              </w:rPr>
              <w:t>S</w:t>
            </w:r>
            <w:r w:rsidRPr="00FD460C">
              <w:rPr>
                <w:rStyle w:val="Strong"/>
                <w:rFonts w:eastAsia="Times New Roman" w:cs="Arial"/>
                <w:b w:val="0"/>
                <w:bCs w:val="0"/>
                <w:szCs w:val="22"/>
              </w:rPr>
              <w:t xml:space="preserve">trategic </w:t>
            </w:r>
            <w:r w:rsidR="00B868DF">
              <w:rPr>
                <w:rStyle w:val="Strong"/>
                <w:rFonts w:eastAsia="Times New Roman" w:cs="Arial"/>
                <w:b w:val="0"/>
                <w:bCs w:val="0"/>
                <w:szCs w:val="22"/>
              </w:rPr>
              <w:t>P</w:t>
            </w:r>
            <w:r w:rsidRPr="00FD460C">
              <w:rPr>
                <w:rStyle w:val="Strong"/>
                <w:rFonts w:eastAsia="Times New Roman" w:cs="Arial"/>
                <w:b w:val="0"/>
                <w:bCs w:val="0"/>
                <w:szCs w:val="22"/>
              </w:rPr>
              <w:t xml:space="preserve">lanning </w:t>
            </w:r>
            <w:r w:rsidR="00B868DF">
              <w:rPr>
                <w:rStyle w:val="Strong"/>
                <w:rFonts w:eastAsia="Times New Roman" w:cs="Arial"/>
                <w:b w:val="0"/>
                <w:bCs w:val="0"/>
                <w:szCs w:val="22"/>
              </w:rPr>
              <w:t>P</w:t>
            </w:r>
            <w:r w:rsidRPr="00FD460C">
              <w:rPr>
                <w:rStyle w:val="Strong"/>
                <w:rFonts w:eastAsia="Times New Roman" w:cs="Arial"/>
                <w:b w:val="0"/>
                <w:bCs w:val="0"/>
                <w:szCs w:val="22"/>
              </w:rPr>
              <w:t xml:space="preserve">rocess itself and use of PDCA for improvement. </w:t>
            </w:r>
          </w:p>
          <w:p w14:paraId="1752F0A3" w14:textId="2E2F60FB" w:rsidR="009D4C55" w:rsidRDefault="009D4C55" w:rsidP="009D4C55">
            <w:pPr>
              <w:rPr>
                <w:rFonts w:eastAsia="Times New Roman"/>
              </w:rPr>
            </w:pPr>
            <w:r w:rsidRPr="00FD460C">
              <w:rPr>
                <w:rStyle w:val="Strong"/>
                <w:rFonts w:eastAsia="Times New Roman" w:cs="Arial"/>
                <w:b w:val="0"/>
                <w:bCs w:val="0"/>
                <w:szCs w:val="22"/>
              </w:rPr>
              <w:t>Recommend a score of 60 based on the balance of strengths and OFIs, with one strength</w:t>
            </w:r>
            <w:r>
              <w:rPr>
                <w:rStyle w:val="Strong"/>
                <w:rFonts w:eastAsia="Times New Roman" w:cs="Arial"/>
                <w:b w:val="0"/>
                <w:bCs w:val="0"/>
                <w:szCs w:val="22"/>
              </w:rPr>
              <w:t xml:space="preserve"> doubled</w:t>
            </w:r>
            <w:r w:rsidRPr="00FD460C">
              <w:rPr>
                <w:rStyle w:val="Strong"/>
                <w:rFonts w:eastAsia="Times New Roman" w:cs="Arial"/>
                <w:b w:val="0"/>
                <w:bCs w:val="0"/>
                <w:szCs w:val="22"/>
              </w:rPr>
              <w:t>.</w:t>
            </w:r>
          </w:p>
        </w:tc>
      </w:tr>
    </w:tbl>
    <w:p w14:paraId="6C7CBC0D" w14:textId="77777777" w:rsidR="00050D3F" w:rsidRDefault="00050D3F">
      <w:pPr>
        <w:spacing w:after="0"/>
        <w:rPr>
          <w:rFonts w:eastAsia="Times New Roman"/>
        </w:rPr>
      </w:pPr>
      <w:r>
        <w:rPr>
          <w:rFonts w:eastAsia="Times New Roman"/>
        </w:rPr>
        <w:br w:type="page"/>
      </w:r>
    </w:p>
    <w:p w14:paraId="121CD9FC"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2.2</w:t>
      </w:r>
    </w:p>
    <w:p w14:paraId="77E36618" w14:textId="77777777" w:rsidR="005E22BD" w:rsidRDefault="000A11B9">
      <w:pPr>
        <w:pStyle w:val="Heading2"/>
        <w:divId w:val="905190427"/>
        <w:rPr>
          <w:rFonts w:eastAsia="Times New Roman" w:cs="Arial"/>
        </w:rPr>
      </w:pPr>
      <w:r>
        <w:rPr>
          <w:rFonts w:eastAsia="Times New Roman" w:cs="Arial"/>
        </w:rPr>
        <w:t>Strategy Implementation</w:t>
      </w:r>
    </w:p>
    <w:p w14:paraId="69D0A6D8" w14:textId="77777777" w:rsidR="005E22BD" w:rsidRDefault="000A11B9">
      <w:pPr>
        <w:pStyle w:val="Heading3"/>
        <w:divId w:val="905190427"/>
        <w:rPr>
          <w:rFonts w:eastAsia="Times New Roman" w:cs="Arial"/>
        </w:rPr>
      </w:pPr>
      <w:r>
        <w:rPr>
          <w:rFonts w:eastAsia="Times New Roman" w:cs="Arial"/>
        </w:rPr>
        <w:t>Relevant Key Factors</w:t>
      </w:r>
    </w:p>
    <w:p w14:paraId="049D9DB0" w14:textId="52A1AD6F" w:rsidR="005E22BD" w:rsidRDefault="000A11B9">
      <w:pPr>
        <w:numPr>
          <w:ilvl w:val="0"/>
          <w:numId w:val="8"/>
        </w:numPr>
        <w:spacing w:before="100" w:beforeAutospacing="1" w:after="100" w:afterAutospacing="1"/>
        <w:divId w:val="905190427"/>
        <w:rPr>
          <w:rFonts w:eastAsia="Times New Roman" w:cs="Arial"/>
          <w:szCs w:val="22"/>
        </w:rPr>
      </w:pPr>
      <w:r>
        <w:rPr>
          <w:rFonts w:eastAsia="Times New Roman" w:cs="Arial"/>
          <w:szCs w:val="22"/>
        </w:rPr>
        <w:t xml:space="preserve">CC3: </w:t>
      </w:r>
      <w:r w:rsidRPr="00FB4E86">
        <w:rPr>
          <w:rFonts w:eastAsia="Times New Roman" w:cs="Arial"/>
          <w:szCs w:val="22"/>
        </w:rPr>
        <w:t>Maintain expert, up-to-date workforce</w:t>
      </w:r>
      <w:r w:rsidR="0066475A">
        <w:rPr>
          <w:rFonts w:eastAsia="Times New Roman" w:cs="Arial"/>
          <w:szCs w:val="22"/>
        </w:rPr>
        <w:t>.</w:t>
      </w:r>
    </w:p>
    <w:p w14:paraId="2DB72E06" w14:textId="38942645" w:rsidR="005E22BD" w:rsidRDefault="00DB6E5E">
      <w:pPr>
        <w:numPr>
          <w:ilvl w:val="0"/>
          <w:numId w:val="8"/>
        </w:numPr>
        <w:spacing w:before="100" w:beforeAutospacing="1" w:after="100" w:afterAutospacing="1"/>
        <w:divId w:val="905190427"/>
        <w:rPr>
          <w:rFonts w:eastAsia="Times New Roman" w:cs="Arial"/>
          <w:szCs w:val="22"/>
        </w:rPr>
      </w:pPr>
      <w:r>
        <w:rPr>
          <w:rFonts w:eastAsia="Times New Roman" w:cs="Arial"/>
          <w:szCs w:val="22"/>
        </w:rPr>
        <w:t>Transfer schools/sister colleges</w:t>
      </w:r>
      <w:r w:rsidR="000A11B9">
        <w:rPr>
          <w:rFonts w:eastAsia="Times New Roman" w:cs="Arial"/>
          <w:szCs w:val="22"/>
        </w:rPr>
        <w:t xml:space="preserve">, </w:t>
      </w:r>
      <w:r>
        <w:rPr>
          <w:rFonts w:eastAsia="Times New Roman" w:cs="Arial"/>
          <w:szCs w:val="22"/>
        </w:rPr>
        <w:t xml:space="preserve">feeder high schools, foundation, donors, alumni association, alumni, </w:t>
      </w:r>
      <w:r w:rsidR="001F46D7">
        <w:rPr>
          <w:rFonts w:eastAsia="Times New Roman" w:cs="Arial"/>
          <w:szCs w:val="22"/>
        </w:rPr>
        <w:t>employers/advisory committees</w:t>
      </w:r>
      <w:r>
        <w:rPr>
          <w:rFonts w:eastAsia="Times New Roman" w:cs="Arial"/>
          <w:szCs w:val="22"/>
        </w:rPr>
        <w:t>, technology partners, local</w:t>
      </w:r>
      <w:r w:rsidR="000A11B9">
        <w:rPr>
          <w:rFonts w:eastAsia="Times New Roman" w:cs="Arial"/>
          <w:szCs w:val="22"/>
        </w:rPr>
        <w:t xml:space="preserve"> community including chamber of commerce</w:t>
      </w:r>
      <w:r w:rsidR="0066475A">
        <w:rPr>
          <w:rFonts w:eastAsia="Times New Roman" w:cs="Arial"/>
          <w:szCs w:val="22"/>
        </w:rPr>
        <w:t>.</w:t>
      </w:r>
    </w:p>
    <w:p w14:paraId="676D61C9" w14:textId="268CF7CA" w:rsidR="005E22BD" w:rsidRDefault="00DB6E5E">
      <w:pPr>
        <w:numPr>
          <w:ilvl w:val="0"/>
          <w:numId w:val="8"/>
        </w:numPr>
        <w:spacing w:before="100" w:beforeAutospacing="1" w:after="100" w:afterAutospacing="1"/>
        <w:divId w:val="905190427"/>
        <w:rPr>
          <w:rFonts w:eastAsia="Times New Roman" w:cs="Arial"/>
          <w:szCs w:val="22"/>
        </w:rPr>
      </w:pPr>
      <w:r>
        <w:rPr>
          <w:rFonts w:eastAsia="Times New Roman" w:cs="Arial"/>
          <w:szCs w:val="22"/>
        </w:rPr>
        <w:t xml:space="preserve">Technology providers, laboratory support providers, service providers </w:t>
      </w:r>
      <w:r w:rsidR="000A11B9">
        <w:rPr>
          <w:rFonts w:eastAsia="Times New Roman" w:cs="Arial"/>
          <w:szCs w:val="22"/>
        </w:rPr>
        <w:t>(bookstore, dining), administrative support</w:t>
      </w:r>
      <w:r w:rsidR="0066475A">
        <w:rPr>
          <w:rFonts w:eastAsia="Times New Roman" w:cs="Arial"/>
          <w:szCs w:val="22"/>
        </w:rPr>
        <w:t>.</w:t>
      </w:r>
    </w:p>
    <w:p w14:paraId="6A4D5267" w14:textId="090AC83E" w:rsidR="005E22BD" w:rsidRDefault="00DB6E5E">
      <w:pPr>
        <w:numPr>
          <w:ilvl w:val="0"/>
          <w:numId w:val="8"/>
        </w:numPr>
        <w:spacing w:before="100" w:beforeAutospacing="1" w:after="100" w:afterAutospacing="1"/>
        <w:divId w:val="905190427"/>
        <w:rPr>
          <w:rFonts w:eastAsia="Times New Roman" w:cs="Arial"/>
          <w:szCs w:val="22"/>
        </w:rPr>
      </w:pPr>
      <w:r>
        <w:rPr>
          <w:rFonts w:eastAsia="Times New Roman" w:cs="Arial"/>
          <w:szCs w:val="22"/>
        </w:rPr>
        <w:t>National/regional</w:t>
      </w:r>
      <w:r w:rsidR="000A11B9">
        <w:rPr>
          <w:rFonts w:eastAsia="Times New Roman" w:cs="Arial"/>
          <w:szCs w:val="22"/>
        </w:rPr>
        <w:t xml:space="preserve"> estimates</w:t>
      </w:r>
      <w:r w:rsidR="00153A64">
        <w:rPr>
          <w:rFonts w:eastAsia="Times New Roman" w:cs="Arial"/>
          <w:szCs w:val="22"/>
        </w:rPr>
        <w:t>:</w:t>
      </w:r>
      <w:r w:rsidR="000A11B9">
        <w:rPr>
          <w:rFonts w:eastAsia="Times New Roman" w:cs="Arial"/>
          <w:szCs w:val="22"/>
        </w:rPr>
        <w:t xml:space="preserve"> declines in high school graduates over next decade; </w:t>
      </w:r>
      <w:r>
        <w:rPr>
          <w:rFonts w:eastAsia="Times New Roman" w:cs="Arial"/>
          <w:szCs w:val="22"/>
        </w:rPr>
        <w:t>lowering of admissions standards of some peers/competitors; development of dual-credit academies, articulation agreements, collaboration</w:t>
      </w:r>
      <w:r w:rsidR="000A11B9">
        <w:rPr>
          <w:rFonts w:eastAsia="Times New Roman" w:cs="Arial"/>
          <w:szCs w:val="22"/>
        </w:rPr>
        <w:t xml:space="preserve"> with local employers to increase entry pathways; </w:t>
      </w:r>
      <w:r w:rsidRPr="00DB6E5E">
        <w:rPr>
          <w:rFonts w:eastAsia="Times New Roman" w:cs="Arial"/>
          <w:szCs w:val="22"/>
        </w:rPr>
        <w:t>i</w:t>
      </w:r>
      <w:r w:rsidR="000A11B9">
        <w:rPr>
          <w:rFonts w:eastAsia="Times New Roman" w:cs="Arial"/>
          <w:szCs w:val="22"/>
        </w:rPr>
        <w:t>ncrease attention on instructor qualifications due to increase in high school enrollment</w:t>
      </w:r>
      <w:r w:rsidR="0066475A">
        <w:rPr>
          <w:rFonts w:eastAsia="Times New Roman" w:cs="Arial"/>
          <w:szCs w:val="22"/>
        </w:rPr>
        <w:t>.</w:t>
      </w:r>
    </w:p>
    <w:p w14:paraId="0C85E4F7" w14:textId="79FD24F5" w:rsidR="00FB4E86" w:rsidRDefault="000A11B9">
      <w:pPr>
        <w:numPr>
          <w:ilvl w:val="0"/>
          <w:numId w:val="8"/>
        </w:numPr>
        <w:spacing w:before="100" w:beforeAutospacing="1" w:after="100" w:afterAutospacing="1"/>
        <w:divId w:val="905190427"/>
        <w:rPr>
          <w:rFonts w:eastAsia="Times New Roman" w:cs="Arial"/>
          <w:szCs w:val="22"/>
        </w:rPr>
      </w:pPr>
      <w:r>
        <w:rPr>
          <w:rFonts w:eastAsia="Times New Roman" w:cs="Arial"/>
          <w:szCs w:val="22"/>
        </w:rPr>
        <w:t xml:space="preserve">Decreased state funding, </w:t>
      </w:r>
      <w:r w:rsidR="00DB6E5E">
        <w:rPr>
          <w:rFonts w:eastAsia="Times New Roman" w:cs="Arial"/>
          <w:szCs w:val="22"/>
        </w:rPr>
        <w:t xml:space="preserve">influx </w:t>
      </w:r>
      <w:r>
        <w:rPr>
          <w:rFonts w:eastAsia="Times New Roman" w:cs="Arial"/>
          <w:szCs w:val="22"/>
        </w:rPr>
        <w:t xml:space="preserve">of </w:t>
      </w:r>
      <w:r w:rsidR="00DB6E5E">
        <w:rPr>
          <w:rFonts w:eastAsia="Times New Roman" w:cs="Arial"/>
          <w:szCs w:val="22"/>
        </w:rPr>
        <w:t>dual-credit</w:t>
      </w:r>
      <w:r>
        <w:rPr>
          <w:rFonts w:eastAsia="Times New Roman" w:cs="Arial"/>
          <w:szCs w:val="22"/>
        </w:rPr>
        <w:t xml:space="preserve"> high school students, increased competition for students, demands </w:t>
      </w:r>
      <w:r w:rsidR="00DB6E5E">
        <w:rPr>
          <w:rFonts w:eastAsia="Times New Roman" w:cs="Arial"/>
          <w:szCs w:val="22"/>
        </w:rPr>
        <w:t>to close achievement gap</w:t>
      </w:r>
      <w:r>
        <w:rPr>
          <w:rFonts w:eastAsia="Times New Roman" w:cs="Arial"/>
          <w:szCs w:val="22"/>
        </w:rPr>
        <w:t xml:space="preserve">, ensuring qualifications of incoming </w:t>
      </w:r>
      <w:r w:rsidR="00DB6E5E">
        <w:rPr>
          <w:rFonts w:eastAsia="Times New Roman" w:cs="Arial"/>
          <w:szCs w:val="22"/>
        </w:rPr>
        <w:t>FT/PT</w:t>
      </w:r>
      <w:r>
        <w:rPr>
          <w:rFonts w:eastAsia="Times New Roman" w:cs="Arial"/>
          <w:szCs w:val="22"/>
        </w:rPr>
        <w:t xml:space="preserve"> faculty</w:t>
      </w:r>
    </w:p>
    <w:p w14:paraId="6726DAF3" w14:textId="35CD3E4B" w:rsidR="005E22BD" w:rsidRDefault="000A11B9">
      <w:pPr>
        <w:numPr>
          <w:ilvl w:val="0"/>
          <w:numId w:val="8"/>
        </w:numPr>
        <w:spacing w:before="100" w:beforeAutospacing="1" w:after="100" w:afterAutospacing="1"/>
        <w:divId w:val="905190427"/>
        <w:rPr>
          <w:rFonts w:eastAsia="Times New Roman" w:cs="Arial"/>
          <w:szCs w:val="22"/>
        </w:rPr>
      </w:pPr>
      <w:r>
        <w:rPr>
          <w:rFonts w:eastAsia="Times New Roman" w:cs="Arial"/>
          <w:szCs w:val="22"/>
        </w:rPr>
        <w:t>Baldrige-based</w:t>
      </w:r>
      <w:r w:rsidR="00C95E51" w:rsidRPr="00C95E51">
        <w:rPr>
          <w:rFonts w:eastAsia="Times New Roman" w:cs="Arial"/>
          <w:szCs w:val="22"/>
        </w:rPr>
        <w:t xml:space="preserve"> </w:t>
      </w:r>
      <w:r w:rsidR="00C95E51">
        <w:rPr>
          <w:rFonts w:eastAsia="Times New Roman" w:cs="Arial"/>
          <w:szCs w:val="22"/>
        </w:rPr>
        <w:t>PDCA</w:t>
      </w:r>
      <w:r>
        <w:rPr>
          <w:rFonts w:eastAsia="Times New Roman" w:cs="Arial"/>
          <w:szCs w:val="22"/>
        </w:rPr>
        <w:t xml:space="preserve">. </w:t>
      </w:r>
      <w:r w:rsidR="00DB6E5E">
        <w:rPr>
          <w:rFonts w:eastAsia="Times New Roman" w:cs="Arial"/>
          <w:szCs w:val="22"/>
        </w:rPr>
        <w:t>External requirements (accreditation, accountability, system</w:t>
      </w:r>
      <w:r w:rsidR="0066475A">
        <w:rPr>
          <w:rFonts w:eastAsia="Times New Roman" w:cs="Arial"/>
          <w:szCs w:val="22"/>
        </w:rPr>
        <w:t>.</w:t>
      </w:r>
      <w:r w:rsidR="00DB6E5E">
        <w:rPr>
          <w:rFonts w:eastAsia="Times New Roman" w:cs="Arial"/>
          <w:szCs w:val="22"/>
        </w:rPr>
        <w:t xml:space="preserve"> requirement) inform internal strategy/measurement</w:t>
      </w:r>
      <w:r>
        <w:rPr>
          <w:rFonts w:eastAsia="Times New Roman" w:cs="Arial"/>
          <w:szCs w:val="22"/>
        </w:rPr>
        <w:t xml:space="preserve"> (strategic plan, </w:t>
      </w:r>
      <w:r w:rsidR="00167A6F">
        <w:rPr>
          <w:rFonts w:eastAsia="Times New Roman" w:cs="Arial"/>
          <w:szCs w:val="22"/>
        </w:rPr>
        <w:t>KPIs</w:t>
      </w:r>
      <w:r>
        <w:rPr>
          <w:rFonts w:eastAsia="Times New Roman" w:cs="Arial"/>
          <w:szCs w:val="22"/>
        </w:rPr>
        <w:t>)</w:t>
      </w:r>
      <w:r w:rsidR="0066475A">
        <w:rPr>
          <w:rFonts w:eastAsia="Times New Roman" w:cs="Arial"/>
          <w:szCs w:val="22"/>
        </w:rPr>
        <w:t>.</w:t>
      </w:r>
    </w:p>
    <w:p w14:paraId="58AA8626"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760"/>
        <w:gridCol w:w="3697"/>
        <w:gridCol w:w="1200"/>
      </w:tblGrid>
      <w:tr w:rsidR="005E22BD" w14:paraId="0DC944C3"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20E952E6"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21DF508"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424E0594"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4638D828"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3DF5723D"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D5F923A"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679AD69" w14:textId="6D59879D" w:rsidR="005E22BD" w:rsidRDefault="000A11B9">
            <w:pPr>
              <w:rPr>
                <w:rFonts w:eastAsia="Times New Roman" w:cs="Arial"/>
                <w:szCs w:val="22"/>
              </w:rPr>
            </w:pPr>
            <w:r>
              <w:rPr>
                <w:rFonts w:eastAsia="Times New Roman" w:cs="Arial"/>
                <w:szCs w:val="22"/>
              </w:rPr>
              <w:t xml:space="preserve">Workforce plans are systematically developed to address key changes and </w:t>
            </w:r>
            <w:r w:rsidR="0066475A">
              <w:rPr>
                <w:rFonts w:eastAsia="Times New Roman" w:cs="Arial"/>
                <w:szCs w:val="22"/>
              </w:rPr>
              <w:t>t</w:t>
            </w:r>
            <w:r w:rsidR="0066475A">
              <w:t xml:space="preserve">heir </w:t>
            </w:r>
            <w:r>
              <w:rPr>
                <w:rFonts w:eastAsia="Times New Roman" w:cs="Arial"/>
                <w:szCs w:val="22"/>
              </w:rPr>
              <w:t xml:space="preserve">impact </w:t>
            </w:r>
            <w:r w:rsidR="0066475A">
              <w:rPr>
                <w:rFonts w:eastAsia="Times New Roman" w:cs="Arial"/>
                <w:szCs w:val="22"/>
              </w:rPr>
              <w:t>o</w:t>
            </w:r>
            <w:r w:rsidR="0066475A">
              <w:t xml:space="preserve">n </w:t>
            </w:r>
            <w:r>
              <w:rPr>
                <w:rFonts w:eastAsia="Times New Roman" w:cs="Arial"/>
                <w:szCs w:val="22"/>
              </w:rPr>
              <w:t>the applicant</w:t>
            </w:r>
            <w:r w:rsidR="005663C4">
              <w:rPr>
                <w:rFonts w:eastAsia="Times New Roman" w:cs="Arial"/>
                <w:szCs w:val="22"/>
              </w:rPr>
              <w:t>’</w:t>
            </w:r>
            <w:r>
              <w:rPr>
                <w:rFonts w:eastAsia="Times New Roman" w:cs="Arial"/>
                <w:szCs w:val="22"/>
              </w:rPr>
              <w:t>s workforce</w:t>
            </w:r>
            <w:r w:rsidR="00484747">
              <w:rPr>
                <w:rFonts w:eastAsia="Times New Roman" w:cs="Arial"/>
                <w:szCs w:val="22"/>
              </w:rPr>
              <w:t>, supporting the applicant’s core competency of maintaining an expert, up-to-date workforce</w:t>
            </w:r>
            <w:r>
              <w:rPr>
                <w:rFonts w:eastAsia="Times New Roman" w:cs="Arial"/>
                <w:szCs w:val="22"/>
              </w:rPr>
              <w:t xml:space="preserve">. The Cap2 Analysis </w:t>
            </w:r>
            <w:r w:rsidR="0066475A">
              <w:rPr>
                <w:rFonts w:eastAsia="Times New Roman" w:cs="Arial"/>
                <w:szCs w:val="22"/>
              </w:rPr>
              <w:t>Process</w:t>
            </w:r>
            <w:r>
              <w:rPr>
                <w:rFonts w:eastAsia="Times New Roman" w:cs="Arial"/>
                <w:szCs w:val="22"/>
              </w:rPr>
              <w:t xml:space="preserve">, a part of </w:t>
            </w:r>
            <w:r w:rsidR="00E80644">
              <w:rPr>
                <w:rFonts w:eastAsia="Times New Roman" w:cs="Arial"/>
                <w:szCs w:val="22"/>
              </w:rPr>
              <w:t>s</w:t>
            </w:r>
            <w:r>
              <w:rPr>
                <w:rFonts w:eastAsia="Times New Roman" w:cs="Arial"/>
                <w:szCs w:val="22"/>
              </w:rPr>
              <w:t xml:space="preserve">tep 2 of the SPP, is integrated with the strategic objectives (SObjs) and </w:t>
            </w:r>
            <w:r w:rsidR="0066475A">
              <w:rPr>
                <w:rFonts w:eastAsia="Times New Roman" w:cs="Arial"/>
                <w:szCs w:val="22"/>
              </w:rPr>
              <w:t>action plans</w:t>
            </w:r>
            <w:r>
              <w:rPr>
                <w:rFonts w:eastAsia="Times New Roman" w:cs="Arial"/>
                <w:szCs w:val="22"/>
              </w:rPr>
              <w:t xml:space="preserve"> (APs). Four workforce plans </w:t>
            </w:r>
            <w:r w:rsidR="00FB4E86">
              <w:rPr>
                <w:rFonts w:eastAsia="Times New Roman" w:cs="Arial"/>
                <w:szCs w:val="22"/>
              </w:rPr>
              <w:t>(</w:t>
            </w:r>
            <w:r>
              <w:rPr>
                <w:rFonts w:eastAsia="Times New Roman" w:cs="Arial"/>
                <w:szCs w:val="22"/>
              </w:rPr>
              <w:t>Figure 2.2-1</w:t>
            </w:r>
            <w:r w:rsidR="00FB4E86">
              <w:rPr>
                <w:rFonts w:eastAsia="Times New Roman" w:cs="Arial"/>
                <w:szCs w:val="22"/>
              </w:rPr>
              <w:t>)</w:t>
            </w:r>
            <w:r>
              <w:rPr>
                <w:rFonts w:eastAsia="Times New Roman" w:cs="Arial"/>
                <w:szCs w:val="22"/>
              </w:rPr>
              <w:t xml:space="preserve"> are aligned to specific SObjs</w:t>
            </w:r>
            <w:r w:rsidR="00FB4E86">
              <w:rPr>
                <w:rFonts w:eastAsia="Times New Roman" w:cs="Arial"/>
                <w:szCs w:val="22"/>
              </w:rPr>
              <w:t>,</w:t>
            </w:r>
            <w:r>
              <w:rPr>
                <w:rFonts w:eastAsia="Times New Roman" w:cs="Arial"/>
                <w:szCs w:val="22"/>
              </w:rPr>
              <w:t xml:space="preserve"> deployed to the </w:t>
            </w:r>
            <w:r w:rsidR="00C74F71">
              <w:rPr>
                <w:rFonts w:eastAsia="Times New Roman" w:cs="Arial"/>
                <w:szCs w:val="22"/>
              </w:rPr>
              <w:t>applicant</w:t>
            </w:r>
            <w:r w:rsidR="005663C4">
              <w:rPr>
                <w:rFonts w:eastAsia="Times New Roman" w:cs="Arial"/>
                <w:szCs w:val="22"/>
              </w:rPr>
              <w:t>’</w:t>
            </w:r>
            <w:r>
              <w:rPr>
                <w:rFonts w:eastAsia="Times New Roman" w:cs="Arial"/>
                <w:szCs w:val="22"/>
              </w:rPr>
              <w:t>s leaders and workforce through the Action Plan Management System (APMS)</w:t>
            </w:r>
            <w:r w:rsidR="00FB4E86">
              <w:rPr>
                <w:rFonts w:eastAsia="Times New Roman" w:cs="Arial"/>
                <w:szCs w:val="22"/>
              </w:rPr>
              <w:t>,</w:t>
            </w:r>
            <w:r>
              <w:rPr>
                <w:rFonts w:eastAsia="Times New Roman" w:cs="Arial"/>
                <w:szCs w:val="22"/>
              </w:rPr>
              <w:t xml:space="preserve"> and reviewed semiannually.</w:t>
            </w:r>
          </w:p>
        </w:tc>
        <w:tc>
          <w:tcPr>
            <w:tcW w:w="0" w:type="auto"/>
            <w:tcBorders>
              <w:bottom w:val="single" w:sz="6" w:space="0" w:color="000000"/>
              <w:right w:val="single" w:sz="6" w:space="0" w:color="000000"/>
            </w:tcBorders>
            <w:tcMar>
              <w:top w:w="75" w:type="dxa"/>
              <w:left w:w="75" w:type="dxa"/>
              <w:bottom w:w="75" w:type="dxa"/>
              <w:right w:w="75" w:type="dxa"/>
            </w:tcMar>
            <w:hideMark/>
          </w:tcPr>
          <w:p w14:paraId="489986BE" w14:textId="49DBDC3B" w:rsidR="00FB4E86" w:rsidRDefault="000A11B9">
            <w:pPr>
              <w:rPr>
                <w:rFonts w:eastAsia="Times New Roman" w:cs="Arial"/>
                <w:szCs w:val="22"/>
              </w:rPr>
            </w:pPr>
            <w:r>
              <w:rPr>
                <w:rFonts w:eastAsia="Times New Roman" w:cs="Arial"/>
                <w:szCs w:val="22"/>
              </w:rPr>
              <w:t>This is noted by</w:t>
            </w:r>
            <w:r w:rsidR="00FB4E86">
              <w:rPr>
                <w:rFonts w:eastAsia="Times New Roman" w:cs="Arial"/>
                <w:szCs w:val="22"/>
              </w:rPr>
              <w:t xml:space="preserve"> </w:t>
            </w:r>
            <w:r w:rsidR="0066475A">
              <w:rPr>
                <w:rFonts w:eastAsia="Times New Roman" w:cs="Arial"/>
                <w:szCs w:val="22"/>
              </w:rPr>
              <w:t>5</w:t>
            </w:r>
            <w:r>
              <w:rPr>
                <w:rFonts w:eastAsia="Times New Roman" w:cs="Arial"/>
                <w:szCs w:val="22"/>
              </w:rPr>
              <w:t xml:space="preserve"> examiners (</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w:t>
            </w:r>
          </w:p>
          <w:p w14:paraId="6BBB6823" w14:textId="77777777" w:rsidR="00FB4E86" w:rsidRDefault="000A11B9">
            <w:pPr>
              <w:rPr>
                <w:rFonts w:eastAsia="Times New Roman" w:cs="Arial"/>
                <w:szCs w:val="22"/>
              </w:rPr>
            </w:pPr>
            <w:r>
              <w:rPr>
                <w:rFonts w:eastAsia="Times New Roman" w:cs="Arial"/>
                <w:szCs w:val="22"/>
              </w:rPr>
              <w:t xml:space="preserve">ADI </w:t>
            </w:r>
          </w:p>
          <w:p w14:paraId="366601E1" w14:textId="77777777" w:rsidR="00FB4E86" w:rsidRDefault="00FB4E86">
            <w:pPr>
              <w:rPr>
                <w:rFonts w:eastAsia="Times New Roman" w:cs="Arial"/>
                <w:szCs w:val="22"/>
              </w:rPr>
            </w:pPr>
            <w:r>
              <w:rPr>
                <w:rFonts w:eastAsia="Times New Roman" w:cs="Arial"/>
                <w:szCs w:val="22"/>
              </w:rPr>
              <w:t>T</w:t>
            </w:r>
            <w:r w:rsidR="000A11B9">
              <w:rPr>
                <w:rFonts w:eastAsia="Times New Roman" w:cs="Arial"/>
                <w:szCs w:val="22"/>
              </w:rPr>
              <w:t xml:space="preserve">he HR team executes the Cap2 Analysis Process involving the review/alignment and creation of new SObjs in step 2 of the SPP to assure appropriate capability and capacity needs. </w:t>
            </w:r>
          </w:p>
          <w:p w14:paraId="28D1D0A7" w14:textId="1D577976" w:rsidR="00FB4E86" w:rsidRDefault="000A11B9">
            <w:pPr>
              <w:rPr>
                <w:rFonts w:eastAsia="Times New Roman" w:cs="Arial"/>
                <w:szCs w:val="22"/>
              </w:rPr>
            </w:pPr>
            <w:r>
              <w:rPr>
                <w:rFonts w:eastAsia="Times New Roman" w:cs="Arial"/>
                <w:szCs w:val="22"/>
              </w:rPr>
              <w:t>WF plans are deployed to the PT, unit leaders</w:t>
            </w:r>
            <w:r w:rsidR="0066475A">
              <w:rPr>
                <w:rFonts w:eastAsia="Times New Roman" w:cs="Arial"/>
                <w:szCs w:val="22"/>
              </w:rPr>
              <w:t>,</w:t>
            </w:r>
            <w:r>
              <w:rPr>
                <w:rFonts w:eastAsia="Times New Roman" w:cs="Arial"/>
                <w:szCs w:val="22"/>
              </w:rPr>
              <w:t xml:space="preserve"> and WF using the APMS</w:t>
            </w:r>
            <w:r w:rsidR="0066475A">
              <w:rPr>
                <w:rFonts w:eastAsia="Times New Roman" w:cs="Arial"/>
                <w:szCs w:val="22"/>
              </w:rPr>
              <w:t>,</w:t>
            </w:r>
            <w:r>
              <w:rPr>
                <w:rFonts w:eastAsia="Times New Roman" w:cs="Arial"/>
                <w:szCs w:val="22"/>
              </w:rPr>
              <w:t xml:space="preserve"> and are integrated with steps 2 &amp; 3 of the SPP. </w:t>
            </w:r>
          </w:p>
          <w:p w14:paraId="14FE762E" w14:textId="51D12C48" w:rsidR="005E22BD" w:rsidRDefault="000A11B9">
            <w:pPr>
              <w:rPr>
                <w:rFonts w:eastAsia="Times New Roman" w:cs="Arial"/>
                <w:szCs w:val="22"/>
              </w:rPr>
            </w:pPr>
            <w:r>
              <w:rPr>
                <w:rFonts w:eastAsia="Times New Roman" w:cs="Arial"/>
                <w:szCs w:val="22"/>
              </w:rPr>
              <w:t xml:space="preserve">This addresses </w:t>
            </w:r>
            <w:r w:rsidR="0066475A">
              <w:rPr>
                <w:rFonts w:eastAsia="Times New Roman" w:cs="Arial"/>
                <w:szCs w:val="22"/>
              </w:rPr>
              <w:t>t</w:t>
            </w:r>
            <w:r w:rsidR="0066475A">
              <w:t>he</w:t>
            </w:r>
            <w:r>
              <w:rPr>
                <w:rFonts w:eastAsia="Times New Roman" w:cs="Arial"/>
                <w:szCs w:val="22"/>
              </w:rPr>
              <w:t xml:space="preserve"> core competency of an expert, up-to-date workforce and also addresses the strategic challenge of ensuring qualifications of incoming full-and part-time faculty.</w:t>
            </w:r>
          </w:p>
        </w:tc>
        <w:tc>
          <w:tcPr>
            <w:tcW w:w="0" w:type="auto"/>
            <w:tcBorders>
              <w:bottom w:val="single" w:sz="6" w:space="0" w:color="000000"/>
              <w:right w:val="single" w:sz="6" w:space="0" w:color="000000"/>
            </w:tcBorders>
            <w:tcMar>
              <w:top w:w="75" w:type="dxa"/>
              <w:left w:w="75" w:type="dxa"/>
              <w:bottom w:w="75" w:type="dxa"/>
              <w:right w:w="75" w:type="dxa"/>
            </w:tcMar>
            <w:hideMark/>
          </w:tcPr>
          <w:p w14:paraId="01087ECF" w14:textId="77777777" w:rsidR="005E22BD" w:rsidRDefault="000A11B9">
            <w:pPr>
              <w:rPr>
                <w:rFonts w:eastAsia="Times New Roman" w:cs="Arial"/>
                <w:szCs w:val="22"/>
              </w:rPr>
            </w:pPr>
            <w:r>
              <w:rPr>
                <w:rFonts w:eastAsia="Times New Roman" w:cs="Arial"/>
                <w:szCs w:val="22"/>
              </w:rPr>
              <w:t>a(4)</w:t>
            </w:r>
          </w:p>
        </w:tc>
      </w:tr>
      <w:tr w:rsidR="005E22BD" w14:paraId="02461509"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C2C59FE"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C851D53" w14:textId="022AED28" w:rsidR="005E22BD" w:rsidRDefault="000A11B9">
            <w:pPr>
              <w:rPr>
                <w:rFonts w:eastAsia="Times New Roman" w:cs="Arial"/>
                <w:szCs w:val="22"/>
              </w:rPr>
            </w:pPr>
            <w:r>
              <w:rPr>
                <w:rFonts w:eastAsia="Times New Roman" w:cs="Arial"/>
                <w:szCs w:val="22"/>
              </w:rPr>
              <w:t>Through its systematic Strategic Resource Allocations (SRA) process</w:t>
            </w:r>
            <w:r w:rsidR="00FB4E86">
              <w:rPr>
                <w:rFonts w:eastAsia="Times New Roman" w:cs="Arial"/>
                <w:szCs w:val="22"/>
              </w:rPr>
              <w:t>,</w:t>
            </w:r>
            <w:r>
              <w:rPr>
                <w:rFonts w:eastAsia="Times New Roman" w:cs="Arial"/>
                <w:szCs w:val="22"/>
              </w:rPr>
              <w:t xml:space="preserve"> the applicant ensures that workforce, financial, and other resources are available to support the achievement of action plans</w:t>
            </w:r>
            <w:r w:rsidR="0066475A">
              <w:rPr>
                <w:rFonts w:eastAsia="Times New Roman" w:cs="Arial"/>
                <w:szCs w:val="22"/>
              </w:rPr>
              <w:t xml:space="preserve"> at a time of declining state funding</w:t>
            </w:r>
            <w:r>
              <w:rPr>
                <w:rFonts w:eastAsia="Times New Roman" w:cs="Arial"/>
                <w:szCs w:val="22"/>
              </w:rPr>
              <w:t>. Step 5 of the SPP includes a review of the budgeting process used by the Finance Committee (CPBT-FC)</w:t>
            </w:r>
            <w:r w:rsidR="00FB4E86">
              <w:rPr>
                <w:rFonts w:eastAsia="Times New Roman" w:cs="Arial"/>
                <w:szCs w:val="22"/>
              </w:rPr>
              <w:t>,</w:t>
            </w:r>
            <w:r>
              <w:rPr>
                <w:rFonts w:eastAsia="Times New Roman" w:cs="Arial"/>
                <w:szCs w:val="22"/>
              </w:rPr>
              <w:t xml:space="preserve"> which ensures that financial resources are </w:t>
            </w:r>
            <w:r>
              <w:rPr>
                <w:rFonts w:eastAsia="Times New Roman" w:cs="Arial"/>
                <w:szCs w:val="22"/>
              </w:rPr>
              <w:lastRenderedPageBreak/>
              <w:t>available to support current or modified action plans</w:t>
            </w:r>
            <w:r w:rsidR="00484747">
              <w:rPr>
                <w:rFonts w:eastAsia="Times New Roman" w:cs="Arial"/>
                <w:szCs w:val="22"/>
              </w:rPr>
              <w:t>. A</w:t>
            </w:r>
            <w:r>
              <w:rPr>
                <w:rFonts w:eastAsia="Times New Roman" w:cs="Arial"/>
                <w:szCs w:val="22"/>
              </w:rPr>
              <w:t xml:space="preserve"> review of the Workforce Process (Cap2) ensure</w:t>
            </w:r>
            <w:r w:rsidR="00484747">
              <w:rPr>
                <w:rFonts w:eastAsia="Times New Roman" w:cs="Arial"/>
                <w:szCs w:val="22"/>
              </w:rPr>
              <w:t>s</w:t>
            </w:r>
            <w:r w:rsidR="008F6C15">
              <w:rPr>
                <w:rFonts w:eastAsia="Times New Roman" w:cs="Arial"/>
                <w:szCs w:val="22"/>
              </w:rPr>
              <w:t xml:space="preserve"> that</w:t>
            </w:r>
            <w:r>
              <w:rPr>
                <w:rFonts w:eastAsia="Times New Roman" w:cs="Arial"/>
                <w:szCs w:val="22"/>
              </w:rPr>
              <w:t xml:space="preserve"> workforce resources are available</w:t>
            </w:r>
            <w:r w:rsidR="003529C5">
              <w:rPr>
                <w:rFonts w:eastAsia="Times New Roman" w:cs="Arial"/>
                <w:szCs w:val="22"/>
              </w:rPr>
              <w:t xml:space="preserve"> to execute the plans</w:t>
            </w:r>
            <w:r>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9C2A789" w14:textId="73FE88DD" w:rsidR="00FC7C2D" w:rsidRDefault="000A11B9">
            <w:pPr>
              <w:rPr>
                <w:rFonts w:eastAsia="Times New Roman" w:cs="Arial"/>
                <w:szCs w:val="22"/>
              </w:rPr>
            </w:pPr>
            <w:r>
              <w:rPr>
                <w:rFonts w:eastAsia="Times New Roman" w:cs="Arial"/>
                <w:szCs w:val="22"/>
              </w:rPr>
              <w:lastRenderedPageBreak/>
              <w:t>Noted by two examiners as a strength (</w:t>
            </w:r>
            <w:r w:rsidR="007B4856">
              <w:rPr>
                <w:rFonts w:eastAsia="Times New Roman" w:cs="Arial"/>
                <w:szCs w:val="22"/>
              </w:rPr>
              <w:t>Ex6</w:t>
            </w:r>
            <w:r>
              <w:rPr>
                <w:rFonts w:eastAsia="Times New Roman" w:cs="Arial"/>
                <w:szCs w:val="22"/>
              </w:rPr>
              <w:t xml:space="preserve">, </w:t>
            </w:r>
            <w:r w:rsidR="007B4856">
              <w:rPr>
                <w:rFonts w:eastAsia="Times New Roman" w:cs="Arial"/>
                <w:szCs w:val="22"/>
              </w:rPr>
              <w:t>Ex7</w:t>
            </w:r>
            <w:r>
              <w:rPr>
                <w:rFonts w:eastAsia="Times New Roman" w:cs="Arial"/>
                <w:szCs w:val="22"/>
              </w:rPr>
              <w:t>)</w:t>
            </w:r>
            <w:r w:rsidR="0066475A">
              <w:rPr>
                <w:rFonts w:eastAsia="Times New Roman" w:cs="Arial"/>
                <w:szCs w:val="22"/>
              </w:rPr>
              <w:t>.</w:t>
            </w:r>
            <w:r>
              <w:rPr>
                <w:rFonts w:eastAsia="Times New Roman" w:cs="Arial"/>
                <w:szCs w:val="22"/>
              </w:rPr>
              <w:t xml:space="preserve"> ADI </w:t>
            </w:r>
          </w:p>
          <w:p w14:paraId="2DB601CA" w14:textId="77777777" w:rsidR="0066475A" w:rsidRDefault="000A11B9">
            <w:r>
              <w:rPr>
                <w:rFonts w:eastAsia="Times New Roman" w:cs="Arial"/>
                <w:szCs w:val="22"/>
              </w:rPr>
              <w:t>The CPBT allocates to each of the colleges based on the number of contact hours and strategic expansion. The PT then distributes funds for AP implementation, taking into account Intelligent Risk Analysis (RA)</w:t>
            </w:r>
            <w:r w:rsidR="0066475A">
              <w:rPr>
                <w:rFonts w:eastAsia="Times New Roman" w:cs="Arial"/>
                <w:szCs w:val="22"/>
              </w:rPr>
              <w:t>.</w:t>
            </w:r>
          </w:p>
          <w:p w14:paraId="7BA1F6F3" w14:textId="47F24947" w:rsidR="005E22BD" w:rsidRDefault="0066475A">
            <w:pPr>
              <w:rPr>
                <w:rFonts w:eastAsia="Times New Roman" w:cs="Arial"/>
                <w:szCs w:val="22"/>
              </w:rPr>
            </w:pPr>
            <w:r>
              <w:rPr>
                <w:rFonts w:eastAsia="Times New Roman" w:cs="Arial"/>
                <w:szCs w:val="22"/>
              </w:rPr>
              <w:lastRenderedPageBreak/>
              <w:t>T</w:t>
            </w:r>
            <w:r w:rsidR="000A11B9">
              <w:rPr>
                <w:rFonts w:eastAsia="Times New Roman" w:cs="Arial"/>
                <w:szCs w:val="22"/>
              </w:rPr>
              <w:t xml:space="preserve">his is a somewhat weak strength. </w:t>
            </w:r>
            <w:r>
              <w:rPr>
                <w:rFonts w:eastAsia="Times New Roman" w:cs="Arial"/>
                <w:szCs w:val="22"/>
              </w:rPr>
              <w:t>Relevance</w:t>
            </w:r>
            <w:r w:rsidR="000A11B9">
              <w:rPr>
                <w:rFonts w:eastAsia="Times New Roman" w:cs="Arial"/>
                <w:szCs w:val="22"/>
              </w:rPr>
              <w:t>, decline in state funding makes this even more important.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F8BD3B9" w14:textId="77777777" w:rsidR="005E22BD" w:rsidRDefault="000A11B9">
            <w:pPr>
              <w:rPr>
                <w:rFonts w:eastAsia="Times New Roman" w:cs="Arial"/>
                <w:szCs w:val="22"/>
              </w:rPr>
            </w:pPr>
            <w:r>
              <w:rPr>
                <w:rFonts w:eastAsia="Times New Roman" w:cs="Arial"/>
                <w:szCs w:val="22"/>
              </w:rPr>
              <w:lastRenderedPageBreak/>
              <w:t>a(3)</w:t>
            </w:r>
          </w:p>
        </w:tc>
      </w:tr>
      <w:tr w:rsidR="005E22BD" w14:paraId="144462C5"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55A1AFEB"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6E6A650" w14:textId="5A0D73C9" w:rsidR="005E22BD" w:rsidRDefault="000A11B9">
            <w:pPr>
              <w:rPr>
                <w:rFonts w:eastAsia="Times New Roman" w:cs="Arial"/>
                <w:szCs w:val="22"/>
              </w:rPr>
            </w:pPr>
            <w:r>
              <w:rPr>
                <w:rFonts w:eastAsia="Times New Roman" w:cs="Arial"/>
                <w:szCs w:val="22"/>
              </w:rPr>
              <w:t>Through its use of</w:t>
            </w:r>
            <w:r w:rsidR="004C103A">
              <w:rPr>
                <w:rFonts w:eastAsia="Times New Roman" w:cs="Arial"/>
                <w:szCs w:val="22"/>
              </w:rPr>
              <w:t xml:space="preserve"> </w:t>
            </w:r>
            <w:r>
              <w:rPr>
                <w:rFonts w:eastAsia="Times New Roman" w:cs="Arial"/>
                <w:szCs w:val="22"/>
              </w:rPr>
              <w:t xml:space="preserve">S-KPIs for longer-term action plans and O-KPIs, the applicant tracks its performance through its Performance Measurement System (PMS). During </w:t>
            </w:r>
            <w:r w:rsidR="008F6C15">
              <w:rPr>
                <w:rFonts w:eastAsia="Times New Roman" w:cs="Arial"/>
                <w:szCs w:val="22"/>
              </w:rPr>
              <w:t>s</w:t>
            </w:r>
            <w:r>
              <w:rPr>
                <w:rFonts w:eastAsia="Times New Roman" w:cs="Arial"/>
                <w:szCs w:val="22"/>
              </w:rPr>
              <w:t>tep 3 of the SPP (Figure 2.1-1)</w:t>
            </w:r>
            <w:r w:rsidR="004C7333">
              <w:rPr>
                <w:rFonts w:eastAsia="Times New Roman" w:cs="Arial"/>
                <w:szCs w:val="22"/>
              </w:rPr>
              <w:t>,</w:t>
            </w:r>
            <w:r>
              <w:rPr>
                <w:rFonts w:eastAsia="Times New Roman" w:cs="Arial"/>
                <w:szCs w:val="22"/>
              </w:rPr>
              <w:t xml:space="preserve"> the PT and unit leaders deploy the action plans through the Action Plan Management System (APMS)</w:t>
            </w:r>
            <w:r w:rsidR="00FB4E86">
              <w:rPr>
                <w:rFonts w:eastAsia="Times New Roman" w:cs="Arial"/>
                <w:szCs w:val="22"/>
              </w:rPr>
              <w:t>,</w:t>
            </w:r>
            <w:r>
              <w:rPr>
                <w:rFonts w:eastAsia="Times New Roman" w:cs="Arial"/>
                <w:szCs w:val="22"/>
              </w:rPr>
              <w:t xml:space="preserve"> which cascades SObjs and S-KPIs down to strategic initiatives/priorities, unit goals, strategies</w:t>
            </w:r>
            <w:r w:rsidR="00FB4E86">
              <w:rPr>
                <w:rFonts w:eastAsia="Times New Roman" w:cs="Arial"/>
                <w:szCs w:val="22"/>
              </w:rPr>
              <w:t>,</w:t>
            </w:r>
            <w:r>
              <w:rPr>
                <w:rFonts w:eastAsia="Times New Roman" w:cs="Arial"/>
                <w:szCs w:val="22"/>
              </w:rPr>
              <w:t xml:space="preserve"> and O-KPIs. </w:t>
            </w:r>
            <w:r w:rsidR="004C7333">
              <w:rPr>
                <w:rFonts w:eastAsia="Times New Roman" w:cs="Arial"/>
                <w:szCs w:val="22"/>
              </w:rPr>
              <w:t xml:space="preserve">This approach supports </w:t>
            </w:r>
            <w:r>
              <w:rPr>
                <w:rFonts w:eastAsia="Times New Roman" w:cs="Arial"/>
                <w:szCs w:val="22"/>
              </w:rPr>
              <w:t>the applicant</w:t>
            </w:r>
            <w:r w:rsidR="005663C4">
              <w:rPr>
                <w:rFonts w:eastAsia="Times New Roman" w:cs="Arial"/>
                <w:szCs w:val="22"/>
              </w:rPr>
              <w:t>’</w:t>
            </w:r>
            <w:r w:rsidR="004C7333">
              <w:rPr>
                <w:rFonts w:eastAsia="Times New Roman" w:cs="Arial"/>
                <w:szCs w:val="22"/>
              </w:rPr>
              <w:t>s</w:t>
            </w:r>
            <w:r>
              <w:rPr>
                <w:rFonts w:eastAsia="Times New Roman" w:cs="Arial"/>
                <w:szCs w:val="22"/>
              </w:rPr>
              <w:t xml:space="preserve"> ability to execute on its strategic objectives.</w:t>
            </w:r>
          </w:p>
        </w:tc>
        <w:tc>
          <w:tcPr>
            <w:tcW w:w="0" w:type="auto"/>
            <w:tcBorders>
              <w:bottom w:val="single" w:sz="6" w:space="0" w:color="000000"/>
              <w:right w:val="single" w:sz="6" w:space="0" w:color="000000"/>
            </w:tcBorders>
            <w:tcMar>
              <w:top w:w="75" w:type="dxa"/>
              <w:left w:w="75" w:type="dxa"/>
              <w:bottom w:w="75" w:type="dxa"/>
              <w:right w:w="75" w:type="dxa"/>
            </w:tcMar>
            <w:hideMark/>
          </w:tcPr>
          <w:p w14:paraId="1F427D39" w14:textId="2FEA044C" w:rsidR="00FB4E86" w:rsidRDefault="000A11B9">
            <w:pPr>
              <w:rPr>
                <w:rFonts w:eastAsia="Times New Roman" w:cs="Arial"/>
                <w:szCs w:val="22"/>
              </w:rPr>
            </w:pPr>
            <w:r>
              <w:rPr>
                <w:rFonts w:eastAsia="Times New Roman" w:cs="Arial"/>
                <w:szCs w:val="22"/>
              </w:rPr>
              <w:t>This was noted by four examiners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Ex7</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p>
          <w:p w14:paraId="7FA18F0B" w14:textId="77777777" w:rsidR="00FB4E86" w:rsidRDefault="000A11B9">
            <w:pPr>
              <w:rPr>
                <w:rFonts w:eastAsia="Times New Roman" w:cs="Arial"/>
                <w:szCs w:val="22"/>
              </w:rPr>
            </w:pPr>
            <w:r>
              <w:rPr>
                <w:rFonts w:eastAsia="Times New Roman" w:cs="Arial"/>
                <w:szCs w:val="22"/>
              </w:rPr>
              <w:t xml:space="preserve">ADI </w:t>
            </w:r>
          </w:p>
          <w:p w14:paraId="3F4C335E" w14:textId="77777777" w:rsidR="00FB4E86" w:rsidRDefault="000A11B9">
            <w:pPr>
              <w:rPr>
                <w:rFonts w:eastAsia="Times New Roman" w:cs="Arial"/>
                <w:szCs w:val="22"/>
              </w:rPr>
            </w:pPr>
            <w:r>
              <w:rPr>
                <w:rFonts w:eastAsia="Times New Roman" w:cs="Arial"/>
                <w:szCs w:val="22"/>
              </w:rPr>
              <w:t>This strength is written at the overall level as it is not clear how the measurement system reinforces organizational alignment</w:t>
            </w:r>
            <w:r w:rsidR="00FB4E86">
              <w:rPr>
                <w:rFonts w:eastAsia="Times New Roman" w:cs="Arial"/>
                <w:szCs w:val="22"/>
              </w:rPr>
              <w:t>,</w:t>
            </w:r>
            <w:r>
              <w:rPr>
                <w:rFonts w:eastAsia="Times New Roman" w:cs="Arial"/>
                <w:szCs w:val="22"/>
              </w:rPr>
              <w:t xml:space="preserve"> which is a multiple area to address </w:t>
            </w:r>
            <w:r w:rsidR="00FB4E86">
              <w:rPr>
                <w:rFonts w:eastAsia="Times New Roman" w:cs="Arial"/>
                <w:szCs w:val="22"/>
              </w:rPr>
              <w:t>and</w:t>
            </w:r>
            <w:r>
              <w:rPr>
                <w:rFonts w:eastAsia="Times New Roman" w:cs="Arial"/>
                <w:szCs w:val="22"/>
              </w:rPr>
              <w:t xml:space="preserve"> also ties to a(2</w:t>
            </w:r>
            <w:r w:rsidR="00FB4E86">
              <w:rPr>
                <w:rFonts w:eastAsia="Times New Roman" w:cs="Arial"/>
                <w:szCs w:val="22"/>
              </w:rPr>
              <w:t>)</w:t>
            </w:r>
            <w:r>
              <w:rPr>
                <w:rFonts w:eastAsia="Times New Roman" w:cs="Arial"/>
                <w:szCs w:val="22"/>
              </w:rPr>
              <w:t xml:space="preserve"> AP implementation</w:t>
            </w:r>
            <w:r w:rsidR="00FB4E86">
              <w:rPr>
                <w:rFonts w:eastAsia="Times New Roman" w:cs="Arial"/>
                <w:szCs w:val="22"/>
              </w:rPr>
              <w:t>,</w:t>
            </w:r>
            <w:r>
              <w:rPr>
                <w:rFonts w:eastAsia="Times New Roman" w:cs="Arial"/>
                <w:szCs w:val="22"/>
              </w:rPr>
              <w:t xml:space="preserve"> which is noted as an OFI. </w:t>
            </w:r>
          </w:p>
          <w:p w14:paraId="498710AC" w14:textId="671C4EF4" w:rsidR="005E22BD" w:rsidRDefault="000A11B9">
            <w:pPr>
              <w:rPr>
                <w:rFonts w:eastAsia="Times New Roman" w:cs="Arial"/>
                <w:szCs w:val="22"/>
              </w:rPr>
            </w:pPr>
            <w:r>
              <w:rPr>
                <w:rFonts w:eastAsia="Times New Roman" w:cs="Arial"/>
                <w:szCs w:val="22"/>
              </w:rPr>
              <w:t>Note</w:t>
            </w:r>
            <w:r w:rsidR="00FB4E86">
              <w:rPr>
                <w:rFonts w:eastAsia="Times New Roman" w:cs="Arial"/>
                <w:szCs w:val="22"/>
              </w:rPr>
              <w:t>:</w:t>
            </w:r>
            <w:r>
              <w:rPr>
                <w:rFonts w:eastAsia="Times New Roman" w:cs="Arial"/>
                <w:szCs w:val="22"/>
              </w:rPr>
              <w:t xml:space="preserve"> PDCA is used annually on the process</w:t>
            </w:r>
            <w:r w:rsidR="00FB4E86">
              <w:rPr>
                <w:rFonts w:eastAsia="Times New Roman" w:cs="Arial"/>
                <w:szCs w:val="22"/>
              </w:rPr>
              <w:t>,</w:t>
            </w:r>
            <w:r>
              <w:rPr>
                <w:rFonts w:eastAsia="Times New Roman" w:cs="Arial"/>
                <w:szCs w:val="22"/>
              </w:rPr>
              <w:t xml:space="preserve"> but no improvements were mentioned</w:t>
            </w:r>
            <w:r w:rsidR="0066475A">
              <w:rPr>
                <w:rFonts w:eastAsia="Times New Roman" w:cs="Arial"/>
                <w:szCs w:val="22"/>
              </w:rPr>
              <w:t>,</w:t>
            </w:r>
            <w:r>
              <w:rPr>
                <w:rFonts w:eastAsia="Times New Roman" w:cs="Arial"/>
                <w:szCs w:val="22"/>
              </w:rPr>
              <w:t xml:space="preserve"> so no learning was noted. </w:t>
            </w:r>
          </w:p>
        </w:tc>
        <w:tc>
          <w:tcPr>
            <w:tcW w:w="0" w:type="auto"/>
            <w:tcBorders>
              <w:bottom w:val="single" w:sz="6" w:space="0" w:color="000000"/>
              <w:right w:val="single" w:sz="6" w:space="0" w:color="000000"/>
            </w:tcBorders>
            <w:tcMar>
              <w:top w:w="75" w:type="dxa"/>
              <w:left w:w="75" w:type="dxa"/>
              <w:bottom w:w="75" w:type="dxa"/>
              <w:right w:w="75" w:type="dxa"/>
            </w:tcMar>
            <w:hideMark/>
          </w:tcPr>
          <w:p w14:paraId="5D976682" w14:textId="77777777" w:rsidR="005E22BD" w:rsidRDefault="000A11B9">
            <w:pPr>
              <w:rPr>
                <w:rFonts w:eastAsia="Times New Roman" w:cs="Arial"/>
                <w:szCs w:val="22"/>
              </w:rPr>
            </w:pPr>
            <w:r>
              <w:rPr>
                <w:rFonts w:eastAsia="Times New Roman" w:cs="Arial"/>
                <w:szCs w:val="22"/>
              </w:rPr>
              <w:t>a(5)</w:t>
            </w:r>
          </w:p>
        </w:tc>
      </w:tr>
    </w:tbl>
    <w:p w14:paraId="1E8DD55E"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9D4C55" w14:paraId="41215C56" w14:textId="77777777" w:rsidTr="009D4C55">
        <w:tc>
          <w:tcPr>
            <w:tcW w:w="10170" w:type="dxa"/>
          </w:tcPr>
          <w:p w14:paraId="6C347F2B" w14:textId="77777777" w:rsidR="009D4C55" w:rsidRDefault="009D4C55" w:rsidP="009D4C55">
            <w:pPr>
              <w:rPr>
                <w:rFonts w:eastAsia="Times New Roman" w:cs="Arial"/>
                <w:szCs w:val="22"/>
              </w:rPr>
            </w:pPr>
            <w:r>
              <w:rPr>
                <w:rFonts w:eastAsia="Times New Roman" w:cs="Arial"/>
                <w:szCs w:val="22"/>
              </w:rPr>
              <w:t xml:space="preserve">Comments that were not used include a strength in a(1) by 3 examiners (Ex3, Ex5, Ex6) with a double by Ex6. a(1) is noted as an OFI due to lack of differentiation of ST and LT objectives/goals. They do not tie clearly to the SObjs. Also there is very little on learning/education outcomes. </w:t>
            </w:r>
          </w:p>
          <w:p w14:paraId="34FF8B15" w14:textId="77777777" w:rsidR="009D4C55" w:rsidRDefault="009D4C55" w:rsidP="009D4C55">
            <w:pPr>
              <w:rPr>
                <w:rFonts w:eastAsia="Times New Roman" w:cs="Arial"/>
                <w:szCs w:val="22"/>
              </w:rPr>
            </w:pPr>
            <w:r>
              <w:rPr>
                <w:rFonts w:eastAsia="Times New Roman" w:cs="Arial"/>
                <w:szCs w:val="22"/>
              </w:rPr>
              <w:t xml:space="preserve">4 examiners noted AP implementation a(2) as a strength, and 4 indicated this as an OFI. The OFI portion was at the multiple level (a[2]: AP Implementation deploy/track 4 examiners; Ex1, Ex4, Ex5, Ex6). It is listed as an OFI. </w:t>
            </w:r>
          </w:p>
          <w:p w14:paraId="4A878536" w14:textId="77777777" w:rsidR="009D4C55" w:rsidRDefault="009D4C55" w:rsidP="009D4C55">
            <w:pPr>
              <w:rPr>
                <w:rFonts w:eastAsia="Times New Roman" w:cs="Arial"/>
                <w:szCs w:val="22"/>
              </w:rPr>
            </w:pPr>
            <w:r>
              <w:rPr>
                <w:rFonts w:eastAsia="Times New Roman" w:cs="Arial"/>
                <w:szCs w:val="22"/>
              </w:rPr>
              <w:t xml:space="preserve">2 examiners (Ex5, Ex7) noted a(6) as a strength on performance projections, but it was not included as it is a weaker strength. </w:t>
            </w:r>
          </w:p>
          <w:p w14:paraId="118F4A48" w14:textId="48F40DD7" w:rsidR="009D4C55" w:rsidRDefault="009D4C55" w:rsidP="009D4C55">
            <w:pPr>
              <w:rPr>
                <w:rFonts w:eastAsia="Times New Roman" w:cs="Arial"/>
                <w:szCs w:val="22"/>
              </w:rPr>
            </w:pPr>
            <w:r>
              <w:rPr>
                <w:rFonts w:eastAsia="Times New Roman" w:cs="Arial"/>
                <w:szCs w:val="22"/>
              </w:rPr>
              <w:t>1 examiner (Ex3) listed b as a strength relative to action plan modification, but it is noted by 4 examiners as an OFI, as it is not clear that there is a systematic process for how the applicant recognizes when circumstances require a shift in action plans for rapid execution.</w:t>
            </w:r>
          </w:p>
        </w:tc>
      </w:tr>
    </w:tbl>
    <w:p w14:paraId="0EBA3220"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23"/>
        <w:gridCol w:w="4234"/>
        <w:gridCol w:w="1200"/>
      </w:tblGrid>
      <w:tr w:rsidR="005E22BD" w14:paraId="7F18D2EC"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1821A91A"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5E611C1E"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4E80844A"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35FD91C"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4975409D"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6609A12" w14:textId="77777777" w:rsidR="005E22BD" w:rsidRDefault="000A11B9">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7303ABEF" w14:textId="4E79D9C5" w:rsidR="005E22BD" w:rsidRDefault="004C7333">
            <w:pPr>
              <w:rPr>
                <w:rFonts w:eastAsia="Times New Roman" w:cs="Arial"/>
                <w:szCs w:val="22"/>
              </w:rPr>
            </w:pPr>
            <w:r>
              <w:rPr>
                <w:rFonts w:eastAsia="Times New Roman" w:cs="Arial"/>
                <w:szCs w:val="22"/>
              </w:rPr>
              <w:t xml:space="preserve">A </w:t>
            </w:r>
            <w:r w:rsidR="000A11B9">
              <w:rPr>
                <w:rFonts w:eastAsia="Times New Roman" w:cs="Arial"/>
                <w:szCs w:val="22"/>
              </w:rPr>
              <w:t>systematic</w:t>
            </w:r>
            <w:r>
              <w:rPr>
                <w:rFonts w:eastAsia="Times New Roman" w:cs="Arial"/>
                <w:szCs w:val="22"/>
              </w:rPr>
              <w:t xml:space="preserve"> approach is not evident</w:t>
            </w:r>
            <w:r w:rsidR="000A11B9">
              <w:rPr>
                <w:rFonts w:eastAsia="Times New Roman" w:cs="Arial"/>
                <w:szCs w:val="22"/>
              </w:rPr>
              <w:t xml:space="preserve"> </w:t>
            </w:r>
            <w:r>
              <w:rPr>
                <w:rFonts w:eastAsia="Times New Roman" w:cs="Arial"/>
                <w:szCs w:val="22"/>
              </w:rPr>
              <w:t xml:space="preserve">for </w:t>
            </w:r>
            <w:r w:rsidR="000A11B9">
              <w:rPr>
                <w:rFonts w:eastAsia="Times New Roman" w:cs="Arial"/>
                <w:szCs w:val="22"/>
              </w:rPr>
              <w:t>deploy</w:t>
            </w:r>
            <w:r>
              <w:rPr>
                <w:rFonts w:eastAsia="Times New Roman" w:cs="Arial"/>
                <w:szCs w:val="22"/>
              </w:rPr>
              <w:t>ing</w:t>
            </w:r>
            <w:r w:rsidR="000A11B9">
              <w:rPr>
                <w:rFonts w:eastAsia="Times New Roman" w:cs="Arial"/>
                <w:szCs w:val="22"/>
              </w:rPr>
              <w:t xml:space="preserve"> action plans to key suppliers, partners, and collaborators. For example, the Action Plan Development and Deployment Process does not indicate who is involved in the supplier and partnership plans or how the relationship process takes place. Deployment of action plans to these and other stakeholders may help the applicant achieve its strategic objectives related to student access and readiness.</w:t>
            </w:r>
          </w:p>
        </w:tc>
        <w:tc>
          <w:tcPr>
            <w:tcW w:w="0" w:type="auto"/>
            <w:tcBorders>
              <w:bottom w:val="single" w:sz="6" w:space="0" w:color="000000"/>
              <w:right w:val="single" w:sz="6" w:space="0" w:color="000000"/>
            </w:tcBorders>
            <w:tcMar>
              <w:top w:w="75" w:type="dxa"/>
              <w:left w:w="75" w:type="dxa"/>
              <w:bottom w:w="75" w:type="dxa"/>
              <w:right w:w="75" w:type="dxa"/>
            </w:tcMar>
            <w:hideMark/>
          </w:tcPr>
          <w:p w14:paraId="244BFB8C" w14:textId="77777777" w:rsidR="004C7333" w:rsidRDefault="000A11B9">
            <w:pPr>
              <w:rPr>
                <w:rFonts w:eastAsia="Times New Roman" w:cs="Arial"/>
                <w:szCs w:val="22"/>
              </w:rPr>
            </w:pPr>
            <w:r>
              <w:rPr>
                <w:rFonts w:eastAsia="Times New Roman" w:cs="Arial"/>
                <w:szCs w:val="22"/>
              </w:rPr>
              <w:t xml:space="preserve">Six examiners noted this OFI in A and </w:t>
            </w:r>
            <w:r w:rsidR="004C7333">
              <w:rPr>
                <w:rFonts w:eastAsia="Times New Roman" w:cs="Arial"/>
                <w:szCs w:val="22"/>
              </w:rPr>
              <w:t>D</w:t>
            </w:r>
            <w:r>
              <w:rPr>
                <w:rFonts w:eastAsia="Times New Roman" w:cs="Arial"/>
                <w:szCs w:val="22"/>
              </w:rPr>
              <w:t xml:space="preserve"> (</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 Ex7</w:t>
            </w:r>
            <w:r>
              <w:rPr>
                <w:rFonts w:eastAsia="Times New Roman" w:cs="Arial"/>
                <w:szCs w:val="22"/>
              </w:rPr>
              <w:t>)</w:t>
            </w:r>
            <w:r w:rsidR="004C7333">
              <w:rPr>
                <w:rFonts w:eastAsia="Times New Roman" w:cs="Arial"/>
                <w:szCs w:val="22"/>
              </w:rPr>
              <w:t>.</w:t>
            </w:r>
          </w:p>
          <w:p w14:paraId="2B2D84D1" w14:textId="77777777" w:rsidR="007A5EF5" w:rsidRDefault="000A11B9">
            <w:pPr>
              <w:rPr>
                <w:rFonts w:eastAsia="Times New Roman" w:cs="Arial"/>
                <w:szCs w:val="22"/>
              </w:rPr>
            </w:pPr>
            <w:r>
              <w:rPr>
                <w:rFonts w:eastAsia="Times New Roman" w:cs="Arial"/>
                <w:szCs w:val="22"/>
              </w:rPr>
              <w:t>The applicant mentions the APMS</w:t>
            </w:r>
            <w:r w:rsidR="004C7333">
              <w:rPr>
                <w:rFonts w:eastAsia="Times New Roman" w:cs="Arial"/>
                <w:szCs w:val="22"/>
              </w:rPr>
              <w:t>,</w:t>
            </w:r>
            <w:r>
              <w:rPr>
                <w:rFonts w:eastAsia="Times New Roman" w:cs="Arial"/>
                <w:szCs w:val="22"/>
              </w:rPr>
              <w:t xml:space="preserve"> but this process is never explained</w:t>
            </w:r>
            <w:r w:rsidR="004C7333">
              <w:rPr>
                <w:rFonts w:eastAsia="Times New Roman" w:cs="Arial"/>
                <w:szCs w:val="22"/>
              </w:rPr>
              <w:t>,</w:t>
            </w:r>
            <w:r>
              <w:rPr>
                <w:rFonts w:eastAsia="Times New Roman" w:cs="Arial"/>
                <w:szCs w:val="22"/>
              </w:rPr>
              <w:t xml:space="preserve"> so it is not clear if this is a systematic process. </w:t>
            </w:r>
          </w:p>
          <w:p w14:paraId="06218FDF" w14:textId="33A42BA4" w:rsidR="007A5EF5" w:rsidRDefault="000A11B9">
            <w:pPr>
              <w:rPr>
                <w:rFonts w:eastAsia="Times New Roman" w:cs="Arial"/>
                <w:szCs w:val="22"/>
              </w:rPr>
            </w:pPr>
            <w:r>
              <w:rPr>
                <w:rFonts w:eastAsia="Times New Roman" w:cs="Arial"/>
                <w:szCs w:val="22"/>
              </w:rPr>
              <w:t>In addition, there is no information on how this is deployed to its partners, collaborators</w:t>
            </w:r>
            <w:r w:rsidR="004C7333">
              <w:rPr>
                <w:rFonts w:eastAsia="Times New Roman" w:cs="Arial"/>
                <w:szCs w:val="22"/>
              </w:rPr>
              <w:t>,</w:t>
            </w:r>
            <w:r>
              <w:rPr>
                <w:rFonts w:eastAsia="Times New Roman" w:cs="Arial"/>
                <w:szCs w:val="22"/>
              </w:rPr>
              <w:t xml:space="preserve"> and suppliers which are critical to accomplishment of the </w:t>
            </w:r>
            <w:r w:rsidR="00FC7C2D">
              <w:rPr>
                <w:rFonts w:eastAsia="Times New Roman" w:cs="Arial"/>
                <w:szCs w:val="22"/>
              </w:rPr>
              <w:t>applicant</w:t>
            </w:r>
            <w:r w:rsidR="005663C4">
              <w:rPr>
                <w:rFonts w:eastAsia="Times New Roman" w:cs="Arial"/>
                <w:szCs w:val="22"/>
              </w:rPr>
              <w:t>’</w:t>
            </w:r>
            <w:r w:rsidR="00FC7C2D">
              <w:rPr>
                <w:rFonts w:eastAsia="Times New Roman" w:cs="Arial"/>
                <w:szCs w:val="22"/>
              </w:rPr>
              <w:t>s</w:t>
            </w:r>
            <w:r>
              <w:rPr>
                <w:rFonts w:eastAsia="Times New Roman" w:cs="Arial"/>
                <w:szCs w:val="22"/>
              </w:rPr>
              <w:t xml:space="preserve"> goals and SObjs.</w:t>
            </w:r>
            <w:r w:rsidR="004C7333">
              <w:rPr>
                <w:rFonts w:eastAsia="Times New Roman" w:cs="Arial"/>
                <w:szCs w:val="22"/>
              </w:rPr>
              <w:t xml:space="preserve"> E</w:t>
            </w:r>
            <w:r>
              <w:rPr>
                <w:rFonts w:eastAsia="Times New Roman" w:cs="Arial"/>
                <w:szCs w:val="22"/>
              </w:rPr>
              <w:t>.g.</w:t>
            </w:r>
            <w:r w:rsidR="004C7333">
              <w:rPr>
                <w:rFonts w:eastAsia="Times New Roman" w:cs="Arial"/>
                <w:szCs w:val="22"/>
              </w:rPr>
              <w:t>,</w:t>
            </w:r>
            <w:r>
              <w:rPr>
                <w:rFonts w:eastAsia="Times New Roman" w:cs="Arial"/>
                <w:szCs w:val="22"/>
              </w:rPr>
              <w:t xml:space="preserve"> do they have access to the system</w:t>
            </w:r>
            <w:r w:rsidR="004C7333">
              <w:rPr>
                <w:rFonts w:eastAsia="Times New Roman" w:cs="Arial"/>
                <w:szCs w:val="22"/>
              </w:rPr>
              <w:t>?</w:t>
            </w:r>
            <w:r>
              <w:rPr>
                <w:rFonts w:eastAsia="Times New Roman" w:cs="Arial"/>
                <w:szCs w:val="22"/>
              </w:rPr>
              <w:t xml:space="preserve"> For example, feeder high schools may impact SObj #1</w:t>
            </w:r>
            <w:r w:rsidR="004C7333">
              <w:rPr>
                <w:rFonts w:eastAsia="Times New Roman" w:cs="Arial"/>
                <w:szCs w:val="22"/>
              </w:rPr>
              <w:t>,</w:t>
            </w:r>
            <w:r>
              <w:rPr>
                <w:rFonts w:eastAsia="Times New Roman" w:cs="Arial"/>
                <w:szCs w:val="22"/>
              </w:rPr>
              <w:t xml:space="preserve"> </w:t>
            </w:r>
            <w:r>
              <w:rPr>
                <w:rFonts w:eastAsia="Times New Roman" w:cs="Arial"/>
                <w:szCs w:val="22"/>
              </w:rPr>
              <w:lastRenderedPageBreak/>
              <w:t xml:space="preserve">and technology companies may be critical to SObj #2. </w:t>
            </w:r>
          </w:p>
          <w:p w14:paraId="6EE7D25A" w14:textId="0C4D2217" w:rsidR="005E22BD" w:rsidRDefault="000A11B9">
            <w:pPr>
              <w:rPr>
                <w:rFonts w:eastAsia="Times New Roman" w:cs="Arial"/>
                <w:szCs w:val="22"/>
              </w:rPr>
            </w:pPr>
            <w:r>
              <w:rPr>
                <w:rFonts w:eastAsia="Times New Roman" w:cs="Arial"/>
                <w:szCs w:val="22"/>
              </w:rPr>
              <w:t xml:space="preserve">The applicant mentions step 5 of the SPP as process improvement but no learning or bet practices are indicated </w:t>
            </w:r>
          </w:p>
        </w:tc>
        <w:tc>
          <w:tcPr>
            <w:tcW w:w="0" w:type="auto"/>
            <w:tcBorders>
              <w:bottom w:val="single" w:sz="6" w:space="0" w:color="000000"/>
              <w:right w:val="single" w:sz="6" w:space="0" w:color="000000"/>
            </w:tcBorders>
            <w:tcMar>
              <w:top w:w="75" w:type="dxa"/>
              <w:left w:w="75" w:type="dxa"/>
              <w:bottom w:w="75" w:type="dxa"/>
              <w:right w:w="75" w:type="dxa"/>
            </w:tcMar>
            <w:hideMark/>
          </w:tcPr>
          <w:p w14:paraId="4E7DC181" w14:textId="77777777" w:rsidR="005E22BD" w:rsidRDefault="000A11B9">
            <w:pPr>
              <w:rPr>
                <w:rFonts w:eastAsia="Times New Roman" w:cs="Arial"/>
                <w:szCs w:val="22"/>
              </w:rPr>
            </w:pPr>
            <w:r>
              <w:rPr>
                <w:rFonts w:eastAsia="Times New Roman" w:cs="Arial"/>
                <w:szCs w:val="22"/>
              </w:rPr>
              <w:lastRenderedPageBreak/>
              <w:t>a(2)</w:t>
            </w:r>
          </w:p>
        </w:tc>
      </w:tr>
      <w:tr w:rsidR="005E22BD" w14:paraId="4FC48C7E"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23C9D3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A67A962" w14:textId="7B2391BB" w:rsidR="005E22BD" w:rsidRDefault="007A5EF5">
            <w:pPr>
              <w:rPr>
                <w:rFonts w:eastAsia="Times New Roman" w:cs="Arial"/>
                <w:szCs w:val="22"/>
              </w:rPr>
            </w:pPr>
            <w:r>
              <w:rPr>
                <w:rFonts w:eastAsia="Times New Roman" w:cs="Arial"/>
                <w:szCs w:val="22"/>
              </w:rPr>
              <w:t xml:space="preserve">In </w:t>
            </w:r>
            <w:r w:rsidR="00484747">
              <w:rPr>
                <w:rFonts w:eastAsia="Times New Roman" w:cs="Arial"/>
                <w:szCs w:val="22"/>
              </w:rPr>
              <w:t>its</w:t>
            </w:r>
            <w:r>
              <w:rPr>
                <w:rFonts w:eastAsia="Times New Roman" w:cs="Arial"/>
                <w:szCs w:val="22"/>
              </w:rPr>
              <w:t xml:space="preserve"> </w:t>
            </w:r>
            <w:r w:rsidR="000A11B9">
              <w:rPr>
                <w:rFonts w:eastAsia="Times New Roman" w:cs="Arial"/>
                <w:szCs w:val="22"/>
              </w:rPr>
              <w:t xml:space="preserve">review of projected performance against </w:t>
            </w:r>
            <w:r>
              <w:rPr>
                <w:rFonts w:eastAsia="Times New Roman" w:cs="Arial"/>
                <w:szCs w:val="22"/>
              </w:rPr>
              <w:t xml:space="preserve">that of </w:t>
            </w:r>
            <w:r w:rsidR="000A11B9">
              <w:rPr>
                <w:rFonts w:eastAsia="Times New Roman" w:cs="Arial"/>
                <w:szCs w:val="22"/>
              </w:rPr>
              <w:t>competitors or comparable organization</w:t>
            </w:r>
            <w:r>
              <w:rPr>
                <w:rFonts w:eastAsia="Times New Roman" w:cs="Arial"/>
                <w:szCs w:val="22"/>
              </w:rPr>
              <w:t>s,</w:t>
            </w:r>
            <w:r w:rsidR="000A11B9">
              <w:rPr>
                <w:rFonts w:eastAsia="Times New Roman" w:cs="Arial"/>
                <w:szCs w:val="22"/>
              </w:rPr>
              <w:t xml:space="preserve"> </w:t>
            </w:r>
            <w:r>
              <w:rPr>
                <w:rFonts w:eastAsia="Times New Roman" w:cs="Arial"/>
                <w:szCs w:val="22"/>
              </w:rPr>
              <w:t xml:space="preserve">it is not clear how the applicant </w:t>
            </w:r>
            <w:r w:rsidR="000A11B9">
              <w:rPr>
                <w:rFonts w:eastAsia="Times New Roman" w:cs="Arial"/>
                <w:szCs w:val="22"/>
              </w:rPr>
              <w:t>addresses performance gaps. For example, the processes used to address these gaps</w:t>
            </w:r>
            <w:r>
              <w:rPr>
                <w:rFonts w:eastAsia="Times New Roman" w:cs="Arial"/>
                <w:szCs w:val="22"/>
              </w:rPr>
              <w:t xml:space="preserve"> during the strategy evaluation and process improvement phases of the SPP</w:t>
            </w:r>
            <w:r w:rsidR="000A11B9">
              <w:rPr>
                <w:rFonts w:eastAsia="Times New Roman" w:cs="Arial"/>
                <w:szCs w:val="22"/>
              </w:rPr>
              <w:t xml:space="preserve"> </w:t>
            </w:r>
            <w:r>
              <w:rPr>
                <w:rFonts w:eastAsia="Times New Roman" w:cs="Arial"/>
                <w:szCs w:val="22"/>
              </w:rPr>
              <w:t>are</w:t>
            </w:r>
            <w:r w:rsidR="000A11B9">
              <w:rPr>
                <w:rFonts w:eastAsia="Times New Roman" w:cs="Arial"/>
                <w:szCs w:val="22"/>
              </w:rPr>
              <w:t xml:space="preserve"> not evident. </w:t>
            </w:r>
            <w:r>
              <w:rPr>
                <w:rFonts w:eastAsia="Times New Roman" w:cs="Arial"/>
                <w:szCs w:val="22"/>
              </w:rPr>
              <w:t xml:space="preserve">Addressing such gaps </w:t>
            </w:r>
            <w:r w:rsidR="000A11B9">
              <w:rPr>
                <w:rFonts w:eastAsia="Times New Roman" w:cs="Arial"/>
                <w:szCs w:val="22"/>
              </w:rPr>
              <w:t>may help the applicant attain its vision of being the best in the nation.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84F57C6" w14:textId="77777777" w:rsidR="00C578D8" w:rsidRDefault="00C578D8">
            <w:pPr>
              <w:rPr>
                <w:rFonts w:eastAsia="Times New Roman" w:cs="Arial"/>
                <w:szCs w:val="22"/>
              </w:rPr>
            </w:pPr>
            <w:r>
              <w:rPr>
                <w:rFonts w:eastAsia="Times New Roman" w:cs="Arial"/>
                <w:szCs w:val="22"/>
              </w:rPr>
              <w:t xml:space="preserve">Potential </w:t>
            </w:r>
            <w:r w:rsidR="000A11B9">
              <w:rPr>
                <w:rFonts w:eastAsia="Times New Roman" w:cs="Arial"/>
                <w:szCs w:val="22"/>
              </w:rPr>
              <w:t>double</w:t>
            </w:r>
            <w:r>
              <w:rPr>
                <w:rFonts w:eastAsia="Times New Roman" w:cs="Arial"/>
                <w:szCs w:val="22"/>
              </w:rPr>
              <w:t>.</w:t>
            </w:r>
          </w:p>
          <w:p w14:paraId="3A880210" w14:textId="77777777" w:rsidR="00C578D8" w:rsidRDefault="00C578D8">
            <w:pPr>
              <w:rPr>
                <w:rFonts w:eastAsia="Times New Roman" w:cs="Arial"/>
                <w:szCs w:val="22"/>
              </w:rPr>
            </w:pPr>
            <w:r>
              <w:rPr>
                <w:rFonts w:eastAsia="Times New Roman" w:cs="Arial"/>
                <w:szCs w:val="22"/>
              </w:rPr>
              <w:t>4</w:t>
            </w:r>
            <w:r w:rsidR="000A11B9">
              <w:rPr>
                <w:rFonts w:eastAsia="Times New Roman" w:cs="Arial"/>
                <w:szCs w:val="22"/>
              </w:rPr>
              <w:t xml:space="preserve"> examiners noted this OFI for </w:t>
            </w:r>
            <w:r>
              <w:rPr>
                <w:rFonts w:eastAsia="Times New Roman" w:cs="Arial"/>
                <w:szCs w:val="22"/>
              </w:rPr>
              <w:t>ADI</w:t>
            </w:r>
            <w:r w:rsidR="000A11B9">
              <w:rPr>
                <w:rFonts w:eastAsia="Times New Roman" w:cs="Arial"/>
                <w:szCs w:val="22"/>
              </w:rPr>
              <w:t xml:space="preserve"> (</w:t>
            </w:r>
            <w:r w:rsidR="007B4856">
              <w:rPr>
                <w:rFonts w:eastAsia="Times New Roman" w:cs="Arial"/>
                <w:szCs w:val="22"/>
              </w:rPr>
              <w:t>Ex1</w:t>
            </w:r>
            <w:r w:rsidR="000A11B9">
              <w:rPr>
                <w:rFonts w:eastAsia="Times New Roman" w:cs="Arial"/>
                <w:szCs w:val="22"/>
              </w:rPr>
              <w:t xml:space="preserve">, </w:t>
            </w:r>
            <w:r w:rsidR="007B4856">
              <w:rPr>
                <w:rFonts w:eastAsia="Times New Roman" w:cs="Arial"/>
                <w:szCs w:val="22"/>
              </w:rPr>
              <w:t>Ex3</w:t>
            </w:r>
            <w:r w:rsidR="000A11B9">
              <w:rPr>
                <w:rFonts w:eastAsia="Times New Roman" w:cs="Arial"/>
                <w:szCs w:val="22"/>
              </w:rPr>
              <w:t>,</w:t>
            </w:r>
            <w:r w:rsidR="00350724">
              <w:rPr>
                <w:rFonts w:eastAsia="Times New Roman" w:cs="Arial"/>
                <w:szCs w:val="22"/>
              </w:rPr>
              <w:t xml:space="preserve"> Ex5, </w:t>
            </w:r>
            <w:r w:rsidR="007B4856">
              <w:rPr>
                <w:rFonts w:eastAsia="Times New Roman" w:cs="Arial"/>
                <w:szCs w:val="22"/>
              </w:rPr>
              <w:t>Ex6</w:t>
            </w:r>
            <w:r w:rsidR="000A11B9">
              <w:rPr>
                <w:rFonts w:eastAsia="Times New Roman" w:cs="Arial"/>
                <w:szCs w:val="22"/>
              </w:rPr>
              <w:t xml:space="preserve">) with </w:t>
            </w:r>
            <w:r w:rsidR="007B4856">
              <w:rPr>
                <w:rFonts w:eastAsia="Times New Roman" w:cs="Arial"/>
                <w:szCs w:val="22"/>
              </w:rPr>
              <w:t>Ex5</w:t>
            </w:r>
            <w:r w:rsidR="000A11B9">
              <w:rPr>
                <w:rFonts w:eastAsia="Times New Roman" w:cs="Arial"/>
                <w:szCs w:val="22"/>
              </w:rPr>
              <w:t xml:space="preserve"> noting it as a double. </w:t>
            </w:r>
          </w:p>
          <w:p w14:paraId="7A7A8761" w14:textId="77777777" w:rsidR="00C578D8" w:rsidRDefault="000A11B9">
            <w:pPr>
              <w:rPr>
                <w:rFonts w:eastAsia="Times New Roman" w:cs="Arial"/>
                <w:szCs w:val="22"/>
              </w:rPr>
            </w:pPr>
            <w:r>
              <w:rPr>
                <w:rFonts w:eastAsia="Times New Roman" w:cs="Arial"/>
                <w:szCs w:val="22"/>
              </w:rPr>
              <w:t>For example, it is not evident which are short</w:t>
            </w:r>
            <w:r w:rsidR="00C578D8">
              <w:rPr>
                <w:rFonts w:eastAsia="Times New Roman" w:cs="Arial"/>
                <w:szCs w:val="22"/>
              </w:rPr>
              <w:t>-</w:t>
            </w:r>
            <w:r>
              <w:rPr>
                <w:rFonts w:eastAsia="Times New Roman" w:cs="Arial"/>
                <w:szCs w:val="22"/>
              </w:rPr>
              <w:t>term vs</w:t>
            </w:r>
            <w:r w:rsidR="00C578D8">
              <w:rPr>
                <w:rFonts w:eastAsia="Times New Roman" w:cs="Arial"/>
                <w:szCs w:val="22"/>
              </w:rPr>
              <w:t>.</w:t>
            </w:r>
            <w:r>
              <w:rPr>
                <w:rFonts w:eastAsia="Times New Roman" w:cs="Arial"/>
                <w:szCs w:val="22"/>
              </w:rPr>
              <w:t xml:space="preserve"> long</w:t>
            </w:r>
            <w:r w:rsidR="00C578D8">
              <w:rPr>
                <w:rFonts w:eastAsia="Times New Roman" w:cs="Arial"/>
                <w:szCs w:val="22"/>
              </w:rPr>
              <w:t>-</w:t>
            </w:r>
            <w:r>
              <w:rPr>
                <w:rFonts w:eastAsia="Times New Roman" w:cs="Arial"/>
                <w:szCs w:val="22"/>
              </w:rPr>
              <w:t>term projections to track action plans. The measures appear to be measure</w:t>
            </w:r>
            <w:r w:rsidR="00C578D8">
              <w:rPr>
                <w:rFonts w:eastAsia="Times New Roman" w:cs="Arial"/>
                <w:szCs w:val="22"/>
              </w:rPr>
              <w:t>s</w:t>
            </w:r>
            <w:r>
              <w:rPr>
                <w:rFonts w:eastAsia="Times New Roman" w:cs="Arial"/>
                <w:szCs w:val="22"/>
              </w:rPr>
              <w:t xml:space="preserve"> for the SObj </w:t>
            </w:r>
            <w:r w:rsidR="00C578D8">
              <w:rPr>
                <w:rFonts w:eastAsia="Times New Roman" w:cs="Arial"/>
                <w:szCs w:val="22"/>
              </w:rPr>
              <w:t>rather than t</w:t>
            </w:r>
            <w:r>
              <w:rPr>
                <w:rFonts w:eastAsia="Times New Roman" w:cs="Arial"/>
                <w:szCs w:val="22"/>
              </w:rPr>
              <w:t xml:space="preserve">he </w:t>
            </w:r>
            <w:r w:rsidR="00C578D8">
              <w:rPr>
                <w:rFonts w:eastAsia="Times New Roman" w:cs="Arial"/>
                <w:szCs w:val="22"/>
              </w:rPr>
              <w:t xml:space="preserve">action </w:t>
            </w:r>
            <w:r>
              <w:rPr>
                <w:rFonts w:eastAsia="Times New Roman" w:cs="Arial"/>
                <w:szCs w:val="22"/>
              </w:rPr>
              <w:t>plan</w:t>
            </w:r>
            <w:r w:rsidR="00C578D8">
              <w:rPr>
                <w:rFonts w:eastAsia="Times New Roman" w:cs="Arial"/>
                <w:szCs w:val="22"/>
              </w:rPr>
              <w:t>s</w:t>
            </w:r>
            <w:r>
              <w:rPr>
                <w:rFonts w:eastAsia="Times New Roman" w:cs="Arial"/>
                <w:szCs w:val="22"/>
              </w:rPr>
              <w:t xml:space="preserve">. </w:t>
            </w:r>
          </w:p>
          <w:p w14:paraId="6AC4640A" w14:textId="506A89EF" w:rsidR="005E22BD" w:rsidRDefault="000A11B9">
            <w:pPr>
              <w:rPr>
                <w:rFonts w:eastAsia="Times New Roman" w:cs="Arial"/>
                <w:szCs w:val="22"/>
              </w:rPr>
            </w:pPr>
            <w:r>
              <w:rPr>
                <w:rFonts w:eastAsia="Times New Roman" w:cs="Arial"/>
                <w:szCs w:val="22"/>
              </w:rPr>
              <w:t>There is no evidence of how the applicant</w:t>
            </w:r>
            <w:r w:rsidR="005663C4">
              <w:rPr>
                <w:rFonts w:eastAsia="Times New Roman" w:cs="Arial"/>
                <w:szCs w:val="22"/>
              </w:rPr>
              <w:t>’</w:t>
            </w:r>
            <w:r>
              <w:rPr>
                <w:rFonts w:eastAsia="Times New Roman" w:cs="Arial"/>
                <w:szCs w:val="22"/>
              </w:rPr>
              <w:t>s strategic projects are aligned or are integrated with its Future Star Strategic Performance projections (SP3)</w:t>
            </w:r>
            <w:r w:rsidR="00C578D8">
              <w:rPr>
                <w:rFonts w:eastAsia="Times New Roman" w:cs="Arial"/>
                <w:szCs w:val="22"/>
              </w:rPr>
              <w:t>,</w:t>
            </w:r>
            <w:r>
              <w:rPr>
                <w:rFonts w:eastAsia="Times New Roman" w:cs="Arial"/>
                <w:szCs w:val="22"/>
              </w:rPr>
              <w:t xml:space="preserve"> as there appears to be a difference in the approach in determining its strategic and organization performance projects as indicated in the Performance Measurement System (PMS) Figure 4.1-1 and SP3 Figure 4.1-7</w:t>
            </w:r>
            <w:r w:rsidR="00C578D8">
              <w:rPr>
                <w:rFonts w:eastAsia="Times New Roman" w:cs="Arial"/>
                <w:szCs w:val="22"/>
              </w:rPr>
              <w:t>.</w:t>
            </w:r>
          </w:p>
          <w:p w14:paraId="55D9F81B" w14:textId="6A0CBB1B" w:rsidR="00C578D8" w:rsidRDefault="00C578D8" w:rsidP="00C578D8">
            <w:pPr>
              <w:rPr>
                <w:rFonts w:eastAsia="Times New Roman" w:cs="Arial"/>
                <w:szCs w:val="22"/>
              </w:rPr>
            </w:pPr>
            <w:r>
              <w:rPr>
                <w:rFonts w:eastAsia="Times New Roman" w:cs="Arial"/>
                <w:szCs w:val="22"/>
              </w:rPr>
              <w:t>After discussion, not doubled</w:t>
            </w:r>
            <w:r w:rsidR="007A5EF5">
              <w:rPr>
                <w:rFonts w:eastAsia="Times New Roman" w:cs="Arial"/>
                <w:szCs w:val="22"/>
              </w:rPr>
              <w:t>,</w:t>
            </w:r>
            <w:r>
              <w:rPr>
                <w:rFonts w:eastAsia="Times New Roman" w:cs="Arial"/>
                <w:szCs w:val="22"/>
              </w:rPr>
              <w:t xml:space="preserve"> focused on addressing performance gaps, and dropped to 2</w:t>
            </w:r>
            <w:r w:rsidRPr="00C578D8">
              <w:rPr>
                <w:rFonts w:eastAsia="Times New Roman" w:cs="Arial"/>
                <w:szCs w:val="22"/>
                <w:vertAlign w:val="superscript"/>
              </w:rPr>
              <w:t>nd</w:t>
            </w:r>
            <w:r>
              <w:rPr>
                <w:rFonts w:eastAsia="Times New Roman" w:cs="Arial"/>
                <w:szCs w:val="22"/>
              </w:rPr>
              <w:t xml:space="preserve"> position.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610060B" w14:textId="77777777" w:rsidR="005E22BD" w:rsidRDefault="000A11B9">
            <w:pPr>
              <w:rPr>
                <w:rFonts w:eastAsia="Times New Roman" w:cs="Arial"/>
                <w:szCs w:val="22"/>
              </w:rPr>
            </w:pPr>
            <w:r>
              <w:rPr>
                <w:rFonts w:eastAsia="Times New Roman" w:cs="Arial"/>
                <w:szCs w:val="22"/>
              </w:rPr>
              <w:t>a(6)</w:t>
            </w:r>
          </w:p>
        </w:tc>
      </w:tr>
      <w:tr w:rsidR="005E22BD" w14:paraId="49CBBEC1"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24E95F7"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BDBF68D" w14:textId="6CFABC53" w:rsidR="005E22BD" w:rsidRDefault="000A11B9">
            <w:pPr>
              <w:rPr>
                <w:rFonts w:eastAsia="Times New Roman" w:cs="Arial"/>
                <w:szCs w:val="22"/>
              </w:rPr>
            </w:pPr>
            <w:r>
              <w:rPr>
                <w:rFonts w:eastAsia="Times New Roman" w:cs="Arial"/>
                <w:szCs w:val="22"/>
              </w:rPr>
              <w:t>It is unclear which</w:t>
            </w:r>
            <w:r w:rsidR="00C578D8">
              <w:rPr>
                <w:rFonts w:eastAsia="Times New Roman" w:cs="Arial"/>
                <w:szCs w:val="22"/>
              </w:rPr>
              <w:t xml:space="preserve"> action plans (Figure 2.1-2)</w:t>
            </w:r>
            <w:r>
              <w:rPr>
                <w:rFonts w:eastAsia="Times New Roman" w:cs="Arial"/>
                <w:szCs w:val="22"/>
              </w:rPr>
              <w:t xml:space="preserve"> are short</w:t>
            </w:r>
            <w:r w:rsidR="00484747">
              <w:rPr>
                <w:rFonts w:eastAsia="Times New Roman" w:cs="Arial"/>
                <w:szCs w:val="22"/>
              </w:rPr>
              <w:t xml:space="preserve"> </w:t>
            </w:r>
            <w:r>
              <w:rPr>
                <w:rFonts w:eastAsia="Times New Roman" w:cs="Arial"/>
                <w:szCs w:val="22"/>
              </w:rPr>
              <w:t>term and which are long</w:t>
            </w:r>
            <w:r w:rsidR="00484747">
              <w:rPr>
                <w:rFonts w:eastAsia="Times New Roman" w:cs="Arial"/>
                <w:szCs w:val="22"/>
              </w:rPr>
              <w:t xml:space="preserve"> </w:t>
            </w:r>
            <w:r>
              <w:rPr>
                <w:rFonts w:eastAsia="Times New Roman" w:cs="Arial"/>
                <w:szCs w:val="22"/>
              </w:rPr>
              <w:t>term</w:t>
            </w:r>
            <w:r w:rsidR="00C578D8">
              <w:rPr>
                <w:rFonts w:eastAsia="Times New Roman" w:cs="Arial"/>
                <w:szCs w:val="22"/>
              </w:rPr>
              <w:t>; no</w:t>
            </w:r>
            <w:r w:rsidR="004C103A">
              <w:rPr>
                <w:rFonts w:eastAsia="Times New Roman" w:cs="Arial"/>
                <w:szCs w:val="22"/>
              </w:rPr>
              <w:t>r</w:t>
            </w:r>
            <w:r w:rsidR="00C578D8">
              <w:rPr>
                <w:rFonts w:eastAsia="Times New Roman" w:cs="Arial"/>
                <w:szCs w:val="22"/>
              </w:rPr>
              <w:t xml:space="preserve"> is it clear</w:t>
            </w:r>
            <w:r>
              <w:rPr>
                <w:rFonts w:eastAsia="Times New Roman" w:cs="Arial"/>
                <w:szCs w:val="22"/>
              </w:rPr>
              <w:t xml:space="preserve"> how the action plans align with the </w:t>
            </w:r>
            <w:r w:rsidR="00C578D8">
              <w:rPr>
                <w:rFonts w:eastAsia="Times New Roman" w:cs="Arial"/>
                <w:szCs w:val="22"/>
              </w:rPr>
              <w:t>short-term</w:t>
            </w:r>
            <w:r>
              <w:rPr>
                <w:rFonts w:eastAsia="Times New Roman" w:cs="Arial"/>
                <w:szCs w:val="22"/>
              </w:rPr>
              <w:t xml:space="preserve"> and </w:t>
            </w:r>
            <w:r w:rsidR="00C578D8">
              <w:rPr>
                <w:rFonts w:eastAsia="Times New Roman" w:cs="Arial"/>
                <w:szCs w:val="22"/>
              </w:rPr>
              <w:t>long-term</w:t>
            </w:r>
            <w:r>
              <w:rPr>
                <w:rFonts w:eastAsia="Times New Roman" w:cs="Arial"/>
                <w:szCs w:val="22"/>
              </w:rPr>
              <w:t xml:space="preserve"> SObjs. </w:t>
            </w:r>
            <w:r w:rsidR="00C578D8">
              <w:rPr>
                <w:rFonts w:eastAsia="Times New Roman" w:cs="Arial"/>
                <w:szCs w:val="22"/>
              </w:rPr>
              <w:t xml:space="preserve">Clear time frames and alignment may help the applicant more effectively address the </w:t>
            </w:r>
            <w:r>
              <w:rPr>
                <w:rFonts w:eastAsia="Times New Roman" w:cs="Arial"/>
                <w:szCs w:val="22"/>
              </w:rPr>
              <w:t>competitiveness changes of a decline in projected high school graduates, lowering of some peers</w:t>
            </w:r>
            <w:r w:rsidR="005663C4">
              <w:rPr>
                <w:rFonts w:eastAsia="Times New Roman" w:cs="Arial"/>
                <w:szCs w:val="22"/>
              </w:rPr>
              <w:t>’</w:t>
            </w:r>
            <w:r>
              <w:rPr>
                <w:rFonts w:eastAsia="Times New Roman" w:cs="Arial"/>
                <w:szCs w:val="22"/>
              </w:rPr>
              <w:t xml:space="preserve"> admission standards</w:t>
            </w:r>
            <w:r w:rsidR="00253F22">
              <w:rPr>
                <w:rFonts w:eastAsia="Times New Roman" w:cs="Arial"/>
                <w:szCs w:val="22"/>
              </w:rPr>
              <w:t>,</w:t>
            </w:r>
            <w:r>
              <w:rPr>
                <w:rFonts w:eastAsia="Times New Roman" w:cs="Arial"/>
                <w:szCs w:val="22"/>
              </w:rPr>
              <w:t xml:space="preserve"> and increasing </w:t>
            </w:r>
            <w:r w:rsidR="00DB6E5E">
              <w:rPr>
                <w:rFonts w:eastAsia="Times New Roman" w:cs="Arial"/>
                <w:szCs w:val="22"/>
              </w:rPr>
              <w:t>dual-credit</w:t>
            </w:r>
            <w:r>
              <w:rPr>
                <w:rFonts w:eastAsia="Times New Roman" w:cs="Arial"/>
                <w:szCs w:val="22"/>
              </w:rPr>
              <w:t xml:space="preserve"> academies</w:t>
            </w:r>
            <w:r w:rsidR="007A5EF5">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090CA6FE" w14:textId="77777777" w:rsidR="00C578D8" w:rsidRDefault="00C578D8">
            <w:pPr>
              <w:rPr>
                <w:rFonts w:eastAsia="Times New Roman" w:cs="Arial"/>
                <w:szCs w:val="22"/>
              </w:rPr>
            </w:pPr>
            <w:r>
              <w:rPr>
                <w:rFonts w:eastAsia="Times New Roman" w:cs="Arial"/>
                <w:szCs w:val="22"/>
              </w:rPr>
              <w:t>3</w:t>
            </w:r>
            <w:r w:rsidR="000A11B9">
              <w:rPr>
                <w:rFonts w:eastAsia="Times New Roman" w:cs="Arial"/>
                <w:szCs w:val="22"/>
              </w:rPr>
              <w:t xml:space="preserve"> examiners note this as an OFI for approach and deployment in a(1) (</w:t>
            </w:r>
            <w:r w:rsidR="007B4856">
              <w:rPr>
                <w:rFonts w:eastAsia="Times New Roman" w:cs="Arial"/>
                <w:szCs w:val="22"/>
              </w:rPr>
              <w:t>Ex3</w:t>
            </w:r>
            <w:r w:rsidR="000A11B9">
              <w:rPr>
                <w:rFonts w:eastAsia="Times New Roman" w:cs="Arial"/>
                <w:szCs w:val="22"/>
              </w:rPr>
              <w:t xml:space="preserve">, </w:t>
            </w:r>
            <w:r w:rsidR="007B4856">
              <w:rPr>
                <w:rFonts w:eastAsia="Times New Roman" w:cs="Arial"/>
                <w:szCs w:val="22"/>
              </w:rPr>
              <w:t>Ex4</w:t>
            </w:r>
            <w:r w:rsidR="000A11B9">
              <w:rPr>
                <w:rFonts w:eastAsia="Times New Roman" w:cs="Arial"/>
                <w:szCs w:val="22"/>
              </w:rPr>
              <w:t xml:space="preserve">, </w:t>
            </w:r>
            <w:r w:rsidR="007B4856">
              <w:rPr>
                <w:rFonts w:eastAsia="Times New Roman" w:cs="Arial"/>
                <w:szCs w:val="22"/>
              </w:rPr>
              <w:t>Ex5</w:t>
            </w:r>
            <w:r w:rsidR="000A11B9">
              <w:rPr>
                <w:rFonts w:eastAsia="Times New Roman" w:cs="Arial"/>
                <w:szCs w:val="22"/>
              </w:rPr>
              <w:t>)</w:t>
            </w:r>
            <w:r>
              <w:rPr>
                <w:rFonts w:eastAsia="Times New Roman" w:cs="Arial"/>
                <w:szCs w:val="22"/>
              </w:rPr>
              <w:t>,</w:t>
            </w:r>
            <w:r w:rsidR="000A11B9">
              <w:rPr>
                <w:rFonts w:eastAsia="Times New Roman" w:cs="Arial"/>
                <w:szCs w:val="22"/>
              </w:rPr>
              <w:t xml:space="preserve"> and </w:t>
            </w:r>
            <w:r>
              <w:rPr>
                <w:rFonts w:eastAsia="Times New Roman" w:cs="Arial"/>
                <w:szCs w:val="22"/>
              </w:rPr>
              <w:t>5</w:t>
            </w:r>
            <w:r w:rsidR="000A11B9">
              <w:rPr>
                <w:rFonts w:eastAsia="Times New Roman" w:cs="Arial"/>
                <w:szCs w:val="22"/>
              </w:rPr>
              <w:t xml:space="preserve"> examiners (</w:t>
            </w:r>
            <w:r w:rsidR="007B4856">
              <w:rPr>
                <w:rFonts w:eastAsia="Times New Roman" w:cs="Arial"/>
                <w:szCs w:val="22"/>
              </w:rPr>
              <w:t>Ex2</w:t>
            </w:r>
            <w:r w:rsidR="000A11B9">
              <w:rPr>
                <w:rFonts w:eastAsia="Times New Roman" w:cs="Arial"/>
                <w:szCs w:val="22"/>
              </w:rPr>
              <w:t xml:space="preserve">, </w:t>
            </w:r>
            <w:r w:rsidR="007B4856">
              <w:rPr>
                <w:rFonts w:eastAsia="Times New Roman" w:cs="Arial"/>
                <w:szCs w:val="22"/>
              </w:rPr>
              <w:t>Ex3</w:t>
            </w:r>
            <w:r w:rsidR="000A11B9">
              <w:rPr>
                <w:rFonts w:eastAsia="Times New Roman" w:cs="Arial"/>
                <w:szCs w:val="22"/>
              </w:rPr>
              <w:t>,</w:t>
            </w:r>
            <w:r>
              <w:rPr>
                <w:rFonts w:eastAsia="Times New Roman" w:cs="Arial"/>
                <w:szCs w:val="22"/>
              </w:rPr>
              <w:t xml:space="preserve"> Ex5, Ex6, </w:t>
            </w:r>
            <w:r w:rsidR="007B4856">
              <w:rPr>
                <w:rFonts w:eastAsia="Times New Roman" w:cs="Arial"/>
                <w:szCs w:val="22"/>
              </w:rPr>
              <w:t>Ex7</w:t>
            </w:r>
            <w:r w:rsidR="000A11B9">
              <w:rPr>
                <w:rFonts w:eastAsia="Times New Roman" w:cs="Arial"/>
                <w:szCs w:val="22"/>
              </w:rPr>
              <w:t>) for a(4)</w:t>
            </w:r>
            <w:r>
              <w:rPr>
                <w:rFonts w:eastAsia="Times New Roman" w:cs="Arial"/>
                <w:szCs w:val="22"/>
              </w:rPr>
              <w:t>,</w:t>
            </w:r>
            <w:r w:rsidR="000A11B9">
              <w:rPr>
                <w:rFonts w:eastAsia="Times New Roman" w:cs="Arial"/>
                <w:szCs w:val="22"/>
              </w:rPr>
              <w:t xml:space="preserve"> specifically for WF plans</w:t>
            </w:r>
            <w:r>
              <w:rPr>
                <w:rFonts w:eastAsia="Times New Roman" w:cs="Arial"/>
                <w:szCs w:val="22"/>
              </w:rPr>
              <w:t>.</w:t>
            </w:r>
          </w:p>
          <w:p w14:paraId="255C9893" w14:textId="77777777" w:rsidR="00C578D8" w:rsidRDefault="000A11B9">
            <w:pPr>
              <w:rPr>
                <w:rFonts w:eastAsia="Times New Roman" w:cs="Arial"/>
                <w:szCs w:val="22"/>
              </w:rPr>
            </w:pPr>
            <w:r>
              <w:rPr>
                <w:rFonts w:eastAsia="Times New Roman" w:cs="Arial"/>
                <w:szCs w:val="22"/>
              </w:rPr>
              <w:t xml:space="preserve">a(4) is listed as a strength on the overall approach, but not relative to ST and LT plans. </w:t>
            </w:r>
          </w:p>
          <w:p w14:paraId="53116CAA" w14:textId="2D427D34" w:rsidR="00C578D8" w:rsidRDefault="000A11B9">
            <w:pPr>
              <w:rPr>
                <w:rFonts w:eastAsia="Times New Roman" w:cs="Arial"/>
                <w:szCs w:val="22"/>
              </w:rPr>
            </w:pPr>
            <w:r>
              <w:rPr>
                <w:rFonts w:eastAsia="Times New Roman" w:cs="Arial"/>
                <w:szCs w:val="22"/>
              </w:rPr>
              <w:t>It is unclear that the applicant differentiates between S</w:t>
            </w:r>
            <w:r w:rsidR="00C578D8">
              <w:rPr>
                <w:rFonts w:eastAsia="Times New Roman" w:cs="Arial"/>
                <w:szCs w:val="22"/>
              </w:rPr>
              <w:t>T</w:t>
            </w:r>
            <w:r>
              <w:rPr>
                <w:rFonts w:eastAsia="Times New Roman" w:cs="Arial"/>
                <w:szCs w:val="22"/>
              </w:rPr>
              <w:t xml:space="preserve"> and LT initiatives and action plans overall. S-KPIs are indicated in Figure 2.1-2, and O-KPIs</w:t>
            </w:r>
            <w:r w:rsidR="007A5EF5">
              <w:rPr>
                <w:rFonts w:eastAsia="Times New Roman" w:cs="Arial"/>
                <w:szCs w:val="22"/>
              </w:rPr>
              <w:t>,</w:t>
            </w:r>
            <w:r>
              <w:rPr>
                <w:rFonts w:eastAsia="Times New Roman" w:cs="Arial"/>
                <w:szCs w:val="22"/>
              </w:rPr>
              <w:t xml:space="preserve"> both long term and short </w:t>
            </w:r>
            <w:r w:rsidR="00C578D8">
              <w:rPr>
                <w:rFonts w:eastAsia="Times New Roman" w:cs="Arial"/>
                <w:szCs w:val="22"/>
              </w:rPr>
              <w:t>term</w:t>
            </w:r>
            <w:r w:rsidR="007A5EF5">
              <w:rPr>
                <w:rFonts w:eastAsia="Times New Roman" w:cs="Arial"/>
                <w:szCs w:val="22"/>
              </w:rPr>
              <w:t>,</w:t>
            </w:r>
            <w:r>
              <w:rPr>
                <w:rFonts w:eastAsia="Times New Roman" w:cs="Arial"/>
                <w:szCs w:val="22"/>
              </w:rPr>
              <w:t xml:space="preserve"> are indicated in 4.1-2. It is not clear how these align. </w:t>
            </w:r>
          </w:p>
          <w:p w14:paraId="493ECD72" w14:textId="095C7332" w:rsidR="00C578D8" w:rsidRDefault="000A11B9">
            <w:pPr>
              <w:rPr>
                <w:rFonts w:eastAsia="Times New Roman" w:cs="Arial"/>
                <w:szCs w:val="22"/>
              </w:rPr>
            </w:pPr>
            <w:r>
              <w:rPr>
                <w:rFonts w:eastAsia="Times New Roman" w:cs="Arial"/>
                <w:szCs w:val="22"/>
              </w:rPr>
              <w:t xml:space="preserve">The applicant indicates </w:t>
            </w:r>
            <w:r w:rsidR="00C578D8">
              <w:rPr>
                <w:rFonts w:eastAsia="Times New Roman" w:cs="Arial"/>
                <w:szCs w:val="22"/>
              </w:rPr>
              <w:t>it has made</w:t>
            </w:r>
            <w:r>
              <w:rPr>
                <w:rFonts w:eastAsia="Times New Roman" w:cs="Arial"/>
                <w:szCs w:val="22"/>
              </w:rPr>
              <w:t xml:space="preserve"> improvements but does not indicate any improvements or learning. </w:t>
            </w:r>
          </w:p>
          <w:p w14:paraId="41FD74E7" w14:textId="77777777" w:rsidR="00C578D8" w:rsidRDefault="000A11B9">
            <w:pPr>
              <w:rPr>
                <w:rFonts w:eastAsia="Times New Roman" w:cs="Arial"/>
                <w:szCs w:val="22"/>
              </w:rPr>
            </w:pPr>
            <w:r>
              <w:rPr>
                <w:rFonts w:eastAsia="Times New Roman" w:cs="Arial"/>
                <w:szCs w:val="22"/>
              </w:rPr>
              <w:t>With an influx of high school student</w:t>
            </w:r>
            <w:r w:rsidR="00C578D8">
              <w:rPr>
                <w:rFonts w:eastAsia="Times New Roman" w:cs="Arial"/>
                <w:szCs w:val="22"/>
              </w:rPr>
              <w:t>s</w:t>
            </w:r>
            <w:r>
              <w:rPr>
                <w:rFonts w:eastAsia="Times New Roman" w:cs="Arial"/>
                <w:szCs w:val="22"/>
              </w:rPr>
              <w:t xml:space="preserve"> in the Early College HS Development Program</w:t>
            </w:r>
            <w:r w:rsidR="00C578D8">
              <w:rPr>
                <w:rFonts w:eastAsia="Times New Roman" w:cs="Arial"/>
                <w:szCs w:val="22"/>
              </w:rPr>
              <w:t>,</w:t>
            </w:r>
            <w:r>
              <w:rPr>
                <w:rFonts w:eastAsia="Times New Roman" w:cs="Arial"/>
                <w:szCs w:val="22"/>
              </w:rPr>
              <w:t xml:space="preserve"> capacity of qualified PT and FT faculty is a challenge. A change in learning modalities from in-person to hybrid and online classes, along with a </w:t>
            </w:r>
            <w:r>
              <w:rPr>
                <w:rFonts w:eastAsia="Times New Roman" w:cs="Arial"/>
                <w:szCs w:val="22"/>
              </w:rPr>
              <w:lastRenderedPageBreak/>
              <w:t xml:space="preserve">STEM focus may impact the capability of the faculty. </w:t>
            </w:r>
            <w:r w:rsidR="00C578D8">
              <w:rPr>
                <w:rFonts w:eastAsia="Times New Roman" w:cs="Arial"/>
                <w:szCs w:val="22"/>
              </w:rPr>
              <w:t xml:space="preserve">There </w:t>
            </w:r>
            <w:r>
              <w:rPr>
                <w:rFonts w:eastAsia="Times New Roman" w:cs="Arial"/>
                <w:szCs w:val="22"/>
              </w:rPr>
              <w:t>do not seem to be any SOs ties to student learning outcomes</w:t>
            </w:r>
            <w:r w:rsidR="00C578D8">
              <w:rPr>
                <w:rFonts w:eastAsia="Times New Roman" w:cs="Arial"/>
                <w:szCs w:val="22"/>
              </w:rPr>
              <w:t>, which may be important to an educational organization</w:t>
            </w:r>
          </w:p>
          <w:p w14:paraId="208E668D" w14:textId="163DF66D" w:rsidR="005E22BD" w:rsidRDefault="00C578D8">
            <w:pPr>
              <w:rPr>
                <w:rFonts w:eastAsia="Times New Roman" w:cs="Arial"/>
                <w:szCs w:val="22"/>
              </w:rPr>
            </w:pPr>
            <w:r>
              <w:rPr>
                <w:rFonts w:eastAsia="Times New Roman" w:cs="Arial"/>
                <w:szCs w:val="22"/>
              </w:rPr>
              <w:t>Comment focused on alignment</w:t>
            </w:r>
            <w:r w:rsidR="00253F22">
              <w:rPr>
                <w:rFonts w:eastAsia="Times New Roman" w:cs="Arial"/>
                <w:szCs w:val="22"/>
              </w:rPr>
              <w:t xml:space="preserve"> issue</w:t>
            </w:r>
            <w:r w:rsidR="000A11B9">
              <w:rPr>
                <w:rFonts w:eastAsia="Times New Roman" w:cs="Arial"/>
                <w:szCs w:val="22"/>
              </w:rPr>
              <w:t xml:space="preserve">. </w:t>
            </w:r>
          </w:p>
        </w:tc>
        <w:tc>
          <w:tcPr>
            <w:tcW w:w="0" w:type="auto"/>
            <w:tcBorders>
              <w:bottom w:val="single" w:sz="6" w:space="0" w:color="000000"/>
              <w:right w:val="single" w:sz="6" w:space="0" w:color="000000"/>
            </w:tcBorders>
            <w:tcMar>
              <w:top w:w="75" w:type="dxa"/>
              <w:left w:w="75" w:type="dxa"/>
              <w:bottom w:w="75" w:type="dxa"/>
              <w:right w:w="75" w:type="dxa"/>
            </w:tcMar>
            <w:hideMark/>
          </w:tcPr>
          <w:p w14:paraId="1200F535" w14:textId="77777777" w:rsidR="005E22BD" w:rsidRDefault="000A11B9">
            <w:pPr>
              <w:rPr>
                <w:rFonts w:eastAsia="Times New Roman" w:cs="Arial"/>
                <w:szCs w:val="22"/>
              </w:rPr>
            </w:pPr>
            <w:r>
              <w:rPr>
                <w:rFonts w:eastAsia="Times New Roman" w:cs="Arial"/>
                <w:szCs w:val="22"/>
              </w:rPr>
              <w:lastRenderedPageBreak/>
              <w:t>a(1)</w:t>
            </w:r>
          </w:p>
        </w:tc>
      </w:tr>
      <w:tr w:rsidR="005E22BD" w14:paraId="521F01E0"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861DD6A"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D77E32E" w14:textId="6BBB7E19" w:rsidR="005E22BD" w:rsidRDefault="00253F22">
            <w:pPr>
              <w:rPr>
                <w:rFonts w:eastAsia="Times New Roman" w:cs="Arial"/>
                <w:szCs w:val="22"/>
              </w:rPr>
            </w:pPr>
            <w:r>
              <w:rPr>
                <w:rFonts w:eastAsia="Times New Roman" w:cs="Arial"/>
                <w:szCs w:val="22"/>
              </w:rPr>
              <w:t xml:space="preserve">In the </w:t>
            </w:r>
            <w:r w:rsidR="000A11B9">
              <w:rPr>
                <w:rFonts w:eastAsia="Times New Roman" w:cs="Arial"/>
                <w:szCs w:val="22"/>
              </w:rPr>
              <w:t>APMS, it is not clear how the applicant recognizes when circumstances</w:t>
            </w:r>
            <w:r w:rsidR="007A5EF5">
              <w:rPr>
                <w:rFonts w:eastAsia="Times New Roman" w:cs="Arial"/>
                <w:szCs w:val="22"/>
              </w:rPr>
              <w:t xml:space="preserve"> </w:t>
            </w:r>
            <w:r w:rsidR="0056333C">
              <w:rPr>
                <w:rFonts w:eastAsia="Times New Roman" w:cs="Arial"/>
                <w:szCs w:val="22"/>
              </w:rPr>
              <w:t xml:space="preserve">(e.g., the pandemic or changing economic conditions) </w:t>
            </w:r>
            <w:r w:rsidR="000A11B9">
              <w:rPr>
                <w:rFonts w:eastAsia="Times New Roman" w:cs="Arial"/>
                <w:szCs w:val="22"/>
              </w:rPr>
              <w:t xml:space="preserve">require a shift in action plans and rapid execution of new plans. </w:t>
            </w:r>
            <w:r>
              <w:rPr>
                <w:rFonts w:eastAsia="Times New Roman" w:cs="Arial"/>
                <w:szCs w:val="22"/>
              </w:rPr>
              <w:t xml:space="preserve">A systematic approach </w:t>
            </w:r>
            <w:r w:rsidR="000A11B9">
              <w:rPr>
                <w:rFonts w:eastAsia="Times New Roman" w:cs="Arial"/>
                <w:szCs w:val="22"/>
              </w:rPr>
              <w:t>may enable the applicant to be positioned for success in a rapidly changing environment.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55B1C6D" w14:textId="77777777" w:rsidR="00253F22" w:rsidRDefault="000A11B9">
            <w:pPr>
              <w:rPr>
                <w:rFonts w:eastAsia="Times New Roman" w:cs="Arial"/>
                <w:szCs w:val="22"/>
              </w:rPr>
            </w:pPr>
            <w:r>
              <w:rPr>
                <w:rFonts w:eastAsia="Times New Roman" w:cs="Arial"/>
                <w:szCs w:val="22"/>
              </w:rPr>
              <w:t xml:space="preserve">Four examiners noted </w:t>
            </w:r>
            <w:r w:rsidR="00FC7C2D">
              <w:rPr>
                <w:rFonts w:eastAsia="Times New Roman" w:cs="Arial"/>
                <w:szCs w:val="22"/>
              </w:rPr>
              <w:t>this</w:t>
            </w:r>
            <w:r>
              <w:rPr>
                <w:rFonts w:eastAsia="Times New Roman" w:cs="Arial"/>
                <w:szCs w:val="22"/>
              </w:rPr>
              <w:t xml:space="preserve"> (</w:t>
            </w:r>
            <w:r w:rsidR="00350724">
              <w:rPr>
                <w:rFonts w:eastAsia="Times New Roman" w:cs="Arial"/>
                <w:szCs w:val="22"/>
              </w:rPr>
              <w:t xml:space="preserve">Ex1, </w:t>
            </w:r>
            <w:r w:rsidR="007B4856">
              <w:rPr>
                <w:rFonts w:eastAsia="Times New Roman" w:cs="Arial"/>
                <w:szCs w:val="22"/>
              </w:rPr>
              <w:t>Ex3</w:t>
            </w:r>
            <w:r>
              <w:rPr>
                <w:rFonts w:eastAsia="Times New Roman" w:cs="Arial"/>
                <w:szCs w:val="22"/>
              </w:rPr>
              <w:t>,</w:t>
            </w:r>
            <w:r w:rsidR="00350724">
              <w:rPr>
                <w:rFonts w:eastAsia="Times New Roman" w:cs="Arial"/>
                <w:szCs w:val="22"/>
              </w:rPr>
              <w:t xml:space="preserve"> Ex4,</w:t>
            </w:r>
            <w:r>
              <w:rPr>
                <w:rFonts w:eastAsia="Times New Roman" w:cs="Arial"/>
                <w:szCs w:val="22"/>
              </w:rPr>
              <w:t xml:space="preserve"> </w:t>
            </w:r>
            <w:r w:rsidR="007B4856">
              <w:rPr>
                <w:rFonts w:eastAsia="Times New Roman" w:cs="Arial"/>
                <w:szCs w:val="22"/>
              </w:rPr>
              <w:t>Ex7</w:t>
            </w:r>
            <w:r>
              <w:rPr>
                <w:rFonts w:eastAsia="Times New Roman" w:cs="Arial"/>
                <w:szCs w:val="22"/>
              </w:rPr>
              <w:t>)</w:t>
            </w:r>
            <w:r w:rsidR="00350724">
              <w:rPr>
                <w:rFonts w:eastAsia="Times New Roman" w:cs="Arial"/>
                <w:szCs w:val="22"/>
              </w:rPr>
              <w:t>.</w:t>
            </w:r>
            <w:r>
              <w:rPr>
                <w:rFonts w:eastAsia="Times New Roman" w:cs="Arial"/>
                <w:szCs w:val="22"/>
              </w:rPr>
              <w:t xml:space="preserve"> While the applicant does have a process for shifting action plans as part of the APMS and provides annual SPOT training to enable leaders to create/modify APS for rapid execution, there is </w:t>
            </w:r>
            <w:r w:rsidR="00FC7C2D">
              <w:rPr>
                <w:rFonts w:eastAsia="Times New Roman" w:cs="Arial"/>
                <w:szCs w:val="22"/>
              </w:rPr>
              <w:t>no</w:t>
            </w:r>
            <w:r>
              <w:rPr>
                <w:rFonts w:eastAsia="Times New Roman" w:cs="Arial"/>
                <w:szCs w:val="22"/>
              </w:rPr>
              <w:t xml:space="preserve"> evidence of a process to determine when action plans need to be changed. </w:t>
            </w:r>
          </w:p>
          <w:p w14:paraId="0B5333FB" w14:textId="0974EAA9" w:rsidR="005E22BD" w:rsidRDefault="000A11B9">
            <w:pPr>
              <w:rPr>
                <w:rFonts w:eastAsia="Times New Roman" w:cs="Arial"/>
                <w:szCs w:val="22"/>
              </w:rPr>
            </w:pPr>
            <w:r>
              <w:rPr>
                <w:rFonts w:eastAsia="Times New Roman" w:cs="Arial"/>
                <w:szCs w:val="22"/>
              </w:rPr>
              <w:t>One examiner has the SPOT training as a strength. This OFI is at the overall level.</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1FDD69D" w14:textId="77777777" w:rsidR="005E22BD" w:rsidRDefault="000A11B9">
            <w:pPr>
              <w:rPr>
                <w:rFonts w:eastAsia="Times New Roman" w:cs="Arial"/>
                <w:szCs w:val="22"/>
              </w:rPr>
            </w:pPr>
            <w:r>
              <w:rPr>
                <w:rFonts w:eastAsia="Times New Roman" w:cs="Arial"/>
                <w:szCs w:val="22"/>
              </w:rPr>
              <w:t>b</w:t>
            </w:r>
          </w:p>
        </w:tc>
      </w:tr>
    </w:tbl>
    <w:p w14:paraId="0A97DB19"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9D4C55" w14:paraId="4A103C9E" w14:textId="77777777" w:rsidTr="009D4C55">
        <w:tc>
          <w:tcPr>
            <w:tcW w:w="10080" w:type="dxa"/>
          </w:tcPr>
          <w:p w14:paraId="1A162E94" w14:textId="77777777" w:rsidR="009D4C55" w:rsidRDefault="009D4C55" w:rsidP="009D4C55">
            <w:pPr>
              <w:rPr>
                <w:rFonts w:eastAsia="Times New Roman" w:cs="Arial"/>
                <w:szCs w:val="22"/>
              </w:rPr>
            </w:pPr>
            <w:r>
              <w:rPr>
                <w:rFonts w:eastAsia="Times New Roman" w:cs="Arial"/>
                <w:szCs w:val="22"/>
              </w:rPr>
              <w:t xml:space="preserve">There was variance in the OFIs noted. Those not used in the comments include one on resource allocation and managing risks (a3) as noted by Ex4 and Ex5. </w:t>
            </w:r>
          </w:p>
          <w:p w14:paraId="6005948B" w14:textId="77777777" w:rsidR="009D4C55" w:rsidRDefault="009D4C55" w:rsidP="009D4C55">
            <w:pPr>
              <w:rPr>
                <w:rFonts w:eastAsia="Times New Roman" w:cs="Arial"/>
                <w:szCs w:val="22"/>
              </w:rPr>
            </w:pPr>
            <w:r>
              <w:rPr>
                <w:rFonts w:eastAsia="Times New Roman" w:cs="Arial"/>
                <w:szCs w:val="22"/>
              </w:rPr>
              <w:t xml:space="preserve">Four examiners noted a(4) WF plans as an OFI. It was included as a strength. The OFI was around how WF plans are not segmented by type of workforce while the strength was relative to capability and capacity planning using the Cap2 analysis process. </w:t>
            </w:r>
          </w:p>
          <w:p w14:paraId="41969CF5" w14:textId="51207BDA" w:rsidR="009D4C55" w:rsidRDefault="009D4C55" w:rsidP="009D4C55">
            <w:pPr>
              <w:rPr>
                <w:rFonts w:eastAsia="Times New Roman" w:cs="Arial"/>
                <w:szCs w:val="22"/>
              </w:rPr>
            </w:pPr>
            <w:r>
              <w:rPr>
                <w:rFonts w:eastAsia="Times New Roman" w:cs="Arial"/>
                <w:szCs w:val="22"/>
              </w:rPr>
              <w:t>Learning was noted in many of the areas, e.g., learning was noted in a(1) by Ex3, Ex5, and Ex6; and in a(2) by Ex1 and Ex4; in a(5) by Ex2 and Ex4; and in a(6) by Ex7. Ex5 felt a learning OFI would be helpful to get the applicant to the next level, as it was felt there was limited learning. While PDCA is used throughout for improvements, not many examples of improvements were noted in the application.</w:t>
            </w:r>
          </w:p>
        </w:tc>
      </w:tr>
    </w:tbl>
    <w:p w14:paraId="372A9781"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9990"/>
      </w:tblGrid>
      <w:tr w:rsidR="009D4C55" w14:paraId="4B8BD039" w14:textId="77777777" w:rsidTr="009D4C55">
        <w:tc>
          <w:tcPr>
            <w:tcW w:w="9990" w:type="dxa"/>
          </w:tcPr>
          <w:p w14:paraId="6E4B9D98"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55</w:t>
            </w:r>
          </w:p>
          <w:p w14:paraId="65E9CFD2"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293AB057" w14:textId="1D4646DF" w:rsidR="009D4C55" w:rsidRDefault="009D4C55" w:rsidP="009D4C55">
            <w:pPr>
              <w:rPr>
                <w:rFonts w:eastAsia="Times New Roman" w:cs="Arial"/>
                <w:b/>
                <w:bCs/>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 xml:space="preserve">The score is not in the lower range as the applicant has answered the key aspects of the </w:t>
            </w:r>
            <w:r>
              <w:rPr>
                <w:rStyle w:val="Strong"/>
                <w:rFonts w:eastAsia="Times New Roman" w:cs="Arial"/>
                <w:b w:val="0"/>
                <w:bCs w:val="0"/>
                <w:szCs w:val="22"/>
              </w:rPr>
              <w:t xml:space="preserve">overall </w:t>
            </w:r>
            <w:r w:rsidRPr="00FD460C">
              <w:rPr>
                <w:rStyle w:val="Strong"/>
                <w:rFonts w:eastAsia="Times New Roman" w:cs="Arial"/>
                <w:b w:val="0"/>
                <w:bCs w:val="0"/>
                <w:szCs w:val="22"/>
              </w:rPr>
              <w:t xml:space="preserve">questions, the approach is deployed, and some learning is indicated. The score is not in the upper range of </w:t>
            </w:r>
            <w:r>
              <w:rPr>
                <w:rStyle w:val="Strong"/>
                <w:rFonts w:eastAsia="Times New Roman" w:cs="Arial"/>
                <w:b w:val="0"/>
                <w:bCs w:val="0"/>
                <w:szCs w:val="22"/>
              </w:rPr>
              <w:t>70–85</w:t>
            </w:r>
            <w:r w:rsidRPr="00FD460C">
              <w:rPr>
                <w:rStyle w:val="Strong"/>
                <w:rFonts w:eastAsia="Times New Roman" w:cs="Arial"/>
                <w:b w:val="0"/>
                <w:bCs w:val="0"/>
                <w:szCs w:val="22"/>
              </w:rPr>
              <w:t xml:space="preserve">% </w:t>
            </w:r>
            <w:r w:rsidR="008F6C15" w:rsidRPr="008F6C15">
              <w:rPr>
                <w:rStyle w:val="Strong"/>
                <w:rFonts w:eastAsia="Times New Roman" w:cs="Arial"/>
                <w:b w:val="0"/>
                <w:bCs w:val="0"/>
                <w:szCs w:val="22"/>
              </w:rPr>
              <w:t>i</w:t>
            </w:r>
            <w:r w:rsidR="008F6C15" w:rsidRPr="008F6C15">
              <w:rPr>
                <w:rStyle w:val="Strong"/>
                <w:b w:val="0"/>
                <w:bCs w:val="0"/>
              </w:rPr>
              <w:t>n part because</w:t>
            </w:r>
            <w:r w:rsidRPr="00FD460C">
              <w:rPr>
                <w:rStyle w:val="Strong"/>
                <w:rFonts w:eastAsia="Times New Roman" w:cs="Arial"/>
                <w:b w:val="0"/>
                <w:bCs w:val="0"/>
                <w:szCs w:val="22"/>
              </w:rPr>
              <w:t xml:space="preserve"> the applicant does not respond to several key elements for the overall and many of the multiple questions. </w:t>
            </w:r>
            <w:r w:rsidR="008F6C15">
              <w:rPr>
                <w:rStyle w:val="Strong"/>
                <w:rFonts w:eastAsia="Times New Roman" w:cs="Arial"/>
                <w:b w:val="0"/>
                <w:bCs w:val="0"/>
                <w:szCs w:val="22"/>
              </w:rPr>
              <w:t>Also, w</w:t>
            </w:r>
            <w:r w:rsidRPr="00FD460C">
              <w:rPr>
                <w:rStyle w:val="Strong"/>
                <w:rFonts w:eastAsia="Times New Roman" w:cs="Arial"/>
                <w:b w:val="0"/>
                <w:bCs w:val="0"/>
                <w:szCs w:val="22"/>
              </w:rPr>
              <w:t>hile learning is indicated, no examples of what has been improved</w:t>
            </w:r>
            <w:r w:rsidR="008F6C15">
              <w:rPr>
                <w:rStyle w:val="Strong"/>
                <w:rFonts w:eastAsia="Times New Roman" w:cs="Arial"/>
                <w:b w:val="0"/>
                <w:bCs w:val="0"/>
                <w:szCs w:val="22"/>
              </w:rPr>
              <w:t xml:space="preserve"> or</w:t>
            </w:r>
            <w:r w:rsidRPr="00FD460C">
              <w:rPr>
                <w:rStyle w:val="Strong"/>
                <w:rFonts w:eastAsia="Times New Roman" w:cs="Arial"/>
                <w:b w:val="0"/>
                <w:bCs w:val="0"/>
                <w:szCs w:val="22"/>
              </w:rPr>
              <w:t xml:space="preserve"> instances of innovation or refinements are indicated to improve key processes. </w:t>
            </w:r>
            <w:r w:rsidR="008F6C15">
              <w:rPr>
                <w:rStyle w:val="Strong"/>
                <w:rFonts w:eastAsia="Times New Roman" w:cs="Arial"/>
                <w:b w:val="0"/>
                <w:bCs w:val="0"/>
                <w:szCs w:val="22"/>
              </w:rPr>
              <w:t>In addition, t</w:t>
            </w:r>
            <w:r w:rsidRPr="00FD460C">
              <w:rPr>
                <w:rStyle w:val="Strong"/>
                <w:rFonts w:eastAsia="Times New Roman" w:cs="Arial"/>
                <w:b w:val="0"/>
                <w:bCs w:val="0"/>
                <w:szCs w:val="22"/>
              </w:rPr>
              <w:t>he approach appears to be aligned</w:t>
            </w:r>
            <w:r>
              <w:rPr>
                <w:rStyle w:val="Strong"/>
                <w:rFonts w:eastAsia="Times New Roman" w:cs="Arial"/>
                <w:b w:val="0"/>
                <w:bCs w:val="0"/>
                <w:szCs w:val="22"/>
              </w:rPr>
              <w:t>,</w:t>
            </w:r>
            <w:r w:rsidRPr="00FD460C">
              <w:rPr>
                <w:rStyle w:val="Strong"/>
                <w:rFonts w:eastAsia="Times New Roman" w:cs="Arial"/>
                <w:b w:val="0"/>
                <w:bCs w:val="0"/>
                <w:szCs w:val="22"/>
              </w:rPr>
              <w:t xml:space="preserve"> but it is not clear that it is integrated for current and future changing needs. There are no double strengths</w:t>
            </w:r>
            <w:r>
              <w:rPr>
                <w:rStyle w:val="Strong"/>
                <w:rFonts w:eastAsia="Times New Roman" w:cs="Arial"/>
                <w:b w:val="0"/>
                <w:bCs w:val="0"/>
                <w:szCs w:val="22"/>
              </w:rPr>
              <w:t>,</w:t>
            </w:r>
            <w:r w:rsidRPr="00FD460C">
              <w:rPr>
                <w:rStyle w:val="Strong"/>
                <w:rFonts w:eastAsia="Times New Roman" w:cs="Arial"/>
                <w:b w:val="0"/>
                <w:bCs w:val="0"/>
                <w:szCs w:val="22"/>
              </w:rPr>
              <w:t xml:space="preserve"> but there is one double OFI noted. Based on the strengths and OFIs, the score is at the lower end of the range. Recommend a score of 55.</w:t>
            </w:r>
            <w:r w:rsidRPr="00FD460C">
              <w:rPr>
                <w:rFonts w:eastAsia="Times New Roman" w:cs="Arial"/>
                <w:b/>
                <w:bCs/>
                <w:szCs w:val="22"/>
              </w:rPr>
              <w:t xml:space="preserve"> </w:t>
            </w:r>
          </w:p>
        </w:tc>
      </w:tr>
    </w:tbl>
    <w:p w14:paraId="2EA2A722" w14:textId="77777777" w:rsidR="00050D3F" w:rsidRDefault="00050D3F">
      <w:pPr>
        <w:spacing w:after="0"/>
        <w:rPr>
          <w:rFonts w:eastAsia="Times New Roman" w:cs="Arial"/>
          <w:b/>
          <w:bCs/>
          <w:szCs w:val="22"/>
        </w:rPr>
      </w:pPr>
      <w:r>
        <w:rPr>
          <w:rFonts w:eastAsia="Times New Roman" w:cs="Arial"/>
          <w:b/>
          <w:bCs/>
          <w:szCs w:val="22"/>
        </w:rPr>
        <w:br w:type="page"/>
      </w:r>
    </w:p>
    <w:p w14:paraId="623AFA3C"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3.1</w:t>
      </w:r>
    </w:p>
    <w:p w14:paraId="0B9EBCBF" w14:textId="77777777" w:rsidR="005E22BD" w:rsidRDefault="000A11B9">
      <w:pPr>
        <w:pStyle w:val="Heading2"/>
        <w:divId w:val="905190427"/>
        <w:rPr>
          <w:rFonts w:eastAsia="Times New Roman" w:cs="Arial"/>
        </w:rPr>
      </w:pPr>
      <w:r>
        <w:rPr>
          <w:rFonts w:eastAsia="Times New Roman" w:cs="Arial"/>
        </w:rPr>
        <w:t>Customer Expectations</w:t>
      </w:r>
    </w:p>
    <w:p w14:paraId="63BBA2E8" w14:textId="77777777" w:rsidR="005E22BD" w:rsidRDefault="000A11B9">
      <w:pPr>
        <w:pStyle w:val="Heading3"/>
        <w:divId w:val="905190427"/>
        <w:rPr>
          <w:rFonts w:eastAsia="Times New Roman" w:cs="Arial"/>
        </w:rPr>
      </w:pPr>
      <w:r>
        <w:rPr>
          <w:rFonts w:eastAsia="Times New Roman" w:cs="Arial"/>
        </w:rPr>
        <w:t>Relevant Key Factors</w:t>
      </w:r>
    </w:p>
    <w:p w14:paraId="30658EFA" w14:textId="1443927D" w:rsidR="005E22BD" w:rsidRDefault="000A11B9">
      <w:pPr>
        <w:numPr>
          <w:ilvl w:val="0"/>
          <w:numId w:val="9"/>
        </w:numPr>
        <w:spacing w:before="100" w:beforeAutospacing="1" w:after="100" w:afterAutospacing="1"/>
        <w:divId w:val="905190427"/>
        <w:rPr>
          <w:rFonts w:eastAsia="Times New Roman" w:cs="Arial"/>
          <w:szCs w:val="22"/>
        </w:rPr>
      </w:pPr>
      <w:r>
        <w:rPr>
          <w:rFonts w:eastAsia="Times New Roman" w:cs="Arial"/>
          <w:szCs w:val="22"/>
        </w:rPr>
        <w:t xml:space="preserve">50 associate; </w:t>
      </w:r>
      <w:r w:rsidR="001F46D7">
        <w:rPr>
          <w:rFonts w:eastAsia="Times New Roman" w:cs="Arial"/>
          <w:szCs w:val="22"/>
        </w:rPr>
        <w:t>25 certificates/workforce training badge</w:t>
      </w:r>
      <w:r>
        <w:rPr>
          <w:rFonts w:eastAsia="Times New Roman" w:cs="Arial"/>
          <w:szCs w:val="22"/>
        </w:rPr>
        <w:t>; workforce development</w:t>
      </w:r>
      <w:r w:rsidR="001F46D7">
        <w:rPr>
          <w:rFonts w:eastAsia="Times New Roman" w:cs="Arial"/>
          <w:szCs w:val="22"/>
        </w:rPr>
        <w:t>/</w:t>
      </w:r>
      <w:r>
        <w:rPr>
          <w:rFonts w:eastAsia="Times New Roman" w:cs="Arial"/>
          <w:szCs w:val="22"/>
        </w:rPr>
        <w:t>continuing education</w:t>
      </w:r>
      <w:r w:rsidR="000834C7">
        <w:rPr>
          <w:rFonts w:eastAsia="Times New Roman" w:cs="Arial"/>
          <w:szCs w:val="22"/>
        </w:rPr>
        <w:t>—</w:t>
      </w:r>
      <w:r w:rsidR="001F46D7">
        <w:rPr>
          <w:rFonts w:eastAsia="Times New Roman" w:cs="Arial"/>
          <w:szCs w:val="22"/>
        </w:rPr>
        <w:t>personal development, badges, skill-building courses</w:t>
      </w:r>
      <w:r>
        <w:rPr>
          <w:rFonts w:eastAsia="Times New Roman" w:cs="Arial"/>
          <w:szCs w:val="22"/>
        </w:rPr>
        <w:t>.</w:t>
      </w:r>
    </w:p>
    <w:p w14:paraId="5B33E8DD" w14:textId="6294E4BF" w:rsidR="005E22BD" w:rsidRPr="00085DEF" w:rsidRDefault="001F46D7" w:rsidP="002B5D3E">
      <w:pPr>
        <w:numPr>
          <w:ilvl w:val="0"/>
          <w:numId w:val="9"/>
        </w:numPr>
        <w:spacing w:before="100" w:beforeAutospacing="1" w:after="100" w:afterAutospacing="1"/>
        <w:divId w:val="905190427"/>
        <w:rPr>
          <w:rFonts w:eastAsia="Times New Roman" w:cs="Arial"/>
          <w:szCs w:val="22"/>
        </w:rPr>
      </w:pPr>
      <w:r w:rsidRPr="00085DEF">
        <w:rPr>
          <w:rFonts w:eastAsia="Times New Roman" w:cs="Arial"/>
          <w:szCs w:val="22"/>
        </w:rPr>
        <w:t>10,000 students/year, 75% courses</w:t>
      </w:r>
      <w:r w:rsidR="000A11B9" w:rsidRPr="00085DEF">
        <w:rPr>
          <w:rFonts w:eastAsia="Times New Roman" w:cs="Arial"/>
          <w:szCs w:val="22"/>
        </w:rPr>
        <w:t xml:space="preserve"> face-to-face; </w:t>
      </w:r>
      <w:r w:rsidRPr="00085DEF">
        <w:rPr>
          <w:rFonts w:eastAsia="Times New Roman" w:cs="Arial"/>
          <w:szCs w:val="22"/>
        </w:rPr>
        <w:t>25% online/alternate location</w:t>
      </w:r>
      <w:r w:rsidR="000A11B9" w:rsidRPr="00085DEF">
        <w:rPr>
          <w:rFonts w:eastAsia="Times New Roman" w:cs="Arial"/>
          <w:szCs w:val="22"/>
        </w:rPr>
        <w:t xml:space="preserve">. </w:t>
      </w:r>
      <w:r w:rsidR="00153A64" w:rsidRPr="00085DEF">
        <w:rPr>
          <w:rFonts w:eastAsia="Times New Roman" w:cs="Arial"/>
          <w:szCs w:val="22"/>
        </w:rPr>
        <w:t>Weekend</w:t>
      </w:r>
      <w:r w:rsidR="000A11B9" w:rsidRPr="00085DEF">
        <w:rPr>
          <w:rFonts w:eastAsia="Times New Roman" w:cs="Arial"/>
          <w:szCs w:val="22"/>
        </w:rPr>
        <w:t xml:space="preserve">, compressed, evening courses, </w:t>
      </w:r>
      <w:r w:rsidRPr="00085DEF">
        <w:rPr>
          <w:rFonts w:eastAsia="Times New Roman" w:cs="Arial"/>
          <w:szCs w:val="22"/>
        </w:rPr>
        <w:t>dual-credit academies, prior learning credit</w:t>
      </w:r>
      <w:r w:rsidR="000A11B9" w:rsidRPr="00085DEF">
        <w:rPr>
          <w:rFonts w:eastAsia="Times New Roman" w:cs="Arial"/>
          <w:szCs w:val="22"/>
        </w:rPr>
        <w:t>.</w:t>
      </w:r>
    </w:p>
    <w:p w14:paraId="71795A0C" w14:textId="10773B86" w:rsidR="005E22BD" w:rsidRDefault="001F46D7">
      <w:pPr>
        <w:numPr>
          <w:ilvl w:val="0"/>
          <w:numId w:val="9"/>
        </w:numPr>
        <w:spacing w:before="100" w:beforeAutospacing="1" w:after="100" w:afterAutospacing="1"/>
        <w:divId w:val="905190427"/>
        <w:rPr>
          <w:rFonts w:eastAsia="Times New Roman" w:cs="Arial"/>
          <w:szCs w:val="22"/>
        </w:rPr>
      </w:pPr>
      <w:r>
        <w:rPr>
          <w:rFonts w:eastAsia="Times New Roman" w:cs="Arial"/>
          <w:szCs w:val="22"/>
        </w:rPr>
        <w:t>Recent high school graduates inside/outside service area</w:t>
      </w:r>
      <w:r w:rsidR="000A11B9">
        <w:rPr>
          <w:rFonts w:eastAsia="Times New Roman" w:cs="Arial"/>
          <w:szCs w:val="22"/>
        </w:rPr>
        <w:t xml:space="preserve">; </w:t>
      </w:r>
      <w:r>
        <w:rPr>
          <w:rFonts w:eastAsia="Times New Roman" w:cs="Arial"/>
          <w:szCs w:val="22"/>
        </w:rPr>
        <w:t>nontraditional, transfer, former students</w:t>
      </w:r>
      <w:r w:rsidR="0056333C">
        <w:rPr>
          <w:rFonts w:eastAsia="Times New Roman" w:cs="Arial"/>
          <w:szCs w:val="22"/>
        </w:rPr>
        <w:t>.</w:t>
      </w:r>
    </w:p>
    <w:p w14:paraId="5780708D" w14:textId="10BECF54" w:rsidR="001F46D7" w:rsidRDefault="001F46D7" w:rsidP="001F46D7">
      <w:pPr>
        <w:numPr>
          <w:ilvl w:val="0"/>
          <w:numId w:val="9"/>
        </w:numPr>
        <w:spacing w:before="100" w:beforeAutospacing="1" w:after="100" w:afterAutospacing="1"/>
        <w:divId w:val="905190427"/>
        <w:rPr>
          <w:rFonts w:eastAsia="Times New Roman" w:cs="Arial"/>
          <w:szCs w:val="22"/>
        </w:rPr>
      </w:pPr>
      <w:r>
        <w:rPr>
          <w:rFonts w:eastAsia="Times New Roman" w:cs="Arial"/>
          <w:szCs w:val="22"/>
        </w:rPr>
        <w:t xml:space="preserve">Career-seeking students. Transfer. Non-degree-seeking. </w:t>
      </w:r>
      <w:r w:rsidR="0056333C">
        <w:rPr>
          <w:rFonts w:eastAsia="Times New Roman" w:cs="Arial"/>
          <w:szCs w:val="22"/>
        </w:rPr>
        <w:t>Dual c</w:t>
      </w:r>
      <w:r>
        <w:rPr>
          <w:rFonts w:eastAsia="Times New Roman" w:cs="Arial"/>
          <w:szCs w:val="22"/>
        </w:rPr>
        <w:t>redit</w:t>
      </w:r>
      <w:r w:rsidR="00EC7AF4">
        <w:rPr>
          <w:rFonts w:eastAsia="Times New Roman" w:cs="Arial"/>
          <w:szCs w:val="22"/>
        </w:rPr>
        <w:t>.</w:t>
      </w:r>
    </w:p>
    <w:p w14:paraId="756AA42A" w14:textId="52F59849" w:rsidR="005E22BD" w:rsidRDefault="00DB6E5E">
      <w:pPr>
        <w:numPr>
          <w:ilvl w:val="0"/>
          <w:numId w:val="9"/>
        </w:numPr>
        <w:spacing w:before="100" w:beforeAutospacing="1" w:after="100" w:afterAutospacing="1"/>
        <w:divId w:val="905190427"/>
        <w:rPr>
          <w:rFonts w:eastAsia="Times New Roman" w:cs="Arial"/>
          <w:szCs w:val="22"/>
        </w:rPr>
      </w:pPr>
      <w:r>
        <w:rPr>
          <w:rFonts w:eastAsia="Times New Roman" w:cs="Arial"/>
          <w:szCs w:val="22"/>
        </w:rPr>
        <w:t>Transfer schools/sister colleges</w:t>
      </w:r>
      <w:r w:rsidR="000A11B9">
        <w:rPr>
          <w:rFonts w:eastAsia="Times New Roman" w:cs="Arial"/>
          <w:szCs w:val="22"/>
        </w:rPr>
        <w:t xml:space="preserve">, </w:t>
      </w:r>
      <w:r>
        <w:rPr>
          <w:rFonts w:eastAsia="Times New Roman" w:cs="Arial"/>
          <w:szCs w:val="22"/>
        </w:rPr>
        <w:t xml:space="preserve">feeder high schools, foundation, donors, alumni association, alumni, </w:t>
      </w:r>
      <w:r w:rsidR="001F46D7">
        <w:rPr>
          <w:rFonts w:eastAsia="Times New Roman" w:cs="Arial"/>
          <w:szCs w:val="22"/>
        </w:rPr>
        <w:t>employers/advisory committees</w:t>
      </w:r>
      <w:r>
        <w:rPr>
          <w:rFonts w:eastAsia="Times New Roman" w:cs="Arial"/>
          <w:szCs w:val="22"/>
        </w:rPr>
        <w:t>, technology partners, local</w:t>
      </w:r>
      <w:r w:rsidR="000A11B9">
        <w:rPr>
          <w:rFonts w:eastAsia="Times New Roman" w:cs="Arial"/>
          <w:szCs w:val="22"/>
        </w:rPr>
        <w:t xml:space="preserve"> community including chamber of commerce</w:t>
      </w:r>
      <w:r w:rsidR="0056333C">
        <w:rPr>
          <w:rFonts w:eastAsia="Times New Roman" w:cs="Arial"/>
          <w:szCs w:val="22"/>
        </w:rPr>
        <w:t>.</w:t>
      </w:r>
    </w:p>
    <w:p w14:paraId="145C029C" w14:textId="32E00EB9" w:rsidR="00E5694D" w:rsidRDefault="000A11B9">
      <w:pPr>
        <w:numPr>
          <w:ilvl w:val="0"/>
          <w:numId w:val="9"/>
        </w:numPr>
        <w:spacing w:before="100" w:beforeAutospacing="1" w:after="100" w:afterAutospacing="1"/>
        <w:divId w:val="905190427"/>
        <w:rPr>
          <w:rFonts w:eastAsia="Times New Roman" w:cs="Arial"/>
          <w:szCs w:val="22"/>
        </w:rPr>
      </w:pPr>
      <w:r>
        <w:rPr>
          <w:rFonts w:eastAsia="Times New Roman" w:cs="Arial"/>
          <w:szCs w:val="22"/>
        </w:rPr>
        <w:t xml:space="preserve">Decreased state funding, </w:t>
      </w:r>
      <w:r w:rsidR="001F46D7">
        <w:rPr>
          <w:rFonts w:eastAsia="Times New Roman" w:cs="Arial"/>
          <w:szCs w:val="22"/>
        </w:rPr>
        <w:t xml:space="preserve">influx </w:t>
      </w:r>
      <w:r>
        <w:rPr>
          <w:rFonts w:eastAsia="Times New Roman" w:cs="Arial"/>
          <w:szCs w:val="22"/>
        </w:rPr>
        <w:t xml:space="preserve">of </w:t>
      </w:r>
      <w:r w:rsidR="00DB6E5E">
        <w:rPr>
          <w:rFonts w:eastAsia="Times New Roman" w:cs="Arial"/>
          <w:szCs w:val="22"/>
        </w:rPr>
        <w:t>dual-credit</w:t>
      </w:r>
      <w:r>
        <w:rPr>
          <w:rFonts w:eastAsia="Times New Roman" w:cs="Arial"/>
          <w:szCs w:val="22"/>
        </w:rPr>
        <w:t xml:space="preserve"> high school students, </w:t>
      </w:r>
      <w:r w:rsidRPr="00EC7AF4">
        <w:rPr>
          <w:rFonts w:eastAsia="Times New Roman" w:cs="Arial"/>
          <w:szCs w:val="22"/>
        </w:rPr>
        <w:t>increased competition for students,</w:t>
      </w:r>
      <w:r>
        <w:rPr>
          <w:rFonts w:eastAsia="Times New Roman" w:cs="Arial"/>
          <w:szCs w:val="22"/>
        </w:rPr>
        <w:t xml:space="preserve"> demands </w:t>
      </w:r>
      <w:r w:rsidR="00DB6E5E">
        <w:rPr>
          <w:rFonts w:eastAsia="Times New Roman" w:cs="Arial"/>
          <w:szCs w:val="22"/>
        </w:rPr>
        <w:t>to close achievement gap</w:t>
      </w:r>
      <w:r>
        <w:rPr>
          <w:rFonts w:eastAsia="Times New Roman" w:cs="Arial"/>
          <w:szCs w:val="22"/>
        </w:rPr>
        <w:t xml:space="preserve">, ensuring qualifications of incoming </w:t>
      </w:r>
      <w:r w:rsidR="00DB6E5E">
        <w:rPr>
          <w:rFonts w:eastAsia="Times New Roman" w:cs="Arial"/>
          <w:szCs w:val="22"/>
        </w:rPr>
        <w:t>FT/PT</w:t>
      </w:r>
      <w:r>
        <w:rPr>
          <w:rFonts w:eastAsia="Times New Roman" w:cs="Arial"/>
          <w:szCs w:val="22"/>
        </w:rPr>
        <w:t xml:space="preserve"> faculty</w:t>
      </w:r>
      <w:r w:rsidR="0056333C">
        <w:rPr>
          <w:rFonts w:eastAsia="Times New Roman" w:cs="Arial"/>
          <w:szCs w:val="22"/>
        </w:rPr>
        <w:t>.</w:t>
      </w:r>
    </w:p>
    <w:p w14:paraId="16819EA6"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745"/>
        <w:gridCol w:w="3712"/>
        <w:gridCol w:w="1200"/>
      </w:tblGrid>
      <w:tr w:rsidR="005E22BD" w14:paraId="15A4869C"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05B00001"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BFCD498"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3D74A7D5"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F575D56"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2B3556CB"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63CCC465"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1973999" w14:textId="4F5C39C6" w:rsidR="005E22BD" w:rsidRDefault="000A11B9">
            <w:pPr>
              <w:rPr>
                <w:rFonts w:eastAsia="Times New Roman" w:cs="Arial"/>
                <w:szCs w:val="22"/>
              </w:rPr>
            </w:pPr>
            <w:r>
              <w:rPr>
                <w:rFonts w:eastAsia="Times New Roman" w:cs="Arial"/>
                <w:szCs w:val="22"/>
              </w:rPr>
              <w:t>The applicant uses a systematic approach (Figure 3.1-1) to listen to, interact with, and observe students and other</w:t>
            </w:r>
            <w:r w:rsidR="003251B5">
              <w:rPr>
                <w:rFonts w:eastAsia="Times New Roman" w:cs="Arial"/>
                <w:szCs w:val="22"/>
              </w:rPr>
              <w:t xml:space="preserve"> customers, such as feeder and transfer schools,</w:t>
            </w:r>
            <w:r>
              <w:rPr>
                <w:rFonts w:eastAsia="Times New Roman" w:cs="Arial"/>
                <w:szCs w:val="22"/>
              </w:rPr>
              <w:t xml:space="preserve"> to obtain actionable data and information. </w:t>
            </w:r>
            <w:r w:rsidR="00DB7E29">
              <w:rPr>
                <w:rFonts w:eastAsia="Times New Roman" w:cs="Arial"/>
                <w:szCs w:val="22"/>
              </w:rPr>
              <w:t xml:space="preserve">Formal and informal </w:t>
            </w:r>
            <w:r w:rsidR="003251B5">
              <w:rPr>
                <w:rFonts w:eastAsia="Times New Roman" w:cs="Arial"/>
                <w:szCs w:val="22"/>
              </w:rPr>
              <w:t xml:space="preserve">VOC methods include a variety of modalities at varying frequencies. The </w:t>
            </w:r>
            <w:r>
              <w:rPr>
                <w:rFonts w:eastAsia="Times New Roman" w:cs="Arial"/>
                <w:szCs w:val="22"/>
              </w:rPr>
              <w:t xml:space="preserve">VOC data </w:t>
            </w:r>
            <w:r w:rsidR="003251B5">
              <w:rPr>
                <w:rFonts w:eastAsia="Times New Roman" w:cs="Arial"/>
                <w:szCs w:val="22"/>
              </w:rPr>
              <w:t>flow</w:t>
            </w:r>
            <w:r>
              <w:rPr>
                <w:rFonts w:eastAsia="Times New Roman" w:cs="Arial"/>
                <w:szCs w:val="22"/>
              </w:rPr>
              <w:t xml:space="preserve"> to the RMP (Figure 3.1-2) to provide actionable information in support of operational and strategic discussions.</w:t>
            </w:r>
            <w:r w:rsidR="003251B5">
              <w:rPr>
                <w:rFonts w:eastAsia="Times New Roman" w:cs="Arial"/>
                <w:szCs w:val="22"/>
              </w:rPr>
              <w:t xml:space="preserve"> </w:t>
            </w:r>
          </w:p>
        </w:tc>
        <w:tc>
          <w:tcPr>
            <w:tcW w:w="0" w:type="auto"/>
            <w:tcBorders>
              <w:bottom w:val="single" w:sz="6" w:space="0" w:color="000000"/>
              <w:right w:val="single" w:sz="6" w:space="0" w:color="000000"/>
            </w:tcBorders>
            <w:tcMar>
              <w:top w:w="75" w:type="dxa"/>
              <w:left w:w="75" w:type="dxa"/>
              <w:bottom w:w="75" w:type="dxa"/>
              <w:right w:w="75" w:type="dxa"/>
            </w:tcMar>
            <w:hideMark/>
          </w:tcPr>
          <w:p w14:paraId="600937E5" w14:textId="2021323B" w:rsidR="007C339E" w:rsidRDefault="000A11B9">
            <w:pPr>
              <w:rPr>
                <w:rFonts w:eastAsia="Times New Roman" w:cs="Arial"/>
                <w:szCs w:val="22"/>
              </w:rPr>
            </w:pPr>
            <w:r>
              <w:rPr>
                <w:rFonts w:eastAsia="Times New Roman" w:cs="Arial"/>
                <w:szCs w:val="22"/>
              </w:rPr>
              <w:t xml:space="preserve">Noted by </w:t>
            </w:r>
            <w:r w:rsidR="00E5694D">
              <w:rPr>
                <w:rFonts w:eastAsia="Times New Roman" w:cs="Arial"/>
                <w:szCs w:val="22"/>
              </w:rPr>
              <w:t>6</w:t>
            </w:r>
            <w:r>
              <w:rPr>
                <w:rFonts w:eastAsia="Times New Roman" w:cs="Arial"/>
                <w:szCs w:val="22"/>
              </w:rPr>
              <w:t xml:space="preserve"> examiners in IR. This is an overall-level S</w:t>
            </w:r>
            <w:r w:rsidR="00E5694D">
              <w:rPr>
                <w:rFonts w:eastAsia="Times New Roman" w:cs="Arial"/>
                <w:szCs w:val="22"/>
              </w:rPr>
              <w:t>TR</w:t>
            </w:r>
            <w:r>
              <w:rPr>
                <w:rFonts w:eastAsia="Times New Roman" w:cs="Arial"/>
                <w:szCs w:val="22"/>
              </w:rPr>
              <w:t xml:space="preserve"> that focuses on approaches to obtaining actionable information </w:t>
            </w:r>
            <w:r w:rsidR="003251B5">
              <w:rPr>
                <w:rFonts w:eastAsia="Times New Roman" w:cs="Arial"/>
                <w:szCs w:val="22"/>
              </w:rPr>
              <w:t xml:space="preserve">from </w:t>
            </w:r>
            <w:r>
              <w:rPr>
                <w:rFonts w:eastAsia="Times New Roman" w:cs="Arial"/>
                <w:szCs w:val="22"/>
              </w:rPr>
              <w:t xml:space="preserve">students and other customers. Does not conflict with proposed a(1) OFI about deployment. </w:t>
            </w:r>
          </w:p>
          <w:p w14:paraId="3E88979B" w14:textId="77B65179" w:rsidR="007C339E" w:rsidRDefault="000A11B9">
            <w:pPr>
              <w:rPr>
                <w:rFonts w:eastAsia="Times New Roman" w:cs="Arial"/>
                <w:szCs w:val="22"/>
              </w:rPr>
            </w:pPr>
            <w:r>
              <w:rPr>
                <w:rFonts w:eastAsia="Times New Roman" w:cs="Arial"/>
                <w:szCs w:val="22"/>
              </w:rPr>
              <w:t xml:space="preserve">R2: Moved to first position. Some examiners indicated that a(1) should be doubled. I do not find sufficient evidence that VOC listening processes are exemplary, and the use of/relationship with RBM is unexplained and unclear. </w:t>
            </w:r>
          </w:p>
          <w:p w14:paraId="6189736E" w14:textId="5CB24832" w:rsidR="005E22BD" w:rsidRDefault="000A11B9">
            <w:pPr>
              <w:rPr>
                <w:rFonts w:eastAsia="Times New Roman" w:cs="Arial"/>
                <w:szCs w:val="22"/>
              </w:rPr>
            </w:pPr>
            <w:r>
              <w:rPr>
                <w:rFonts w:eastAsia="Times New Roman" w:cs="Arial"/>
                <w:szCs w:val="22"/>
              </w:rPr>
              <w:t xml:space="preserve">R2: Revised to avoid sloshing over into b(2) </w:t>
            </w:r>
            <w:r w:rsidR="00FD460C">
              <w:rPr>
                <w:rFonts w:eastAsia="Times New Roman" w:cs="Arial"/>
                <w:szCs w:val="22"/>
              </w:rPr>
              <w:t>questions</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711E1C6C" w14:textId="77777777" w:rsidR="005E22BD" w:rsidRDefault="000A11B9">
            <w:pPr>
              <w:rPr>
                <w:rFonts w:eastAsia="Times New Roman" w:cs="Arial"/>
                <w:szCs w:val="22"/>
              </w:rPr>
            </w:pPr>
            <w:r>
              <w:rPr>
                <w:rFonts w:eastAsia="Times New Roman" w:cs="Arial"/>
                <w:szCs w:val="22"/>
              </w:rPr>
              <w:t>a(1)</w:t>
            </w:r>
          </w:p>
        </w:tc>
      </w:tr>
      <w:tr w:rsidR="005E22BD" w14:paraId="20E47EDD"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84F717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AC04276" w14:textId="1CA59D5E" w:rsidR="005E22BD" w:rsidRDefault="00DB7E29">
            <w:pPr>
              <w:rPr>
                <w:rFonts w:eastAsia="Times New Roman" w:cs="Arial"/>
                <w:szCs w:val="22"/>
              </w:rPr>
            </w:pPr>
            <w:r>
              <w:rPr>
                <w:rFonts w:eastAsia="Times New Roman" w:cs="Arial"/>
                <w:szCs w:val="22"/>
              </w:rPr>
              <w:t xml:space="preserve">During </w:t>
            </w:r>
            <w:r w:rsidR="00A73321">
              <w:rPr>
                <w:rFonts w:eastAsia="Times New Roman" w:cs="Arial"/>
                <w:szCs w:val="22"/>
              </w:rPr>
              <w:t>s</w:t>
            </w:r>
            <w:r>
              <w:rPr>
                <w:rFonts w:eastAsia="Times New Roman" w:cs="Arial"/>
                <w:szCs w:val="22"/>
              </w:rPr>
              <w:t xml:space="preserve">tep 1 </w:t>
            </w:r>
            <w:r w:rsidR="004C103A">
              <w:rPr>
                <w:rFonts w:eastAsia="Times New Roman" w:cs="Arial"/>
                <w:szCs w:val="22"/>
              </w:rPr>
              <w:t>o</w:t>
            </w:r>
            <w:r>
              <w:rPr>
                <w:rFonts w:eastAsia="Times New Roman" w:cs="Arial"/>
                <w:szCs w:val="22"/>
              </w:rPr>
              <w:t>f the SPP, t</w:t>
            </w:r>
            <w:r w:rsidR="000A11B9">
              <w:rPr>
                <w:rFonts w:eastAsia="Times New Roman" w:cs="Arial"/>
                <w:szCs w:val="22"/>
              </w:rPr>
              <w:t xml:space="preserve">he applicant uses multiple methods to determine program and service offerings. These methods incorporate data and information from the </w:t>
            </w:r>
            <w:r w:rsidR="0062229F">
              <w:rPr>
                <w:rFonts w:eastAsia="Times New Roman" w:cs="Arial"/>
                <w:szCs w:val="22"/>
              </w:rPr>
              <w:t>applicant</w:t>
            </w:r>
            <w:r w:rsidR="005663C4">
              <w:rPr>
                <w:rFonts w:eastAsia="Times New Roman" w:cs="Arial"/>
                <w:szCs w:val="22"/>
              </w:rPr>
              <w:t>’</w:t>
            </w:r>
            <w:r w:rsidR="000A11B9">
              <w:rPr>
                <w:rFonts w:eastAsia="Times New Roman" w:cs="Arial"/>
                <w:szCs w:val="22"/>
              </w:rPr>
              <w:t>s VOC (Figure 3.1-1) and RMP (Figure 3.1-2). Other data</w:t>
            </w:r>
            <w:r>
              <w:rPr>
                <w:rFonts w:eastAsia="Times New Roman" w:cs="Arial"/>
                <w:szCs w:val="22"/>
              </w:rPr>
              <w:t>, including environmental scans, competitor information, and stakeholder feedback,</w:t>
            </w:r>
            <w:r w:rsidR="000A11B9">
              <w:rPr>
                <w:rFonts w:eastAsia="Times New Roman" w:cs="Arial"/>
                <w:szCs w:val="22"/>
              </w:rPr>
              <w:t xml:space="preserve"> are incorporated during SPP </w:t>
            </w:r>
            <w:r w:rsidR="00A73321">
              <w:rPr>
                <w:rFonts w:eastAsia="Times New Roman" w:cs="Arial"/>
                <w:szCs w:val="22"/>
              </w:rPr>
              <w:t>s</w:t>
            </w:r>
            <w:r w:rsidR="000A11B9">
              <w:rPr>
                <w:rFonts w:eastAsia="Times New Roman" w:cs="Arial"/>
                <w:szCs w:val="22"/>
              </w:rPr>
              <w:t>tep 1 to analyze opportunities. Some additional services</w:t>
            </w:r>
            <w:r w:rsidR="0056333C">
              <w:rPr>
                <w:rFonts w:eastAsia="Times New Roman" w:cs="Arial"/>
                <w:szCs w:val="22"/>
              </w:rPr>
              <w:t xml:space="preserve"> and </w:t>
            </w:r>
            <w:r w:rsidR="000A11B9">
              <w:rPr>
                <w:rFonts w:eastAsia="Times New Roman" w:cs="Arial"/>
                <w:szCs w:val="22"/>
              </w:rPr>
              <w:t xml:space="preserve">programs have resulted from the VOC and RMP analyses, including the STAR program and pandemic-related initiatives, and </w:t>
            </w:r>
            <w:r w:rsidR="00A73321">
              <w:rPr>
                <w:rFonts w:eastAsia="Times New Roman" w:cs="Arial"/>
                <w:szCs w:val="22"/>
              </w:rPr>
              <w:t>t</w:t>
            </w:r>
            <w:r w:rsidR="00A73321">
              <w:t xml:space="preserve">hese </w:t>
            </w:r>
            <w:r w:rsidR="000A11B9">
              <w:rPr>
                <w:rFonts w:eastAsia="Times New Roman" w:cs="Arial"/>
                <w:szCs w:val="22"/>
              </w:rPr>
              <w:t xml:space="preserve">expand the </w:t>
            </w:r>
            <w:r w:rsidR="0062229F">
              <w:rPr>
                <w:rFonts w:eastAsia="Times New Roman" w:cs="Arial"/>
                <w:szCs w:val="22"/>
              </w:rPr>
              <w:t>applicant</w:t>
            </w:r>
            <w:r w:rsidR="005663C4">
              <w:rPr>
                <w:rFonts w:eastAsia="Times New Roman" w:cs="Arial"/>
                <w:szCs w:val="22"/>
              </w:rPr>
              <w:t>’</w:t>
            </w:r>
            <w:r w:rsidR="000A11B9">
              <w:rPr>
                <w:rFonts w:eastAsia="Times New Roman" w:cs="Arial"/>
                <w:szCs w:val="22"/>
              </w:rPr>
              <w:t>s reach into new markets based on community and local needs.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BE51637" w14:textId="684ADE47" w:rsidR="007C339E" w:rsidRDefault="000A11B9">
            <w:pPr>
              <w:rPr>
                <w:rFonts w:eastAsia="Times New Roman" w:cs="Arial"/>
                <w:szCs w:val="22"/>
              </w:rPr>
            </w:pPr>
            <w:r>
              <w:rPr>
                <w:rFonts w:eastAsia="Times New Roman" w:cs="Arial"/>
                <w:szCs w:val="22"/>
              </w:rPr>
              <w:t xml:space="preserve">Four examiners noted an </w:t>
            </w:r>
            <w:r w:rsidR="007C339E">
              <w:rPr>
                <w:rFonts w:eastAsia="Times New Roman" w:cs="Arial"/>
                <w:szCs w:val="22"/>
              </w:rPr>
              <w:t>overall</w:t>
            </w:r>
            <w:r>
              <w:rPr>
                <w:rFonts w:eastAsia="Times New Roman" w:cs="Arial"/>
                <w:szCs w:val="22"/>
              </w:rPr>
              <w:t xml:space="preserve">-level b(2) </w:t>
            </w:r>
            <w:r w:rsidR="007C339E">
              <w:rPr>
                <w:rFonts w:eastAsia="Times New Roman" w:cs="Arial"/>
                <w:szCs w:val="22"/>
              </w:rPr>
              <w:t>strength</w:t>
            </w:r>
            <w:r>
              <w:rPr>
                <w:rFonts w:eastAsia="Times New Roman" w:cs="Arial"/>
                <w:szCs w:val="22"/>
              </w:rPr>
              <w:t>; all comments are represented in this drafted b(2) S</w:t>
            </w:r>
            <w:r w:rsidR="007C339E">
              <w:rPr>
                <w:rFonts w:eastAsia="Times New Roman" w:cs="Arial"/>
                <w:szCs w:val="22"/>
              </w:rPr>
              <w:t>TR</w:t>
            </w:r>
            <w:r>
              <w:rPr>
                <w:rFonts w:eastAsia="Times New Roman" w:cs="Arial"/>
                <w:szCs w:val="22"/>
              </w:rPr>
              <w:t xml:space="preserve"> comment. </w:t>
            </w:r>
          </w:p>
          <w:p w14:paraId="1CC2821C" w14:textId="192CEF4D" w:rsidR="005E22BD" w:rsidRDefault="000A11B9">
            <w:pPr>
              <w:rPr>
                <w:rFonts w:eastAsia="Times New Roman" w:cs="Arial"/>
                <w:szCs w:val="22"/>
              </w:rPr>
            </w:pPr>
            <w:r>
              <w:rPr>
                <w:rFonts w:eastAsia="Times New Roman" w:cs="Arial"/>
                <w:szCs w:val="22"/>
              </w:rPr>
              <w:t>R2: Added STAR example to relevance statement.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D062C75" w14:textId="77777777" w:rsidR="005E22BD" w:rsidRDefault="000A11B9">
            <w:pPr>
              <w:rPr>
                <w:rFonts w:eastAsia="Times New Roman" w:cs="Arial"/>
                <w:szCs w:val="22"/>
              </w:rPr>
            </w:pPr>
            <w:r>
              <w:rPr>
                <w:rFonts w:eastAsia="Times New Roman" w:cs="Arial"/>
                <w:szCs w:val="22"/>
              </w:rPr>
              <w:t>b(2)</w:t>
            </w:r>
          </w:p>
        </w:tc>
      </w:tr>
    </w:tbl>
    <w:p w14:paraId="78E3AF96" w14:textId="77777777" w:rsidR="005E22BD" w:rsidRDefault="000A11B9">
      <w:pPr>
        <w:pStyle w:val="Heading4"/>
        <w:divId w:val="905190427"/>
        <w:rPr>
          <w:rFonts w:eastAsia="Times New Roman" w:cs="Arial"/>
        </w:rPr>
      </w:pPr>
      <w:r>
        <w:rPr>
          <w:rFonts w:eastAsia="Times New Roman" w:cs="Arial"/>
        </w:rPr>
        <w:lastRenderedPageBreak/>
        <w:t>Notes</w:t>
      </w:r>
    </w:p>
    <w:tbl>
      <w:tblPr>
        <w:tblStyle w:val="TableGrid"/>
        <w:tblW w:w="0" w:type="auto"/>
        <w:tblInd w:w="355" w:type="dxa"/>
        <w:tblLook w:val="04A0" w:firstRow="1" w:lastRow="0" w:firstColumn="1" w:lastColumn="0" w:noHBand="0" w:noVBand="1"/>
      </w:tblPr>
      <w:tblGrid>
        <w:gridCol w:w="10170"/>
      </w:tblGrid>
      <w:tr w:rsidR="009D4C55" w14:paraId="7DBB576A" w14:textId="77777777" w:rsidTr="009D4C55">
        <w:tc>
          <w:tcPr>
            <w:tcW w:w="10170" w:type="dxa"/>
          </w:tcPr>
          <w:p w14:paraId="53BADE11" w14:textId="3DC734A2" w:rsidR="009D4C55" w:rsidRDefault="009D4C55" w:rsidP="009D4C55">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 xml:space="preserve">s unexplained use of a 3rd-party vendor/partner to manage customer relationships is cause for some confusion and concerns in category 3 and elsewhere. The applicant introduces RBM in 3.1a(1) as "a relationship-based management firm . . . [that] manages VOC data collection and analysis with teams from PROD, CEOC, and the  Foundation to differentiate needs from student, community, employer, and stakeholder groups." Is this a shared-services agreement? Do sister colleges also use RBM? If so, HLC guidelines state that when an institution forms a relationship with an entity that has no corporate or financial relationship with the institution to perform services—or pools/consolidates services with a related entity or derives services from a parent or affiliated corporation—the agreement may require HLC approval. The applicant does not describe its relationship with RMB as HLC approved. </w:t>
            </w:r>
          </w:p>
          <w:p w14:paraId="42E610E3" w14:textId="77777777" w:rsidR="009D4C55" w:rsidRDefault="009D4C55" w:rsidP="009D4C55">
            <w:pPr>
              <w:rPr>
                <w:rFonts w:eastAsia="Times New Roman" w:cs="Arial"/>
                <w:szCs w:val="22"/>
              </w:rPr>
            </w:pPr>
            <w:r>
              <w:rPr>
                <w:rFonts w:eastAsia="Times New Roman" w:cs="Arial"/>
                <w:szCs w:val="22"/>
              </w:rPr>
              <w:t>R2—Deleted a(2) STR to avoid confusion with a(2) OFI (Ex1, Ex7). One examiner agreed with keeping a(2) STR in last position (Ex4): “The applicant uses formal and informal methods to listen to potential students and other customers to obtain actionable information as evidenced in the VOC system (Figure 3.1-1). Methods include information gathered via conferences, websites, journals, and job and high school fairs, and from national databases. The SPP Step 1 (Figure 2.1-1) includes analysis and impact of these data in strategy development to design, improve, and innovate community involvement, business partner development, fundraising strategies, and legislative outlook.” (Noted by six examiners: Ex1, Ex2, Ex5,</w:t>
            </w:r>
            <w:r w:rsidRPr="00350724">
              <w:rPr>
                <w:rFonts w:eastAsia="Times New Roman" w:cs="Arial"/>
                <w:szCs w:val="22"/>
              </w:rPr>
              <w:t xml:space="preserve"> </w:t>
            </w:r>
            <w:r>
              <w:rPr>
                <w:rFonts w:eastAsia="Times New Roman" w:cs="Arial"/>
                <w:szCs w:val="22"/>
              </w:rPr>
              <w:t xml:space="preserve">Ex6, Ex7.) </w:t>
            </w:r>
          </w:p>
          <w:p w14:paraId="3FD5877B" w14:textId="0F229EB9" w:rsidR="009D4C55" w:rsidRDefault="009D4C55" w:rsidP="009D4C55">
            <w:pPr>
              <w:rPr>
                <w:rFonts w:eastAsia="Times New Roman" w:cs="Arial"/>
                <w:szCs w:val="22"/>
              </w:rPr>
            </w:pPr>
            <w:r>
              <w:rPr>
                <w:rFonts w:eastAsia="Times New Roman" w:cs="Arial"/>
                <w:szCs w:val="22"/>
              </w:rPr>
              <w:t>Ex6 proposed new a(1) STR (copied below). I did not add this second a(1) STR because evidence of integration of VOC and SPP was not compelling: “Voice-of-the-customer information is aligned with other organizational processes to drive change and improvement. The Office of Planning, Research, and Organizational Development aggregates, analyses and distributes VOC data, which is then used in step 1 of the SPP to identify needs for new programs and services. VOC data is also used in the Innovation Process to design, improve and innovate educational programs. Further, customer involvement in the PI Analytic Process helps to identify improvement opportunities.”</w:t>
            </w:r>
          </w:p>
        </w:tc>
      </w:tr>
    </w:tbl>
    <w:p w14:paraId="4C863536" w14:textId="3DD5DB74" w:rsidR="005E22BD" w:rsidRDefault="000A11B9" w:rsidP="00E816F5">
      <w:pPr>
        <w:pStyle w:val="Heading3"/>
        <w:divId w:val="905190427"/>
        <w:rPr>
          <w:rFonts w:eastAsia="Times New Roman"/>
        </w:rPr>
      </w:pPr>
      <w:r>
        <w:rPr>
          <w:rFonts w:eastAsia="Times New Roman"/>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228"/>
        <w:gridCol w:w="4228"/>
        <w:gridCol w:w="1200"/>
      </w:tblGrid>
      <w:tr w:rsidR="005E22BD" w14:paraId="5A699AF3" w14:textId="77777777" w:rsidTr="00484747">
        <w:trPr>
          <w:divId w:val="905190427"/>
          <w:tblHeader/>
        </w:trPr>
        <w:tc>
          <w:tcPr>
            <w:tcW w:w="481" w:type="dxa"/>
            <w:tcBorders>
              <w:bottom w:val="single" w:sz="12" w:space="0" w:color="000000"/>
              <w:right w:val="single" w:sz="6" w:space="0" w:color="000000"/>
            </w:tcBorders>
            <w:shd w:val="clear" w:color="auto" w:fill="DFDFDF"/>
            <w:vAlign w:val="center"/>
            <w:hideMark/>
          </w:tcPr>
          <w:p w14:paraId="53B42AE3"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1DE313D"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0413C4C9"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570FB69"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751FC3C9"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206A31C6"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5043613" w14:textId="7A35EB6E" w:rsidR="005E22BD" w:rsidRDefault="00DB7E29" w:rsidP="003B0B38">
            <w:pPr>
              <w:rPr>
                <w:rFonts w:eastAsia="Times New Roman" w:cs="Arial"/>
                <w:szCs w:val="22"/>
              </w:rPr>
            </w:pPr>
            <w:r>
              <w:rPr>
                <w:rFonts w:eastAsia="Times New Roman" w:cs="Arial"/>
                <w:szCs w:val="22"/>
              </w:rPr>
              <w:t>The applicant</w:t>
            </w:r>
            <w:r w:rsidR="005663C4">
              <w:rPr>
                <w:rFonts w:eastAsia="Times New Roman" w:cs="Arial"/>
                <w:szCs w:val="22"/>
              </w:rPr>
              <w:t>’</w:t>
            </w:r>
            <w:r w:rsidR="000A11B9">
              <w:rPr>
                <w:rFonts w:eastAsia="Times New Roman" w:cs="Arial"/>
                <w:szCs w:val="22"/>
              </w:rPr>
              <w:t xml:space="preserve">s partnership with RBM </w:t>
            </w:r>
            <w:r>
              <w:rPr>
                <w:rFonts w:eastAsia="Times New Roman" w:cs="Arial"/>
                <w:szCs w:val="22"/>
              </w:rPr>
              <w:t xml:space="preserve">does not appear to be a systematic approach for </w:t>
            </w:r>
            <w:r w:rsidR="000A11B9">
              <w:rPr>
                <w:rFonts w:eastAsia="Times New Roman" w:cs="Arial"/>
                <w:szCs w:val="22"/>
              </w:rPr>
              <w:t xml:space="preserve">identifying future student and </w:t>
            </w:r>
            <w:r>
              <w:rPr>
                <w:rFonts w:eastAsia="Times New Roman" w:cs="Arial"/>
                <w:szCs w:val="22"/>
              </w:rPr>
              <w:t xml:space="preserve">other </w:t>
            </w:r>
            <w:r w:rsidR="000A11B9">
              <w:rPr>
                <w:rFonts w:eastAsia="Times New Roman" w:cs="Arial"/>
                <w:szCs w:val="22"/>
              </w:rPr>
              <w:t>customer groups and market segments, including which groups and segments to pursue for future growth</w:t>
            </w:r>
            <w:r w:rsidR="0056333C">
              <w:rPr>
                <w:rFonts w:eastAsia="Times New Roman" w:cs="Arial"/>
                <w:szCs w:val="22"/>
              </w:rPr>
              <w:t>.</w:t>
            </w:r>
            <w:r w:rsidR="003B0B38">
              <w:rPr>
                <w:rFonts w:eastAsia="Times New Roman" w:cs="Arial"/>
                <w:szCs w:val="22"/>
              </w:rPr>
              <w:t xml:space="preserve"> </w:t>
            </w:r>
            <w:r w:rsidR="0056333C">
              <w:rPr>
                <w:rFonts w:eastAsia="Times New Roman" w:cs="Arial"/>
                <w:szCs w:val="22"/>
              </w:rPr>
              <w:t>T</w:t>
            </w:r>
            <w:r w:rsidR="003B0B38">
              <w:rPr>
                <w:rFonts w:eastAsia="Times New Roman" w:cs="Arial"/>
                <w:szCs w:val="22"/>
              </w:rPr>
              <w:t>he approach does not appear to be well</w:t>
            </w:r>
            <w:r w:rsidR="0056333C">
              <w:rPr>
                <w:rFonts w:eastAsia="Times New Roman" w:cs="Arial"/>
                <w:szCs w:val="22"/>
              </w:rPr>
              <w:t xml:space="preserve"> </w:t>
            </w:r>
            <w:r w:rsidR="003B0B38">
              <w:rPr>
                <w:rFonts w:eastAsia="Times New Roman" w:cs="Arial"/>
                <w:szCs w:val="22"/>
              </w:rPr>
              <w:t>ordered or repeatable by the applicant</w:t>
            </w:r>
            <w:r w:rsidR="00B27D95">
              <w:rPr>
                <w:rFonts w:eastAsia="Times New Roman" w:cs="Arial"/>
                <w:szCs w:val="22"/>
              </w:rPr>
              <w:t>, as it is not clear which processes the applicant has outsourced to its RBM partner</w:t>
            </w:r>
            <w:r w:rsidR="003B0B38">
              <w:rPr>
                <w:rFonts w:eastAsia="Times New Roman" w:cs="Arial"/>
                <w:szCs w:val="22"/>
              </w:rPr>
              <w:t xml:space="preserve">. </w:t>
            </w:r>
            <w:r w:rsidR="000A11B9">
              <w:rPr>
                <w:rFonts w:eastAsia="Times New Roman" w:cs="Arial"/>
                <w:szCs w:val="22"/>
              </w:rPr>
              <w:t xml:space="preserve">A systematic approach may help the </w:t>
            </w:r>
            <w:r w:rsidR="00C74F71">
              <w:rPr>
                <w:rFonts w:eastAsia="Times New Roman" w:cs="Arial"/>
                <w:szCs w:val="22"/>
              </w:rPr>
              <w:t>applicant</w:t>
            </w:r>
            <w:r w:rsidR="000A11B9">
              <w:rPr>
                <w:rFonts w:eastAsia="Times New Roman" w:cs="Arial"/>
                <w:szCs w:val="22"/>
              </w:rPr>
              <w:t xml:space="preserve"> address its strategic objectives for student access and success.</w:t>
            </w:r>
          </w:p>
        </w:tc>
        <w:tc>
          <w:tcPr>
            <w:tcW w:w="0" w:type="auto"/>
            <w:tcBorders>
              <w:bottom w:val="single" w:sz="6" w:space="0" w:color="000000"/>
              <w:right w:val="single" w:sz="6" w:space="0" w:color="000000"/>
            </w:tcBorders>
            <w:tcMar>
              <w:top w:w="75" w:type="dxa"/>
              <w:left w:w="75" w:type="dxa"/>
              <w:bottom w:w="75" w:type="dxa"/>
              <w:right w:w="75" w:type="dxa"/>
            </w:tcMar>
            <w:hideMark/>
          </w:tcPr>
          <w:p w14:paraId="73B68682" w14:textId="1E3E413A" w:rsidR="007C339E" w:rsidRDefault="000A11B9">
            <w:pPr>
              <w:rPr>
                <w:rFonts w:eastAsia="Times New Roman" w:cs="Arial"/>
                <w:szCs w:val="22"/>
              </w:rPr>
            </w:pPr>
            <w:r>
              <w:rPr>
                <w:rFonts w:eastAsia="Times New Roman" w:cs="Arial"/>
                <w:szCs w:val="22"/>
              </w:rPr>
              <w:t xml:space="preserve">Multiple-level OFIs for b(1) were noted by </w:t>
            </w:r>
            <w:r w:rsidR="00DB7E29">
              <w:rPr>
                <w:rFonts w:eastAsia="Times New Roman" w:cs="Arial"/>
                <w:szCs w:val="22"/>
              </w:rPr>
              <w:t>4</w:t>
            </w:r>
            <w:r>
              <w:rPr>
                <w:rFonts w:eastAsia="Times New Roman" w:cs="Arial"/>
                <w:szCs w:val="22"/>
              </w:rPr>
              <w:t xml:space="preserve"> examiners; a single examiner noted a b(1) </w:t>
            </w:r>
            <w:r w:rsidR="00DB7E29">
              <w:rPr>
                <w:rFonts w:eastAsia="Times New Roman" w:cs="Arial"/>
                <w:szCs w:val="22"/>
              </w:rPr>
              <w:t xml:space="preserve">strength </w:t>
            </w:r>
            <w:r>
              <w:rPr>
                <w:rFonts w:eastAsia="Times New Roman" w:cs="Arial"/>
                <w:szCs w:val="22"/>
              </w:rPr>
              <w:t>for use of RBM to compare system data with competitor colleges in the service area and best practices. The proposed b(1) S</w:t>
            </w:r>
            <w:r w:rsidR="00DB7E29">
              <w:rPr>
                <w:rFonts w:eastAsia="Times New Roman" w:cs="Arial"/>
                <w:szCs w:val="22"/>
              </w:rPr>
              <w:t>TR</w:t>
            </w:r>
            <w:r>
              <w:rPr>
                <w:rFonts w:eastAsia="Times New Roman" w:cs="Arial"/>
                <w:szCs w:val="22"/>
              </w:rPr>
              <w:t xml:space="preserve"> comment </w:t>
            </w:r>
            <w:r w:rsidR="006533FA">
              <w:rPr>
                <w:rFonts w:eastAsia="Times New Roman" w:cs="Arial"/>
                <w:szCs w:val="22"/>
              </w:rPr>
              <w:t xml:space="preserve">initially </w:t>
            </w:r>
            <w:r>
              <w:rPr>
                <w:rFonts w:eastAsia="Times New Roman" w:cs="Arial"/>
                <w:szCs w:val="22"/>
              </w:rPr>
              <w:t>did not appear to be as generally useful to the applicant as the more all-encompassing b(1) OFI.</w:t>
            </w:r>
          </w:p>
          <w:p w14:paraId="72D9C220" w14:textId="0195C417" w:rsidR="007C339E" w:rsidRDefault="000A11B9">
            <w:pPr>
              <w:rPr>
                <w:rFonts w:eastAsia="Times New Roman" w:cs="Arial"/>
                <w:szCs w:val="22"/>
              </w:rPr>
            </w:pPr>
            <w:r>
              <w:rPr>
                <w:rFonts w:eastAsia="Times New Roman" w:cs="Arial"/>
                <w:szCs w:val="22"/>
              </w:rPr>
              <w:t xml:space="preserve">R2: Embracing feedback from two examiners </w:t>
            </w:r>
            <w:r w:rsidR="009A0B0A">
              <w:rPr>
                <w:rFonts w:eastAsia="Times New Roman" w:cs="Arial"/>
                <w:szCs w:val="22"/>
              </w:rPr>
              <w:t>(</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Ex4</w:t>
            </w:r>
            <w:r w:rsidR="009A0B0A">
              <w:rPr>
                <w:rFonts w:eastAsia="Times New Roman" w:cs="Arial"/>
                <w:szCs w:val="22"/>
              </w:rPr>
              <w:t>)</w:t>
            </w:r>
            <w:r>
              <w:rPr>
                <w:rFonts w:eastAsia="Times New Roman" w:cs="Arial"/>
                <w:szCs w:val="22"/>
              </w:rPr>
              <w:t xml:space="preserve"> that the partnership with RMB does not represent a process, I revised language in Sentence 2 to reflect the concern that the institution might be unable to replicate the RMB approach (i.e., it is unclear that the process used by RMB is well</w:t>
            </w:r>
            <w:r w:rsidR="0056333C">
              <w:rPr>
                <w:rFonts w:eastAsia="Times New Roman" w:cs="Arial"/>
                <w:szCs w:val="22"/>
              </w:rPr>
              <w:t xml:space="preserve"> </w:t>
            </w:r>
            <w:r>
              <w:rPr>
                <w:rFonts w:eastAsia="Times New Roman" w:cs="Arial"/>
                <w:szCs w:val="22"/>
              </w:rPr>
              <w:t>o</w:t>
            </w:r>
            <w:r w:rsidR="00B27D95">
              <w:rPr>
                <w:rFonts w:eastAsia="Times New Roman" w:cs="Arial"/>
                <w:szCs w:val="22"/>
              </w:rPr>
              <w:t xml:space="preserve">rdered </w:t>
            </w:r>
            <w:r>
              <w:rPr>
                <w:rFonts w:eastAsia="Times New Roman" w:cs="Arial"/>
                <w:szCs w:val="22"/>
              </w:rPr>
              <w:t>and repeatable</w:t>
            </w:r>
            <w:r w:rsidR="00FD460C">
              <w:rPr>
                <w:rFonts w:eastAsia="Times New Roman" w:cs="Arial"/>
                <w:szCs w:val="22"/>
              </w:rPr>
              <w:t>—</w:t>
            </w:r>
            <w:r>
              <w:rPr>
                <w:rFonts w:eastAsia="Times New Roman" w:cs="Arial"/>
                <w:szCs w:val="22"/>
              </w:rPr>
              <w:t xml:space="preserve">from the Baldrige definition of </w:t>
            </w:r>
            <w:r w:rsidR="007C339E">
              <w:rPr>
                <w:rFonts w:eastAsia="Times New Roman" w:cs="Arial"/>
                <w:szCs w:val="22"/>
              </w:rPr>
              <w:t>systematic</w:t>
            </w:r>
            <w:r>
              <w:rPr>
                <w:rFonts w:eastAsia="Times New Roman" w:cs="Arial"/>
                <w:szCs w:val="22"/>
              </w:rPr>
              <w:t xml:space="preserve">). </w:t>
            </w:r>
          </w:p>
          <w:p w14:paraId="2D9B32C6" w14:textId="32FD0761" w:rsidR="005E22BD" w:rsidRDefault="000A11B9">
            <w:pPr>
              <w:rPr>
                <w:rFonts w:eastAsia="Times New Roman" w:cs="Arial"/>
                <w:szCs w:val="22"/>
              </w:rPr>
            </w:pPr>
            <w:r>
              <w:rPr>
                <w:rFonts w:eastAsia="Times New Roman" w:cs="Arial"/>
                <w:szCs w:val="22"/>
              </w:rPr>
              <w:lastRenderedPageBreak/>
              <w:t xml:space="preserve">Moved this b(1) OFI to top rank based on feedback from </w:t>
            </w:r>
            <w:r w:rsidR="00DB7E29">
              <w:rPr>
                <w:rFonts w:eastAsia="Times New Roman" w:cs="Arial"/>
                <w:szCs w:val="22"/>
              </w:rPr>
              <w:t>3</w:t>
            </w:r>
            <w:r>
              <w:rPr>
                <w:rFonts w:eastAsia="Times New Roman" w:cs="Arial"/>
                <w:szCs w:val="22"/>
              </w:rPr>
              <w:t xml:space="preserve"> examiners </w:t>
            </w:r>
            <w:r w:rsidR="009A0B0A">
              <w:rPr>
                <w:rFonts w:eastAsia="Times New Roman" w:cs="Arial"/>
                <w:szCs w:val="22"/>
              </w:rPr>
              <w:t>(</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Ex7</w:t>
            </w:r>
            <w:r w:rsidR="009A0B0A">
              <w:rPr>
                <w:rFonts w:eastAsia="Times New Roman" w:cs="Arial"/>
                <w:szCs w:val="22"/>
              </w:rPr>
              <w:t>)</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35F78E6D" w14:textId="77777777" w:rsidR="005E22BD" w:rsidRDefault="000A11B9">
            <w:pPr>
              <w:rPr>
                <w:rFonts w:eastAsia="Times New Roman" w:cs="Arial"/>
                <w:szCs w:val="22"/>
              </w:rPr>
            </w:pPr>
            <w:r>
              <w:rPr>
                <w:rFonts w:eastAsia="Times New Roman" w:cs="Arial"/>
                <w:szCs w:val="22"/>
              </w:rPr>
              <w:lastRenderedPageBreak/>
              <w:t>b(1)</w:t>
            </w:r>
          </w:p>
        </w:tc>
      </w:tr>
      <w:tr w:rsidR="005E22BD" w14:paraId="0A1A3DC1"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EA6EE3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50D2837" w14:textId="171406C6" w:rsidR="003B0B38" w:rsidRDefault="00EB0878" w:rsidP="00484747">
            <w:pPr>
              <w:rPr>
                <w:rFonts w:eastAsia="Times New Roman" w:cs="Arial"/>
                <w:szCs w:val="22"/>
              </w:rPr>
            </w:pPr>
            <w:r>
              <w:rPr>
                <w:rFonts w:eastAsia="Times New Roman" w:cs="Arial"/>
                <w:szCs w:val="22"/>
              </w:rPr>
              <w:t>Beyond evaluating specific VOC methods, t</w:t>
            </w:r>
            <w:r w:rsidR="003B0B38">
              <w:rPr>
                <w:rFonts w:eastAsia="Times New Roman" w:cs="Arial"/>
                <w:szCs w:val="22"/>
              </w:rPr>
              <w:t xml:space="preserve">he applicant does not appear to use its Baldrige-based PDCA performance improvement system to evaluate </w:t>
            </w:r>
            <w:r w:rsidR="00FB7697">
              <w:rPr>
                <w:rFonts w:eastAsia="Times New Roman" w:cs="Arial"/>
                <w:szCs w:val="22"/>
              </w:rPr>
              <w:t xml:space="preserve">and improve </w:t>
            </w:r>
            <w:r w:rsidR="003B0B38">
              <w:rPr>
                <w:rFonts w:eastAsia="Times New Roman" w:cs="Arial"/>
                <w:szCs w:val="22"/>
              </w:rPr>
              <w:t xml:space="preserve">its </w:t>
            </w:r>
            <w:r>
              <w:rPr>
                <w:rFonts w:eastAsia="Times New Roman" w:cs="Arial"/>
                <w:szCs w:val="22"/>
              </w:rPr>
              <w:t>overall approach to student and other customer listening. Nor are cycles of improvement evident for the applicant’s process</w:t>
            </w:r>
            <w:r w:rsidR="00484747">
              <w:rPr>
                <w:rFonts w:eastAsia="Times New Roman" w:cs="Arial"/>
                <w:szCs w:val="22"/>
              </w:rPr>
              <w:t>es</w:t>
            </w:r>
            <w:r>
              <w:rPr>
                <w:rFonts w:eastAsia="Times New Roman" w:cs="Arial"/>
                <w:szCs w:val="22"/>
              </w:rPr>
              <w:t xml:space="preserve"> to determine student/customer groups and market segments</w:t>
            </w:r>
            <w:r w:rsidR="00484747">
              <w:rPr>
                <w:rFonts w:eastAsia="Times New Roman" w:cs="Arial"/>
                <w:szCs w:val="22"/>
              </w:rPr>
              <w:t xml:space="preserve"> and</w:t>
            </w:r>
            <w:r>
              <w:rPr>
                <w:rFonts w:eastAsia="Times New Roman" w:cs="Arial"/>
                <w:szCs w:val="22"/>
              </w:rPr>
              <w:t xml:space="preserve"> to determine educational program and service offerings.</w:t>
            </w:r>
            <w:r w:rsidR="003B0B38">
              <w:rPr>
                <w:rFonts w:eastAsia="Times New Roman" w:cs="Arial"/>
                <w:szCs w:val="22"/>
              </w:rPr>
              <w:t xml:space="preserve"> Systematic </w:t>
            </w:r>
            <w:r>
              <w:rPr>
                <w:rFonts w:eastAsia="Times New Roman" w:cs="Arial"/>
                <w:szCs w:val="22"/>
              </w:rPr>
              <w:t>use of PDCA in these areas may help</w:t>
            </w:r>
            <w:r w:rsidR="003B0B38">
              <w:rPr>
                <w:rFonts w:eastAsia="Times New Roman" w:cs="Arial"/>
                <w:szCs w:val="22"/>
              </w:rPr>
              <w:t xml:space="preserve"> the applicant address its </w:t>
            </w:r>
            <w:r w:rsidR="008532BC">
              <w:rPr>
                <w:rFonts w:eastAsia="Times New Roman" w:cs="Arial"/>
                <w:szCs w:val="22"/>
              </w:rPr>
              <w:t xml:space="preserve">student-related </w:t>
            </w:r>
            <w:r w:rsidR="003B0B38">
              <w:rPr>
                <w:rFonts w:eastAsia="Times New Roman" w:cs="Arial"/>
                <w:szCs w:val="22"/>
              </w:rPr>
              <w:t>strategic challenges.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280C135" w14:textId="5E280290" w:rsidR="0056333C" w:rsidRDefault="000A11B9">
            <w:pPr>
              <w:rPr>
                <w:rFonts w:eastAsia="Times New Roman" w:cs="Arial"/>
                <w:szCs w:val="22"/>
              </w:rPr>
            </w:pPr>
            <w:r>
              <w:rPr>
                <w:rFonts w:eastAsia="Times New Roman" w:cs="Arial"/>
                <w:szCs w:val="22"/>
              </w:rPr>
              <w:t>3.1a(1) VOC methods go thru annual PDCA cycles of learning</w:t>
            </w:r>
            <w:r w:rsidR="00FD460C">
              <w:rPr>
                <w:rFonts w:eastAsia="Times New Roman" w:cs="Arial"/>
                <w:szCs w:val="22"/>
              </w:rPr>
              <w:t>—</w:t>
            </w:r>
            <w:r>
              <w:rPr>
                <w:rFonts w:eastAsia="Times New Roman" w:cs="Arial"/>
                <w:szCs w:val="22"/>
              </w:rPr>
              <w:t>ex=moving classes online during COVID</w:t>
            </w:r>
            <w:r w:rsidR="0056333C">
              <w:rPr>
                <w:rFonts w:eastAsia="Times New Roman" w:cs="Arial"/>
                <w:szCs w:val="22"/>
              </w:rPr>
              <w:t>.</w:t>
            </w:r>
            <w:r>
              <w:rPr>
                <w:rFonts w:eastAsia="Times New Roman" w:cs="Arial"/>
                <w:szCs w:val="22"/>
              </w:rPr>
              <w:t xml:space="preserve"> </w:t>
            </w:r>
          </w:p>
          <w:p w14:paraId="05D9EE11" w14:textId="7A0D6C8F" w:rsidR="0056333C" w:rsidRDefault="000A11B9">
            <w:pPr>
              <w:rPr>
                <w:rFonts w:eastAsia="Times New Roman" w:cs="Arial"/>
                <w:szCs w:val="22"/>
              </w:rPr>
            </w:pPr>
            <w:r>
              <w:rPr>
                <w:rFonts w:eastAsia="Times New Roman" w:cs="Arial"/>
                <w:szCs w:val="22"/>
              </w:rPr>
              <w:t xml:space="preserve">3.1a(2) Leadership </w:t>
            </w:r>
            <w:r w:rsidR="00FC7C2D">
              <w:rPr>
                <w:rFonts w:eastAsia="Times New Roman" w:cs="Arial"/>
                <w:szCs w:val="22"/>
              </w:rPr>
              <w:t>development</w:t>
            </w:r>
            <w:r>
              <w:rPr>
                <w:rFonts w:eastAsia="Times New Roman" w:cs="Arial"/>
                <w:szCs w:val="22"/>
              </w:rPr>
              <w:t xml:space="preserve"> identified as opportunity to improve student recruitment in 2016 SPP [not review of approach to listen to potential students/other customers]</w:t>
            </w:r>
            <w:r w:rsidR="0056333C">
              <w:rPr>
                <w:rFonts w:eastAsia="Times New Roman" w:cs="Arial"/>
                <w:szCs w:val="22"/>
              </w:rPr>
              <w:t>.</w:t>
            </w:r>
            <w:r>
              <w:rPr>
                <w:rFonts w:eastAsia="Times New Roman" w:cs="Arial"/>
                <w:szCs w:val="22"/>
              </w:rPr>
              <w:t xml:space="preserve"> </w:t>
            </w:r>
          </w:p>
          <w:p w14:paraId="68C33C78" w14:textId="507DD2A8" w:rsidR="0056333C" w:rsidRDefault="000A11B9">
            <w:pPr>
              <w:rPr>
                <w:rFonts w:eastAsia="Times New Roman" w:cs="Arial"/>
                <w:szCs w:val="22"/>
              </w:rPr>
            </w:pPr>
            <w:r>
              <w:rPr>
                <w:rFonts w:eastAsia="Times New Roman" w:cs="Arial"/>
                <w:szCs w:val="22"/>
              </w:rPr>
              <w:t>3.1b(1) No cycles of improvement described for process to determine student/customer groups and market segments</w:t>
            </w:r>
            <w:r w:rsidR="0056333C">
              <w:rPr>
                <w:rFonts w:eastAsia="Times New Roman" w:cs="Arial"/>
                <w:szCs w:val="22"/>
              </w:rPr>
              <w:t>.</w:t>
            </w:r>
          </w:p>
          <w:p w14:paraId="24CCB254" w14:textId="426759C9" w:rsidR="005E22BD" w:rsidRDefault="000A11B9" w:rsidP="0056333C">
            <w:pPr>
              <w:rPr>
                <w:rFonts w:eastAsia="Times New Roman" w:cs="Arial"/>
                <w:szCs w:val="22"/>
              </w:rPr>
            </w:pPr>
            <w:r>
              <w:rPr>
                <w:rFonts w:eastAsia="Times New Roman" w:cs="Arial"/>
                <w:szCs w:val="22"/>
              </w:rPr>
              <w:t>3.1b(2)</w:t>
            </w:r>
            <w:r w:rsidR="003B0B38">
              <w:rPr>
                <w:rFonts w:eastAsia="Times New Roman" w:cs="Arial"/>
                <w:szCs w:val="22"/>
              </w:rPr>
              <w:t>.</w:t>
            </w:r>
            <w:r>
              <w:rPr>
                <w:rFonts w:eastAsia="Times New Roman" w:cs="Arial"/>
                <w:szCs w:val="22"/>
              </w:rPr>
              <w:t xml:space="preserve"> No cycles of improvement described for process to determine educational program and service offerings</w:t>
            </w:r>
            <w:r w:rsidR="003B0B38">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BE20D04" w14:textId="77777777" w:rsidR="005E22BD" w:rsidRDefault="000A11B9">
            <w:pPr>
              <w:rPr>
                <w:rFonts w:eastAsia="Times New Roman" w:cs="Arial"/>
                <w:szCs w:val="22"/>
              </w:rPr>
            </w:pPr>
            <w:r>
              <w:rPr>
                <w:rFonts w:eastAsia="Times New Roman" w:cs="Arial"/>
                <w:szCs w:val="22"/>
              </w:rPr>
              <w:t>a,b</w:t>
            </w:r>
          </w:p>
        </w:tc>
      </w:tr>
      <w:tr w:rsidR="005E22BD" w14:paraId="7B2DCF82"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2BBFCCC9"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8201348" w14:textId="20D3060F" w:rsidR="005E22BD" w:rsidRDefault="00EA24B9">
            <w:pPr>
              <w:rPr>
                <w:rFonts w:eastAsia="Times New Roman" w:cs="Arial"/>
                <w:szCs w:val="22"/>
              </w:rPr>
            </w:pPr>
            <w:r>
              <w:rPr>
                <w:rFonts w:eastAsia="Times New Roman" w:cs="Arial"/>
                <w:szCs w:val="22"/>
              </w:rPr>
              <w:t xml:space="preserve">Approaches for </w:t>
            </w:r>
            <w:r w:rsidR="000A11B9">
              <w:rPr>
                <w:rFonts w:eastAsia="Times New Roman" w:cs="Arial"/>
                <w:szCs w:val="22"/>
              </w:rPr>
              <w:t>listen</w:t>
            </w:r>
            <w:r>
              <w:rPr>
                <w:rFonts w:eastAsia="Times New Roman" w:cs="Arial"/>
                <w:szCs w:val="22"/>
              </w:rPr>
              <w:t>ing</w:t>
            </w:r>
            <w:r w:rsidR="000A11B9">
              <w:rPr>
                <w:rFonts w:eastAsia="Times New Roman" w:cs="Arial"/>
                <w:szCs w:val="22"/>
              </w:rPr>
              <w:t xml:space="preserve"> to potential students and other customers to obtain actionable information</w:t>
            </w:r>
            <w:r>
              <w:rPr>
                <w:rFonts w:eastAsia="Times New Roman" w:cs="Arial"/>
                <w:szCs w:val="22"/>
              </w:rPr>
              <w:t xml:space="preserve"> </w:t>
            </w:r>
            <w:r w:rsidR="00F00695">
              <w:rPr>
                <w:rFonts w:eastAsia="Times New Roman" w:cs="Arial"/>
                <w:szCs w:val="22"/>
              </w:rPr>
              <w:t>do not appear to be systematic</w:t>
            </w:r>
            <w:r>
              <w:rPr>
                <w:rFonts w:eastAsia="Times New Roman" w:cs="Arial"/>
                <w:szCs w:val="22"/>
              </w:rPr>
              <w:t>. For example</w:t>
            </w:r>
            <w:r w:rsidR="000A11B9">
              <w:rPr>
                <w:rFonts w:eastAsia="Times New Roman" w:cs="Arial"/>
                <w:szCs w:val="22"/>
              </w:rPr>
              <w:t xml:space="preserve">, </w:t>
            </w:r>
            <w:r>
              <w:rPr>
                <w:rFonts w:eastAsia="Times New Roman" w:cs="Arial"/>
                <w:szCs w:val="22"/>
              </w:rPr>
              <w:t xml:space="preserve">it is not clear </w:t>
            </w:r>
            <w:r w:rsidR="000A11B9">
              <w:rPr>
                <w:rFonts w:eastAsia="Times New Roman" w:cs="Arial"/>
                <w:szCs w:val="22"/>
              </w:rPr>
              <w:t xml:space="preserve">how frequently </w:t>
            </w:r>
            <w:r>
              <w:rPr>
                <w:rFonts w:eastAsia="Times New Roman" w:cs="Arial"/>
                <w:szCs w:val="22"/>
              </w:rPr>
              <w:t xml:space="preserve">the applicant gathers </w:t>
            </w:r>
            <w:r w:rsidR="000A11B9">
              <w:rPr>
                <w:rFonts w:eastAsia="Times New Roman" w:cs="Arial"/>
                <w:szCs w:val="22"/>
              </w:rPr>
              <w:t>information about competitors</w:t>
            </w:r>
            <w:r w:rsidR="005663C4">
              <w:rPr>
                <w:rFonts w:eastAsia="Times New Roman" w:cs="Arial"/>
                <w:szCs w:val="22"/>
              </w:rPr>
              <w:t>’</w:t>
            </w:r>
            <w:r w:rsidR="000A11B9">
              <w:rPr>
                <w:rFonts w:eastAsia="Times New Roman" w:cs="Arial"/>
                <w:szCs w:val="22"/>
              </w:rPr>
              <w:t xml:space="preserve"> students via discussions, conferences, websites, and job/high school fairs</w:t>
            </w:r>
            <w:r>
              <w:rPr>
                <w:rFonts w:eastAsia="Times New Roman" w:cs="Arial"/>
                <w:szCs w:val="22"/>
              </w:rPr>
              <w:t>; nor is it clear who gathers this information</w:t>
            </w:r>
            <w:r w:rsidR="000A11B9">
              <w:rPr>
                <w:rFonts w:eastAsia="Times New Roman" w:cs="Arial"/>
                <w:szCs w:val="22"/>
              </w:rPr>
              <w:t>. Additionally, approaches to listening to former, competitors</w:t>
            </w:r>
            <w:r w:rsidR="005663C4">
              <w:rPr>
                <w:rFonts w:eastAsia="Times New Roman" w:cs="Arial"/>
                <w:szCs w:val="22"/>
              </w:rPr>
              <w:t>’</w:t>
            </w:r>
            <w:r w:rsidR="000A11B9">
              <w:rPr>
                <w:rFonts w:eastAsia="Times New Roman" w:cs="Arial"/>
                <w:szCs w:val="22"/>
              </w:rPr>
              <w:t xml:space="preserve">, and other potential customers </w:t>
            </w:r>
            <w:r w:rsidR="004B03DA">
              <w:rPr>
                <w:rFonts w:eastAsia="Times New Roman" w:cs="Arial"/>
                <w:szCs w:val="22"/>
              </w:rPr>
              <w:t xml:space="preserve">do not appear to </w:t>
            </w:r>
            <w:r w:rsidR="000A11B9">
              <w:rPr>
                <w:rFonts w:eastAsia="Times New Roman" w:cs="Arial"/>
                <w:szCs w:val="22"/>
              </w:rPr>
              <w:t>focus on the applicant</w:t>
            </w:r>
            <w:r w:rsidR="005663C4">
              <w:rPr>
                <w:rFonts w:eastAsia="Times New Roman" w:cs="Arial"/>
                <w:szCs w:val="22"/>
              </w:rPr>
              <w:t>’</w:t>
            </w:r>
            <w:r w:rsidR="000A11B9">
              <w:rPr>
                <w:rFonts w:eastAsia="Times New Roman" w:cs="Arial"/>
                <w:szCs w:val="22"/>
              </w:rPr>
              <w:t xml:space="preserve">s tri-county service area. Systematic processes </w:t>
            </w:r>
            <w:r w:rsidR="00F00695">
              <w:rPr>
                <w:rFonts w:eastAsia="Times New Roman" w:cs="Arial"/>
                <w:szCs w:val="22"/>
              </w:rPr>
              <w:t xml:space="preserve">may </w:t>
            </w:r>
            <w:r w:rsidR="000A11B9">
              <w:rPr>
                <w:rFonts w:eastAsia="Times New Roman" w:cs="Arial"/>
                <w:szCs w:val="22"/>
              </w:rPr>
              <w:t xml:space="preserve">help the applicant address </w:t>
            </w:r>
            <w:r w:rsidR="00F00695">
              <w:rPr>
                <w:rFonts w:eastAsia="Times New Roman" w:cs="Arial"/>
                <w:szCs w:val="22"/>
              </w:rPr>
              <w:t xml:space="preserve">the strategic challenge of </w:t>
            </w:r>
            <w:r w:rsidR="000A11B9">
              <w:rPr>
                <w:rFonts w:eastAsia="Times New Roman" w:cs="Arial"/>
                <w:szCs w:val="22"/>
              </w:rPr>
              <w:t>increased competition in its service area.</w:t>
            </w:r>
          </w:p>
        </w:tc>
        <w:tc>
          <w:tcPr>
            <w:tcW w:w="0" w:type="auto"/>
            <w:tcBorders>
              <w:bottom w:val="single" w:sz="6" w:space="0" w:color="000000"/>
              <w:right w:val="single" w:sz="6" w:space="0" w:color="000000"/>
            </w:tcBorders>
            <w:tcMar>
              <w:top w:w="75" w:type="dxa"/>
              <w:left w:w="75" w:type="dxa"/>
              <w:bottom w:w="75" w:type="dxa"/>
              <w:right w:w="75" w:type="dxa"/>
            </w:tcMar>
            <w:hideMark/>
          </w:tcPr>
          <w:p w14:paraId="17D78A3A" w14:textId="77777777" w:rsidR="00EA24B9" w:rsidRDefault="000A11B9">
            <w:pPr>
              <w:rPr>
                <w:rFonts w:eastAsia="Times New Roman" w:cs="Arial"/>
                <w:szCs w:val="22"/>
              </w:rPr>
            </w:pPr>
            <w:r>
              <w:rPr>
                <w:rFonts w:eastAsia="Times New Roman" w:cs="Arial"/>
                <w:szCs w:val="22"/>
              </w:rPr>
              <w:t xml:space="preserve">Mentioned by two examiners. This </w:t>
            </w:r>
            <w:r w:rsidR="007C339E">
              <w:rPr>
                <w:rFonts w:eastAsia="Times New Roman" w:cs="Arial"/>
                <w:szCs w:val="22"/>
              </w:rPr>
              <w:t xml:space="preserve">overall </w:t>
            </w:r>
            <w:r>
              <w:rPr>
                <w:rFonts w:eastAsia="Times New Roman" w:cs="Arial"/>
                <w:szCs w:val="22"/>
              </w:rPr>
              <w:t xml:space="preserve">comment based on the nugget with a further </w:t>
            </w:r>
            <w:r w:rsidR="00EA24B9">
              <w:rPr>
                <w:rFonts w:eastAsia="Times New Roman" w:cs="Arial"/>
                <w:szCs w:val="22"/>
              </w:rPr>
              <w:t>multiple</w:t>
            </w:r>
            <w:r>
              <w:rPr>
                <w:rFonts w:eastAsia="Times New Roman" w:cs="Arial"/>
                <w:szCs w:val="22"/>
              </w:rPr>
              <w:t xml:space="preserve">-level example. </w:t>
            </w:r>
          </w:p>
          <w:p w14:paraId="2FDF1C4D" w14:textId="02BFEC43" w:rsidR="00B24163" w:rsidRDefault="000A11B9">
            <w:pPr>
              <w:rPr>
                <w:rFonts w:eastAsia="Times New Roman" w:cs="Arial"/>
                <w:szCs w:val="22"/>
              </w:rPr>
            </w:pPr>
            <w:r>
              <w:rPr>
                <w:rFonts w:eastAsia="Times New Roman" w:cs="Arial"/>
                <w:szCs w:val="22"/>
              </w:rPr>
              <w:t xml:space="preserve">The a(2) OFI addresses a strategic challenge and might be more useful to the applicant in moving to the next level of organizational maturity than the a(2) </w:t>
            </w:r>
            <w:r w:rsidR="007C339E">
              <w:rPr>
                <w:rFonts w:eastAsia="Times New Roman" w:cs="Arial"/>
                <w:szCs w:val="22"/>
              </w:rPr>
              <w:t>overall-level STR</w:t>
            </w:r>
            <w:r>
              <w:rPr>
                <w:rFonts w:eastAsia="Times New Roman" w:cs="Arial"/>
                <w:szCs w:val="22"/>
              </w:rPr>
              <w:t xml:space="preserve"> noted by two examiners. The drafted a(2) S</w:t>
            </w:r>
            <w:r w:rsidR="007C339E">
              <w:rPr>
                <w:rFonts w:eastAsia="Times New Roman" w:cs="Arial"/>
                <w:szCs w:val="22"/>
              </w:rPr>
              <w:t>TR</w:t>
            </w:r>
            <w:r>
              <w:rPr>
                <w:rFonts w:eastAsia="Times New Roman" w:cs="Arial"/>
                <w:szCs w:val="22"/>
              </w:rPr>
              <w:t xml:space="preserve"> comment is included here for consideration</w:t>
            </w:r>
            <w:r w:rsidR="00B24163">
              <w:rPr>
                <w:rFonts w:eastAsia="Times New Roman" w:cs="Arial"/>
                <w:szCs w:val="22"/>
              </w:rPr>
              <w:t>,</w:t>
            </w:r>
            <w:r>
              <w:rPr>
                <w:rFonts w:eastAsia="Times New Roman" w:cs="Arial"/>
                <w:szCs w:val="22"/>
              </w:rPr>
              <w:t xml:space="preserve"> </w:t>
            </w:r>
          </w:p>
          <w:p w14:paraId="15F6F73D" w14:textId="6E6061FE" w:rsidR="00B24163" w:rsidRDefault="000A11B9">
            <w:pPr>
              <w:rPr>
                <w:rFonts w:eastAsia="Times New Roman" w:cs="Arial"/>
                <w:szCs w:val="22"/>
              </w:rPr>
            </w:pPr>
            <w:r>
              <w:rPr>
                <w:rFonts w:eastAsia="Times New Roman" w:cs="Arial"/>
                <w:szCs w:val="22"/>
              </w:rPr>
              <w:t>R1: a(2)</w:t>
            </w:r>
            <w:r w:rsidR="007C339E">
              <w:rPr>
                <w:rFonts w:eastAsia="Times New Roman" w:cs="Arial"/>
                <w:szCs w:val="22"/>
              </w:rPr>
              <w:t xml:space="preserve"> </w:t>
            </w:r>
            <w:r>
              <w:rPr>
                <w:rFonts w:eastAsia="Times New Roman" w:cs="Arial"/>
                <w:szCs w:val="22"/>
              </w:rPr>
              <w:t>S</w:t>
            </w:r>
            <w:r w:rsidR="007C339E">
              <w:rPr>
                <w:rFonts w:eastAsia="Times New Roman" w:cs="Arial"/>
                <w:szCs w:val="22"/>
              </w:rPr>
              <w:t>TR</w:t>
            </w:r>
            <w:r>
              <w:rPr>
                <w:rFonts w:eastAsia="Times New Roman" w:cs="Arial"/>
                <w:szCs w:val="22"/>
              </w:rPr>
              <w:t xml:space="preserve"> added as lowest-ranking S</w:t>
            </w:r>
            <w:r w:rsidR="007C339E">
              <w:rPr>
                <w:rFonts w:eastAsia="Times New Roman" w:cs="Arial"/>
                <w:szCs w:val="22"/>
              </w:rPr>
              <w:t>TR</w:t>
            </w:r>
            <w:r>
              <w:rPr>
                <w:rFonts w:eastAsia="Times New Roman" w:cs="Arial"/>
                <w:szCs w:val="22"/>
              </w:rPr>
              <w:t xml:space="preserve"> comment, and a(2)</w:t>
            </w:r>
            <w:r w:rsidR="00EA24B9">
              <w:rPr>
                <w:rFonts w:eastAsia="Times New Roman" w:cs="Arial"/>
                <w:szCs w:val="22"/>
              </w:rPr>
              <w:t xml:space="preserve"> </w:t>
            </w:r>
            <w:r>
              <w:rPr>
                <w:rFonts w:eastAsia="Times New Roman" w:cs="Arial"/>
                <w:szCs w:val="22"/>
              </w:rPr>
              <w:t xml:space="preserve">OFI augmented to focus on </w:t>
            </w:r>
            <w:r w:rsidR="00EA24B9">
              <w:rPr>
                <w:rFonts w:eastAsia="Times New Roman" w:cs="Arial"/>
                <w:szCs w:val="22"/>
              </w:rPr>
              <w:t xml:space="preserve">the </w:t>
            </w:r>
            <w:r>
              <w:rPr>
                <w:rFonts w:eastAsia="Times New Roman" w:cs="Arial"/>
                <w:szCs w:val="22"/>
              </w:rPr>
              <w:t xml:space="preserve">SC of increased competition for students, with emphasis on tri-county service area. </w:t>
            </w:r>
          </w:p>
          <w:p w14:paraId="0BEB0CC5" w14:textId="7AEEFFDE" w:rsidR="00B24163" w:rsidRDefault="000A11B9">
            <w:pPr>
              <w:rPr>
                <w:rFonts w:eastAsia="Times New Roman" w:cs="Arial"/>
                <w:szCs w:val="22"/>
              </w:rPr>
            </w:pPr>
            <w:r>
              <w:rPr>
                <w:rFonts w:eastAsia="Times New Roman" w:cs="Arial"/>
                <w:szCs w:val="22"/>
              </w:rPr>
              <w:t xml:space="preserve">R2: One examiner </w:t>
            </w:r>
            <w:r w:rsidR="009A0B0A">
              <w:rPr>
                <w:rFonts w:eastAsia="Times New Roman" w:cs="Arial"/>
                <w:szCs w:val="22"/>
              </w:rPr>
              <w:t>(</w:t>
            </w:r>
            <w:r w:rsidR="007B4856">
              <w:rPr>
                <w:rFonts w:eastAsia="Times New Roman" w:cs="Arial"/>
                <w:szCs w:val="22"/>
              </w:rPr>
              <w:t>Ex6</w:t>
            </w:r>
            <w:r w:rsidR="009A0B0A">
              <w:rPr>
                <w:rFonts w:eastAsia="Times New Roman" w:cs="Arial"/>
                <w:szCs w:val="22"/>
              </w:rPr>
              <w:t>)</w:t>
            </w:r>
            <w:r>
              <w:rPr>
                <w:rFonts w:eastAsia="Times New Roman" w:cs="Arial"/>
                <w:szCs w:val="22"/>
              </w:rPr>
              <w:t xml:space="preserve"> questioned focus on tri-county service area. I kept this focus in the comment in reference to SC3 and applicant</w:t>
            </w:r>
            <w:r w:rsidR="005663C4">
              <w:rPr>
                <w:rFonts w:eastAsia="Times New Roman" w:cs="Arial"/>
                <w:szCs w:val="22"/>
              </w:rPr>
              <w:t>’</w:t>
            </w:r>
            <w:r>
              <w:rPr>
                <w:rFonts w:eastAsia="Times New Roman" w:cs="Arial"/>
                <w:szCs w:val="22"/>
              </w:rPr>
              <w:t xml:space="preserve">s competitive position. </w:t>
            </w:r>
          </w:p>
          <w:p w14:paraId="0190B050" w14:textId="3E779063" w:rsidR="005E22BD" w:rsidRDefault="000A11B9">
            <w:pPr>
              <w:rPr>
                <w:rFonts w:eastAsia="Times New Roman" w:cs="Arial"/>
                <w:szCs w:val="22"/>
              </w:rPr>
            </w:pPr>
            <w:r>
              <w:rPr>
                <w:rFonts w:eastAsia="Times New Roman" w:cs="Arial"/>
                <w:szCs w:val="22"/>
              </w:rPr>
              <w:t>Comment is lowered to second rank.</w:t>
            </w:r>
          </w:p>
        </w:tc>
        <w:tc>
          <w:tcPr>
            <w:tcW w:w="0" w:type="auto"/>
            <w:tcBorders>
              <w:bottom w:val="single" w:sz="6" w:space="0" w:color="000000"/>
              <w:right w:val="single" w:sz="6" w:space="0" w:color="000000"/>
            </w:tcBorders>
            <w:tcMar>
              <w:top w:w="75" w:type="dxa"/>
              <w:left w:w="75" w:type="dxa"/>
              <w:bottom w:w="75" w:type="dxa"/>
              <w:right w:w="75" w:type="dxa"/>
            </w:tcMar>
            <w:hideMark/>
          </w:tcPr>
          <w:p w14:paraId="26C8A9FB" w14:textId="77777777" w:rsidR="005E22BD" w:rsidRDefault="000A11B9">
            <w:pPr>
              <w:rPr>
                <w:rFonts w:eastAsia="Times New Roman" w:cs="Arial"/>
                <w:szCs w:val="22"/>
              </w:rPr>
            </w:pPr>
            <w:r>
              <w:rPr>
                <w:rFonts w:eastAsia="Times New Roman" w:cs="Arial"/>
                <w:szCs w:val="22"/>
              </w:rPr>
              <w:t>a(2)</w:t>
            </w:r>
          </w:p>
        </w:tc>
      </w:tr>
      <w:tr w:rsidR="005E22BD" w14:paraId="2A2704A1"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77EA4F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08AE41B" w14:textId="5D41AFB0" w:rsidR="005E22BD" w:rsidRDefault="000A11B9">
            <w:pPr>
              <w:rPr>
                <w:rFonts w:eastAsia="Times New Roman" w:cs="Arial"/>
                <w:szCs w:val="22"/>
              </w:rPr>
            </w:pPr>
            <w:r>
              <w:rPr>
                <w:rFonts w:eastAsia="Times New Roman" w:cs="Arial"/>
                <w:szCs w:val="22"/>
              </w:rPr>
              <w:t>It is not evident how</w:t>
            </w:r>
            <w:r w:rsidR="005875B5">
              <w:rPr>
                <w:rFonts w:eastAsia="Times New Roman" w:cs="Arial"/>
                <w:szCs w:val="22"/>
              </w:rPr>
              <w:t xml:space="preserve"> the applicant varies its</w:t>
            </w:r>
            <w:r>
              <w:rPr>
                <w:rFonts w:eastAsia="Times New Roman" w:cs="Arial"/>
                <w:szCs w:val="22"/>
              </w:rPr>
              <w:t xml:space="preserve"> listening methods for different student groups and across the stages of students</w:t>
            </w:r>
            <w:r w:rsidR="005663C4">
              <w:rPr>
                <w:rFonts w:eastAsia="Times New Roman" w:cs="Arial"/>
                <w:szCs w:val="22"/>
              </w:rPr>
              <w:t>’</w:t>
            </w:r>
            <w:r>
              <w:rPr>
                <w:rFonts w:eastAsia="Times New Roman" w:cs="Arial"/>
                <w:szCs w:val="22"/>
              </w:rPr>
              <w:t xml:space="preserve"> relationships with the </w:t>
            </w:r>
            <w:r w:rsidR="0062229F">
              <w:rPr>
                <w:rFonts w:eastAsia="Times New Roman" w:cs="Arial"/>
                <w:szCs w:val="22"/>
              </w:rPr>
              <w:t>applicant</w:t>
            </w:r>
            <w:r>
              <w:rPr>
                <w:rFonts w:eastAsia="Times New Roman" w:cs="Arial"/>
                <w:szCs w:val="22"/>
              </w:rPr>
              <w:t xml:space="preserve">, or </w:t>
            </w:r>
            <w:r w:rsidR="005875B5">
              <w:rPr>
                <w:rFonts w:eastAsia="Times New Roman" w:cs="Arial"/>
                <w:szCs w:val="22"/>
              </w:rPr>
              <w:t>how</w:t>
            </w:r>
            <w:r>
              <w:rPr>
                <w:rFonts w:eastAsia="Times New Roman" w:cs="Arial"/>
                <w:szCs w:val="22"/>
              </w:rPr>
              <w:t xml:space="preserve"> the applicant deploys its RMP (Figure 3.1-2) to understand varying student</w:t>
            </w:r>
            <w:r w:rsidR="005875B5">
              <w:rPr>
                <w:rFonts w:eastAsia="Times New Roman" w:cs="Arial"/>
                <w:szCs w:val="22"/>
              </w:rPr>
              <w:t xml:space="preserve"> and other </w:t>
            </w:r>
            <w:r>
              <w:rPr>
                <w:rFonts w:eastAsia="Times New Roman" w:cs="Arial"/>
                <w:szCs w:val="22"/>
              </w:rPr>
              <w:t xml:space="preserve">customer requirements. </w:t>
            </w:r>
            <w:r w:rsidR="005875B5">
              <w:rPr>
                <w:rFonts w:eastAsia="Times New Roman" w:cs="Arial"/>
                <w:szCs w:val="22"/>
              </w:rPr>
              <w:t xml:space="preserve">This </w:t>
            </w:r>
            <w:r>
              <w:rPr>
                <w:rFonts w:eastAsia="Times New Roman" w:cs="Arial"/>
                <w:szCs w:val="22"/>
              </w:rPr>
              <w:t>may limit the applicant</w:t>
            </w:r>
            <w:r w:rsidR="005663C4">
              <w:rPr>
                <w:rFonts w:eastAsia="Times New Roman" w:cs="Arial"/>
                <w:szCs w:val="22"/>
              </w:rPr>
              <w:t>’</w:t>
            </w:r>
            <w:r>
              <w:rPr>
                <w:rFonts w:eastAsia="Times New Roman" w:cs="Arial"/>
                <w:szCs w:val="22"/>
              </w:rPr>
              <w:t>s ability to address the requirements of key market segments.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494F4F1" w14:textId="7533C82D" w:rsidR="007C339E" w:rsidRDefault="000A11B9">
            <w:pPr>
              <w:rPr>
                <w:rFonts w:eastAsia="Times New Roman" w:cs="Arial"/>
                <w:szCs w:val="22"/>
              </w:rPr>
            </w:pPr>
            <w:r>
              <w:rPr>
                <w:rFonts w:eastAsia="Times New Roman" w:cs="Arial"/>
                <w:szCs w:val="22"/>
              </w:rPr>
              <w:t xml:space="preserve">This is a multiple-level </w:t>
            </w:r>
            <w:r w:rsidR="00FB7697">
              <w:rPr>
                <w:rFonts w:eastAsia="Times New Roman" w:cs="Arial"/>
                <w:szCs w:val="22"/>
              </w:rPr>
              <w:t xml:space="preserve">approach </w:t>
            </w:r>
            <w:r>
              <w:rPr>
                <w:rFonts w:eastAsia="Times New Roman" w:cs="Arial"/>
                <w:szCs w:val="22"/>
              </w:rPr>
              <w:t xml:space="preserve">OFI mentioned by </w:t>
            </w:r>
            <w:r w:rsidR="004B03DA">
              <w:rPr>
                <w:rFonts w:eastAsia="Times New Roman" w:cs="Arial"/>
                <w:szCs w:val="22"/>
              </w:rPr>
              <w:t>all</w:t>
            </w:r>
            <w:r>
              <w:rPr>
                <w:rFonts w:eastAsia="Times New Roman" w:cs="Arial"/>
                <w:szCs w:val="22"/>
              </w:rPr>
              <w:t xml:space="preserve"> examiners. Does not conflict with proposed a(1) </w:t>
            </w:r>
            <w:r w:rsidR="005875B5">
              <w:rPr>
                <w:rFonts w:eastAsia="Times New Roman" w:cs="Arial"/>
                <w:szCs w:val="22"/>
              </w:rPr>
              <w:t xml:space="preserve">overall </w:t>
            </w:r>
            <w:r>
              <w:rPr>
                <w:rFonts w:eastAsia="Times New Roman" w:cs="Arial"/>
                <w:szCs w:val="22"/>
              </w:rPr>
              <w:t xml:space="preserve">approach </w:t>
            </w:r>
            <w:r w:rsidR="004B03DA">
              <w:rPr>
                <w:rFonts w:eastAsia="Times New Roman" w:cs="Arial"/>
                <w:szCs w:val="22"/>
              </w:rPr>
              <w:t>strength</w:t>
            </w:r>
            <w:r w:rsidR="005875B5">
              <w:rPr>
                <w:rFonts w:eastAsia="Times New Roman" w:cs="Arial"/>
                <w:szCs w:val="22"/>
              </w:rPr>
              <w:t>; the approach is systematic overall but does not vary for student groups/stages</w:t>
            </w:r>
            <w:r>
              <w:rPr>
                <w:rFonts w:eastAsia="Times New Roman" w:cs="Arial"/>
                <w:szCs w:val="22"/>
              </w:rPr>
              <w:t xml:space="preserve">. </w:t>
            </w:r>
          </w:p>
          <w:p w14:paraId="2B5DB3E1" w14:textId="372DD6C4" w:rsidR="005E22BD" w:rsidRDefault="000A11B9">
            <w:pPr>
              <w:rPr>
                <w:rFonts w:eastAsia="Times New Roman" w:cs="Arial"/>
                <w:szCs w:val="22"/>
              </w:rPr>
            </w:pPr>
            <w:r>
              <w:rPr>
                <w:rFonts w:eastAsia="Times New Roman" w:cs="Arial"/>
                <w:szCs w:val="22"/>
              </w:rPr>
              <w:t>R2: Moved Sentence 2 to nugget position and truncated second sentence to avoid confusion with a(2).</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4CA90EF" w14:textId="77777777" w:rsidR="005E22BD" w:rsidRDefault="000A11B9">
            <w:pPr>
              <w:rPr>
                <w:rFonts w:eastAsia="Times New Roman" w:cs="Arial"/>
                <w:szCs w:val="22"/>
              </w:rPr>
            </w:pPr>
            <w:r>
              <w:rPr>
                <w:rFonts w:eastAsia="Times New Roman" w:cs="Arial"/>
                <w:szCs w:val="22"/>
              </w:rPr>
              <w:t>a(1)</w:t>
            </w:r>
          </w:p>
        </w:tc>
      </w:tr>
    </w:tbl>
    <w:p w14:paraId="35E96C3B" w14:textId="77777777" w:rsidR="005E22BD" w:rsidRDefault="000A11B9">
      <w:pPr>
        <w:pStyle w:val="Heading4"/>
        <w:divId w:val="905190427"/>
        <w:rPr>
          <w:rFonts w:eastAsia="Times New Roman" w:cs="Arial"/>
        </w:rPr>
      </w:pPr>
      <w:r>
        <w:rPr>
          <w:rFonts w:eastAsia="Times New Roman" w:cs="Arial"/>
        </w:rPr>
        <w:lastRenderedPageBreak/>
        <w:t>Notes</w:t>
      </w:r>
    </w:p>
    <w:tbl>
      <w:tblPr>
        <w:tblStyle w:val="TableGrid"/>
        <w:tblW w:w="0" w:type="auto"/>
        <w:tblInd w:w="355" w:type="dxa"/>
        <w:tblLook w:val="04A0" w:firstRow="1" w:lastRow="0" w:firstColumn="1" w:lastColumn="0" w:noHBand="0" w:noVBand="1"/>
      </w:tblPr>
      <w:tblGrid>
        <w:gridCol w:w="10080"/>
      </w:tblGrid>
      <w:tr w:rsidR="009D4C55" w14:paraId="0EB75C45" w14:textId="77777777" w:rsidTr="009D4C55">
        <w:tc>
          <w:tcPr>
            <w:tcW w:w="10080" w:type="dxa"/>
          </w:tcPr>
          <w:p w14:paraId="5D93EB51" w14:textId="108F372C" w:rsidR="009D4C55" w:rsidRDefault="009D4C55">
            <w:pPr>
              <w:rPr>
                <w:rFonts w:eastAsia="Times New Roman" w:cs="Arial"/>
                <w:szCs w:val="22"/>
              </w:rPr>
            </w:pPr>
            <w:r>
              <w:rPr>
                <w:rFonts w:eastAsia="Times New Roman" w:cs="Arial"/>
                <w:szCs w:val="22"/>
              </w:rPr>
              <w:t>Based on consensus conversation, moved a, b OFI to second position.</w:t>
            </w:r>
          </w:p>
        </w:tc>
      </w:tr>
    </w:tbl>
    <w:p w14:paraId="65889BE3"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170"/>
      </w:tblGrid>
      <w:tr w:rsidR="009D4C55" w14:paraId="1AED54D5" w14:textId="77777777" w:rsidTr="009D4C55">
        <w:tc>
          <w:tcPr>
            <w:tcW w:w="10170" w:type="dxa"/>
          </w:tcPr>
          <w:p w14:paraId="522E1302"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45</w:t>
            </w:r>
          </w:p>
          <w:p w14:paraId="4C9C1582"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30–45</w:t>
            </w:r>
            <w:r w:rsidRPr="00FD460C">
              <w:rPr>
                <w:rStyle w:val="Strong"/>
                <w:rFonts w:eastAsia="Times New Roman" w:cs="Arial"/>
                <w:b w:val="0"/>
                <w:bCs w:val="0"/>
                <w:szCs w:val="22"/>
              </w:rPr>
              <w:t>%</w:t>
            </w:r>
          </w:p>
          <w:p w14:paraId="1AF1F7A4" w14:textId="321D5810" w:rsidR="009D4C55" w:rsidRDefault="009D4C55" w:rsidP="009D4C55">
            <w:pPr>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 xml:space="preserve">Not above </w:t>
            </w:r>
            <w:r>
              <w:rPr>
                <w:rStyle w:val="Strong"/>
                <w:rFonts w:eastAsia="Times New Roman" w:cs="Arial"/>
                <w:b w:val="0"/>
                <w:bCs w:val="0"/>
                <w:szCs w:val="22"/>
              </w:rPr>
              <w:t>30–45</w:t>
            </w:r>
            <w:r w:rsidRPr="00FD460C">
              <w:rPr>
                <w:rStyle w:val="Strong"/>
                <w:rFonts w:eastAsia="Times New Roman" w:cs="Arial"/>
                <w:b w:val="0"/>
                <w:bCs w:val="0"/>
                <w:szCs w:val="22"/>
              </w:rPr>
              <w:t>% because</w:t>
            </w:r>
            <w:r w:rsidR="004D7C37" w:rsidRPr="004D7C37">
              <w:rPr>
                <w:rStyle w:val="Strong"/>
                <w:rFonts w:eastAsia="Times New Roman" w:cs="Arial"/>
                <w:b w:val="0"/>
                <w:bCs w:val="0"/>
                <w:szCs w:val="22"/>
              </w:rPr>
              <w:t>,</w:t>
            </w:r>
            <w:r w:rsidR="004D7C37" w:rsidRPr="004D7C37">
              <w:rPr>
                <w:rStyle w:val="Strong"/>
                <w:rFonts w:cs="Arial"/>
                <w:b w:val="0"/>
                <w:bCs w:val="0"/>
                <w:szCs w:val="22"/>
              </w:rPr>
              <w:t xml:space="preserve"> in part,</w:t>
            </w:r>
            <w:r w:rsidR="00D978C3">
              <w:rPr>
                <w:rStyle w:val="Strong"/>
                <w:rFonts w:eastAsia="Times New Roman" w:cs="Arial"/>
                <w:b w:val="0"/>
                <w:bCs w:val="0"/>
                <w:szCs w:val="22"/>
              </w:rPr>
              <w:t xml:space="preserve"> </w:t>
            </w:r>
            <w:r w:rsidRPr="00FD460C">
              <w:rPr>
                <w:rStyle w:val="Strong"/>
                <w:rFonts w:eastAsia="Times New Roman" w:cs="Arial"/>
                <w:b w:val="0"/>
                <w:bCs w:val="0"/>
                <w:szCs w:val="22"/>
              </w:rPr>
              <w:t xml:space="preserve">there is little evidence of systematic improvement to approaches, </w:t>
            </w:r>
            <w:r>
              <w:rPr>
                <w:rStyle w:val="Strong"/>
                <w:rFonts w:eastAsia="Times New Roman" w:cs="Arial"/>
                <w:b w:val="0"/>
                <w:bCs w:val="0"/>
                <w:szCs w:val="22"/>
              </w:rPr>
              <w:t xml:space="preserve">examples of use of </w:t>
            </w:r>
            <w:r w:rsidRPr="00FD460C">
              <w:rPr>
                <w:rStyle w:val="Strong"/>
                <w:rFonts w:eastAsia="Times New Roman" w:cs="Arial"/>
                <w:b w:val="0"/>
                <w:bCs w:val="0"/>
                <w:szCs w:val="22"/>
              </w:rPr>
              <w:t xml:space="preserve">best practices, or instances of innovation or </w:t>
            </w:r>
            <w:r>
              <w:rPr>
                <w:rStyle w:val="Strong"/>
                <w:rFonts w:eastAsia="Times New Roman" w:cs="Arial"/>
                <w:b w:val="0"/>
                <w:bCs w:val="0"/>
                <w:szCs w:val="22"/>
              </w:rPr>
              <w:t xml:space="preserve">of </w:t>
            </w:r>
            <w:r w:rsidRPr="00FD460C">
              <w:rPr>
                <w:rStyle w:val="Strong"/>
                <w:rFonts w:eastAsia="Times New Roman" w:cs="Arial"/>
                <w:b w:val="0"/>
                <w:bCs w:val="0"/>
                <w:szCs w:val="22"/>
              </w:rPr>
              <w:t>sharing refinements</w:t>
            </w:r>
            <w:r w:rsidR="00D978C3">
              <w:rPr>
                <w:rStyle w:val="Strong"/>
                <w:rFonts w:eastAsia="Times New Roman" w:cs="Arial"/>
                <w:b w:val="0"/>
                <w:bCs w:val="0"/>
                <w:szCs w:val="22"/>
              </w:rPr>
              <w:t xml:space="preserve"> (though that alone </w:t>
            </w:r>
            <w:r w:rsidR="003A4911">
              <w:rPr>
                <w:rStyle w:val="Strong"/>
                <w:rFonts w:eastAsia="Times New Roman" w:cs="Arial"/>
                <w:b w:val="0"/>
                <w:bCs w:val="0"/>
                <w:szCs w:val="22"/>
              </w:rPr>
              <w:t>doesn’t</w:t>
            </w:r>
            <w:r w:rsidR="00D978C3">
              <w:rPr>
                <w:rStyle w:val="Strong"/>
                <w:rFonts w:eastAsia="Times New Roman" w:cs="Arial"/>
                <w:b w:val="0"/>
                <w:bCs w:val="0"/>
                <w:szCs w:val="22"/>
              </w:rPr>
              <w:t xml:space="preserve"> keep score from rising since </w:t>
            </w:r>
            <w:r w:rsidR="003A4911" w:rsidRPr="003A4911">
              <w:rPr>
                <w:rStyle w:val="Strong"/>
                <w:rFonts w:eastAsia="Times New Roman" w:cs="Arial"/>
                <w:b w:val="0"/>
                <w:bCs w:val="0"/>
                <w:szCs w:val="22"/>
              </w:rPr>
              <w:t>L</w:t>
            </w:r>
            <w:r w:rsidR="003A4911" w:rsidRPr="003A4911">
              <w:rPr>
                <w:rStyle w:val="Strong"/>
                <w:rFonts w:cs="Arial"/>
                <w:b w:val="0"/>
                <w:bCs w:val="0"/>
                <w:szCs w:val="22"/>
              </w:rPr>
              <w:t xml:space="preserve"> is</w:t>
            </w:r>
            <w:r w:rsidR="00D978C3">
              <w:rPr>
                <w:rStyle w:val="Strong"/>
                <w:rFonts w:eastAsia="Times New Roman" w:cs="Arial"/>
                <w:b w:val="0"/>
                <w:bCs w:val="0"/>
                <w:szCs w:val="22"/>
              </w:rPr>
              <w:t xml:space="preserve"> just one evaluation factor</w:t>
            </w:r>
            <w:r w:rsidR="003A4911">
              <w:rPr>
                <w:rStyle w:val="Strong"/>
                <w:rFonts w:eastAsia="Times New Roman" w:cs="Arial"/>
                <w:b w:val="0"/>
                <w:bCs w:val="0"/>
                <w:szCs w:val="22"/>
              </w:rPr>
              <w:t>; 30-45% range seems best fit for ADI too</w:t>
            </w:r>
            <w:r w:rsidR="00D978C3">
              <w:rPr>
                <w:rStyle w:val="Strong"/>
                <w:rFonts w:eastAsia="Times New Roman" w:cs="Arial"/>
                <w:b w:val="0"/>
                <w:bCs w:val="0"/>
                <w:szCs w:val="22"/>
              </w:rPr>
              <w:t>)</w:t>
            </w:r>
            <w:r w:rsidRPr="00FD460C">
              <w:rPr>
                <w:rStyle w:val="Strong"/>
                <w:rFonts w:eastAsia="Times New Roman" w:cs="Arial"/>
                <w:b w:val="0"/>
                <w:bCs w:val="0"/>
                <w:szCs w:val="22"/>
              </w:rPr>
              <w:t xml:space="preserve">. Not below </w:t>
            </w:r>
            <w:r>
              <w:rPr>
                <w:rStyle w:val="Strong"/>
                <w:rFonts w:eastAsia="Times New Roman" w:cs="Arial"/>
                <w:b w:val="0"/>
                <w:bCs w:val="0"/>
                <w:szCs w:val="22"/>
              </w:rPr>
              <w:t>30–45</w:t>
            </w:r>
            <w:r w:rsidRPr="00FD460C">
              <w:rPr>
                <w:rStyle w:val="Strong"/>
                <w:rFonts w:eastAsia="Times New Roman" w:cs="Arial"/>
                <w:b w:val="0"/>
                <w:bCs w:val="0"/>
                <w:szCs w:val="22"/>
              </w:rPr>
              <w:t>% because the approaches are deployed and</w:t>
            </w:r>
            <w:r>
              <w:rPr>
                <w:rStyle w:val="Strong"/>
                <w:rFonts w:eastAsia="Times New Roman" w:cs="Arial"/>
                <w:b w:val="0"/>
                <w:bCs w:val="0"/>
                <w:szCs w:val="22"/>
              </w:rPr>
              <w:t xml:space="preserve"> are aligned with</w:t>
            </w:r>
            <w:r w:rsidRPr="00FD460C">
              <w:rPr>
                <w:rStyle w:val="Strong"/>
                <w:rFonts w:eastAsia="Times New Roman" w:cs="Arial"/>
                <w:b w:val="0"/>
                <w:bCs w:val="0"/>
                <w:szCs w:val="22"/>
              </w:rPr>
              <w:t xml:space="preserve"> elements of the applicant</w:t>
            </w:r>
            <w:r w:rsidR="005663C4">
              <w:rPr>
                <w:rStyle w:val="Strong"/>
                <w:rFonts w:eastAsia="Times New Roman" w:cs="Arial"/>
                <w:b w:val="0"/>
                <w:bCs w:val="0"/>
                <w:szCs w:val="22"/>
              </w:rPr>
              <w:t>’</w:t>
            </w:r>
            <w:r w:rsidRPr="00FD460C">
              <w:rPr>
                <w:rStyle w:val="Strong"/>
                <w:rFonts w:eastAsia="Times New Roman" w:cs="Arial"/>
                <w:b w:val="0"/>
                <w:bCs w:val="0"/>
                <w:szCs w:val="22"/>
              </w:rPr>
              <w:t>s strategic planning process. Note that score might need to be adjusted if S</w:t>
            </w:r>
            <w:r>
              <w:rPr>
                <w:rStyle w:val="Strong"/>
                <w:rFonts w:eastAsia="Times New Roman" w:cs="Arial"/>
                <w:b w:val="0"/>
                <w:bCs w:val="0"/>
                <w:szCs w:val="22"/>
              </w:rPr>
              <w:t>TR</w:t>
            </w:r>
            <w:r w:rsidRPr="00FD460C">
              <w:rPr>
                <w:rStyle w:val="Strong"/>
                <w:rFonts w:eastAsia="Times New Roman" w:cs="Arial"/>
                <w:b w:val="0"/>
                <w:bCs w:val="0"/>
                <w:szCs w:val="22"/>
              </w:rPr>
              <w:t xml:space="preserve"> and OFI comments are added/removed. </w:t>
            </w:r>
          </w:p>
          <w:p w14:paraId="4FB61922" w14:textId="77777777" w:rsidR="009D4C55" w:rsidRDefault="009D4C55" w:rsidP="009D4C55">
            <w:pPr>
              <w:rPr>
                <w:rStyle w:val="Strong"/>
                <w:rFonts w:eastAsia="Times New Roman" w:cs="Arial"/>
                <w:b w:val="0"/>
                <w:bCs w:val="0"/>
                <w:szCs w:val="22"/>
              </w:rPr>
            </w:pPr>
            <w:r w:rsidRPr="00FD460C">
              <w:rPr>
                <w:rStyle w:val="Strong"/>
                <w:rFonts w:eastAsia="Times New Roman" w:cs="Arial"/>
                <w:b w:val="0"/>
                <w:bCs w:val="0"/>
                <w:szCs w:val="22"/>
              </w:rPr>
              <w:t>R1</w:t>
            </w:r>
            <w:r>
              <w:rPr>
                <w:rStyle w:val="Strong"/>
                <w:rFonts w:eastAsia="Times New Roman" w:cs="Arial"/>
                <w:b w:val="0"/>
                <w:bCs w:val="0"/>
                <w:szCs w:val="22"/>
              </w:rPr>
              <w:t>:</w:t>
            </w:r>
            <w:r w:rsidRPr="00FD460C">
              <w:rPr>
                <w:rStyle w:val="Strong"/>
                <w:rFonts w:eastAsia="Times New Roman" w:cs="Arial"/>
                <w:b w:val="0"/>
                <w:bCs w:val="0"/>
                <w:szCs w:val="22"/>
              </w:rPr>
              <w:t xml:space="preserve"> Score adjusted downward to address balance/gravity of S</w:t>
            </w:r>
            <w:r>
              <w:rPr>
                <w:rStyle w:val="Strong"/>
                <w:rFonts w:eastAsia="Times New Roman" w:cs="Arial"/>
                <w:b w:val="0"/>
                <w:bCs w:val="0"/>
                <w:szCs w:val="22"/>
              </w:rPr>
              <w:t>TR</w:t>
            </w:r>
            <w:r w:rsidRPr="00FD460C">
              <w:rPr>
                <w:rStyle w:val="Strong"/>
                <w:rFonts w:eastAsia="Times New Roman" w:cs="Arial"/>
                <w:b w:val="0"/>
                <w:bCs w:val="0"/>
                <w:szCs w:val="22"/>
              </w:rPr>
              <w:t xml:space="preserve">/OFI comments. </w:t>
            </w:r>
          </w:p>
          <w:p w14:paraId="22546682" w14:textId="684AC412" w:rsidR="009D4C55" w:rsidRDefault="009D4C55" w:rsidP="009D4C55">
            <w:pPr>
              <w:rPr>
                <w:rFonts w:eastAsia="Times New Roman" w:cs="Arial"/>
                <w:b/>
                <w:bCs/>
                <w:szCs w:val="22"/>
              </w:rPr>
            </w:pPr>
            <w:r w:rsidRPr="00FD460C">
              <w:rPr>
                <w:rStyle w:val="Strong"/>
                <w:rFonts w:eastAsia="Times New Roman" w:cs="Arial"/>
                <w:b w:val="0"/>
                <w:bCs w:val="0"/>
                <w:szCs w:val="22"/>
              </w:rPr>
              <w:t>R2</w:t>
            </w:r>
            <w:r>
              <w:rPr>
                <w:rStyle w:val="Strong"/>
                <w:rFonts w:eastAsia="Times New Roman" w:cs="Arial"/>
                <w:b w:val="0"/>
                <w:bCs w:val="0"/>
                <w:szCs w:val="22"/>
              </w:rPr>
              <w:t>:</w:t>
            </w:r>
            <w:r w:rsidRPr="00FD460C">
              <w:rPr>
                <w:rStyle w:val="Strong"/>
                <w:rFonts w:eastAsia="Times New Roman" w:cs="Arial"/>
                <w:b w:val="0"/>
                <w:bCs w:val="0"/>
                <w:szCs w:val="22"/>
              </w:rPr>
              <w:t xml:space="preserve"> Score adjusted upward to reflect new balance of S</w:t>
            </w:r>
            <w:r>
              <w:rPr>
                <w:rStyle w:val="Strong"/>
                <w:rFonts w:eastAsia="Times New Roman" w:cs="Arial"/>
                <w:b w:val="0"/>
                <w:bCs w:val="0"/>
                <w:szCs w:val="22"/>
              </w:rPr>
              <w:t>TR</w:t>
            </w:r>
            <w:r w:rsidRPr="00FD460C">
              <w:rPr>
                <w:rStyle w:val="Strong"/>
                <w:rFonts w:eastAsia="Times New Roman" w:cs="Arial"/>
                <w:b w:val="0"/>
                <w:bCs w:val="0"/>
                <w:szCs w:val="22"/>
              </w:rPr>
              <w:t>/OFI comments</w:t>
            </w:r>
            <w:r w:rsidRPr="009D4C55">
              <w:rPr>
                <w:rFonts w:eastAsia="Times New Roman" w:cs="Arial"/>
                <w:szCs w:val="22"/>
              </w:rPr>
              <w:t>.</w:t>
            </w:r>
          </w:p>
        </w:tc>
      </w:tr>
    </w:tbl>
    <w:p w14:paraId="128D14AB" w14:textId="77777777" w:rsidR="00050D3F" w:rsidRDefault="00050D3F">
      <w:pPr>
        <w:spacing w:after="0"/>
        <w:rPr>
          <w:rFonts w:eastAsia="Times New Roman" w:cs="Arial"/>
          <w:b/>
          <w:bCs/>
          <w:szCs w:val="22"/>
        </w:rPr>
      </w:pPr>
      <w:r>
        <w:rPr>
          <w:rFonts w:eastAsia="Times New Roman" w:cs="Arial"/>
          <w:b/>
          <w:bCs/>
          <w:szCs w:val="22"/>
        </w:rPr>
        <w:br w:type="page"/>
      </w:r>
    </w:p>
    <w:p w14:paraId="19657765"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3.2</w:t>
      </w:r>
    </w:p>
    <w:p w14:paraId="64A20A1F" w14:textId="77777777" w:rsidR="005E22BD" w:rsidRDefault="000A11B9">
      <w:pPr>
        <w:pStyle w:val="Heading2"/>
        <w:divId w:val="905190427"/>
        <w:rPr>
          <w:rFonts w:eastAsia="Times New Roman" w:cs="Arial"/>
        </w:rPr>
      </w:pPr>
      <w:r>
        <w:rPr>
          <w:rFonts w:eastAsia="Times New Roman" w:cs="Arial"/>
        </w:rPr>
        <w:t>Customer Engagement</w:t>
      </w:r>
    </w:p>
    <w:p w14:paraId="376B3C73" w14:textId="77777777" w:rsidR="005E22BD" w:rsidRDefault="000A11B9">
      <w:pPr>
        <w:pStyle w:val="Heading3"/>
        <w:divId w:val="905190427"/>
        <w:rPr>
          <w:rFonts w:eastAsia="Times New Roman" w:cs="Arial"/>
        </w:rPr>
      </w:pPr>
      <w:r>
        <w:rPr>
          <w:rFonts w:eastAsia="Times New Roman" w:cs="Arial"/>
        </w:rPr>
        <w:t>Relevant Key Factors</w:t>
      </w:r>
    </w:p>
    <w:p w14:paraId="27FAE4EA" w14:textId="0B8BD603" w:rsidR="005E22BD" w:rsidRDefault="000A11B9">
      <w:pPr>
        <w:numPr>
          <w:ilvl w:val="0"/>
          <w:numId w:val="10"/>
        </w:numPr>
        <w:spacing w:before="100" w:beforeAutospacing="1" w:after="100" w:afterAutospacing="1"/>
        <w:divId w:val="905190427"/>
        <w:rPr>
          <w:rFonts w:eastAsia="Times New Roman" w:cs="Arial"/>
          <w:szCs w:val="22"/>
        </w:rPr>
      </w:pPr>
      <w:r>
        <w:rPr>
          <w:rFonts w:eastAsia="Times New Roman" w:cs="Arial"/>
          <w:szCs w:val="22"/>
        </w:rPr>
        <w:t xml:space="preserve">50 associate; </w:t>
      </w:r>
      <w:r w:rsidR="001F46D7">
        <w:rPr>
          <w:rFonts w:eastAsia="Times New Roman" w:cs="Arial"/>
          <w:szCs w:val="22"/>
        </w:rPr>
        <w:t>25 certificates/workforce training badge programs</w:t>
      </w:r>
      <w:r>
        <w:rPr>
          <w:rFonts w:eastAsia="Times New Roman" w:cs="Arial"/>
          <w:szCs w:val="22"/>
        </w:rPr>
        <w:t xml:space="preserve">; </w:t>
      </w:r>
      <w:r w:rsidR="001F46D7">
        <w:rPr>
          <w:rFonts w:eastAsia="Times New Roman" w:cs="Arial"/>
          <w:szCs w:val="22"/>
        </w:rPr>
        <w:t>workforce development/continuing education</w:t>
      </w:r>
      <w:r w:rsidR="000834C7">
        <w:rPr>
          <w:rFonts w:eastAsia="Times New Roman" w:cs="Arial"/>
          <w:szCs w:val="22"/>
        </w:rPr>
        <w:t>—</w:t>
      </w:r>
      <w:r w:rsidR="001F46D7">
        <w:rPr>
          <w:rFonts w:eastAsia="Times New Roman" w:cs="Arial"/>
          <w:szCs w:val="22"/>
        </w:rPr>
        <w:t>personal development, badges, skill-building courses</w:t>
      </w:r>
      <w:r>
        <w:rPr>
          <w:rFonts w:eastAsia="Times New Roman" w:cs="Arial"/>
          <w:szCs w:val="22"/>
        </w:rPr>
        <w:t>.</w:t>
      </w:r>
    </w:p>
    <w:p w14:paraId="515D8B1E" w14:textId="7FFAFBB5" w:rsidR="005E22BD" w:rsidRDefault="000A11B9" w:rsidP="001D6722">
      <w:pPr>
        <w:numPr>
          <w:ilvl w:val="0"/>
          <w:numId w:val="10"/>
        </w:numPr>
        <w:spacing w:before="100" w:beforeAutospacing="1" w:after="100" w:afterAutospacing="1"/>
        <w:divId w:val="905190427"/>
        <w:rPr>
          <w:rFonts w:eastAsia="Times New Roman" w:cs="Arial"/>
          <w:szCs w:val="22"/>
        </w:rPr>
      </w:pPr>
      <w:r w:rsidRPr="00E33EFD">
        <w:rPr>
          <w:rFonts w:eastAsia="Times New Roman" w:cs="Arial"/>
          <w:szCs w:val="22"/>
        </w:rPr>
        <w:t>Values</w:t>
      </w:r>
      <w:r w:rsidR="000834C7" w:rsidRPr="00E33EFD">
        <w:rPr>
          <w:rFonts w:eastAsia="Times New Roman" w:cs="Arial"/>
          <w:szCs w:val="22"/>
        </w:rPr>
        <w:t>—</w:t>
      </w:r>
      <w:r w:rsidRPr="00E33EFD">
        <w:rPr>
          <w:rFonts w:eastAsia="Times New Roman" w:cs="Arial"/>
          <w:szCs w:val="22"/>
        </w:rPr>
        <w:t>Students First</w:t>
      </w:r>
    </w:p>
    <w:p w14:paraId="0CAEDC9C" w14:textId="77777777" w:rsidR="005E22BD" w:rsidRPr="00E33EFD" w:rsidRDefault="000A11B9" w:rsidP="001D6722">
      <w:pPr>
        <w:numPr>
          <w:ilvl w:val="0"/>
          <w:numId w:val="10"/>
        </w:numPr>
        <w:spacing w:before="100" w:beforeAutospacing="1" w:after="100" w:afterAutospacing="1"/>
        <w:divId w:val="905190427"/>
        <w:rPr>
          <w:rFonts w:eastAsia="Times New Roman" w:cs="Arial"/>
          <w:szCs w:val="22"/>
        </w:rPr>
      </w:pPr>
      <w:r w:rsidRPr="00E33EFD">
        <w:rPr>
          <w:rFonts w:eastAsia="Times New Roman" w:cs="Arial"/>
          <w:szCs w:val="22"/>
        </w:rPr>
        <w:t>CC1: Provide exceptional student support services</w:t>
      </w:r>
    </w:p>
    <w:p w14:paraId="2B5216ED" w14:textId="77777777" w:rsidR="005E22BD" w:rsidRDefault="001F46D7">
      <w:pPr>
        <w:numPr>
          <w:ilvl w:val="0"/>
          <w:numId w:val="10"/>
        </w:numPr>
        <w:spacing w:before="100" w:beforeAutospacing="1" w:after="100" w:afterAutospacing="1"/>
        <w:divId w:val="905190427"/>
        <w:rPr>
          <w:rFonts w:eastAsia="Times New Roman" w:cs="Arial"/>
          <w:szCs w:val="22"/>
        </w:rPr>
      </w:pPr>
      <w:r>
        <w:rPr>
          <w:rFonts w:eastAsia="Times New Roman" w:cs="Arial"/>
          <w:szCs w:val="22"/>
        </w:rPr>
        <w:t>Recent high school graduates inside/outside service area</w:t>
      </w:r>
      <w:r w:rsidR="000A11B9">
        <w:rPr>
          <w:rFonts w:eastAsia="Times New Roman" w:cs="Arial"/>
          <w:szCs w:val="22"/>
        </w:rPr>
        <w:t xml:space="preserve">; </w:t>
      </w:r>
      <w:r>
        <w:rPr>
          <w:rFonts w:eastAsia="Times New Roman" w:cs="Arial"/>
          <w:szCs w:val="22"/>
        </w:rPr>
        <w:t>nontraditional, transfer, former students—</w:t>
      </w:r>
      <w:r w:rsidR="000A11B9">
        <w:rPr>
          <w:rFonts w:eastAsia="Times New Roman" w:cs="Arial"/>
          <w:szCs w:val="22"/>
        </w:rPr>
        <w:t>focused recruitment, information about institution, easy access to services</w:t>
      </w:r>
    </w:p>
    <w:p w14:paraId="07465C2A" w14:textId="77777777" w:rsidR="005E22BD" w:rsidRDefault="000A11B9">
      <w:pPr>
        <w:numPr>
          <w:ilvl w:val="0"/>
          <w:numId w:val="10"/>
        </w:numPr>
        <w:spacing w:before="100" w:beforeAutospacing="1" w:after="100" w:afterAutospacing="1"/>
        <w:divId w:val="905190427"/>
        <w:rPr>
          <w:rFonts w:eastAsia="Times New Roman" w:cs="Arial"/>
          <w:szCs w:val="22"/>
        </w:rPr>
      </w:pPr>
      <w:r>
        <w:rPr>
          <w:rFonts w:eastAsia="Times New Roman" w:cs="Arial"/>
          <w:szCs w:val="22"/>
        </w:rPr>
        <w:t>Career-seeking students</w:t>
      </w:r>
      <w:r w:rsidR="000834C7">
        <w:rPr>
          <w:rFonts w:eastAsia="Times New Roman" w:cs="Arial"/>
          <w:szCs w:val="22"/>
        </w:rPr>
        <w:t>—</w:t>
      </w:r>
      <w:r>
        <w:rPr>
          <w:rFonts w:eastAsia="Times New Roman" w:cs="Arial"/>
          <w:szCs w:val="22"/>
        </w:rPr>
        <w:t>degree completion info, academic support services</w:t>
      </w:r>
      <w:r w:rsidR="001F46D7">
        <w:rPr>
          <w:rFonts w:eastAsia="Times New Roman" w:cs="Arial"/>
          <w:szCs w:val="22"/>
        </w:rPr>
        <w:t>.</w:t>
      </w:r>
      <w:r>
        <w:rPr>
          <w:rFonts w:eastAsia="Times New Roman" w:cs="Arial"/>
          <w:szCs w:val="22"/>
        </w:rPr>
        <w:t xml:space="preserve"> Transfer</w:t>
      </w:r>
      <w:r w:rsidR="000834C7">
        <w:rPr>
          <w:rFonts w:eastAsia="Times New Roman" w:cs="Arial"/>
          <w:szCs w:val="22"/>
        </w:rPr>
        <w:t>—</w:t>
      </w:r>
      <w:r>
        <w:rPr>
          <w:rFonts w:eastAsia="Times New Roman" w:cs="Arial"/>
          <w:szCs w:val="22"/>
        </w:rPr>
        <w:t>transfer articulation, degree completion info, academic challenges</w:t>
      </w:r>
      <w:r w:rsidR="001F46D7">
        <w:rPr>
          <w:rFonts w:eastAsia="Times New Roman" w:cs="Arial"/>
          <w:szCs w:val="22"/>
        </w:rPr>
        <w:t>.</w:t>
      </w:r>
      <w:r>
        <w:rPr>
          <w:rFonts w:eastAsia="Times New Roman" w:cs="Arial"/>
          <w:szCs w:val="22"/>
        </w:rPr>
        <w:t xml:space="preserve"> Non-degree</w:t>
      </w:r>
      <w:r w:rsidR="001F46D7">
        <w:rPr>
          <w:rFonts w:eastAsia="Times New Roman" w:cs="Arial"/>
          <w:szCs w:val="22"/>
        </w:rPr>
        <w:t>-</w:t>
      </w:r>
      <w:r>
        <w:rPr>
          <w:rFonts w:eastAsia="Times New Roman" w:cs="Arial"/>
          <w:szCs w:val="22"/>
        </w:rPr>
        <w:t>seeking</w:t>
      </w:r>
      <w:r w:rsidR="000834C7">
        <w:rPr>
          <w:rFonts w:eastAsia="Times New Roman" w:cs="Arial"/>
          <w:szCs w:val="22"/>
        </w:rPr>
        <w:t>—</w:t>
      </w:r>
      <w:r>
        <w:rPr>
          <w:rFonts w:eastAsia="Times New Roman" w:cs="Arial"/>
          <w:szCs w:val="22"/>
        </w:rPr>
        <w:t>workforce skills, adult learner needs</w:t>
      </w:r>
      <w:r w:rsidR="001F46D7">
        <w:rPr>
          <w:rFonts w:eastAsia="Times New Roman" w:cs="Arial"/>
          <w:szCs w:val="22"/>
        </w:rPr>
        <w:t>.</w:t>
      </w:r>
      <w:r>
        <w:rPr>
          <w:rFonts w:eastAsia="Times New Roman" w:cs="Arial"/>
          <w:szCs w:val="22"/>
        </w:rPr>
        <w:t xml:space="preserve"> Dual Credit</w:t>
      </w:r>
      <w:r w:rsidR="000834C7">
        <w:rPr>
          <w:rFonts w:eastAsia="Times New Roman" w:cs="Arial"/>
          <w:szCs w:val="22"/>
        </w:rPr>
        <w:t>—</w:t>
      </w:r>
      <w:r>
        <w:rPr>
          <w:rFonts w:eastAsia="Times New Roman" w:cs="Arial"/>
          <w:szCs w:val="22"/>
        </w:rPr>
        <w:t>college credit courses, collaboration with high school schedule</w:t>
      </w:r>
    </w:p>
    <w:p w14:paraId="314A7779" w14:textId="211116A2" w:rsidR="005E22BD" w:rsidRDefault="00E33EFD">
      <w:pPr>
        <w:numPr>
          <w:ilvl w:val="0"/>
          <w:numId w:val="10"/>
        </w:numPr>
        <w:spacing w:before="100" w:beforeAutospacing="1" w:after="100" w:afterAutospacing="1"/>
        <w:divId w:val="905190427"/>
        <w:rPr>
          <w:rFonts w:eastAsia="Times New Roman" w:cs="Arial"/>
          <w:szCs w:val="22"/>
        </w:rPr>
      </w:pPr>
      <w:r>
        <w:rPr>
          <w:rFonts w:eastAsia="Times New Roman" w:cs="Arial"/>
          <w:szCs w:val="22"/>
        </w:rPr>
        <w:t>P</w:t>
      </w:r>
      <w:r w:rsidR="00153A64">
        <w:rPr>
          <w:rFonts w:eastAsia="Times New Roman" w:cs="Arial"/>
          <w:szCs w:val="22"/>
        </w:rPr>
        <w:t>rimary competition is sister colleges</w:t>
      </w:r>
      <w:r w:rsidR="000A11B9">
        <w:rPr>
          <w:rFonts w:eastAsia="Times New Roman" w:cs="Arial"/>
          <w:szCs w:val="22"/>
        </w:rPr>
        <w:t xml:space="preserve">. </w:t>
      </w:r>
      <w:r w:rsidR="00153A64">
        <w:rPr>
          <w:rFonts w:eastAsia="Times New Roman" w:cs="Arial"/>
          <w:szCs w:val="22"/>
        </w:rPr>
        <w:t>Other competitors: private technical colleges in service area, online higher ed. providers</w:t>
      </w:r>
    </w:p>
    <w:p w14:paraId="10D629FD"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228"/>
        <w:gridCol w:w="4228"/>
        <w:gridCol w:w="1200"/>
      </w:tblGrid>
      <w:tr w:rsidR="005E22BD" w14:paraId="75B64728"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031577E6"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69A573BD"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0B561AEB"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1535A27"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4FB45D32"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6CD4C430"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9775827" w14:textId="06DA7FEE" w:rsidR="005E22BD" w:rsidRDefault="000A11B9">
            <w:pPr>
              <w:rPr>
                <w:rFonts w:eastAsia="Times New Roman" w:cs="Arial"/>
                <w:szCs w:val="22"/>
              </w:rPr>
            </w:pPr>
            <w:r>
              <w:rPr>
                <w:rFonts w:eastAsia="Times New Roman" w:cs="Arial"/>
                <w:szCs w:val="22"/>
              </w:rPr>
              <w:t xml:space="preserve">In support of achieving </w:t>
            </w:r>
            <w:r w:rsidR="00CA577D">
              <w:rPr>
                <w:rFonts w:eastAsia="Times New Roman" w:cs="Arial"/>
                <w:szCs w:val="22"/>
              </w:rPr>
              <w:t>i</w:t>
            </w:r>
            <w:r w:rsidR="00CA577D">
              <w:t xml:space="preserve">ts </w:t>
            </w:r>
            <w:r>
              <w:rPr>
                <w:rFonts w:eastAsia="Times New Roman" w:cs="Arial"/>
                <w:szCs w:val="22"/>
              </w:rPr>
              <w:t>strategic objectives for student access and success, the applicant systematic</w:t>
            </w:r>
            <w:r w:rsidR="00CA577D">
              <w:rPr>
                <w:rFonts w:eastAsia="Times New Roman" w:cs="Arial"/>
                <w:szCs w:val="22"/>
              </w:rPr>
              <w:t>a</w:t>
            </w:r>
            <w:r w:rsidR="00CA577D">
              <w:t>lly</w:t>
            </w:r>
            <w:r>
              <w:rPr>
                <w:rFonts w:eastAsia="Times New Roman" w:cs="Arial"/>
                <w:szCs w:val="22"/>
              </w:rPr>
              <w:t xml:space="preserve"> use</w:t>
            </w:r>
            <w:r w:rsidR="00CA577D">
              <w:rPr>
                <w:rFonts w:eastAsia="Times New Roman" w:cs="Arial"/>
                <w:szCs w:val="22"/>
              </w:rPr>
              <w:t>s</w:t>
            </w:r>
            <w:r>
              <w:rPr>
                <w:rFonts w:eastAsia="Times New Roman" w:cs="Arial"/>
                <w:szCs w:val="22"/>
              </w:rPr>
              <w:t xml:space="preserve"> VOC and market data and information </w:t>
            </w:r>
            <w:r w:rsidR="00C93305">
              <w:rPr>
                <w:rFonts w:eastAsia="Times New Roman" w:cs="Arial"/>
                <w:szCs w:val="22"/>
              </w:rPr>
              <w:t xml:space="preserve">to make decisions </w:t>
            </w:r>
            <w:r>
              <w:rPr>
                <w:rFonts w:eastAsia="Times New Roman" w:cs="Arial"/>
                <w:szCs w:val="22"/>
              </w:rPr>
              <w:t xml:space="preserve">on students-first initiatives. Specifically, RMP, CEOC, and PROD teams review S-KPIs presented by the RBM team </w:t>
            </w:r>
            <w:r w:rsidR="00CA577D">
              <w:rPr>
                <w:rFonts w:eastAsia="Times New Roman" w:cs="Arial"/>
                <w:szCs w:val="22"/>
              </w:rPr>
              <w:t>a</w:t>
            </w:r>
            <w:r w:rsidR="00CA577D">
              <w:t xml:space="preserve">nd </w:t>
            </w:r>
            <w:r>
              <w:rPr>
                <w:rFonts w:eastAsia="Times New Roman" w:cs="Arial"/>
                <w:szCs w:val="22"/>
              </w:rPr>
              <w:t>derived from VOC, enrollment reports/market data, daily reports, campaign data, and web traffic. Based on analysis and integration of these data, changes are vetted through RMP and reviewed through PI and SPP to determine programs/services focused on students first.</w:t>
            </w:r>
          </w:p>
        </w:tc>
        <w:tc>
          <w:tcPr>
            <w:tcW w:w="0" w:type="auto"/>
            <w:tcBorders>
              <w:bottom w:val="single" w:sz="6" w:space="0" w:color="000000"/>
              <w:right w:val="single" w:sz="6" w:space="0" w:color="000000"/>
            </w:tcBorders>
            <w:tcMar>
              <w:top w:w="75" w:type="dxa"/>
              <w:left w:w="75" w:type="dxa"/>
              <w:bottom w:w="75" w:type="dxa"/>
              <w:right w:w="75" w:type="dxa"/>
            </w:tcMar>
            <w:hideMark/>
          </w:tcPr>
          <w:p w14:paraId="75CB383C" w14:textId="77777777" w:rsidR="00CA577D" w:rsidRDefault="000A11B9">
            <w:pPr>
              <w:rPr>
                <w:rFonts w:eastAsia="Times New Roman" w:cs="Arial"/>
                <w:szCs w:val="22"/>
              </w:rPr>
            </w:pPr>
            <w:r>
              <w:rPr>
                <w:rFonts w:eastAsia="Times New Roman" w:cs="Arial"/>
                <w:szCs w:val="22"/>
              </w:rPr>
              <w:t xml:space="preserve">Mentioned by </w:t>
            </w:r>
            <w:r w:rsidR="00CA577D">
              <w:rPr>
                <w:rFonts w:eastAsia="Times New Roman" w:cs="Arial"/>
                <w:szCs w:val="22"/>
              </w:rPr>
              <w:t>5</w:t>
            </w:r>
            <w:r>
              <w:rPr>
                <w:rFonts w:eastAsia="Times New Roman" w:cs="Arial"/>
                <w:szCs w:val="22"/>
              </w:rPr>
              <w:t xml:space="preserve"> examiners </w:t>
            </w:r>
            <w:r w:rsidR="009A0B0A">
              <w:rPr>
                <w:rFonts w:eastAsia="Times New Roman" w:cs="Arial"/>
                <w:szCs w:val="22"/>
              </w:rPr>
              <w:t>(</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Ex6</w:t>
            </w:r>
            <w:r w:rsidR="009A0B0A">
              <w:rPr>
                <w:rFonts w:eastAsia="Times New Roman" w:cs="Arial"/>
                <w:szCs w:val="22"/>
              </w:rPr>
              <w:t>)</w:t>
            </w:r>
            <w:r>
              <w:rPr>
                <w:rFonts w:eastAsia="Times New Roman" w:cs="Arial"/>
                <w:szCs w:val="22"/>
              </w:rPr>
              <w:t xml:space="preserve">. </w:t>
            </w:r>
          </w:p>
          <w:p w14:paraId="327DAD9B" w14:textId="366FB04D" w:rsidR="005E22BD" w:rsidRDefault="000A11B9">
            <w:pPr>
              <w:rPr>
                <w:rFonts w:eastAsia="Times New Roman" w:cs="Arial"/>
                <w:szCs w:val="22"/>
              </w:rPr>
            </w:pPr>
            <w:r>
              <w:rPr>
                <w:rFonts w:eastAsia="Times New Roman" w:cs="Arial"/>
                <w:szCs w:val="22"/>
              </w:rPr>
              <w:t xml:space="preserve">One examiner </w:t>
            </w:r>
            <w:r w:rsidR="009A0B0A">
              <w:rPr>
                <w:rFonts w:eastAsia="Times New Roman" w:cs="Arial"/>
                <w:szCs w:val="22"/>
              </w:rPr>
              <w:t>(</w:t>
            </w:r>
            <w:r w:rsidR="007B4856">
              <w:rPr>
                <w:rFonts w:eastAsia="Times New Roman" w:cs="Arial"/>
                <w:szCs w:val="22"/>
              </w:rPr>
              <w:t>Ex5</w:t>
            </w:r>
            <w:r w:rsidR="009A0B0A">
              <w:rPr>
                <w:rFonts w:eastAsia="Times New Roman" w:cs="Arial"/>
                <w:szCs w:val="22"/>
              </w:rPr>
              <w:t>)</w:t>
            </w:r>
            <w:r>
              <w:rPr>
                <w:rFonts w:eastAsia="Times New Roman" w:cs="Arial"/>
                <w:szCs w:val="22"/>
              </w:rPr>
              <w:t xml:space="preserve"> proposed a 3.2c OFI</w:t>
            </w:r>
            <w:r w:rsidR="00CA577D">
              <w:rPr>
                <w:rFonts w:eastAsia="Times New Roman" w:cs="Arial"/>
                <w:szCs w:val="22"/>
              </w:rPr>
              <w:t>,</w:t>
            </w:r>
            <w:r>
              <w:rPr>
                <w:rFonts w:eastAsia="Times New Roman" w:cs="Arial"/>
                <w:szCs w:val="22"/>
              </w:rPr>
              <w:t xml:space="preserve"> noting that it is not evident that VOC and market data are used to create a student-focused culture and support operational decision making. I believe that using VOC and market data to determine new programs/services is a form of decision making and related to the students-first value.</w:t>
            </w:r>
          </w:p>
        </w:tc>
        <w:tc>
          <w:tcPr>
            <w:tcW w:w="0" w:type="auto"/>
            <w:tcBorders>
              <w:bottom w:val="single" w:sz="6" w:space="0" w:color="000000"/>
              <w:right w:val="single" w:sz="6" w:space="0" w:color="000000"/>
            </w:tcBorders>
            <w:tcMar>
              <w:top w:w="75" w:type="dxa"/>
              <w:left w:w="75" w:type="dxa"/>
              <w:bottom w:w="75" w:type="dxa"/>
              <w:right w:w="75" w:type="dxa"/>
            </w:tcMar>
            <w:hideMark/>
          </w:tcPr>
          <w:p w14:paraId="1A79DA32" w14:textId="77777777" w:rsidR="005E22BD" w:rsidRDefault="000A11B9">
            <w:pPr>
              <w:rPr>
                <w:rFonts w:eastAsia="Times New Roman" w:cs="Arial"/>
                <w:szCs w:val="22"/>
              </w:rPr>
            </w:pPr>
            <w:r>
              <w:rPr>
                <w:rFonts w:eastAsia="Times New Roman" w:cs="Arial"/>
                <w:szCs w:val="22"/>
              </w:rPr>
              <w:t>c</w:t>
            </w:r>
          </w:p>
        </w:tc>
      </w:tr>
      <w:tr w:rsidR="005E22BD" w14:paraId="2BA629E1"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568275F"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7BB4A0C" w14:textId="308EBCD8"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sidR="00CA577D">
              <w:t>s</w:t>
            </w:r>
            <w:r>
              <w:rPr>
                <w:rFonts w:eastAsia="Times New Roman" w:cs="Arial"/>
                <w:szCs w:val="22"/>
              </w:rPr>
              <w:t xml:space="preserve"> </w:t>
            </w:r>
            <w:r w:rsidR="001501DD">
              <w:rPr>
                <w:rFonts w:eastAsia="Times New Roman" w:cs="Arial"/>
                <w:szCs w:val="22"/>
              </w:rPr>
              <w:t>s</w:t>
            </w:r>
            <w:r w:rsidR="001501DD">
              <w:t>ix</w:t>
            </w:r>
            <w:r>
              <w:rPr>
                <w:rFonts w:eastAsia="Times New Roman" w:cs="Arial"/>
                <w:szCs w:val="22"/>
              </w:rPr>
              <w:t>-step complaint</w:t>
            </w:r>
            <w:r w:rsidR="001501DD">
              <w:rPr>
                <w:rFonts w:eastAsia="Times New Roman" w:cs="Arial"/>
                <w:szCs w:val="22"/>
              </w:rPr>
              <w:t xml:space="preserve"> </w:t>
            </w:r>
            <w:r>
              <w:rPr>
                <w:rFonts w:eastAsia="Times New Roman" w:cs="Arial"/>
                <w:szCs w:val="22"/>
              </w:rPr>
              <w:t>management process (Figure 3.2-1) reinforce</w:t>
            </w:r>
            <w:r w:rsidR="00CA577D">
              <w:rPr>
                <w:rFonts w:eastAsia="Times New Roman" w:cs="Arial"/>
                <w:szCs w:val="22"/>
              </w:rPr>
              <w:t>s</w:t>
            </w:r>
            <w:r>
              <w:rPr>
                <w:rFonts w:eastAsia="Times New Roman" w:cs="Arial"/>
                <w:szCs w:val="22"/>
              </w:rPr>
              <w:t xml:space="preserve"> its value of putting students first. The </w:t>
            </w:r>
            <w:r w:rsidR="0062229F">
              <w:rPr>
                <w:rFonts w:eastAsia="Times New Roman" w:cs="Arial"/>
                <w:szCs w:val="22"/>
              </w:rPr>
              <w:t>applicant</w:t>
            </w:r>
            <w:r>
              <w:rPr>
                <w:rFonts w:eastAsia="Times New Roman" w:cs="Arial"/>
                <w:szCs w:val="22"/>
              </w:rPr>
              <w:t xml:space="preserve"> relies on RBM to screen, assign, and prioritize complaints. Red</w:t>
            </w:r>
            <w:r w:rsidR="008532BC">
              <w:rPr>
                <w:rFonts w:eastAsia="Times New Roman" w:cs="Arial"/>
                <w:szCs w:val="22"/>
              </w:rPr>
              <w:t>-</w:t>
            </w:r>
            <w:r>
              <w:rPr>
                <w:rFonts w:eastAsia="Times New Roman" w:cs="Arial"/>
                <w:szCs w:val="22"/>
              </w:rPr>
              <w:t>flag complaints related to security, safety, legal</w:t>
            </w:r>
            <w:r w:rsidR="001501DD">
              <w:rPr>
                <w:rFonts w:eastAsia="Times New Roman" w:cs="Arial"/>
                <w:szCs w:val="22"/>
              </w:rPr>
              <w:t>,</w:t>
            </w:r>
            <w:r>
              <w:rPr>
                <w:rFonts w:eastAsia="Times New Roman" w:cs="Arial"/>
                <w:szCs w:val="22"/>
              </w:rPr>
              <w:t xml:space="preserve"> or ethical issues are brought to the immediate attention of the President</w:t>
            </w:r>
            <w:r w:rsidR="005663C4">
              <w:rPr>
                <w:rFonts w:eastAsia="Times New Roman" w:cs="Arial"/>
                <w:szCs w:val="22"/>
              </w:rPr>
              <w:t>’</w:t>
            </w:r>
            <w:r>
              <w:rPr>
                <w:rFonts w:eastAsia="Times New Roman" w:cs="Arial"/>
                <w:szCs w:val="22"/>
              </w:rPr>
              <w:t xml:space="preserve">s Team and to the Crisis Communication Team, if necessary. Complaint data are aggregated, analyzed, </w:t>
            </w:r>
            <w:r w:rsidR="00FC7C2D">
              <w:rPr>
                <w:rFonts w:eastAsia="Times New Roman" w:cs="Arial"/>
                <w:szCs w:val="22"/>
              </w:rPr>
              <w:t>tracked,</w:t>
            </w:r>
            <w:r>
              <w:rPr>
                <w:rFonts w:eastAsia="Times New Roman" w:cs="Arial"/>
                <w:szCs w:val="22"/>
              </w:rPr>
              <w:t xml:space="preserve"> and trended to determine if patterns exist and to support cycles of </w:t>
            </w:r>
            <w:r w:rsidR="008532BC">
              <w:rPr>
                <w:rFonts w:eastAsia="Times New Roman" w:cs="Arial"/>
                <w:szCs w:val="22"/>
              </w:rPr>
              <w:t xml:space="preserve">evaluation </w:t>
            </w:r>
            <w:r>
              <w:rPr>
                <w:rFonts w:eastAsia="Times New Roman" w:cs="Arial"/>
                <w:szCs w:val="22"/>
              </w:rPr>
              <w:t>and improvement.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9412477" w14:textId="74520C46" w:rsidR="00CA577D" w:rsidRDefault="00CA577D">
            <w:pPr>
              <w:rPr>
                <w:rFonts w:eastAsia="Times New Roman" w:cs="Arial"/>
                <w:szCs w:val="22"/>
              </w:rPr>
            </w:pPr>
            <w:r>
              <w:rPr>
                <w:rFonts w:eastAsia="Times New Roman" w:cs="Arial"/>
                <w:szCs w:val="22"/>
              </w:rPr>
              <w:t>5</w:t>
            </w:r>
            <w:r w:rsidR="000A11B9">
              <w:rPr>
                <w:rFonts w:eastAsia="Times New Roman" w:cs="Arial"/>
                <w:szCs w:val="22"/>
              </w:rPr>
              <w:t xml:space="preserve"> examiners noted the proposed a(3) </w:t>
            </w:r>
            <w:r>
              <w:rPr>
                <w:rFonts w:eastAsia="Times New Roman" w:cs="Arial"/>
                <w:szCs w:val="22"/>
              </w:rPr>
              <w:t>S</w:t>
            </w:r>
            <w:r>
              <w:t>TR</w:t>
            </w:r>
            <w:r w:rsidR="000A11B9">
              <w:rPr>
                <w:rFonts w:eastAsia="Times New Roman" w:cs="Arial"/>
                <w:szCs w:val="22"/>
              </w:rPr>
              <w:t xml:space="preserve"> </w:t>
            </w:r>
            <w:r w:rsidR="009A0B0A">
              <w:rPr>
                <w:rFonts w:eastAsia="Times New Roman" w:cs="Arial"/>
                <w:szCs w:val="22"/>
              </w:rPr>
              <w:t>(</w:t>
            </w:r>
            <w:r w:rsidR="007B4856">
              <w:rPr>
                <w:rFonts w:eastAsia="Times New Roman" w:cs="Arial"/>
                <w:szCs w:val="22"/>
              </w:rPr>
              <w:t>Ex1</w:t>
            </w:r>
            <w:r w:rsidR="000A11B9">
              <w:rPr>
                <w:rFonts w:eastAsia="Times New Roman" w:cs="Arial"/>
                <w:szCs w:val="22"/>
              </w:rPr>
              <w:t xml:space="preserve">, </w:t>
            </w:r>
            <w:r w:rsidR="007B4856">
              <w:rPr>
                <w:rFonts w:eastAsia="Times New Roman" w:cs="Arial"/>
                <w:szCs w:val="22"/>
              </w:rPr>
              <w:t>Ex4</w:t>
            </w:r>
            <w:r w:rsidR="000A11B9">
              <w:rPr>
                <w:rFonts w:eastAsia="Times New Roman" w:cs="Arial"/>
                <w:szCs w:val="22"/>
              </w:rPr>
              <w:t xml:space="preserve">, </w:t>
            </w:r>
            <w:r w:rsidR="007B4856">
              <w:rPr>
                <w:rFonts w:eastAsia="Times New Roman" w:cs="Arial"/>
                <w:szCs w:val="22"/>
              </w:rPr>
              <w:t>Ex3</w:t>
            </w:r>
            <w:r w:rsidR="000A11B9">
              <w:rPr>
                <w:rFonts w:eastAsia="Times New Roman" w:cs="Arial"/>
                <w:szCs w:val="22"/>
              </w:rPr>
              <w:t xml:space="preserve">, </w:t>
            </w:r>
            <w:r w:rsidR="007B4856">
              <w:rPr>
                <w:rFonts w:eastAsia="Times New Roman" w:cs="Arial"/>
                <w:szCs w:val="22"/>
              </w:rPr>
              <w:t>Ex6</w:t>
            </w:r>
            <w:r w:rsidR="00350724">
              <w:rPr>
                <w:rFonts w:eastAsia="Times New Roman" w:cs="Arial"/>
                <w:szCs w:val="22"/>
              </w:rPr>
              <w:t>, Ex7</w:t>
            </w:r>
            <w:r w:rsidR="009A0B0A">
              <w:rPr>
                <w:rFonts w:eastAsia="Times New Roman" w:cs="Arial"/>
                <w:szCs w:val="22"/>
              </w:rPr>
              <w:t>)</w:t>
            </w:r>
            <w:r w:rsidR="000A11B9">
              <w:rPr>
                <w:rFonts w:eastAsia="Times New Roman" w:cs="Arial"/>
                <w:szCs w:val="22"/>
              </w:rPr>
              <w:t xml:space="preserve">. Three examiners </w:t>
            </w:r>
            <w:r w:rsidR="009A0B0A">
              <w:rPr>
                <w:rFonts w:eastAsia="Times New Roman" w:cs="Arial"/>
                <w:szCs w:val="22"/>
              </w:rPr>
              <w:t>(</w:t>
            </w:r>
            <w:r w:rsidR="007B4856">
              <w:rPr>
                <w:rFonts w:eastAsia="Times New Roman" w:cs="Arial"/>
                <w:szCs w:val="22"/>
              </w:rPr>
              <w:t>Ex2</w:t>
            </w:r>
            <w:r w:rsidR="000A11B9">
              <w:rPr>
                <w:rFonts w:eastAsia="Times New Roman" w:cs="Arial"/>
                <w:szCs w:val="22"/>
              </w:rPr>
              <w:t xml:space="preserve">, </w:t>
            </w:r>
            <w:r w:rsidR="007B4856">
              <w:rPr>
                <w:rFonts w:eastAsia="Times New Roman" w:cs="Arial"/>
                <w:szCs w:val="22"/>
              </w:rPr>
              <w:t>Ex3</w:t>
            </w:r>
            <w:r w:rsidR="000A11B9">
              <w:rPr>
                <w:rFonts w:eastAsia="Times New Roman" w:cs="Arial"/>
                <w:szCs w:val="22"/>
              </w:rPr>
              <w:t xml:space="preserve">, </w:t>
            </w:r>
            <w:r w:rsidR="007B4856">
              <w:rPr>
                <w:rFonts w:eastAsia="Times New Roman" w:cs="Arial"/>
                <w:szCs w:val="22"/>
              </w:rPr>
              <w:t>Ex5</w:t>
            </w:r>
            <w:r w:rsidR="009A0B0A">
              <w:rPr>
                <w:rFonts w:eastAsia="Times New Roman" w:cs="Arial"/>
                <w:szCs w:val="22"/>
              </w:rPr>
              <w:t>)</w:t>
            </w:r>
            <w:r w:rsidR="000A11B9">
              <w:rPr>
                <w:rFonts w:eastAsia="Times New Roman" w:cs="Arial"/>
                <w:szCs w:val="22"/>
              </w:rPr>
              <w:t xml:space="preserve"> mentioned a(3) OFIs related to (a) lack of clarity about segmenting complaint data by student or program type or market, (b) alignment of 6-step complaint management process with TNW/PDCA model, and (c) lack of evidence that complaints are managed to enable recovery of students</w:t>
            </w:r>
            <w:r w:rsidR="005663C4">
              <w:rPr>
                <w:rFonts w:eastAsia="Times New Roman" w:cs="Arial"/>
                <w:szCs w:val="22"/>
              </w:rPr>
              <w:t>’</w:t>
            </w:r>
            <w:r w:rsidR="000A11B9">
              <w:rPr>
                <w:rFonts w:eastAsia="Times New Roman" w:cs="Arial"/>
                <w:szCs w:val="22"/>
              </w:rPr>
              <w:t xml:space="preserve"> and others</w:t>
            </w:r>
            <w:r w:rsidR="005663C4">
              <w:rPr>
                <w:rFonts w:eastAsia="Times New Roman" w:cs="Arial"/>
                <w:szCs w:val="22"/>
              </w:rPr>
              <w:t>’</w:t>
            </w:r>
            <w:r w:rsidR="000A11B9">
              <w:rPr>
                <w:rFonts w:eastAsia="Times New Roman" w:cs="Arial"/>
                <w:szCs w:val="22"/>
              </w:rPr>
              <w:t xml:space="preserve"> confidence, satisfaction, and engagement. </w:t>
            </w:r>
          </w:p>
          <w:p w14:paraId="07145C5F" w14:textId="4781C8C8" w:rsidR="005E22BD" w:rsidRDefault="000A11B9">
            <w:pPr>
              <w:rPr>
                <w:rFonts w:eastAsia="Times New Roman" w:cs="Arial"/>
                <w:szCs w:val="22"/>
              </w:rPr>
            </w:pPr>
            <w:r>
              <w:rPr>
                <w:rFonts w:eastAsia="Times New Roman" w:cs="Arial"/>
                <w:szCs w:val="22"/>
              </w:rPr>
              <w:t xml:space="preserve">I propose the a(3) </w:t>
            </w:r>
            <w:r w:rsidR="00CA577D">
              <w:rPr>
                <w:rFonts w:eastAsia="Times New Roman" w:cs="Arial"/>
                <w:szCs w:val="22"/>
              </w:rPr>
              <w:t>S</w:t>
            </w:r>
            <w:r w:rsidR="00CA577D">
              <w:t>TR</w:t>
            </w:r>
            <w:r>
              <w:rPr>
                <w:rFonts w:eastAsia="Times New Roman" w:cs="Arial"/>
                <w:szCs w:val="22"/>
              </w:rPr>
              <w:t xml:space="preserve">, which reflects benefit of the doubt that tracking and </w:t>
            </w:r>
            <w:r>
              <w:rPr>
                <w:rFonts w:eastAsia="Times New Roman" w:cs="Arial"/>
                <w:szCs w:val="22"/>
              </w:rPr>
              <w:lastRenderedPageBreak/>
              <w:t>trending complaint data includes segmentation by RBM such as that described in 3.1b(1) related to first-year student experience.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32849DB" w14:textId="77777777" w:rsidR="005E22BD" w:rsidRDefault="000A11B9">
            <w:pPr>
              <w:rPr>
                <w:rFonts w:eastAsia="Times New Roman" w:cs="Arial"/>
                <w:szCs w:val="22"/>
              </w:rPr>
            </w:pPr>
            <w:r>
              <w:rPr>
                <w:rFonts w:eastAsia="Times New Roman" w:cs="Arial"/>
                <w:szCs w:val="22"/>
              </w:rPr>
              <w:lastRenderedPageBreak/>
              <w:t>a(3)</w:t>
            </w:r>
          </w:p>
        </w:tc>
      </w:tr>
    </w:tbl>
    <w:p w14:paraId="20A175FB"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9D4C55" w14:paraId="5234580B" w14:textId="77777777" w:rsidTr="009D4C55">
        <w:tc>
          <w:tcPr>
            <w:tcW w:w="10080" w:type="dxa"/>
          </w:tcPr>
          <w:p w14:paraId="002FD515" w14:textId="77777777" w:rsidR="009D4C55" w:rsidRDefault="009D4C55" w:rsidP="009D4C55">
            <w:pPr>
              <w:rPr>
                <w:rFonts w:eastAsia="Times New Roman" w:cs="Arial"/>
                <w:szCs w:val="22"/>
              </w:rPr>
            </w:pPr>
            <w:r>
              <w:rPr>
                <w:rFonts w:eastAsia="Times New Roman" w:cs="Arial"/>
                <w:szCs w:val="22"/>
              </w:rPr>
              <w:t>R2: Deleted a(1) STR to avoid conflict with more actionable/insightful a(1) OFI. Initially, 4 examiners (Ex1, Ex2, Ex5, Ex6) supported the a(1) STR; in R2, 3 examiners (Ex1, Ex4,</w:t>
            </w:r>
            <w:r w:rsidRPr="00350724">
              <w:rPr>
                <w:rFonts w:eastAsia="Times New Roman" w:cs="Arial"/>
                <w:szCs w:val="22"/>
              </w:rPr>
              <w:t xml:space="preserve"> </w:t>
            </w:r>
            <w:r>
              <w:rPr>
                <w:rFonts w:eastAsia="Times New Roman" w:cs="Arial"/>
                <w:szCs w:val="22"/>
              </w:rPr>
              <w:t xml:space="preserve">Ex7) recommended deleting the a(1) STR to heighten the importance of the a(1) OFI. Agreed. </w:t>
            </w:r>
          </w:p>
          <w:p w14:paraId="29E5066D" w14:textId="34B6F889" w:rsidR="009D4C55" w:rsidRDefault="009D4C55" w:rsidP="009D4C55">
            <w:pPr>
              <w:rPr>
                <w:rFonts w:eastAsia="Times New Roman" w:cs="Arial"/>
                <w:szCs w:val="22"/>
              </w:rPr>
            </w:pPr>
            <w:r>
              <w:rPr>
                <w:rFonts w:eastAsia="Times New Roman" w:cs="Arial"/>
                <w:szCs w:val="22"/>
              </w:rPr>
              <w:t xml:space="preserve">The deleted a(1) STR: “The applicant manages relationships with students and other customer groups using a partnership between RBM and internal communications and research units to develop advertising campaigns, manage social media, and maintain a </w:t>
            </w:r>
            <w:r w:rsidR="005663C4">
              <w:rPr>
                <w:rFonts w:eastAsia="Times New Roman" w:cs="Arial"/>
                <w:szCs w:val="22"/>
              </w:rPr>
              <w:t>‘</w:t>
            </w:r>
            <w:r>
              <w:rPr>
                <w:rFonts w:eastAsia="Times New Roman" w:cs="Arial"/>
                <w:szCs w:val="22"/>
              </w:rPr>
              <w:t>students-first</w:t>
            </w:r>
            <w:r w:rsidR="005663C4">
              <w:rPr>
                <w:rFonts w:eastAsia="Times New Roman" w:cs="Arial"/>
                <w:szCs w:val="22"/>
              </w:rPr>
              <w:t>’</w:t>
            </w:r>
            <w:r>
              <w:rPr>
                <w:rFonts w:eastAsia="Times New Roman" w:cs="Arial"/>
                <w:szCs w:val="22"/>
              </w:rPr>
              <w:t xml:space="preserve"> focus on its website, which provides a variety of marketing, social media, and advertising avenues to build and expand the institution</w:t>
            </w:r>
            <w:r w:rsidR="005663C4">
              <w:rPr>
                <w:rFonts w:eastAsia="Times New Roman" w:cs="Arial"/>
                <w:szCs w:val="22"/>
              </w:rPr>
              <w:t>’</w:t>
            </w:r>
            <w:r>
              <w:rPr>
                <w:rFonts w:eastAsia="Times New Roman" w:cs="Arial"/>
                <w:szCs w:val="22"/>
              </w:rPr>
              <w:t>s image. A cycle of refinement resulted in RBM</w:t>
            </w:r>
            <w:r w:rsidR="005663C4">
              <w:rPr>
                <w:rFonts w:eastAsia="Times New Roman" w:cs="Arial"/>
                <w:szCs w:val="22"/>
              </w:rPr>
              <w:t>’</w:t>
            </w:r>
            <w:r>
              <w:rPr>
                <w:rFonts w:eastAsia="Times New Roman" w:cs="Arial"/>
                <w:szCs w:val="22"/>
              </w:rPr>
              <w:t>s development of a Spanish social media platform to enhance STAR students</w:t>
            </w:r>
            <w:r w:rsidR="005663C4">
              <w:rPr>
                <w:rFonts w:eastAsia="Times New Roman" w:cs="Arial"/>
                <w:szCs w:val="22"/>
              </w:rPr>
              <w:t>’</w:t>
            </w:r>
            <w:r>
              <w:rPr>
                <w:rFonts w:eastAsia="Times New Roman" w:cs="Arial"/>
                <w:szCs w:val="22"/>
              </w:rPr>
              <w:t xml:space="preserve"> communication with HS students. The RBM partnership might help the applicant address the strategic challenge of increased competition for students.”</w:t>
            </w:r>
          </w:p>
        </w:tc>
      </w:tr>
    </w:tbl>
    <w:p w14:paraId="135E9BF4"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17"/>
        <w:gridCol w:w="4240"/>
        <w:gridCol w:w="1200"/>
      </w:tblGrid>
      <w:tr w:rsidR="00330C18" w14:paraId="06EA1A9D"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2F91AAF2"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257CE73"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7D97BEA8"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417A2BAB" w14:textId="77777777" w:rsidR="005E22BD" w:rsidRDefault="000A11B9">
            <w:pPr>
              <w:jc w:val="center"/>
              <w:rPr>
                <w:rFonts w:eastAsia="Times New Roman" w:cs="Arial"/>
                <w:b/>
                <w:bCs/>
                <w:szCs w:val="22"/>
              </w:rPr>
            </w:pPr>
            <w:r>
              <w:rPr>
                <w:rFonts w:eastAsia="Times New Roman" w:cs="Arial"/>
                <w:b/>
                <w:bCs/>
                <w:szCs w:val="22"/>
              </w:rPr>
              <w:t>Item Ref.</w:t>
            </w:r>
          </w:p>
        </w:tc>
      </w:tr>
      <w:tr w:rsidR="00330C18" w14:paraId="546D386E"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5E0BA431"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FA6DD9D" w14:textId="60B0F64A"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s processes for determin</w:t>
            </w:r>
            <w:r w:rsidR="008532BC">
              <w:rPr>
                <w:rFonts w:eastAsia="Times New Roman" w:cs="Arial"/>
                <w:szCs w:val="22"/>
              </w:rPr>
              <w:t>ing</w:t>
            </w:r>
            <w:r>
              <w:rPr>
                <w:rFonts w:eastAsia="Times New Roman" w:cs="Arial"/>
                <w:szCs w:val="22"/>
              </w:rPr>
              <w:t xml:space="preserve"> student and other customer satisfaction and engagement</w:t>
            </w:r>
            <w:r w:rsidR="00E329A8">
              <w:rPr>
                <w:rFonts w:eastAsia="Times New Roman" w:cs="Arial"/>
                <w:szCs w:val="22"/>
              </w:rPr>
              <w:t xml:space="preserve"> do not appear to be systematic</w:t>
            </w:r>
            <w:r>
              <w:rPr>
                <w:rFonts w:eastAsia="Times New Roman" w:cs="Arial"/>
                <w:szCs w:val="22"/>
              </w:rPr>
              <w:t>. For example,</w:t>
            </w:r>
            <w:r w:rsidR="00E329A8">
              <w:rPr>
                <w:rFonts w:eastAsia="Times New Roman" w:cs="Arial"/>
                <w:szCs w:val="22"/>
              </w:rPr>
              <w:t xml:space="preserve"> the provision of inputs via</w:t>
            </w:r>
            <w:r>
              <w:rPr>
                <w:rFonts w:eastAsia="Times New Roman" w:cs="Arial"/>
                <w:szCs w:val="22"/>
              </w:rPr>
              <w:t xml:space="preserve"> the VOC methods and RMP</w:t>
            </w:r>
            <w:r w:rsidR="00E329A8">
              <w:rPr>
                <w:rFonts w:eastAsia="Times New Roman" w:cs="Arial"/>
                <w:szCs w:val="22"/>
              </w:rPr>
              <w:t xml:space="preserve"> and the disaggregation of data by RBM do not appear to constitute a systematic approach</w:t>
            </w:r>
            <w:r>
              <w:rPr>
                <w:rFonts w:eastAsia="Times New Roman" w:cs="Arial"/>
                <w:szCs w:val="22"/>
              </w:rPr>
              <w:t>. Further</w:t>
            </w:r>
            <w:r w:rsidR="00CA577D">
              <w:rPr>
                <w:rFonts w:eastAsia="Times New Roman" w:cs="Arial"/>
                <w:szCs w:val="22"/>
              </w:rPr>
              <w:t>more</w:t>
            </w:r>
            <w:r>
              <w:rPr>
                <w:rFonts w:eastAsia="Times New Roman" w:cs="Arial"/>
                <w:szCs w:val="22"/>
              </w:rPr>
              <w:t xml:space="preserve">, the outsourcing </w:t>
            </w:r>
            <w:r w:rsidR="00E329A8">
              <w:rPr>
                <w:rFonts w:eastAsia="Times New Roman" w:cs="Arial"/>
                <w:szCs w:val="22"/>
              </w:rPr>
              <w:t xml:space="preserve">of </w:t>
            </w:r>
            <w:r>
              <w:rPr>
                <w:rFonts w:eastAsia="Times New Roman" w:cs="Arial"/>
                <w:szCs w:val="22"/>
              </w:rPr>
              <w:t xml:space="preserve">key elements to RBM may make it difficult for the applicant to </w:t>
            </w:r>
            <w:r w:rsidR="00E329A8">
              <w:rPr>
                <w:rFonts w:eastAsia="Times New Roman" w:cs="Arial"/>
                <w:szCs w:val="22"/>
              </w:rPr>
              <w:t xml:space="preserve">ensure the repeatability of this </w:t>
            </w:r>
            <w:r w:rsidR="005875B5">
              <w:rPr>
                <w:rFonts w:eastAsia="Times New Roman" w:cs="Arial"/>
                <w:szCs w:val="22"/>
              </w:rPr>
              <w:t>approach</w:t>
            </w:r>
            <w:r>
              <w:rPr>
                <w:rFonts w:eastAsia="Times New Roman" w:cs="Arial"/>
                <w:szCs w:val="22"/>
              </w:rPr>
              <w:t xml:space="preserve"> if the </w:t>
            </w:r>
            <w:r w:rsidR="00C93305">
              <w:rPr>
                <w:rFonts w:eastAsia="Times New Roman" w:cs="Arial"/>
                <w:szCs w:val="22"/>
              </w:rPr>
              <w:t>college</w:t>
            </w:r>
            <w:r>
              <w:rPr>
                <w:rFonts w:eastAsia="Times New Roman" w:cs="Arial"/>
                <w:szCs w:val="22"/>
              </w:rPr>
              <w:t xml:space="preserve"> cho</w:t>
            </w:r>
            <w:r w:rsidR="00C93305">
              <w:rPr>
                <w:rFonts w:eastAsia="Times New Roman" w:cs="Arial"/>
                <w:szCs w:val="22"/>
              </w:rPr>
              <w:t>o</w:t>
            </w:r>
            <w:r>
              <w:rPr>
                <w:rFonts w:eastAsia="Times New Roman" w:cs="Arial"/>
                <w:szCs w:val="22"/>
              </w:rPr>
              <w:t>se</w:t>
            </w:r>
            <w:r w:rsidR="00C93305">
              <w:rPr>
                <w:rFonts w:eastAsia="Times New Roman" w:cs="Arial"/>
                <w:szCs w:val="22"/>
              </w:rPr>
              <w:t>s</w:t>
            </w:r>
            <w:r>
              <w:rPr>
                <w:rFonts w:eastAsia="Times New Roman" w:cs="Arial"/>
                <w:szCs w:val="22"/>
              </w:rPr>
              <w:t xml:space="preserve"> to conduct these activities internally or to use another partner/vendor.</w:t>
            </w:r>
          </w:p>
        </w:tc>
        <w:tc>
          <w:tcPr>
            <w:tcW w:w="0" w:type="auto"/>
            <w:tcBorders>
              <w:bottom w:val="single" w:sz="6" w:space="0" w:color="000000"/>
              <w:right w:val="single" w:sz="6" w:space="0" w:color="000000"/>
            </w:tcBorders>
            <w:tcMar>
              <w:top w:w="75" w:type="dxa"/>
              <w:left w:w="75" w:type="dxa"/>
              <w:bottom w:w="75" w:type="dxa"/>
              <w:right w:w="75" w:type="dxa"/>
            </w:tcMar>
            <w:hideMark/>
          </w:tcPr>
          <w:p w14:paraId="14E214CD" w14:textId="77777777" w:rsidR="008532BC" w:rsidRDefault="00E329A8" w:rsidP="00E329A8">
            <w:pPr>
              <w:rPr>
                <w:rFonts w:eastAsia="Times New Roman" w:cs="Arial"/>
                <w:szCs w:val="22"/>
              </w:rPr>
            </w:pPr>
            <w:r>
              <w:rPr>
                <w:rFonts w:eastAsia="Times New Roman" w:cs="Arial"/>
                <w:szCs w:val="22"/>
              </w:rPr>
              <w:t xml:space="preserve">4 </w:t>
            </w:r>
            <w:r w:rsidR="000A11B9">
              <w:rPr>
                <w:rFonts w:eastAsia="Times New Roman" w:cs="Arial"/>
                <w:szCs w:val="22"/>
              </w:rPr>
              <w:t xml:space="preserve">examiners </w:t>
            </w:r>
            <w:r w:rsidR="009A0B0A">
              <w:rPr>
                <w:rFonts w:eastAsia="Times New Roman" w:cs="Arial"/>
                <w:szCs w:val="22"/>
              </w:rPr>
              <w:t>(</w:t>
            </w:r>
            <w:r w:rsidR="00350724">
              <w:rPr>
                <w:rFonts w:eastAsia="Times New Roman" w:cs="Arial"/>
                <w:szCs w:val="22"/>
              </w:rPr>
              <w:t xml:space="preserve">Ex1, Ex3, </w:t>
            </w:r>
            <w:r w:rsidR="007B4856">
              <w:rPr>
                <w:rFonts w:eastAsia="Times New Roman" w:cs="Arial"/>
                <w:szCs w:val="22"/>
              </w:rPr>
              <w:t>Ex4</w:t>
            </w:r>
            <w:r w:rsidR="000A11B9">
              <w:rPr>
                <w:rFonts w:eastAsia="Times New Roman" w:cs="Arial"/>
                <w:szCs w:val="22"/>
              </w:rPr>
              <w:t xml:space="preserve">, </w:t>
            </w:r>
            <w:r w:rsidR="007B4856">
              <w:rPr>
                <w:rFonts w:eastAsia="Times New Roman" w:cs="Arial"/>
                <w:szCs w:val="22"/>
              </w:rPr>
              <w:t>Ex5</w:t>
            </w:r>
            <w:r w:rsidR="009A0B0A">
              <w:rPr>
                <w:rFonts w:eastAsia="Times New Roman" w:cs="Arial"/>
                <w:szCs w:val="22"/>
              </w:rPr>
              <w:t>)</w:t>
            </w:r>
            <w:r w:rsidR="000A11B9">
              <w:rPr>
                <w:rFonts w:eastAsia="Times New Roman" w:cs="Arial"/>
                <w:szCs w:val="22"/>
              </w:rPr>
              <w:t xml:space="preserve"> noted OFIs for b, b(1), and b(2). </w:t>
            </w:r>
          </w:p>
          <w:p w14:paraId="3F90CCDE" w14:textId="2844D71F" w:rsidR="005E22BD" w:rsidRDefault="00E329A8" w:rsidP="00E329A8">
            <w:pPr>
              <w:rPr>
                <w:rFonts w:eastAsia="Times New Roman" w:cs="Arial"/>
                <w:szCs w:val="22"/>
              </w:rPr>
            </w:pPr>
            <w:r>
              <w:rPr>
                <w:rFonts w:eastAsia="Times New Roman" w:cs="Arial"/>
                <w:szCs w:val="22"/>
              </w:rPr>
              <w:t xml:space="preserve">This </w:t>
            </w:r>
            <w:r w:rsidR="000A11B9">
              <w:rPr>
                <w:rFonts w:eastAsia="Times New Roman" w:cs="Arial"/>
                <w:szCs w:val="22"/>
              </w:rPr>
              <w:t>OFI augments the a(1)</w:t>
            </w:r>
            <w:r w:rsidR="00CA577D">
              <w:rPr>
                <w:rFonts w:eastAsia="Times New Roman" w:cs="Arial"/>
                <w:szCs w:val="22"/>
              </w:rPr>
              <w:t xml:space="preserve"> </w:t>
            </w:r>
            <w:r w:rsidR="000A11B9">
              <w:rPr>
                <w:rFonts w:eastAsia="Times New Roman" w:cs="Arial"/>
                <w:szCs w:val="22"/>
              </w:rPr>
              <w:t>OFI by explicating further the opportunities to improve systematic processes that are key to customer engagement that the institution has delegated to a 3rd-party provider. It is not evident if the relationship with RBM is a shared service agreement with the system as the source or an independent agreement of the applicant, alone, or why the</w:t>
            </w:r>
            <w:r w:rsidR="005E3D0E">
              <w:rPr>
                <w:rFonts w:eastAsia="Times New Roman" w:cs="Arial"/>
                <w:szCs w:val="22"/>
              </w:rPr>
              <w:t xml:space="preserve"> </w:t>
            </w:r>
            <w:r w:rsidR="00CA577D">
              <w:rPr>
                <w:rFonts w:eastAsia="Times New Roman" w:cs="Arial"/>
                <w:szCs w:val="22"/>
              </w:rPr>
              <w:t>applicant</w:t>
            </w:r>
            <w:r w:rsidR="000A11B9">
              <w:rPr>
                <w:rFonts w:eastAsia="Times New Roman" w:cs="Arial"/>
                <w:szCs w:val="22"/>
              </w:rPr>
              <w:t xml:space="preserve"> decided to engage in the partnership to manage customer relations</w:t>
            </w:r>
            <w:r w:rsidR="00CA577D">
              <w:rPr>
                <w:rFonts w:eastAsia="Times New Roman" w:cs="Arial"/>
                <w:szCs w:val="22"/>
              </w:rPr>
              <w:t>hips</w:t>
            </w:r>
            <w:r w:rsidR="000A11B9">
              <w:rPr>
                <w:rFonts w:eastAsia="Times New Roman" w:cs="Arial"/>
                <w:szCs w:val="22"/>
              </w:rPr>
              <w:t>. See 2.1a(4) OFI.</w:t>
            </w:r>
          </w:p>
        </w:tc>
        <w:tc>
          <w:tcPr>
            <w:tcW w:w="0" w:type="auto"/>
            <w:tcBorders>
              <w:bottom w:val="single" w:sz="6" w:space="0" w:color="000000"/>
              <w:right w:val="single" w:sz="6" w:space="0" w:color="000000"/>
            </w:tcBorders>
            <w:tcMar>
              <w:top w:w="75" w:type="dxa"/>
              <w:left w:w="75" w:type="dxa"/>
              <w:bottom w:w="75" w:type="dxa"/>
              <w:right w:w="75" w:type="dxa"/>
            </w:tcMar>
            <w:hideMark/>
          </w:tcPr>
          <w:p w14:paraId="31102BCE" w14:textId="77777777" w:rsidR="005E22BD" w:rsidRDefault="000A11B9">
            <w:pPr>
              <w:rPr>
                <w:rFonts w:eastAsia="Times New Roman" w:cs="Arial"/>
                <w:szCs w:val="22"/>
              </w:rPr>
            </w:pPr>
            <w:r>
              <w:rPr>
                <w:rFonts w:eastAsia="Times New Roman" w:cs="Arial"/>
                <w:szCs w:val="22"/>
              </w:rPr>
              <w:t>b</w:t>
            </w:r>
          </w:p>
        </w:tc>
      </w:tr>
      <w:tr w:rsidR="00330C18" w14:paraId="68FC302D"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D1AAF72"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3C9A04E" w14:textId="5AE65E33" w:rsidR="005E22BD" w:rsidRDefault="008532BC">
            <w:pPr>
              <w:rPr>
                <w:rFonts w:eastAsia="Times New Roman" w:cs="Arial"/>
                <w:szCs w:val="22"/>
              </w:rPr>
            </w:pPr>
            <w:r>
              <w:rPr>
                <w:rFonts w:eastAsia="Times New Roman" w:cs="Arial"/>
                <w:szCs w:val="22"/>
              </w:rPr>
              <w:t>In the applicant</w:t>
            </w:r>
            <w:r w:rsidR="005663C4">
              <w:rPr>
                <w:rFonts w:eastAsia="Times New Roman" w:cs="Arial"/>
                <w:szCs w:val="22"/>
              </w:rPr>
              <w:t>’</w:t>
            </w:r>
            <w:r>
              <w:rPr>
                <w:rFonts w:eastAsia="Times New Roman" w:cs="Arial"/>
                <w:szCs w:val="22"/>
              </w:rPr>
              <w:t xml:space="preserve">s efforts to </w:t>
            </w:r>
            <w:r w:rsidR="000A11B9">
              <w:rPr>
                <w:rFonts w:eastAsia="Times New Roman" w:cs="Arial"/>
                <w:szCs w:val="22"/>
              </w:rPr>
              <w:t>ensure fair treatment for different students</w:t>
            </w:r>
            <w:r w:rsidR="00D17489">
              <w:rPr>
                <w:rFonts w:eastAsia="Times New Roman" w:cs="Arial"/>
                <w:szCs w:val="22"/>
              </w:rPr>
              <w:t xml:space="preserve"> </w:t>
            </w:r>
            <w:r w:rsidR="00D17489">
              <w:t>and</w:t>
            </w:r>
            <w:r w:rsidR="000A11B9">
              <w:rPr>
                <w:rFonts w:eastAsia="Times New Roman" w:cs="Arial"/>
                <w:szCs w:val="22"/>
              </w:rPr>
              <w:t xml:space="preserve"> student groups, alignment </w:t>
            </w:r>
            <w:r w:rsidR="00D46F1E">
              <w:rPr>
                <w:rFonts w:eastAsia="Times New Roman" w:cs="Arial"/>
                <w:szCs w:val="22"/>
              </w:rPr>
              <w:t xml:space="preserve">of the </w:t>
            </w:r>
            <w:r w:rsidR="000A11B9" w:rsidRPr="00D17489">
              <w:rPr>
                <w:rFonts w:eastAsia="Times New Roman" w:cs="Arial"/>
                <w:szCs w:val="22"/>
              </w:rPr>
              <w:t>Walk-It-Right</w:t>
            </w:r>
            <w:r w:rsidR="000A11B9">
              <w:rPr>
                <w:rFonts w:eastAsia="Times New Roman" w:cs="Arial"/>
                <w:szCs w:val="22"/>
              </w:rPr>
              <w:t xml:space="preserve"> </w:t>
            </w:r>
            <w:r w:rsidR="00D46F1E">
              <w:rPr>
                <w:rFonts w:eastAsia="Times New Roman" w:cs="Arial"/>
                <w:szCs w:val="22"/>
              </w:rPr>
              <w:t>ethics program</w:t>
            </w:r>
            <w:r w:rsidR="000A11B9">
              <w:rPr>
                <w:rFonts w:eastAsia="Times New Roman" w:cs="Arial"/>
                <w:szCs w:val="22"/>
              </w:rPr>
              <w:t xml:space="preserve"> to </w:t>
            </w:r>
            <w:r w:rsidR="00D46F1E">
              <w:rPr>
                <w:rFonts w:eastAsia="Times New Roman" w:cs="Arial"/>
                <w:szCs w:val="22"/>
              </w:rPr>
              <w:t xml:space="preserve">the </w:t>
            </w:r>
            <w:r w:rsidR="000A11B9">
              <w:rPr>
                <w:rFonts w:eastAsia="Times New Roman" w:cs="Arial"/>
                <w:szCs w:val="22"/>
              </w:rPr>
              <w:t>Just Culture</w:t>
            </w:r>
            <w:r w:rsidR="00D46F1E">
              <w:rPr>
                <w:rFonts w:eastAsia="Times New Roman" w:cs="Arial"/>
                <w:szCs w:val="22"/>
              </w:rPr>
              <w:t xml:space="preserve"> guidelines is not evident</w:t>
            </w:r>
            <w:r w:rsidR="000A11B9">
              <w:rPr>
                <w:rFonts w:eastAsia="Times New Roman" w:cs="Arial"/>
                <w:szCs w:val="22"/>
              </w:rPr>
              <w:t xml:space="preserve">; that is, compliance with federal/state equal opportunity and antidiscrimination laws </w:t>
            </w:r>
            <w:r w:rsidR="00D46F1E">
              <w:rPr>
                <w:rFonts w:eastAsia="Times New Roman" w:cs="Arial"/>
                <w:szCs w:val="22"/>
              </w:rPr>
              <w:t xml:space="preserve">does not appear to </w:t>
            </w:r>
            <w:r w:rsidR="000A11B9">
              <w:rPr>
                <w:rFonts w:eastAsia="Times New Roman" w:cs="Arial"/>
                <w:szCs w:val="22"/>
              </w:rPr>
              <w:t>align with Just Culture and Walk-It-Righ</w:t>
            </w:r>
            <w:r w:rsidR="00D46F1E">
              <w:rPr>
                <w:rFonts w:eastAsia="Times New Roman" w:cs="Arial"/>
                <w:szCs w:val="22"/>
              </w:rPr>
              <w:t>t</w:t>
            </w:r>
            <w:r w:rsidR="000A11B9">
              <w:rPr>
                <w:rFonts w:eastAsia="Times New Roman" w:cs="Arial"/>
                <w:szCs w:val="22"/>
              </w:rPr>
              <w:t xml:space="preserve">. </w:t>
            </w:r>
            <w:r>
              <w:rPr>
                <w:rFonts w:eastAsia="Times New Roman" w:cs="Arial"/>
                <w:szCs w:val="22"/>
              </w:rPr>
              <w:t xml:space="preserve">Such alignment may </w:t>
            </w:r>
            <w:r w:rsidR="000A11B9">
              <w:rPr>
                <w:rFonts w:eastAsia="Times New Roman" w:cs="Arial"/>
                <w:szCs w:val="22"/>
              </w:rPr>
              <w:t xml:space="preserve">help ensure </w:t>
            </w:r>
            <w:r w:rsidR="00D46F1E">
              <w:rPr>
                <w:rFonts w:eastAsia="Times New Roman" w:cs="Arial"/>
                <w:szCs w:val="22"/>
              </w:rPr>
              <w:t xml:space="preserve">that the applicant can </w:t>
            </w:r>
            <w:r w:rsidR="000A11B9">
              <w:rPr>
                <w:rFonts w:eastAsia="Times New Roman" w:cs="Arial"/>
                <w:szCs w:val="22"/>
              </w:rPr>
              <w:t>provide exceptional support services</w:t>
            </w:r>
            <w:r w:rsidR="00D17489">
              <w:rPr>
                <w:rFonts w:eastAsia="Times New Roman" w:cs="Arial"/>
                <w:szCs w:val="22"/>
              </w:rPr>
              <w:t xml:space="preserve"> </w:t>
            </w:r>
            <w:r w:rsidR="00D17489">
              <w:t>for all students</w:t>
            </w:r>
            <w:r w:rsidR="000A11B9">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C10C002" w14:textId="61B73995" w:rsidR="00B24163" w:rsidRDefault="000A11B9">
            <w:pPr>
              <w:rPr>
                <w:rFonts w:eastAsia="Times New Roman" w:cs="Arial"/>
                <w:szCs w:val="22"/>
              </w:rPr>
            </w:pPr>
            <w:r>
              <w:rPr>
                <w:rFonts w:eastAsia="Times New Roman" w:cs="Arial"/>
                <w:szCs w:val="22"/>
              </w:rPr>
              <w:t xml:space="preserve">Five examiners </w:t>
            </w:r>
            <w:r w:rsidR="009A0B0A">
              <w:rPr>
                <w:rFonts w:eastAsia="Times New Roman" w:cs="Arial"/>
                <w:szCs w:val="22"/>
              </w:rPr>
              <w:t>(</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sidR="009A0B0A">
              <w:rPr>
                <w:rFonts w:eastAsia="Times New Roman" w:cs="Arial"/>
                <w:szCs w:val="22"/>
              </w:rPr>
              <w:t>)</w:t>
            </w:r>
            <w:r>
              <w:rPr>
                <w:rFonts w:eastAsia="Times New Roman" w:cs="Arial"/>
                <w:szCs w:val="22"/>
              </w:rPr>
              <w:t xml:space="preserve"> noted this </w:t>
            </w:r>
            <w:r w:rsidR="009C69C0">
              <w:rPr>
                <w:rFonts w:eastAsia="Times New Roman" w:cs="Arial"/>
                <w:szCs w:val="22"/>
              </w:rPr>
              <w:t>a</w:t>
            </w:r>
            <w:r>
              <w:rPr>
                <w:rFonts w:eastAsia="Times New Roman" w:cs="Arial"/>
                <w:szCs w:val="22"/>
              </w:rPr>
              <w:t xml:space="preserve">(4) OFI. There were no proposed </w:t>
            </w:r>
            <w:r w:rsidR="009C69C0">
              <w:rPr>
                <w:rFonts w:eastAsia="Times New Roman" w:cs="Arial"/>
                <w:szCs w:val="22"/>
              </w:rPr>
              <w:t>a</w:t>
            </w:r>
            <w:r>
              <w:rPr>
                <w:rFonts w:eastAsia="Times New Roman" w:cs="Arial"/>
                <w:szCs w:val="22"/>
              </w:rPr>
              <w:t xml:space="preserve">(4) </w:t>
            </w:r>
            <w:r w:rsidR="008532BC">
              <w:rPr>
                <w:rFonts w:eastAsia="Times New Roman" w:cs="Arial"/>
                <w:szCs w:val="22"/>
              </w:rPr>
              <w:t xml:space="preserve">strength </w:t>
            </w:r>
            <w:r>
              <w:rPr>
                <w:rFonts w:eastAsia="Times New Roman" w:cs="Arial"/>
                <w:szCs w:val="22"/>
              </w:rPr>
              <w:t>comments. As drafted, the focus is on lack of alignment with the applicant</w:t>
            </w:r>
            <w:r w:rsidR="005663C4">
              <w:rPr>
                <w:rFonts w:eastAsia="Times New Roman" w:cs="Arial"/>
                <w:szCs w:val="22"/>
              </w:rPr>
              <w:t>’</w:t>
            </w:r>
            <w:r>
              <w:rPr>
                <w:rFonts w:eastAsia="Times New Roman" w:cs="Arial"/>
                <w:szCs w:val="22"/>
              </w:rPr>
              <w:t xml:space="preserve">s Walk-It-Right approach to Just Culture described in 1.2b(2), with results reported in 7.4-12. </w:t>
            </w:r>
          </w:p>
          <w:p w14:paraId="6917756C" w14:textId="367B170B" w:rsidR="005E22BD" w:rsidRDefault="000A11B9">
            <w:pPr>
              <w:rPr>
                <w:rFonts w:eastAsia="Times New Roman" w:cs="Arial"/>
                <w:szCs w:val="22"/>
              </w:rPr>
            </w:pPr>
            <w:r>
              <w:rPr>
                <w:rFonts w:eastAsia="Times New Roman" w:cs="Arial"/>
                <w:szCs w:val="22"/>
              </w:rPr>
              <w:t>R1: Backup noted opportunity to incorporate one examiner</w:t>
            </w:r>
            <w:r w:rsidR="005663C4">
              <w:rPr>
                <w:rFonts w:eastAsia="Times New Roman" w:cs="Arial"/>
                <w:szCs w:val="22"/>
              </w:rPr>
              <w:t>’</w:t>
            </w:r>
            <w:r>
              <w:rPr>
                <w:rFonts w:eastAsia="Times New Roman" w:cs="Arial"/>
                <w:szCs w:val="22"/>
              </w:rPr>
              <w:t xml:space="preserve">s </w:t>
            </w:r>
            <w:r w:rsidR="009A0B0A">
              <w:rPr>
                <w:rFonts w:eastAsia="Times New Roman" w:cs="Arial"/>
                <w:szCs w:val="22"/>
              </w:rPr>
              <w:t>(</w:t>
            </w:r>
            <w:r w:rsidR="007B4856">
              <w:rPr>
                <w:rFonts w:eastAsia="Times New Roman" w:cs="Arial"/>
                <w:szCs w:val="22"/>
              </w:rPr>
              <w:t>Ex1</w:t>
            </w:r>
            <w:r w:rsidR="009A0B0A">
              <w:rPr>
                <w:rFonts w:eastAsia="Times New Roman" w:cs="Arial"/>
                <w:szCs w:val="22"/>
              </w:rPr>
              <w:t>)</w:t>
            </w:r>
            <w:r>
              <w:rPr>
                <w:rFonts w:eastAsia="Times New Roman" w:cs="Arial"/>
                <w:szCs w:val="22"/>
              </w:rPr>
              <w:t xml:space="preserve"> relevance statement related to the core competency of ensuring the institution</w:t>
            </w:r>
            <w:r w:rsidR="005663C4">
              <w:rPr>
                <w:rFonts w:eastAsia="Times New Roman" w:cs="Arial"/>
                <w:szCs w:val="22"/>
              </w:rPr>
              <w:t>’</w:t>
            </w:r>
            <w:r>
              <w:rPr>
                <w:rFonts w:eastAsia="Times New Roman" w:cs="Arial"/>
                <w:szCs w:val="22"/>
              </w:rPr>
              <w:t>s ability to provide exceptional support services for all students. Great idea!</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400AD11" w14:textId="77777777" w:rsidR="005E22BD" w:rsidRDefault="000A11B9">
            <w:pPr>
              <w:rPr>
                <w:rFonts w:eastAsia="Times New Roman" w:cs="Arial"/>
                <w:szCs w:val="22"/>
              </w:rPr>
            </w:pPr>
            <w:r>
              <w:rPr>
                <w:rFonts w:eastAsia="Times New Roman" w:cs="Arial"/>
                <w:szCs w:val="22"/>
              </w:rPr>
              <w:t>a(4)</w:t>
            </w:r>
          </w:p>
        </w:tc>
      </w:tr>
      <w:tr w:rsidR="00330C18" w14:paraId="26C97C3C"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2DD127BC"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BEE14AA" w14:textId="1018D02E" w:rsidR="005E22BD" w:rsidRDefault="000A11B9">
            <w:pPr>
              <w:rPr>
                <w:rFonts w:eastAsia="Times New Roman" w:cs="Arial"/>
                <w:szCs w:val="22"/>
              </w:rPr>
            </w:pPr>
            <w:r>
              <w:rPr>
                <w:rFonts w:eastAsia="Times New Roman" w:cs="Arial"/>
                <w:szCs w:val="22"/>
              </w:rPr>
              <w:t>It is unclear how</w:t>
            </w:r>
            <w:r w:rsidR="00330C18">
              <w:rPr>
                <w:rFonts w:eastAsia="Times New Roman" w:cs="Arial"/>
                <w:szCs w:val="22"/>
              </w:rPr>
              <w:t xml:space="preserve"> the RMP (Figure 3.1-2) systematically ensures that</w:t>
            </w:r>
            <w:r>
              <w:rPr>
                <w:rFonts w:eastAsia="Times New Roman" w:cs="Arial"/>
                <w:szCs w:val="22"/>
              </w:rPr>
              <w:t xml:space="preserve"> key means of student support vary for different student groups or segments</w:t>
            </w:r>
            <w:r w:rsidR="00330C18">
              <w:rPr>
                <w:rFonts w:eastAsia="Times New Roman" w:cs="Arial"/>
                <w:szCs w:val="22"/>
              </w:rPr>
              <w:t>; nor are</w:t>
            </w:r>
            <w:r>
              <w:rPr>
                <w:rFonts w:eastAsia="Times New Roman" w:cs="Arial"/>
                <w:szCs w:val="22"/>
              </w:rPr>
              <w:t xml:space="preserve"> cycles of learning and improvement</w:t>
            </w:r>
            <w:r w:rsidR="00330C18">
              <w:rPr>
                <w:rFonts w:eastAsia="Times New Roman" w:cs="Arial"/>
                <w:szCs w:val="22"/>
              </w:rPr>
              <w:t xml:space="preserve"> evident for this process</w:t>
            </w:r>
            <w:r>
              <w:rPr>
                <w:rFonts w:eastAsia="Times New Roman" w:cs="Arial"/>
                <w:szCs w:val="22"/>
              </w:rPr>
              <w:t>. A systematic process</w:t>
            </w:r>
            <w:r w:rsidR="00330C18">
              <w:rPr>
                <w:rFonts w:eastAsia="Times New Roman" w:cs="Arial"/>
                <w:szCs w:val="22"/>
              </w:rPr>
              <w:t>, along with evaluation and improvement,</w:t>
            </w:r>
            <w:r w:rsidR="00330C18" w:rsidDel="00330C18">
              <w:rPr>
                <w:rFonts w:eastAsia="Times New Roman" w:cs="Arial"/>
                <w:szCs w:val="22"/>
              </w:rPr>
              <w:t xml:space="preserve"> </w:t>
            </w:r>
            <w:r>
              <w:rPr>
                <w:rFonts w:eastAsia="Times New Roman" w:cs="Arial"/>
                <w:szCs w:val="22"/>
              </w:rPr>
              <w:t>may reinforce the applicant</w:t>
            </w:r>
            <w:r w:rsidR="005663C4">
              <w:rPr>
                <w:rFonts w:eastAsia="Times New Roman" w:cs="Arial"/>
                <w:szCs w:val="22"/>
              </w:rPr>
              <w:t>’</w:t>
            </w:r>
            <w:r>
              <w:rPr>
                <w:rFonts w:eastAsia="Times New Roman" w:cs="Arial"/>
                <w:szCs w:val="22"/>
              </w:rPr>
              <w:t xml:space="preserve">s core competency </w:t>
            </w:r>
            <w:r w:rsidR="00330C18">
              <w:rPr>
                <w:rFonts w:eastAsia="Times New Roman" w:cs="Arial"/>
                <w:szCs w:val="22"/>
              </w:rPr>
              <w:t xml:space="preserve">in </w:t>
            </w:r>
            <w:r>
              <w:rPr>
                <w:rFonts w:eastAsia="Times New Roman" w:cs="Arial"/>
                <w:szCs w:val="22"/>
              </w:rPr>
              <w:t>provid</w:t>
            </w:r>
            <w:r w:rsidR="00330C18">
              <w:rPr>
                <w:rFonts w:eastAsia="Times New Roman" w:cs="Arial"/>
                <w:szCs w:val="22"/>
              </w:rPr>
              <w:t>ing</w:t>
            </w:r>
            <w:r>
              <w:rPr>
                <w:rFonts w:eastAsia="Times New Roman" w:cs="Arial"/>
                <w:szCs w:val="22"/>
              </w:rPr>
              <w:t xml:space="preserve"> exceptional student support services.</w:t>
            </w:r>
          </w:p>
        </w:tc>
        <w:tc>
          <w:tcPr>
            <w:tcW w:w="0" w:type="auto"/>
            <w:tcBorders>
              <w:bottom w:val="single" w:sz="6" w:space="0" w:color="000000"/>
              <w:right w:val="single" w:sz="6" w:space="0" w:color="000000"/>
            </w:tcBorders>
            <w:tcMar>
              <w:top w:w="75" w:type="dxa"/>
              <w:left w:w="75" w:type="dxa"/>
              <w:bottom w:w="75" w:type="dxa"/>
              <w:right w:w="75" w:type="dxa"/>
            </w:tcMar>
            <w:hideMark/>
          </w:tcPr>
          <w:p w14:paraId="33650777" w14:textId="45DC32A7" w:rsidR="00330C18" w:rsidRDefault="00330C18">
            <w:pPr>
              <w:rPr>
                <w:rFonts w:eastAsia="Times New Roman" w:cs="Arial"/>
                <w:szCs w:val="22"/>
              </w:rPr>
            </w:pPr>
            <w:r>
              <w:rPr>
                <w:rFonts w:eastAsia="Times New Roman" w:cs="Arial"/>
                <w:szCs w:val="22"/>
              </w:rPr>
              <w:t>5</w:t>
            </w:r>
            <w:r w:rsidR="000A11B9">
              <w:rPr>
                <w:rFonts w:eastAsia="Times New Roman" w:cs="Arial"/>
                <w:szCs w:val="22"/>
              </w:rPr>
              <w:t xml:space="preserve"> examiners </w:t>
            </w:r>
            <w:r w:rsidR="009A0B0A">
              <w:rPr>
                <w:rFonts w:eastAsia="Times New Roman" w:cs="Arial"/>
                <w:szCs w:val="22"/>
              </w:rPr>
              <w:t>(</w:t>
            </w:r>
            <w:r w:rsidR="007B4856">
              <w:rPr>
                <w:rFonts w:eastAsia="Times New Roman" w:cs="Arial"/>
                <w:szCs w:val="22"/>
              </w:rPr>
              <w:t>Ex1</w:t>
            </w:r>
            <w:r w:rsidR="000A11B9">
              <w:rPr>
                <w:rFonts w:eastAsia="Times New Roman" w:cs="Arial"/>
                <w:szCs w:val="22"/>
              </w:rPr>
              <w:t xml:space="preserve">, </w:t>
            </w:r>
            <w:r w:rsidR="007B4856">
              <w:rPr>
                <w:rFonts w:eastAsia="Times New Roman" w:cs="Arial"/>
                <w:szCs w:val="22"/>
              </w:rPr>
              <w:t>Ex4</w:t>
            </w:r>
            <w:r w:rsidR="000A11B9">
              <w:rPr>
                <w:rFonts w:eastAsia="Times New Roman" w:cs="Arial"/>
                <w:szCs w:val="22"/>
              </w:rPr>
              <w:t xml:space="preserve">, </w:t>
            </w:r>
            <w:r w:rsidR="007B4856">
              <w:rPr>
                <w:rFonts w:eastAsia="Times New Roman" w:cs="Arial"/>
                <w:szCs w:val="22"/>
              </w:rPr>
              <w:t>Ex5</w:t>
            </w:r>
            <w:r w:rsidR="000A11B9">
              <w:rPr>
                <w:rFonts w:eastAsia="Times New Roman" w:cs="Arial"/>
                <w:szCs w:val="22"/>
              </w:rPr>
              <w:t xml:space="preserve">, </w:t>
            </w:r>
            <w:r w:rsidR="007B4856">
              <w:rPr>
                <w:rFonts w:eastAsia="Times New Roman" w:cs="Arial"/>
                <w:szCs w:val="22"/>
              </w:rPr>
              <w:t>Ex6</w:t>
            </w:r>
            <w:r w:rsidR="00350724">
              <w:rPr>
                <w:rFonts w:eastAsia="Times New Roman" w:cs="Arial"/>
                <w:szCs w:val="22"/>
              </w:rPr>
              <w:t>, Ex7</w:t>
            </w:r>
            <w:r w:rsidR="009A0B0A">
              <w:rPr>
                <w:rFonts w:eastAsia="Times New Roman" w:cs="Arial"/>
                <w:szCs w:val="22"/>
              </w:rPr>
              <w:t>)</w:t>
            </w:r>
            <w:r w:rsidR="000A11B9">
              <w:rPr>
                <w:rFonts w:eastAsia="Times New Roman" w:cs="Arial"/>
                <w:szCs w:val="22"/>
              </w:rPr>
              <w:t xml:space="preserve"> noted </w:t>
            </w:r>
            <w:r>
              <w:rPr>
                <w:rFonts w:eastAsia="Times New Roman" w:cs="Arial"/>
                <w:szCs w:val="22"/>
              </w:rPr>
              <w:t>multiple</w:t>
            </w:r>
            <w:r w:rsidR="000A11B9">
              <w:rPr>
                <w:rFonts w:eastAsia="Times New Roman" w:cs="Arial"/>
                <w:szCs w:val="22"/>
              </w:rPr>
              <w:t xml:space="preserve">-level OFIs, which I tried to integrate into this proposed a(2) OFI. </w:t>
            </w:r>
            <w:r>
              <w:rPr>
                <w:rFonts w:eastAsia="Times New Roman" w:cs="Arial"/>
                <w:szCs w:val="22"/>
              </w:rPr>
              <w:t>4</w:t>
            </w:r>
            <w:r w:rsidR="000A11B9">
              <w:rPr>
                <w:rFonts w:eastAsia="Times New Roman" w:cs="Arial"/>
                <w:szCs w:val="22"/>
              </w:rPr>
              <w:t xml:space="preserve"> examiners </w:t>
            </w:r>
            <w:r w:rsidR="009A0B0A">
              <w:rPr>
                <w:rFonts w:eastAsia="Times New Roman" w:cs="Arial"/>
                <w:szCs w:val="22"/>
              </w:rPr>
              <w:t>(</w:t>
            </w:r>
            <w:r w:rsidR="007B4856">
              <w:rPr>
                <w:rFonts w:eastAsia="Times New Roman" w:cs="Arial"/>
                <w:szCs w:val="22"/>
              </w:rPr>
              <w:t>Ex2</w:t>
            </w:r>
            <w:r w:rsidR="000A11B9">
              <w:rPr>
                <w:rFonts w:eastAsia="Times New Roman" w:cs="Arial"/>
                <w:szCs w:val="22"/>
              </w:rPr>
              <w:t xml:space="preserve">, </w:t>
            </w:r>
            <w:r w:rsidR="007B4856">
              <w:rPr>
                <w:rFonts w:eastAsia="Times New Roman" w:cs="Arial"/>
                <w:szCs w:val="22"/>
              </w:rPr>
              <w:t>Ex3</w:t>
            </w:r>
            <w:r w:rsidR="000A11B9">
              <w:rPr>
                <w:rFonts w:eastAsia="Times New Roman" w:cs="Arial"/>
                <w:szCs w:val="22"/>
              </w:rPr>
              <w:t xml:space="preserve">, </w:t>
            </w:r>
            <w:r w:rsidR="007B4856">
              <w:rPr>
                <w:rFonts w:eastAsia="Times New Roman" w:cs="Arial"/>
                <w:szCs w:val="22"/>
              </w:rPr>
              <w:t>Ex5</w:t>
            </w:r>
            <w:r w:rsidR="000A11B9">
              <w:rPr>
                <w:rFonts w:eastAsia="Times New Roman" w:cs="Arial"/>
                <w:szCs w:val="22"/>
              </w:rPr>
              <w:t xml:space="preserve">, </w:t>
            </w:r>
            <w:r w:rsidR="007B4856">
              <w:rPr>
                <w:rFonts w:eastAsia="Times New Roman" w:cs="Arial"/>
                <w:szCs w:val="22"/>
              </w:rPr>
              <w:t>Ex6</w:t>
            </w:r>
            <w:r w:rsidR="009A0B0A">
              <w:rPr>
                <w:rFonts w:eastAsia="Times New Roman" w:cs="Arial"/>
                <w:szCs w:val="22"/>
              </w:rPr>
              <w:t>)</w:t>
            </w:r>
            <w:r w:rsidR="000A11B9">
              <w:rPr>
                <w:rFonts w:eastAsia="Times New Roman" w:cs="Arial"/>
                <w:szCs w:val="22"/>
              </w:rPr>
              <w:t xml:space="preserve"> mentioned a(2) </w:t>
            </w:r>
            <w:r>
              <w:rPr>
                <w:rFonts w:eastAsia="Times New Roman" w:cs="Arial"/>
                <w:szCs w:val="22"/>
              </w:rPr>
              <w:t>overall</w:t>
            </w:r>
            <w:r w:rsidR="000A11B9">
              <w:rPr>
                <w:rFonts w:eastAsia="Times New Roman" w:cs="Arial"/>
                <w:szCs w:val="22"/>
              </w:rPr>
              <w:t>-level S</w:t>
            </w:r>
            <w:r>
              <w:rPr>
                <w:rFonts w:eastAsia="Times New Roman" w:cs="Arial"/>
                <w:szCs w:val="22"/>
              </w:rPr>
              <w:t>TR</w:t>
            </w:r>
            <w:r w:rsidR="000A11B9">
              <w:rPr>
                <w:rFonts w:eastAsia="Times New Roman" w:cs="Arial"/>
                <w:szCs w:val="22"/>
              </w:rPr>
              <w:t xml:space="preserve"> comments. </w:t>
            </w:r>
          </w:p>
          <w:p w14:paraId="2A7D6F03" w14:textId="22F73C1F" w:rsidR="00330C18" w:rsidRDefault="000A11B9">
            <w:pPr>
              <w:rPr>
                <w:rFonts w:eastAsia="Times New Roman" w:cs="Arial"/>
                <w:szCs w:val="22"/>
              </w:rPr>
            </w:pPr>
            <w:r>
              <w:rPr>
                <w:rFonts w:eastAsia="Times New Roman" w:cs="Arial"/>
                <w:szCs w:val="22"/>
              </w:rPr>
              <w:t xml:space="preserve">Here is an </w:t>
            </w:r>
            <w:r w:rsidR="00330C18">
              <w:rPr>
                <w:rFonts w:eastAsia="Times New Roman" w:cs="Arial"/>
                <w:szCs w:val="22"/>
              </w:rPr>
              <w:t>overall</w:t>
            </w:r>
            <w:r>
              <w:rPr>
                <w:rFonts w:eastAsia="Times New Roman" w:cs="Arial"/>
                <w:szCs w:val="22"/>
              </w:rPr>
              <w:t xml:space="preserve"> a(2) S</w:t>
            </w:r>
            <w:r w:rsidR="00330C18">
              <w:rPr>
                <w:rFonts w:eastAsia="Times New Roman" w:cs="Arial"/>
                <w:szCs w:val="22"/>
              </w:rPr>
              <w:t>TR</w:t>
            </w:r>
            <w:r>
              <w:rPr>
                <w:rFonts w:eastAsia="Times New Roman" w:cs="Arial"/>
                <w:szCs w:val="22"/>
              </w:rPr>
              <w:t xml:space="preserve">, if preferred to the OFI. I do not recommend including an </w:t>
            </w:r>
            <w:r w:rsidR="00330C18">
              <w:rPr>
                <w:rFonts w:eastAsia="Times New Roman" w:cs="Arial"/>
                <w:szCs w:val="22"/>
              </w:rPr>
              <w:t>overall</w:t>
            </w:r>
            <w:r>
              <w:rPr>
                <w:rFonts w:eastAsia="Times New Roman" w:cs="Arial"/>
                <w:szCs w:val="22"/>
              </w:rPr>
              <w:t xml:space="preserve"> a(2) S</w:t>
            </w:r>
            <w:r w:rsidR="00330C18">
              <w:rPr>
                <w:rFonts w:eastAsia="Times New Roman" w:cs="Arial"/>
                <w:szCs w:val="22"/>
              </w:rPr>
              <w:t>TR</w:t>
            </w:r>
            <w:r>
              <w:rPr>
                <w:rFonts w:eastAsia="Times New Roman" w:cs="Arial"/>
                <w:szCs w:val="22"/>
              </w:rPr>
              <w:t xml:space="preserve"> and a </w:t>
            </w:r>
            <w:r w:rsidR="00330C18">
              <w:rPr>
                <w:rFonts w:eastAsia="Times New Roman" w:cs="Arial"/>
                <w:szCs w:val="22"/>
              </w:rPr>
              <w:t>multiple</w:t>
            </w:r>
            <w:r>
              <w:rPr>
                <w:rFonts w:eastAsia="Times New Roman" w:cs="Arial"/>
                <w:szCs w:val="22"/>
              </w:rPr>
              <w:t xml:space="preserve"> a(2) OFI</w:t>
            </w:r>
            <w:r w:rsidR="00FD460C">
              <w:rPr>
                <w:rFonts w:eastAsia="Times New Roman" w:cs="Arial"/>
                <w:szCs w:val="22"/>
              </w:rPr>
              <w:t>—</w:t>
            </w:r>
            <w:r>
              <w:rPr>
                <w:rFonts w:eastAsia="Times New Roman" w:cs="Arial"/>
                <w:szCs w:val="22"/>
              </w:rPr>
              <w:t>the OFI adds more value to the applicant</w:t>
            </w:r>
            <w:r w:rsidR="005663C4">
              <w:rPr>
                <w:rFonts w:eastAsia="Times New Roman" w:cs="Arial"/>
                <w:szCs w:val="22"/>
              </w:rPr>
              <w:t>’</w:t>
            </w:r>
            <w:r>
              <w:rPr>
                <w:rFonts w:eastAsia="Times New Roman" w:cs="Arial"/>
                <w:szCs w:val="22"/>
              </w:rPr>
              <w:t>s opportunities to improve</w:t>
            </w:r>
            <w:r w:rsidR="00330C18">
              <w:rPr>
                <w:rFonts w:eastAsia="Times New Roman" w:cs="Arial"/>
                <w:szCs w:val="22"/>
              </w:rPr>
              <w:t>:</w:t>
            </w:r>
          </w:p>
          <w:p w14:paraId="079B8E89" w14:textId="5F7947D8" w:rsidR="005E22BD" w:rsidRDefault="00330C18">
            <w:pPr>
              <w:rPr>
                <w:rFonts w:eastAsia="Times New Roman" w:cs="Arial"/>
                <w:szCs w:val="22"/>
              </w:rPr>
            </w:pPr>
            <w:r>
              <w:rPr>
                <w:rFonts w:eastAsia="Times New Roman" w:cs="Arial"/>
                <w:szCs w:val="22"/>
              </w:rPr>
              <w:t>“</w:t>
            </w:r>
            <w:r w:rsidR="000A11B9">
              <w:rPr>
                <w:rFonts w:eastAsia="Times New Roman" w:cs="Arial"/>
                <w:szCs w:val="22"/>
              </w:rPr>
              <w:t xml:space="preserve">The applicant uses multiple methods to enable students and other customers to seek information and support and access services and programs. These methods include the website; information sessions; face-to-face and virtual advising; social media; radio/tv, campus flyers, and other publications; self-service registration, bill payment, and financial aid processing; online access to LMS via the STAR program; Smyle poll reports; and more. These methods may enable the </w:t>
            </w:r>
            <w:r w:rsidR="00C74F71">
              <w:rPr>
                <w:rFonts w:eastAsia="Times New Roman" w:cs="Arial"/>
                <w:szCs w:val="22"/>
              </w:rPr>
              <w:t>applicant</w:t>
            </w:r>
            <w:r w:rsidR="000A11B9">
              <w:rPr>
                <w:rFonts w:eastAsia="Times New Roman" w:cs="Arial"/>
                <w:szCs w:val="22"/>
              </w:rPr>
              <w:t xml:space="preserve"> to enhance its core competency of providing exceptional student support services.</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75B7C9E6" w14:textId="77777777" w:rsidR="005E22BD" w:rsidRDefault="000A11B9">
            <w:pPr>
              <w:rPr>
                <w:rFonts w:eastAsia="Times New Roman" w:cs="Arial"/>
                <w:szCs w:val="22"/>
              </w:rPr>
            </w:pPr>
            <w:r>
              <w:rPr>
                <w:rFonts w:eastAsia="Times New Roman" w:cs="Arial"/>
                <w:szCs w:val="22"/>
              </w:rPr>
              <w:t>a(2)</w:t>
            </w:r>
          </w:p>
        </w:tc>
      </w:tr>
      <w:tr w:rsidR="00330C18" w14:paraId="50931843"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AAFD10E"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5F3D5F5" w14:textId="298D9A74" w:rsidR="007E7863" w:rsidRDefault="007E7863">
            <w:pPr>
              <w:rPr>
                <w:rFonts w:eastAsia="Times New Roman" w:cs="Arial"/>
                <w:szCs w:val="22"/>
              </w:rPr>
            </w:pPr>
            <w:r>
              <w:rPr>
                <w:rFonts w:eastAsia="Times New Roman" w:cs="Arial"/>
                <w:szCs w:val="22"/>
              </w:rPr>
              <w:t>It is not clear how the applicant builds and manages student and other customer relationships through its RBM partner; the processes managed by RBM are not described</w:t>
            </w:r>
            <w:r w:rsidR="00C119F1">
              <w:rPr>
                <w:rFonts w:eastAsia="Times New Roman" w:cs="Arial"/>
                <w:szCs w:val="22"/>
              </w:rPr>
              <w:t>, and it is unclear how the applicant evaluates and improves them</w:t>
            </w:r>
            <w:r>
              <w:rPr>
                <w:rFonts w:eastAsia="Times New Roman" w:cs="Arial"/>
                <w:szCs w:val="22"/>
              </w:rPr>
              <w:t>. Without well-ordered, repeatable processes that are accessible to the applicant, the applicant</w:t>
            </w:r>
            <w:r w:rsidR="005663C4">
              <w:rPr>
                <w:rFonts w:eastAsia="Times New Roman" w:cs="Arial"/>
                <w:szCs w:val="22"/>
              </w:rPr>
              <w:t>’</w:t>
            </w:r>
            <w:r w:rsidR="00C119F1">
              <w:rPr>
                <w:rFonts w:eastAsia="Times New Roman" w:cs="Arial"/>
                <w:szCs w:val="22"/>
              </w:rPr>
              <w:t>s</w:t>
            </w:r>
            <w:r>
              <w:rPr>
                <w:rFonts w:eastAsia="Times New Roman" w:cs="Arial"/>
                <w:szCs w:val="22"/>
              </w:rPr>
              <w:t xml:space="preserve"> ability to acquire students and other customers and meet their expectations</w:t>
            </w:r>
            <w:r w:rsidR="00C119F1">
              <w:rPr>
                <w:rFonts w:eastAsia="Times New Roman" w:cs="Arial"/>
                <w:szCs w:val="22"/>
              </w:rPr>
              <w:t xml:space="preserve"> may be </w:t>
            </w:r>
            <w:r>
              <w:rPr>
                <w:rFonts w:eastAsia="Times New Roman" w:cs="Arial"/>
                <w:szCs w:val="22"/>
              </w:rPr>
              <w:t>at risk.</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85483A2" w14:textId="77777777" w:rsidR="00330C18" w:rsidRDefault="000A11B9">
            <w:pPr>
              <w:rPr>
                <w:rFonts w:eastAsia="Times New Roman" w:cs="Arial"/>
                <w:szCs w:val="22"/>
              </w:rPr>
            </w:pPr>
            <w:r>
              <w:rPr>
                <w:rFonts w:eastAsia="Times New Roman" w:cs="Arial"/>
                <w:szCs w:val="22"/>
              </w:rPr>
              <w:t xml:space="preserve">Mentioned by </w:t>
            </w:r>
            <w:r w:rsidR="00330C18">
              <w:rPr>
                <w:rFonts w:eastAsia="Times New Roman" w:cs="Arial"/>
                <w:szCs w:val="22"/>
              </w:rPr>
              <w:t xml:space="preserve">5 </w:t>
            </w:r>
            <w:r>
              <w:rPr>
                <w:rFonts w:eastAsia="Times New Roman" w:cs="Arial"/>
                <w:szCs w:val="22"/>
              </w:rPr>
              <w:t xml:space="preserve">examiners </w:t>
            </w:r>
            <w:r w:rsidR="009A0B0A">
              <w:rPr>
                <w:rFonts w:eastAsia="Times New Roman" w:cs="Arial"/>
                <w:szCs w:val="22"/>
              </w:rPr>
              <w:t>(</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sidR="00330C18">
              <w:rPr>
                <w:rFonts w:eastAsia="Times New Roman" w:cs="Arial"/>
                <w:szCs w:val="22"/>
              </w:rPr>
              <w:t>, Ex7</w:t>
            </w:r>
            <w:r w:rsidR="009A0B0A">
              <w:rPr>
                <w:rFonts w:eastAsia="Times New Roman" w:cs="Arial"/>
                <w:szCs w:val="22"/>
              </w:rPr>
              <w:t>)</w:t>
            </w:r>
            <w:r>
              <w:rPr>
                <w:rFonts w:eastAsia="Times New Roman" w:cs="Arial"/>
                <w:szCs w:val="22"/>
              </w:rPr>
              <w:t xml:space="preserve">. </w:t>
            </w:r>
          </w:p>
          <w:p w14:paraId="566409F8" w14:textId="386B254A" w:rsidR="005E22BD" w:rsidRDefault="000A11B9">
            <w:pPr>
              <w:rPr>
                <w:rFonts w:eastAsia="Times New Roman" w:cs="Arial"/>
                <w:szCs w:val="22"/>
              </w:rPr>
            </w:pPr>
            <w:r>
              <w:rPr>
                <w:rFonts w:eastAsia="Times New Roman" w:cs="Arial"/>
                <w:szCs w:val="22"/>
              </w:rPr>
              <w:t>The essential concern is that it is not evident how the institution manages its RBM partner to build/manage student and other customer relationships. RBM</w:t>
            </w:r>
            <w:r w:rsidR="005663C4">
              <w:rPr>
                <w:rFonts w:eastAsia="Times New Roman" w:cs="Arial"/>
                <w:szCs w:val="22"/>
              </w:rPr>
              <w:t>’</w:t>
            </w:r>
            <w:r>
              <w:rPr>
                <w:rFonts w:eastAsia="Times New Roman" w:cs="Arial"/>
                <w:szCs w:val="22"/>
              </w:rPr>
              <w:t>s processes for relationship management are unclear; for example, RBM builds/manages student relationships for acquisition and managing needs of differing market segments/stages, but the processes for doing so are not described. Does the applicant know how RBM does it? If not, what happens if RBM goes away and the applicant needs to assume these processes?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6DF537F" w14:textId="77777777" w:rsidR="005E22BD" w:rsidRDefault="000A11B9">
            <w:pPr>
              <w:rPr>
                <w:rFonts w:eastAsia="Times New Roman" w:cs="Arial"/>
                <w:szCs w:val="22"/>
              </w:rPr>
            </w:pPr>
            <w:r>
              <w:rPr>
                <w:rFonts w:eastAsia="Times New Roman" w:cs="Arial"/>
                <w:szCs w:val="22"/>
              </w:rPr>
              <w:t>a(1)</w:t>
            </w:r>
          </w:p>
        </w:tc>
      </w:tr>
    </w:tbl>
    <w:p w14:paraId="3616961C"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9D4C55" w14:paraId="4275565E" w14:textId="77777777" w:rsidTr="009D4C55">
        <w:tc>
          <w:tcPr>
            <w:tcW w:w="10170" w:type="dxa"/>
          </w:tcPr>
          <w:p w14:paraId="0C1FB333" w14:textId="73505B6E" w:rsidR="009D4C55" w:rsidRDefault="009D4C55" w:rsidP="009D4C55">
            <w:pPr>
              <w:rPr>
                <w:rFonts w:eastAsia="Times New Roman" w:cs="Arial"/>
                <w:szCs w:val="22"/>
              </w:rPr>
            </w:pPr>
            <w:r>
              <w:rPr>
                <w:rFonts w:eastAsia="Times New Roman" w:cs="Arial"/>
                <w:szCs w:val="22"/>
              </w:rPr>
              <w:t>R2: Three examiners (Ex1, Ex4,</w:t>
            </w:r>
            <w:r w:rsidRPr="00350724">
              <w:rPr>
                <w:rFonts w:eastAsia="Times New Roman" w:cs="Arial"/>
                <w:szCs w:val="22"/>
              </w:rPr>
              <w:t xml:space="preserve"> </w:t>
            </w:r>
            <w:r>
              <w:rPr>
                <w:rFonts w:eastAsia="Times New Roman" w:cs="Arial"/>
                <w:szCs w:val="22"/>
              </w:rPr>
              <w:t>Ex7) recommended demoting/deleting a(1) STR in favor of a(1) OFI. I deleted th</w:t>
            </w:r>
            <w:r w:rsidR="00D17489">
              <w:rPr>
                <w:rFonts w:eastAsia="Times New Roman" w:cs="Arial"/>
                <w:szCs w:val="22"/>
              </w:rPr>
              <w:t>e</w:t>
            </w:r>
            <w:r>
              <w:rPr>
                <w:rFonts w:eastAsia="Times New Roman" w:cs="Arial"/>
                <w:szCs w:val="22"/>
              </w:rPr>
              <w:t xml:space="preserve"> a(1) STR comment</w:t>
            </w:r>
            <w:r w:rsidR="00D17489">
              <w:rPr>
                <w:rFonts w:eastAsia="Times New Roman" w:cs="Arial"/>
                <w:szCs w:val="22"/>
              </w:rPr>
              <w:t xml:space="preserve"> a</w:t>
            </w:r>
            <w:r w:rsidR="00D17489">
              <w:t xml:space="preserve">nd </w:t>
            </w:r>
            <w:r w:rsidR="00D17489">
              <w:rPr>
                <w:rFonts w:eastAsia="Times New Roman" w:cs="Arial"/>
                <w:szCs w:val="22"/>
              </w:rPr>
              <w:t>s</w:t>
            </w:r>
            <w:r w:rsidR="00D17489">
              <w:t xml:space="preserve">upport the a(1) OFI as I </w:t>
            </w:r>
            <w:r>
              <w:rPr>
                <w:rFonts w:eastAsia="Times New Roman" w:cs="Arial"/>
                <w:szCs w:val="22"/>
              </w:rPr>
              <w:t>believe that the applicant</w:t>
            </w:r>
            <w:r w:rsidR="005663C4">
              <w:rPr>
                <w:rFonts w:eastAsia="Times New Roman" w:cs="Arial"/>
                <w:szCs w:val="22"/>
              </w:rPr>
              <w:t>’</w:t>
            </w:r>
            <w:r>
              <w:rPr>
                <w:rFonts w:eastAsia="Times New Roman" w:cs="Arial"/>
                <w:szCs w:val="22"/>
              </w:rPr>
              <w:t>s ability to manage RBM processes is not evident. If the relationship with RBM were to cease, could the applicant manage student and other customer relationships effectively?</w:t>
            </w:r>
          </w:p>
          <w:p w14:paraId="372A660C" w14:textId="6CD07BA7" w:rsidR="009D4C55" w:rsidRDefault="009D4C55" w:rsidP="009D4C55">
            <w:pPr>
              <w:rPr>
                <w:rFonts w:eastAsia="Times New Roman" w:cs="Arial"/>
                <w:szCs w:val="22"/>
              </w:rPr>
            </w:pPr>
            <w:r>
              <w:rPr>
                <w:rFonts w:eastAsia="Times New Roman" w:cs="Arial"/>
                <w:szCs w:val="22"/>
              </w:rPr>
              <w:t>“It is unclear that the applicant</w:t>
            </w:r>
            <w:r w:rsidR="005663C4">
              <w:rPr>
                <w:rFonts w:eastAsia="Times New Roman" w:cs="Arial"/>
                <w:szCs w:val="22"/>
              </w:rPr>
              <w:t>’</w:t>
            </w:r>
            <w:r>
              <w:rPr>
                <w:rFonts w:eastAsia="Times New Roman" w:cs="Arial"/>
                <w:szCs w:val="22"/>
              </w:rPr>
              <w:t xml:space="preserve">s approach to relationship management represents a systematic process to acquire students and meet their requirements. It is evident that RBM builds and manages student relationships, including the acquisition of students and managing the needs of market </w:t>
            </w:r>
            <w:r>
              <w:rPr>
                <w:rFonts w:eastAsia="Times New Roman" w:cs="Arial"/>
                <w:szCs w:val="22"/>
              </w:rPr>
              <w:lastRenderedPageBreak/>
              <w:t>segments and stages, but it is unclear how the applicant manages RBM to ensure that market share and new students are acquired effectively. The applicant may benefit from collaboration with RBM to identify deliverables and expectations to ensure that market share and student groups are acquired effectively and retained to meet and exceed expectations.”</w:t>
            </w:r>
          </w:p>
          <w:p w14:paraId="66D9894E" w14:textId="7099AEE0" w:rsidR="009D4C55" w:rsidRDefault="009D4C55" w:rsidP="009D4C55">
            <w:pPr>
              <w:rPr>
                <w:rFonts w:eastAsia="Times New Roman" w:cs="Arial"/>
                <w:szCs w:val="22"/>
              </w:rPr>
            </w:pPr>
            <w:r>
              <w:rPr>
                <w:rFonts w:eastAsia="Times New Roman" w:cs="Arial"/>
                <w:szCs w:val="22"/>
              </w:rPr>
              <w:t>Based on consensus conversation, added learning to OFIs a(2) and a(1).</w:t>
            </w:r>
          </w:p>
        </w:tc>
      </w:tr>
    </w:tbl>
    <w:p w14:paraId="06EDA1DA" w14:textId="77777777" w:rsidR="005E22BD" w:rsidRDefault="000A11B9">
      <w:pPr>
        <w:pStyle w:val="Heading3"/>
        <w:divId w:val="905190427"/>
        <w:rPr>
          <w:rFonts w:eastAsia="Times New Roman" w:cs="Arial"/>
        </w:rPr>
      </w:pPr>
      <w:r>
        <w:rPr>
          <w:rFonts w:eastAsia="Times New Roman" w:cs="Arial"/>
        </w:rPr>
        <w:lastRenderedPageBreak/>
        <w:t>Scoring</w:t>
      </w:r>
    </w:p>
    <w:tbl>
      <w:tblPr>
        <w:tblStyle w:val="TableGrid"/>
        <w:tblW w:w="0" w:type="auto"/>
        <w:tblInd w:w="355" w:type="dxa"/>
        <w:tblLook w:val="04A0" w:firstRow="1" w:lastRow="0" w:firstColumn="1" w:lastColumn="0" w:noHBand="0" w:noVBand="1"/>
      </w:tblPr>
      <w:tblGrid>
        <w:gridCol w:w="10260"/>
      </w:tblGrid>
      <w:tr w:rsidR="009D4C55" w14:paraId="69C466C8" w14:textId="77777777" w:rsidTr="009D4C55">
        <w:tc>
          <w:tcPr>
            <w:tcW w:w="10260" w:type="dxa"/>
          </w:tcPr>
          <w:p w14:paraId="7725C3CF"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45</w:t>
            </w:r>
          </w:p>
          <w:p w14:paraId="7ED5CACA" w14:textId="77777777" w:rsidR="009D4C55" w:rsidRDefault="009D4C55" w:rsidP="009D4C55">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30–45</w:t>
            </w:r>
            <w:r w:rsidRPr="00FD460C">
              <w:rPr>
                <w:rStyle w:val="Strong"/>
                <w:rFonts w:eastAsia="Times New Roman" w:cs="Arial"/>
                <w:b w:val="0"/>
                <w:bCs w:val="0"/>
                <w:szCs w:val="22"/>
              </w:rPr>
              <w:t>%</w:t>
            </w:r>
          </w:p>
          <w:p w14:paraId="131D6550" w14:textId="37B6338F" w:rsidR="009D4C55" w:rsidRPr="009D4C55" w:rsidRDefault="009D4C55" w:rsidP="009D4C55">
            <w:pPr>
              <w:rPr>
                <w:rFonts w:eastAsia="Times New Roman" w:cs="Arial"/>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 xml:space="preserve">Not below: Evidence of alignment and problem solving. Not above: </w:t>
            </w:r>
            <w:r w:rsidR="00D17489">
              <w:rPr>
                <w:rStyle w:val="Strong"/>
                <w:rFonts w:eastAsia="Times New Roman" w:cs="Arial"/>
                <w:b w:val="0"/>
                <w:bCs w:val="0"/>
                <w:szCs w:val="22"/>
              </w:rPr>
              <w:t>Weight of OFIs, as well as l</w:t>
            </w:r>
            <w:r w:rsidRPr="00FD460C">
              <w:rPr>
                <w:rStyle w:val="Strong"/>
                <w:rFonts w:eastAsia="Times New Roman" w:cs="Arial"/>
                <w:b w:val="0"/>
                <w:bCs w:val="0"/>
                <w:szCs w:val="22"/>
              </w:rPr>
              <w:t xml:space="preserve">ack of evidence of fact-based, systematic evaluation and improvement and some examples of use of best practices, instances of innovation, or sharing of refinements for improving the efficiency and effectiveness of key processes. </w:t>
            </w:r>
          </w:p>
        </w:tc>
      </w:tr>
    </w:tbl>
    <w:p w14:paraId="6112D829" w14:textId="13FBF403" w:rsidR="00050D3F" w:rsidRDefault="00050D3F" w:rsidP="00351245">
      <w:pPr>
        <w:ind w:right="360"/>
        <w:rPr>
          <w:rFonts w:eastAsia="Times New Roman" w:cs="Arial"/>
          <w:b/>
          <w:bCs/>
          <w:szCs w:val="22"/>
        </w:rPr>
      </w:pPr>
    </w:p>
    <w:p w14:paraId="43CCE085" w14:textId="77777777" w:rsidR="00050D3F" w:rsidRDefault="00050D3F">
      <w:pPr>
        <w:spacing w:after="0"/>
        <w:rPr>
          <w:rFonts w:eastAsia="Times New Roman" w:cs="Arial"/>
          <w:b/>
          <w:bCs/>
          <w:szCs w:val="22"/>
        </w:rPr>
      </w:pPr>
      <w:r>
        <w:rPr>
          <w:rFonts w:eastAsia="Times New Roman" w:cs="Arial"/>
          <w:b/>
          <w:bCs/>
          <w:szCs w:val="22"/>
        </w:rPr>
        <w:br w:type="page"/>
      </w:r>
    </w:p>
    <w:p w14:paraId="77E5282A"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4.1</w:t>
      </w:r>
    </w:p>
    <w:p w14:paraId="2D42DC3A" w14:textId="77777777" w:rsidR="005E22BD" w:rsidRDefault="000A11B9">
      <w:pPr>
        <w:pStyle w:val="Heading2"/>
        <w:divId w:val="905190427"/>
        <w:rPr>
          <w:rFonts w:eastAsia="Times New Roman" w:cs="Arial"/>
        </w:rPr>
      </w:pPr>
      <w:r>
        <w:rPr>
          <w:rFonts w:eastAsia="Times New Roman" w:cs="Arial"/>
        </w:rPr>
        <w:t>Measurement, Analysis, and Improvement of Organizational Performance</w:t>
      </w:r>
    </w:p>
    <w:p w14:paraId="79077868" w14:textId="77777777" w:rsidR="005E22BD" w:rsidRDefault="000A11B9">
      <w:pPr>
        <w:pStyle w:val="Heading3"/>
        <w:divId w:val="905190427"/>
        <w:rPr>
          <w:rFonts w:eastAsia="Times New Roman" w:cs="Arial"/>
        </w:rPr>
      </w:pPr>
      <w:r>
        <w:rPr>
          <w:rFonts w:eastAsia="Times New Roman" w:cs="Arial"/>
        </w:rPr>
        <w:t>Relevant Key Factors</w:t>
      </w:r>
    </w:p>
    <w:p w14:paraId="2EA317BB" w14:textId="77777777" w:rsidR="005E22BD" w:rsidRDefault="000A11B9">
      <w:pPr>
        <w:numPr>
          <w:ilvl w:val="0"/>
          <w:numId w:val="11"/>
        </w:numPr>
        <w:spacing w:before="100" w:beforeAutospacing="1" w:after="100" w:afterAutospacing="1"/>
        <w:divId w:val="905190427"/>
        <w:rPr>
          <w:rFonts w:eastAsia="Times New Roman" w:cs="Arial"/>
          <w:szCs w:val="22"/>
        </w:rPr>
      </w:pPr>
      <w:r>
        <w:rPr>
          <w:rFonts w:eastAsia="Times New Roman" w:cs="Arial"/>
          <w:szCs w:val="22"/>
        </w:rPr>
        <w:t>Vision</w:t>
      </w:r>
      <w:r w:rsidR="000834C7">
        <w:rPr>
          <w:rFonts w:eastAsia="Times New Roman" w:cs="Arial"/>
          <w:szCs w:val="22"/>
        </w:rPr>
        <w:t>—</w:t>
      </w:r>
      <w:r>
        <w:rPr>
          <w:rFonts w:eastAsia="Times New Roman" w:cs="Arial"/>
          <w:szCs w:val="22"/>
        </w:rPr>
        <w:t xml:space="preserve">Will be the best in the nation in </w:t>
      </w:r>
      <w:r w:rsidR="00153A64">
        <w:rPr>
          <w:rFonts w:eastAsia="Times New Roman" w:cs="Arial"/>
          <w:szCs w:val="22"/>
        </w:rPr>
        <w:t xml:space="preserve">providing </w:t>
      </w:r>
      <w:r>
        <w:rPr>
          <w:rFonts w:eastAsia="Times New Roman" w:cs="Arial"/>
          <w:szCs w:val="22"/>
        </w:rPr>
        <w:t>students with accessibility, affordability, career-readiness, and social responsibility.</w:t>
      </w:r>
    </w:p>
    <w:p w14:paraId="41D234C7" w14:textId="487F3993" w:rsidR="005E22BD" w:rsidRDefault="001D6722">
      <w:pPr>
        <w:numPr>
          <w:ilvl w:val="0"/>
          <w:numId w:val="11"/>
        </w:numPr>
        <w:spacing w:before="100" w:beforeAutospacing="1" w:after="100" w:afterAutospacing="1"/>
        <w:divId w:val="905190427"/>
        <w:rPr>
          <w:rFonts w:eastAsia="Times New Roman" w:cs="Arial"/>
          <w:szCs w:val="22"/>
        </w:rPr>
      </w:pPr>
      <w:r>
        <w:rPr>
          <w:rFonts w:eastAsia="Times New Roman" w:cs="Arial"/>
          <w:szCs w:val="22"/>
        </w:rPr>
        <w:t xml:space="preserve">CC1: Provide exceptional student support services; </w:t>
      </w:r>
      <w:r w:rsidR="000A11B9">
        <w:rPr>
          <w:rFonts w:eastAsia="Times New Roman" w:cs="Arial"/>
          <w:szCs w:val="22"/>
        </w:rPr>
        <w:t xml:space="preserve">CC2: </w:t>
      </w:r>
      <w:r w:rsidR="00153A64">
        <w:rPr>
          <w:rFonts w:eastAsia="Times New Roman" w:cs="Arial"/>
          <w:szCs w:val="22"/>
        </w:rPr>
        <w:t>Partner with local community</w:t>
      </w:r>
      <w:r w:rsidR="000A11B9">
        <w:rPr>
          <w:rFonts w:eastAsia="Times New Roman" w:cs="Arial"/>
          <w:szCs w:val="22"/>
        </w:rPr>
        <w:t xml:space="preserve"> to achieve excellence</w:t>
      </w:r>
      <w:r w:rsidR="00153A64">
        <w:rPr>
          <w:rFonts w:eastAsia="Times New Roman" w:cs="Arial"/>
          <w:szCs w:val="22"/>
        </w:rPr>
        <w:t>/</w:t>
      </w:r>
      <w:r w:rsidR="000A11B9">
        <w:rPr>
          <w:rFonts w:eastAsia="Times New Roman" w:cs="Arial"/>
          <w:szCs w:val="22"/>
        </w:rPr>
        <w:t>graduate job readiness</w:t>
      </w:r>
      <w:r>
        <w:rPr>
          <w:rFonts w:eastAsia="Times New Roman" w:cs="Arial"/>
          <w:szCs w:val="22"/>
        </w:rPr>
        <w:t>.</w:t>
      </w:r>
    </w:p>
    <w:p w14:paraId="7B01C914" w14:textId="77777777" w:rsidR="005E22BD" w:rsidRDefault="00DB6E5E">
      <w:pPr>
        <w:numPr>
          <w:ilvl w:val="0"/>
          <w:numId w:val="11"/>
        </w:numPr>
        <w:spacing w:before="100" w:beforeAutospacing="1" w:after="100" w:afterAutospacing="1"/>
        <w:divId w:val="905190427"/>
        <w:rPr>
          <w:rFonts w:eastAsia="Times New Roman" w:cs="Arial"/>
          <w:szCs w:val="22"/>
        </w:rPr>
      </w:pPr>
      <w:r>
        <w:rPr>
          <w:rFonts w:eastAsia="Times New Roman" w:cs="Arial"/>
          <w:szCs w:val="22"/>
        </w:rPr>
        <w:t>Transfer schools/sister colleges</w:t>
      </w:r>
      <w:r w:rsidR="000A11B9">
        <w:rPr>
          <w:rFonts w:eastAsia="Times New Roman" w:cs="Arial"/>
          <w:szCs w:val="22"/>
        </w:rPr>
        <w:t xml:space="preserve">, </w:t>
      </w:r>
      <w:r>
        <w:rPr>
          <w:rFonts w:eastAsia="Times New Roman" w:cs="Arial"/>
          <w:szCs w:val="22"/>
        </w:rPr>
        <w:t xml:space="preserve">feeder high schools, foundation, donors, alumni association, alumni, </w:t>
      </w:r>
      <w:r w:rsidR="001F46D7">
        <w:rPr>
          <w:rFonts w:eastAsia="Times New Roman" w:cs="Arial"/>
          <w:szCs w:val="22"/>
        </w:rPr>
        <w:t>employers/advisory committees</w:t>
      </w:r>
      <w:r>
        <w:rPr>
          <w:rFonts w:eastAsia="Times New Roman" w:cs="Arial"/>
          <w:szCs w:val="22"/>
        </w:rPr>
        <w:t>, technology partners, local</w:t>
      </w:r>
      <w:r w:rsidR="000A11B9">
        <w:rPr>
          <w:rFonts w:eastAsia="Times New Roman" w:cs="Arial"/>
          <w:szCs w:val="22"/>
        </w:rPr>
        <w:t xml:space="preserve"> community including chamber of commerce</w:t>
      </w:r>
    </w:p>
    <w:p w14:paraId="0E8C0140" w14:textId="05628BB7" w:rsidR="005E22BD" w:rsidRDefault="00DB6E5E">
      <w:pPr>
        <w:numPr>
          <w:ilvl w:val="0"/>
          <w:numId w:val="11"/>
        </w:numPr>
        <w:spacing w:before="100" w:beforeAutospacing="1" w:after="100" w:afterAutospacing="1"/>
        <w:divId w:val="905190427"/>
        <w:rPr>
          <w:rFonts w:eastAsia="Times New Roman" w:cs="Arial"/>
          <w:szCs w:val="22"/>
        </w:rPr>
      </w:pPr>
      <w:r>
        <w:rPr>
          <w:rFonts w:eastAsia="Times New Roman" w:cs="Arial"/>
          <w:szCs w:val="22"/>
        </w:rPr>
        <w:t xml:space="preserve">Technology providers, laboratory support providers, service providers </w:t>
      </w:r>
      <w:r w:rsidR="000A11B9">
        <w:rPr>
          <w:rFonts w:eastAsia="Times New Roman" w:cs="Arial"/>
          <w:szCs w:val="22"/>
        </w:rPr>
        <w:t>(bookstore, dining), administrative support</w:t>
      </w:r>
      <w:r w:rsidR="001D6722">
        <w:rPr>
          <w:rFonts w:eastAsia="Times New Roman" w:cs="Arial"/>
          <w:szCs w:val="22"/>
        </w:rPr>
        <w:t>.</w:t>
      </w:r>
    </w:p>
    <w:p w14:paraId="2C18A6D4" w14:textId="30969D4F" w:rsidR="005E22BD" w:rsidRDefault="00DB6E5E">
      <w:pPr>
        <w:numPr>
          <w:ilvl w:val="0"/>
          <w:numId w:val="11"/>
        </w:numPr>
        <w:spacing w:before="100" w:beforeAutospacing="1" w:after="100" w:afterAutospacing="1"/>
        <w:divId w:val="905190427"/>
        <w:rPr>
          <w:rFonts w:eastAsia="Times New Roman" w:cs="Arial"/>
          <w:szCs w:val="22"/>
        </w:rPr>
      </w:pPr>
      <w:r>
        <w:rPr>
          <w:rFonts w:eastAsia="Times New Roman" w:cs="Arial"/>
          <w:szCs w:val="22"/>
        </w:rPr>
        <w:t>National/regional</w:t>
      </w:r>
      <w:r w:rsidR="000A11B9">
        <w:rPr>
          <w:rFonts w:eastAsia="Times New Roman" w:cs="Arial"/>
          <w:szCs w:val="22"/>
        </w:rPr>
        <w:t xml:space="preserve"> estimates</w:t>
      </w:r>
      <w:r w:rsidR="00153A64">
        <w:rPr>
          <w:rFonts w:eastAsia="Times New Roman" w:cs="Arial"/>
          <w:szCs w:val="22"/>
        </w:rPr>
        <w:t>:</w:t>
      </w:r>
      <w:r w:rsidR="000A11B9">
        <w:rPr>
          <w:rFonts w:eastAsia="Times New Roman" w:cs="Arial"/>
          <w:szCs w:val="22"/>
        </w:rPr>
        <w:t xml:space="preserve"> declines in high school graduates over next decade</w:t>
      </w:r>
      <w:r w:rsidR="001D6722">
        <w:rPr>
          <w:rFonts w:eastAsia="Times New Roman" w:cs="Arial"/>
          <w:szCs w:val="22"/>
        </w:rPr>
        <w:t>.</w:t>
      </w:r>
    </w:p>
    <w:p w14:paraId="48C4DDCB" w14:textId="1D1DB186" w:rsidR="005E22BD" w:rsidRDefault="00153A64">
      <w:pPr>
        <w:numPr>
          <w:ilvl w:val="0"/>
          <w:numId w:val="11"/>
        </w:numPr>
        <w:spacing w:before="100" w:beforeAutospacing="1" w:after="100" w:afterAutospacing="1"/>
        <w:divId w:val="905190427"/>
        <w:rPr>
          <w:rFonts w:eastAsia="Times New Roman" w:cs="Arial"/>
          <w:szCs w:val="22"/>
        </w:rPr>
      </w:pPr>
      <w:r>
        <w:rPr>
          <w:rFonts w:eastAsia="Times New Roman" w:cs="Arial"/>
          <w:szCs w:val="22"/>
        </w:rPr>
        <w:t>Peers, competitors, national averages, best-in-class</w:t>
      </w:r>
      <w:r w:rsidR="000834C7">
        <w:rPr>
          <w:rFonts w:eastAsia="Times New Roman" w:cs="Arial"/>
          <w:szCs w:val="22"/>
        </w:rPr>
        <w:t>—</w:t>
      </w:r>
      <w:r w:rsidR="000A11B9">
        <w:rPr>
          <w:rFonts w:eastAsia="Times New Roman" w:cs="Arial"/>
          <w:szCs w:val="22"/>
        </w:rPr>
        <w:t>IPE</w:t>
      </w:r>
      <w:r w:rsidR="007B4856">
        <w:rPr>
          <w:rFonts w:eastAsia="Times New Roman" w:cs="Arial"/>
          <w:szCs w:val="22"/>
        </w:rPr>
        <w:t>Ex2</w:t>
      </w:r>
      <w:r w:rsidR="000A11B9">
        <w:rPr>
          <w:rFonts w:eastAsia="Times New Roman" w:cs="Arial"/>
          <w:szCs w:val="22"/>
        </w:rPr>
        <w:t>, CCSSE, CollUnivPA-HR; Nome Zevil DASHER; Other Baldrige winners; NCCBP, Cost and Productivity Project, NSC</w:t>
      </w:r>
      <w:r w:rsidR="001D6722">
        <w:rPr>
          <w:rFonts w:eastAsia="Times New Roman" w:cs="Arial"/>
          <w:szCs w:val="22"/>
        </w:rPr>
        <w:t>.</w:t>
      </w:r>
    </w:p>
    <w:p w14:paraId="437D993A" w14:textId="173022A5" w:rsidR="005E22BD" w:rsidRDefault="000A11B9">
      <w:pPr>
        <w:numPr>
          <w:ilvl w:val="0"/>
          <w:numId w:val="11"/>
        </w:numPr>
        <w:spacing w:before="100" w:beforeAutospacing="1" w:after="100" w:afterAutospacing="1"/>
        <w:divId w:val="905190427"/>
        <w:rPr>
          <w:rFonts w:eastAsia="Times New Roman" w:cs="Arial"/>
          <w:szCs w:val="22"/>
        </w:rPr>
      </w:pPr>
      <w:r>
        <w:rPr>
          <w:rFonts w:eastAsia="Times New Roman" w:cs="Arial"/>
          <w:szCs w:val="22"/>
        </w:rPr>
        <w:t>Decreased state fundin</w:t>
      </w:r>
      <w:r w:rsidR="00153A64">
        <w:rPr>
          <w:rFonts w:eastAsia="Times New Roman" w:cs="Arial"/>
          <w:szCs w:val="22"/>
        </w:rPr>
        <w:t>g, influ</w:t>
      </w:r>
      <w:r>
        <w:rPr>
          <w:rFonts w:eastAsia="Times New Roman" w:cs="Arial"/>
          <w:szCs w:val="22"/>
        </w:rPr>
        <w:t xml:space="preserve">x of </w:t>
      </w:r>
      <w:r w:rsidR="00DB6E5E">
        <w:rPr>
          <w:rFonts w:eastAsia="Times New Roman" w:cs="Arial"/>
          <w:szCs w:val="22"/>
        </w:rPr>
        <w:t>dual-credit</w:t>
      </w:r>
      <w:r>
        <w:rPr>
          <w:rFonts w:eastAsia="Times New Roman" w:cs="Arial"/>
          <w:szCs w:val="22"/>
        </w:rPr>
        <w:t xml:space="preserve"> high school students, increased competition for students</w:t>
      </w:r>
      <w:r w:rsidR="001D6722">
        <w:rPr>
          <w:rFonts w:eastAsia="Times New Roman" w:cs="Arial"/>
          <w:szCs w:val="22"/>
        </w:rPr>
        <w:t>.</w:t>
      </w:r>
    </w:p>
    <w:p w14:paraId="446C0FCD"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51"/>
        <w:gridCol w:w="4206"/>
        <w:gridCol w:w="1200"/>
      </w:tblGrid>
      <w:tr w:rsidR="005E22BD" w14:paraId="2A19A6FA"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00A6FB20"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20FCB153"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192B878F"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5FC4617"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158170F7"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3527930C"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A40FF1D" w14:textId="639DEDD1" w:rsidR="005E22BD" w:rsidRDefault="000A11B9">
            <w:pPr>
              <w:rPr>
                <w:rFonts w:eastAsia="Times New Roman" w:cs="Arial"/>
                <w:szCs w:val="22"/>
              </w:rPr>
            </w:pPr>
            <w:r>
              <w:rPr>
                <w:rFonts w:eastAsia="Times New Roman" w:cs="Arial"/>
                <w:szCs w:val="22"/>
              </w:rPr>
              <w:t xml:space="preserve">The applicant systematically reviews organizational performance across the college. Through the Operational Performance Review </w:t>
            </w:r>
            <w:r w:rsidR="00E37C29">
              <w:rPr>
                <w:rFonts w:eastAsia="Times New Roman" w:cs="Arial"/>
                <w:szCs w:val="22"/>
              </w:rPr>
              <w:t>s</w:t>
            </w:r>
            <w:r>
              <w:rPr>
                <w:rFonts w:eastAsia="Times New Roman" w:cs="Arial"/>
                <w:szCs w:val="22"/>
              </w:rPr>
              <w:t xml:space="preserve">tructure (Figure 4.1-6), the applicant identifies </w:t>
            </w:r>
            <w:r w:rsidR="004B6205">
              <w:rPr>
                <w:rFonts w:eastAsia="Times New Roman" w:cs="Arial"/>
                <w:szCs w:val="22"/>
              </w:rPr>
              <w:t xml:space="preserve">the </w:t>
            </w:r>
            <w:r>
              <w:rPr>
                <w:rFonts w:eastAsia="Times New Roman" w:cs="Arial"/>
                <w:szCs w:val="22"/>
              </w:rPr>
              <w:t>teams (including the govern</w:t>
            </w:r>
            <w:r w:rsidR="000E2FC0">
              <w:rPr>
                <w:rFonts w:eastAsia="Times New Roman" w:cs="Arial"/>
                <w:szCs w:val="22"/>
              </w:rPr>
              <w:t>ance</w:t>
            </w:r>
            <w:r>
              <w:rPr>
                <w:rFonts w:eastAsia="Times New Roman" w:cs="Arial"/>
                <w:szCs w:val="22"/>
              </w:rPr>
              <w:t xml:space="preserve"> board), areas, and frequencies for reviews. The applicant uses the Strategic and Operational Performance Review Process (Figure 4.1-5) to review S-KPIs and O-KPIs. Opportunities are recorded in the Action Plan Management System, which is integrated with the SPP. Two cycles of improvement have led to the current SOPRP. These systems help the applicant identify improvement opportunities to support its vision to be the best.</w:t>
            </w:r>
          </w:p>
        </w:tc>
        <w:tc>
          <w:tcPr>
            <w:tcW w:w="0" w:type="auto"/>
            <w:tcBorders>
              <w:bottom w:val="single" w:sz="6" w:space="0" w:color="000000"/>
              <w:right w:val="single" w:sz="6" w:space="0" w:color="000000"/>
            </w:tcBorders>
            <w:tcMar>
              <w:top w:w="75" w:type="dxa"/>
              <w:left w:w="75" w:type="dxa"/>
              <w:bottom w:w="75" w:type="dxa"/>
              <w:right w:w="75" w:type="dxa"/>
            </w:tcMar>
            <w:hideMark/>
          </w:tcPr>
          <w:p w14:paraId="3A87C783" w14:textId="3CB95014" w:rsidR="00FC7C2D" w:rsidRDefault="000A11B9">
            <w:pPr>
              <w:rPr>
                <w:rFonts w:eastAsia="Times New Roman" w:cs="Arial"/>
                <w:szCs w:val="22"/>
              </w:rPr>
            </w:pPr>
            <w:r>
              <w:rPr>
                <w:rFonts w:eastAsia="Times New Roman" w:cs="Arial"/>
                <w:szCs w:val="22"/>
              </w:rPr>
              <w:t>Which STR should be put in the #1 spot wasn</w:t>
            </w:r>
            <w:r w:rsidR="005663C4">
              <w:rPr>
                <w:rFonts w:eastAsia="Times New Roman" w:cs="Arial"/>
                <w:szCs w:val="22"/>
              </w:rPr>
              <w:t>’</w:t>
            </w:r>
            <w:r>
              <w:rPr>
                <w:rFonts w:eastAsia="Times New Roman" w:cs="Arial"/>
                <w:szCs w:val="22"/>
              </w:rPr>
              <w:t xml:space="preserve">t a slam dunk for the team. But we ended up with this one because it addresses a broad and basic function (reviewing performance) and worked in elements of L and I in addition to A. Reviews of org performance support the vision to be the best, plus this helps to identify opportunities for improvement and innovation. </w:t>
            </w:r>
          </w:p>
          <w:p w14:paraId="05FDCD7A" w14:textId="50C4F8C7" w:rsidR="005E22BD" w:rsidRDefault="000A11B9">
            <w:pPr>
              <w:rPr>
                <w:rFonts w:eastAsia="Times New Roman" w:cs="Arial"/>
                <w:szCs w:val="22"/>
              </w:rPr>
            </w:pPr>
            <w:r>
              <w:rPr>
                <w:rFonts w:eastAsia="Times New Roman" w:cs="Arial"/>
                <w:szCs w:val="22"/>
              </w:rPr>
              <w:t xml:space="preserve">This comment has elements of A, D, </w:t>
            </w:r>
            <w:r w:rsidR="00FC7C2D">
              <w:rPr>
                <w:rFonts w:eastAsia="Times New Roman" w:cs="Arial"/>
                <w:szCs w:val="22"/>
              </w:rPr>
              <w:t>L,</w:t>
            </w:r>
            <w:r>
              <w:rPr>
                <w:rFonts w:eastAsia="Times New Roman" w:cs="Arial"/>
                <w:szCs w:val="22"/>
              </w:rPr>
              <w:t xml:space="preserve"> and I, with A at the </w:t>
            </w:r>
            <w:r w:rsidR="004B6205">
              <w:rPr>
                <w:rFonts w:eastAsia="Times New Roman" w:cs="Arial"/>
                <w:szCs w:val="22"/>
              </w:rPr>
              <w:t xml:space="preserve">overall </w:t>
            </w:r>
            <w:r>
              <w:rPr>
                <w:rFonts w:eastAsia="Times New Roman" w:cs="Arial"/>
                <w:szCs w:val="22"/>
              </w:rPr>
              <w:t>level (with a slight dip into the multiples by working "governance" into the comment).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74C06F79" w14:textId="77777777" w:rsidR="005E22BD" w:rsidRDefault="000A11B9">
            <w:pPr>
              <w:rPr>
                <w:rFonts w:eastAsia="Times New Roman" w:cs="Arial"/>
                <w:szCs w:val="22"/>
              </w:rPr>
            </w:pPr>
            <w:r>
              <w:rPr>
                <w:rFonts w:eastAsia="Times New Roman" w:cs="Arial"/>
                <w:szCs w:val="22"/>
              </w:rPr>
              <w:t>b</w:t>
            </w:r>
          </w:p>
        </w:tc>
      </w:tr>
      <w:tr w:rsidR="005E22BD" w14:paraId="45DD5D3B"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1D77EE3"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32B850F" w14:textId="019F5783"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 xml:space="preserve">s PMS (Figure 4.1-1) is supported by the four-step B2P process to select comparative data and information to support fact-based decision making (Figure 4.1-3). The PROD selects benchmarks for each S-KPI and most O-KPIs through the B2P process. The B2P has undergone two cycles of improvement through semiannual reviews by PROD and key stakeholders. These </w:t>
            </w:r>
            <w:r>
              <w:rPr>
                <w:rFonts w:eastAsia="Times New Roman" w:cs="Arial"/>
                <w:szCs w:val="22"/>
              </w:rPr>
              <w:lastRenderedPageBreak/>
              <w:t>systematic processes</w:t>
            </w:r>
            <w:r w:rsidR="00D46F1E">
              <w:rPr>
                <w:rFonts w:eastAsia="Times New Roman" w:cs="Arial"/>
                <w:szCs w:val="22"/>
              </w:rPr>
              <w:t xml:space="preserve"> may help the applicant address the strategic challenge of increased competition.</w:t>
            </w:r>
            <w:r>
              <w:rPr>
                <w:rFonts w:eastAsia="Times New Roman" w:cs="Arial"/>
                <w:szCs w:val="22"/>
              </w:rPr>
              <w:t xml:space="preserve">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79C6BF1" w14:textId="58ECE533" w:rsidR="00FC7C2D" w:rsidRDefault="000A11B9">
            <w:pPr>
              <w:rPr>
                <w:rFonts w:eastAsia="Times New Roman" w:cs="Arial"/>
                <w:szCs w:val="22"/>
              </w:rPr>
            </w:pPr>
            <w:r>
              <w:rPr>
                <w:rFonts w:eastAsia="Times New Roman" w:cs="Arial"/>
                <w:szCs w:val="22"/>
              </w:rPr>
              <w:lastRenderedPageBreak/>
              <w:t>This is proposed as the #2 STR due to its clear, compelling relevance (the vision of being #1 in the nation), but it</w:t>
            </w:r>
            <w:r w:rsidR="005663C4">
              <w:rPr>
                <w:rFonts w:eastAsia="Times New Roman" w:cs="Arial"/>
                <w:szCs w:val="22"/>
              </w:rPr>
              <w:t>’</w:t>
            </w:r>
            <w:r>
              <w:rPr>
                <w:rFonts w:eastAsia="Times New Roman" w:cs="Arial"/>
                <w:szCs w:val="22"/>
              </w:rPr>
              <w:t xml:space="preserve">s narrower focus than the "b" STR moves it to #2. </w:t>
            </w:r>
          </w:p>
          <w:p w14:paraId="66E5A7B5" w14:textId="7BDC92BE" w:rsidR="00FC7C2D" w:rsidRDefault="000A11B9">
            <w:pPr>
              <w:rPr>
                <w:rFonts w:eastAsia="Times New Roman" w:cs="Arial"/>
                <w:szCs w:val="22"/>
              </w:rPr>
            </w:pPr>
            <w:r>
              <w:rPr>
                <w:rFonts w:eastAsia="Times New Roman" w:cs="Arial"/>
                <w:szCs w:val="22"/>
              </w:rPr>
              <w:t xml:space="preserve"> </w:t>
            </w:r>
          </w:p>
          <w:p w14:paraId="135FBC93" w14:textId="57F67058" w:rsidR="005E22BD" w:rsidRDefault="000A11B9">
            <w:pPr>
              <w:rPr>
                <w:rFonts w:eastAsia="Times New Roman" w:cs="Arial"/>
                <w:szCs w:val="22"/>
              </w:rPr>
            </w:pPr>
            <w:r>
              <w:rPr>
                <w:rFonts w:eastAsia="Times New Roman" w:cs="Arial"/>
                <w:szCs w:val="22"/>
              </w:rPr>
              <w:t xml:space="preserve">This comment has pretty strong A, </w:t>
            </w:r>
            <w:r w:rsidR="00FC7C2D">
              <w:rPr>
                <w:rFonts w:eastAsia="Times New Roman" w:cs="Arial"/>
                <w:szCs w:val="22"/>
              </w:rPr>
              <w:t>L,</w:t>
            </w:r>
            <w:r>
              <w:rPr>
                <w:rFonts w:eastAsia="Times New Roman" w:cs="Arial"/>
                <w:szCs w:val="22"/>
              </w:rPr>
              <w:t xml:space="preserve"> and I. And others see some D (which I usually don</w:t>
            </w:r>
            <w:r w:rsidR="005663C4">
              <w:rPr>
                <w:rFonts w:eastAsia="Times New Roman" w:cs="Arial"/>
                <w:szCs w:val="22"/>
              </w:rPr>
              <w:t>’</w:t>
            </w:r>
            <w:r>
              <w:rPr>
                <w:rFonts w:eastAsia="Times New Roman" w:cs="Arial"/>
                <w:szCs w:val="22"/>
              </w:rPr>
              <w:t>t see clearly until the site visit).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AD20381" w14:textId="77777777" w:rsidR="005E22BD" w:rsidRDefault="000A11B9">
            <w:pPr>
              <w:rPr>
                <w:rFonts w:eastAsia="Times New Roman" w:cs="Arial"/>
                <w:szCs w:val="22"/>
              </w:rPr>
            </w:pPr>
            <w:r>
              <w:rPr>
                <w:rFonts w:eastAsia="Times New Roman" w:cs="Arial"/>
                <w:szCs w:val="22"/>
              </w:rPr>
              <w:t>a(2)</w:t>
            </w:r>
          </w:p>
        </w:tc>
      </w:tr>
      <w:tr w:rsidR="005E22BD" w14:paraId="6508D2C9"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584E737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4B00CDF" w14:textId="109A1645" w:rsidR="005E22BD" w:rsidRDefault="000A11B9">
            <w:pPr>
              <w:rPr>
                <w:rFonts w:eastAsia="Times New Roman" w:cs="Arial"/>
                <w:szCs w:val="22"/>
              </w:rPr>
            </w:pPr>
            <w:r>
              <w:rPr>
                <w:rFonts w:eastAsia="Times New Roman" w:cs="Arial"/>
                <w:szCs w:val="22"/>
              </w:rPr>
              <w:t xml:space="preserve">Key performance measures, including strategic and operational, are systematically selected, collected, and aligned using </w:t>
            </w:r>
            <w:r w:rsidR="004B6205">
              <w:rPr>
                <w:rFonts w:eastAsia="Times New Roman" w:cs="Arial"/>
                <w:szCs w:val="22"/>
              </w:rPr>
              <w:t xml:space="preserve">the </w:t>
            </w:r>
            <w:r>
              <w:rPr>
                <w:rFonts w:eastAsia="Times New Roman" w:cs="Arial"/>
                <w:szCs w:val="22"/>
              </w:rPr>
              <w:t>four-phase Performance Management System (PMS</w:t>
            </w:r>
            <w:r w:rsidR="004B6205">
              <w:rPr>
                <w:rFonts w:eastAsia="Times New Roman" w:cs="Arial"/>
                <w:szCs w:val="22"/>
              </w:rPr>
              <w:t>;</w:t>
            </w:r>
            <w:r>
              <w:rPr>
                <w:rFonts w:eastAsia="Times New Roman" w:cs="Arial"/>
                <w:szCs w:val="22"/>
              </w:rPr>
              <w:t xml:space="preserve"> Figure 4.1-1). The resulting key data and information are used to monitor daily operations and overall performance. Key metrics and the PMS are fully deployed, through a number of key methods, down to the various departments and operational units. Several cycles of improvement have occurred as part of the SPP, </w:t>
            </w:r>
            <w:r w:rsidR="000E2FC0">
              <w:rPr>
                <w:rFonts w:eastAsia="Times New Roman" w:cs="Arial"/>
                <w:szCs w:val="22"/>
              </w:rPr>
              <w:t>s</w:t>
            </w:r>
            <w:r>
              <w:rPr>
                <w:rFonts w:eastAsia="Times New Roman" w:cs="Arial"/>
                <w:szCs w:val="22"/>
              </w:rPr>
              <w:t xml:space="preserve">tep 4. This approach may enable the </w:t>
            </w:r>
            <w:r w:rsidR="00C74F71">
              <w:rPr>
                <w:rFonts w:eastAsia="Times New Roman" w:cs="Arial"/>
                <w:szCs w:val="22"/>
              </w:rPr>
              <w:t>applicant</w:t>
            </w:r>
            <w:r>
              <w:rPr>
                <w:rFonts w:eastAsia="Times New Roman" w:cs="Arial"/>
                <w:szCs w:val="22"/>
              </w:rPr>
              <w:t xml:space="preserve"> to effectively manage and track its strategic and operational KPIs, leading to achieving its strategic objectives.</w:t>
            </w:r>
          </w:p>
        </w:tc>
        <w:tc>
          <w:tcPr>
            <w:tcW w:w="0" w:type="auto"/>
            <w:tcBorders>
              <w:bottom w:val="single" w:sz="6" w:space="0" w:color="000000"/>
              <w:right w:val="single" w:sz="6" w:space="0" w:color="000000"/>
            </w:tcBorders>
            <w:tcMar>
              <w:top w:w="75" w:type="dxa"/>
              <w:left w:w="75" w:type="dxa"/>
              <w:bottom w:w="75" w:type="dxa"/>
              <w:right w:w="75" w:type="dxa"/>
            </w:tcMar>
            <w:hideMark/>
          </w:tcPr>
          <w:p w14:paraId="00EA97CA" w14:textId="075432FB" w:rsidR="005D7B5E" w:rsidRDefault="000A11B9">
            <w:pPr>
              <w:rPr>
                <w:rFonts w:eastAsia="Times New Roman" w:cs="Arial"/>
                <w:szCs w:val="22"/>
              </w:rPr>
            </w:pPr>
            <w:r>
              <w:rPr>
                <w:rFonts w:eastAsia="Times New Roman" w:cs="Arial"/>
                <w:szCs w:val="22"/>
              </w:rPr>
              <w:t>Another highly relevant comment: very foundational; pulling the data together to allow tracking, review, etc. to be the best in the nation and identify opportunities. Three examiners (</w:t>
            </w:r>
            <w:r w:rsidR="00350724">
              <w:rPr>
                <w:rFonts w:eastAsia="Times New Roman" w:cs="Arial"/>
                <w:szCs w:val="22"/>
              </w:rPr>
              <w:t xml:space="preserve">Ex1, Ex4, </w:t>
            </w:r>
            <w:r w:rsidR="007B4856">
              <w:rPr>
                <w:rFonts w:eastAsia="Times New Roman" w:cs="Arial"/>
                <w:szCs w:val="22"/>
              </w:rPr>
              <w:t>Ex7</w:t>
            </w:r>
            <w:r>
              <w:rPr>
                <w:rFonts w:eastAsia="Times New Roman" w:cs="Arial"/>
                <w:szCs w:val="22"/>
              </w:rPr>
              <w:t>) listed this as #1 in 4.1 STRs (</w:t>
            </w:r>
            <w:r w:rsidR="007B4856">
              <w:rPr>
                <w:rFonts w:eastAsia="Times New Roman" w:cs="Arial"/>
                <w:szCs w:val="22"/>
              </w:rPr>
              <w:t>Ex4</w:t>
            </w:r>
            <w:r>
              <w:rPr>
                <w:rFonts w:eastAsia="Times New Roman" w:cs="Arial"/>
                <w:szCs w:val="22"/>
              </w:rPr>
              <w:t xml:space="preserve"> blended her comment with a</w:t>
            </w:r>
            <w:r w:rsidR="004B6205">
              <w:rPr>
                <w:rFonts w:eastAsia="Times New Roman" w:cs="Arial"/>
                <w:szCs w:val="22"/>
              </w:rPr>
              <w:t>[</w:t>
            </w:r>
            <w:r>
              <w:rPr>
                <w:rFonts w:eastAsia="Times New Roman" w:cs="Arial"/>
                <w:szCs w:val="22"/>
              </w:rPr>
              <w:t xml:space="preserve">3). </w:t>
            </w:r>
            <w:r w:rsidR="007B4856">
              <w:rPr>
                <w:rFonts w:eastAsia="Times New Roman" w:cs="Arial"/>
                <w:szCs w:val="22"/>
              </w:rPr>
              <w:t>Ex5</w:t>
            </w:r>
            <w:r>
              <w:rPr>
                <w:rFonts w:eastAsia="Times New Roman" w:cs="Arial"/>
                <w:szCs w:val="22"/>
              </w:rPr>
              <w:t xml:space="preserve"> and </w:t>
            </w:r>
            <w:r w:rsidR="007B4856">
              <w:rPr>
                <w:rFonts w:eastAsia="Times New Roman" w:cs="Arial"/>
                <w:szCs w:val="22"/>
              </w:rPr>
              <w:t>Ex6</w:t>
            </w:r>
            <w:r>
              <w:rPr>
                <w:rFonts w:eastAsia="Times New Roman" w:cs="Arial"/>
                <w:szCs w:val="22"/>
              </w:rPr>
              <w:t xml:space="preserve"> also listed it as a STR. </w:t>
            </w:r>
          </w:p>
          <w:p w14:paraId="42CDCC84" w14:textId="77777777" w:rsidR="005E22BD" w:rsidRDefault="000A11B9">
            <w:pPr>
              <w:rPr>
                <w:rFonts w:eastAsia="Times New Roman" w:cs="Arial"/>
                <w:szCs w:val="22"/>
              </w:rPr>
            </w:pPr>
            <w:r>
              <w:rPr>
                <w:rFonts w:eastAsia="Times New Roman" w:cs="Arial"/>
                <w:szCs w:val="22"/>
              </w:rPr>
              <w:t xml:space="preserve">It strongly shows A, D, </w:t>
            </w:r>
            <w:r w:rsidR="00FC7C2D">
              <w:rPr>
                <w:rFonts w:eastAsia="Times New Roman" w:cs="Arial"/>
                <w:szCs w:val="22"/>
              </w:rPr>
              <w:t>L,</w:t>
            </w:r>
            <w:r>
              <w:rPr>
                <w:rFonts w:eastAsia="Times New Roman" w:cs="Arial"/>
                <w:szCs w:val="22"/>
              </w:rPr>
              <w:t xml:space="preserve"> and I. The approach is covered at an overall level and reaching into the multiples.</w:t>
            </w:r>
          </w:p>
        </w:tc>
        <w:tc>
          <w:tcPr>
            <w:tcW w:w="0" w:type="auto"/>
            <w:tcBorders>
              <w:bottom w:val="single" w:sz="6" w:space="0" w:color="000000"/>
              <w:right w:val="single" w:sz="6" w:space="0" w:color="000000"/>
            </w:tcBorders>
            <w:tcMar>
              <w:top w:w="75" w:type="dxa"/>
              <w:left w:w="75" w:type="dxa"/>
              <w:bottom w:w="75" w:type="dxa"/>
              <w:right w:w="75" w:type="dxa"/>
            </w:tcMar>
            <w:hideMark/>
          </w:tcPr>
          <w:p w14:paraId="6C2BBD44" w14:textId="77777777" w:rsidR="005E22BD" w:rsidRDefault="000A11B9">
            <w:pPr>
              <w:rPr>
                <w:rFonts w:eastAsia="Times New Roman" w:cs="Arial"/>
                <w:szCs w:val="22"/>
              </w:rPr>
            </w:pPr>
            <w:r>
              <w:rPr>
                <w:rFonts w:eastAsia="Times New Roman" w:cs="Arial"/>
                <w:szCs w:val="22"/>
              </w:rPr>
              <w:t>a(1)</w:t>
            </w:r>
          </w:p>
        </w:tc>
      </w:tr>
    </w:tbl>
    <w:p w14:paraId="1E8B573E"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9D4C55" w14:paraId="61813A0E" w14:textId="77777777" w:rsidTr="00080296">
        <w:tc>
          <w:tcPr>
            <w:tcW w:w="10170" w:type="dxa"/>
          </w:tcPr>
          <w:p w14:paraId="0CD27A8E" w14:textId="77777777" w:rsidR="009D4C55" w:rsidRDefault="009D4C55" w:rsidP="009D4C55">
            <w:pPr>
              <w:ind w:right="360"/>
              <w:rPr>
                <w:rFonts w:eastAsia="Times New Roman" w:cs="Arial"/>
                <w:szCs w:val="22"/>
              </w:rPr>
            </w:pPr>
            <w:r>
              <w:rPr>
                <w:rFonts w:eastAsia="Times New Roman" w:cs="Arial"/>
                <w:szCs w:val="22"/>
              </w:rPr>
              <w:t xml:space="preserve">c(2) (continuous improvement) was noted as a lower-ranked STR by Ex4 and Ex6. I think other points are more compelling. </w:t>
            </w:r>
          </w:p>
          <w:p w14:paraId="198013B8" w14:textId="04820184" w:rsidR="009D4C55" w:rsidRDefault="009D4C55" w:rsidP="00AD4815">
            <w:pPr>
              <w:ind w:right="360"/>
              <w:rPr>
                <w:rFonts w:eastAsia="Times New Roman" w:cs="Arial"/>
                <w:szCs w:val="22"/>
              </w:rPr>
            </w:pPr>
            <w:r>
              <w:rPr>
                <w:rFonts w:eastAsia="Times New Roman" w:cs="Arial"/>
                <w:szCs w:val="22"/>
              </w:rPr>
              <w:t xml:space="preserve">We could fold this into the "b" comment with just a word tweak if we chose to. </w:t>
            </w:r>
            <w:r w:rsidR="005E3D0E">
              <w:rPr>
                <w:rFonts w:eastAsia="Times New Roman" w:cs="Arial"/>
                <w:szCs w:val="22"/>
              </w:rPr>
              <w:t xml:space="preserve"> </w:t>
            </w:r>
          </w:p>
        </w:tc>
      </w:tr>
    </w:tbl>
    <w:p w14:paraId="201779BF"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23"/>
        <w:gridCol w:w="4234"/>
        <w:gridCol w:w="1200"/>
      </w:tblGrid>
      <w:tr w:rsidR="005E22BD" w14:paraId="5BC67771"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3FA6488A"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693999CA"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61CDDB68"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1671CBE"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5513AC89"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67E122C2"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2FF5E38" w14:textId="5C86EB3A" w:rsidR="005E22BD" w:rsidRDefault="000A11B9">
            <w:pPr>
              <w:rPr>
                <w:rFonts w:eastAsia="Times New Roman" w:cs="Arial"/>
                <w:szCs w:val="22"/>
              </w:rPr>
            </w:pPr>
            <w:r>
              <w:rPr>
                <w:rFonts w:eastAsia="Times New Roman" w:cs="Arial"/>
                <w:szCs w:val="22"/>
              </w:rPr>
              <w:t xml:space="preserve">It is not clear how the applicant deploys priorities from its performance reviews to its key suppliers, </w:t>
            </w:r>
            <w:r w:rsidR="00FC7C2D">
              <w:rPr>
                <w:rFonts w:eastAsia="Times New Roman" w:cs="Arial"/>
                <w:szCs w:val="22"/>
              </w:rPr>
              <w:t>partners,</w:t>
            </w:r>
            <w:r>
              <w:rPr>
                <w:rFonts w:eastAsia="Times New Roman" w:cs="Arial"/>
                <w:szCs w:val="22"/>
              </w:rPr>
              <w:t xml:space="preserve"> and collaborators. For example, it is unclear how the leader of each priority captured in the APMS deploys those priorities to suppliers of student support services such as providers of technology, laboratory support, the bookstore, and dining. </w:t>
            </w:r>
            <w:r w:rsidR="000E2FC0">
              <w:rPr>
                <w:rFonts w:eastAsia="Times New Roman" w:cs="Arial"/>
                <w:szCs w:val="22"/>
              </w:rPr>
              <w:t>En</w:t>
            </w:r>
            <w:r>
              <w:rPr>
                <w:rFonts w:eastAsia="Times New Roman" w:cs="Arial"/>
                <w:szCs w:val="22"/>
              </w:rPr>
              <w:t>suring deployment of improvement priorities to key suppliers may help in reinforcing the applicant</w:t>
            </w:r>
            <w:r w:rsidR="005663C4">
              <w:rPr>
                <w:rFonts w:eastAsia="Times New Roman" w:cs="Arial"/>
                <w:szCs w:val="22"/>
              </w:rPr>
              <w:t>’</w:t>
            </w:r>
            <w:r>
              <w:rPr>
                <w:rFonts w:eastAsia="Times New Roman" w:cs="Arial"/>
                <w:szCs w:val="22"/>
              </w:rPr>
              <w:t>s first core competency</w:t>
            </w:r>
            <w:r w:rsidR="000834C7">
              <w:rPr>
                <w:rFonts w:eastAsia="Times New Roman" w:cs="Arial"/>
                <w:szCs w:val="22"/>
              </w:rPr>
              <w:t>—</w:t>
            </w:r>
            <w:r>
              <w:rPr>
                <w:rFonts w:eastAsia="Times New Roman" w:cs="Arial"/>
                <w:szCs w:val="22"/>
              </w:rPr>
              <w:t>providing exceptional student support services.</w:t>
            </w:r>
          </w:p>
        </w:tc>
        <w:tc>
          <w:tcPr>
            <w:tcW w:w="0" w:type="auto"/>
            <w:tcBorders>
              <w:bottom w:val="single" w:sz="6" w:space="0" w:color="000000"/>
              <w:right w:val="single" w:sz="6" w:space="0" w:color="000000"/>
            </w:tcBorders>
            <w:tcMar>
              <w:top w:w="75" w:type="dxa"/>
              <w:left w:w="75" w:type="dxa"/>
              <w:bottom w:w="75" w:type="dxa"/>
              <w:right w:w="75" w:type="dxa"/>
            </w:tcMar>
            <w:hideMark/>
          </w:tcPr>
          <w:p w14:paraId="59CE59D7" w14:textId="3EFAFF7D" w:rsidR="005D7B5E" w:rsidRDefault="000A11B9">
            <w:pPr>
              <w:rPr>
                <w:rFonts w:eastAsia="Times New Roman" w:cs="Arial"/>
                <w:szCs w:val="22"/>
              </w:rPr>
            </w:pPr>
            <w:r>
              <w:rPr>
                <w:rFonts w:eastAsia="Times New Roman" w:cs="Arial"/>
                <w:szCs w:val="22"/>
              </w:rPr>
              <w:t>I</w:t>
            </w:r>
            <w:r w:rsidR="005663C4">
              <w:rPr>
                <w:rFonts w:eastAsia="Times New Roman" w:cs="Arial"/>
                <w:szCs w:val="22"/>
              </w:rPr>
              <w:t>’</w:t>
            </w:r>
            <w:r>
              <w:rPr>
                <w:rFonts w:eastAsia="Times New Roman" w:cs="Arial"/>
                <w:szCs w:val="22"/>
              </w:rPr>
              <w:t xml:space="preserve">m going to lead with this OFI because the relevance was so clear and specific to this applicant: reinforcement of one of its three core competencies. After team discussion, we left the nugget broad, but focused the example on suppliers. </w:t>
            </w:r>
          </w:p>
          <w:p w14:paraId="5C598297" w14:textId="77777777" w:rsidR="005E22BD" w:rsidRDefault="000A11B9">
            <w:pPr>
              <w:rPr>
                <w:rFonts w:eastAsia="Times New Roman" w:cs="Arial"/>
                <w:szCs w:val="22"/>
              </w:rPr>
            </w:pPr>
            <w:r>
              <w:rPr>
                <w:rFonts w:eastAsia="Times New Roman" w:cs="Arial"/>
                <w:szCs w:val="22"/>
              </w:rPr>
              <w:t>This OFI is at the multiple level and focuses on D.</w:t>
            </w:r>
          </w:p>
        </w:tc>
        <w:tc>
          <w:tcPr>
            <w:tcW w:w="0" w:type="auto"/>
            <w:tcBorders>
              <w:bottom w:val="single" w:sz="6" w:space="0" w:color="000000"/>
              <w:right w:val="single" w:sz="6" w:space="0" w:color="000000"/>
            </w:tcBorders>
            <w:tcMar>
              <w:top w:w="75" w:type="dxa"/>
              <w:left w:w="75" w:type="dxa"/>
              <w:bottom w:w="75" w:type="dxa"/>
              <w:right w:w="75" w:type="dxa"/>
            </w:tcMar>
            <w:hideMark/>
          </w:tcPr>
          <w:p w14:paraId="70F3D3DD" w14:textId="77777777" w:rsidR="005E22BD" w:rsidRDefault="000A11B9">
            <w:pPr>
              <w:rPr>
                <w:rFonts w:eastAsia="Times New Roman" w:cs="Arial"/>
                <w:szCs w:val="22"/>
              </w:rPr>
            </w:pPr>
            <w:r>
              <w:rPr>
                <w:rFonts w:eastAsia="Times New Roman" w:cs="Arial"/>
                <w:szCs w:val="22"/>
              </w:rPr>
              <w:t>c(2)</w:t>
            </w:r>
          </w:p>
        </w:tc>
      </w:tr>
      <w:tr w:rsidR="005E22BD" w14:paraId="12083351"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ECEE94B"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2D8E72C" w14:textId="4B2ACFD1" w:rsidR="005E22BD" w:rsidRDefault="000A11B9">
            <w:pPr>
              <w:rPr>
                <w:rFonts w:eastAsia="Times New Roman" w:cs="Arial"/>
                <w:szCs w:val="22"/>
              </w:rPr>
            </w:pPr>
            <w:r>
              <w:rPr>
                <w:rFonts w:eastAsia="Times New Roman" w:cs="Arial"/>
                <w:szCs w:val="22"/>
              </w:rPr>
              <w:t xml:space="preserve">It is unclear how the applicant considers competitive performance and data as it reviews organizational performance and projects future performance. For example, it is unclear how this occurs in the SOPRP, the SP3, or other related </w:t>
            </w:r>
            <w:r>
              <w:rPr>
                <w:rFonts w:eastAsia="Times New Roman" w:cs="Arial"/>
                <w:szCs w:val="22"/>
              </w:rPr>
              <w:lastRenderedPageBreak/>
              <w:t>processes. Inclusion of competitive performance and data in these processes may assist the applicant in understanding the impact of increased competition for students and qualified staff</w:t>
            </w:r>
            <w:r w:rsidR="000E2FC0">
              <w:rPr>
                <w:rFonts w:eastAsia="Times New Roman" w:cs="Arial"/>
                <w:szCs w:val="22"/>
              </w:rPr>
              <w:t xml:space="preserve"> members</w:t>
            </w:r>
            <w:r>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6293F74" w14:textId="1B8056FD" w:rsidR="00FC7C2D" w:rsidRDefault="000A11B9">
            <w:pPr>
              <w:rPr>
                <w:rFonts w:eastAsia="Times New Roman" w:cs="Arial"/>
                <w:szCs w:val="22"/>
              </w:rPr>
            </w:pPr>
            <w:r>
              <w:rPr>
                <w:rFonts w:eastAsia="Times New Roman" w:cs="Arial"/>
                <w:szCs w:val="22"/>
              </w:rPr>
              <w:lastRenderedPageBreak/>
              <w:t>We</w:t>
            </w:r>
            <w:r w:rsidR="005663C4">
              <w:rPr>
                <w:rFonts w:eastAsia="Times New Roman" w:cs="Arial"/>
                <w:szCs w:val="22"/>
              </w:rPr>
              <w:t>’</w:t>
            </w:r>
            <w:r>
              <w:rPr>
                <w:rFonts w:eastAsia="Times New Roman" w:cs="Arial"/>
                <w:szCs w:val="22"/>
              </w:rPr>
              <w:t xml:space="preserve">re focusing on a narrow part of the multiple </w:t>
            </w:r>
            <w:r w:rsidR="00FD460C">
              <w:rPr>
                <w:rFonts w:eastAsia="Times New Roman" w:cs="Arial"/>
                <w:szCs w:val="22"/>
              </w:rPr>
              <w:t>questions</w:t>
            </w:r>
            <w:r>
              <w:rPr>
                <w:rFonts w:eastAsia="Times New Roman" w:cs="Arial"/>
                <w:szCs w:val="22"/>
              </w:rPr>
              <w:t xml:space="preserve"> here (thinking about competitors), but this is incredibly important given the forces in higher </w:t>
            </w:r>
            <w:r>
              <w:rPr>
                <w:rFonts w:eastAsia="Times New Roman" w:cs="Arial"/>
                <w:szCs w:val="22"/>
              </w:rPr>
              <w:lastRenderedPageBreak/>
              <w:t xml:space="preserve">education: a shrinking student base and funding cuts. </w:t>
            </w:r>
          </w:p>
          <w:p w14:paraId="17740F06" w14:textId="77777777" w:rsidR="00FC7C2D" w:rsidRDefault="000A11B9">
            <w:pPr>
              <w:rPr>
                <w:rFonts w:eastAsia="Times New Roman" w:cs="Arial"/>
                <w:szCs w:val="22"/>
              </w:rPr>
            </w:pPr>
            <w:r>
              <w:rPr>
                <w:rFonts w:eastAsia="Times New Roman" w:cs="Arial"/>
                <w:szCs w:val="22"/>
              </w:rPr>
              <w:t xml:space="preserve">Competitors are mentioned in the "b" and c(1) </w:t>
            </w:r>
            <w:r w:rsidR="00FD460C">
              <w:rPr>
                <w:rFonts w:eastAsia="Times New Roman" w:cs="Arial"/>
                <w:szCs w:val="22"/>
              </w:rPr>
              <w:t>questions</w:t>
            </w:r>
            <w:r>
              <w:rPr>
                <w:rFonts w:eastAsia="Times New Roman" w:cs="Arial"/>
                <w:szCs w:val="22"/>
              </w:rPr>
              <w:t xml:space="preserve"> in 4.1. </w:t>
            </w:r>
          </w:p>
          <w:p w14:paraId="5A711067" w14:textId="592BEF3E" w:rsidR="005E22BD" w:rsidRDefault="000A11B9">
            <w:pPr>
              <w:rPr>
                <w:rFonts w:eastAsia="Times New Roman" w:cs="Arial"/>
                <w:szCs w:val="22"/>
              </w:rPr>
            </w:pPr>
            <w:r>
              <w:rPr>
                <w:rFonts w:eastAsia="Times New Roman" w:cs="Arial"/>
                <w:szCs w:val="22"/>
              </w:rPr>
              <w:t>And note that this comment</w:t>
            </w:r>
            <w:r w:rsidR="004B6205">
              <w:rPr>
                <w:rFonts w:eastAsia="Times New Roman" w:cs="Arial"/>
                <w:szCs w:val="22"/>
              </w:rPr>
              <w:t xml:space="preserve"> acknowledges</w:t>
            </w:r>
            <w:r>
              <w:rPr>
                <w:rFonts w:eastAsia="Times New Roman" w:cs="Arial"/>
                <w:szCs w:val="22"/>
              </w:rPr>
              <w:t xml:space="preserve"> </w:t>
            </w:r>
            <w:r w:rsidR="004B6205">
              <w:rPr>
                <w:rFonts w:eastAsia="Times New Roman" w:cs="Arial"/>
                <w:szCs w:val="22"/>
              </w:rPr>
              <w:t>the exist</w:t>
            </w:r>
            <w:r w:rsidR="000E2FC0">
              <w:rPr>
                <w:rFonts w:eastAsia="Times New Roman" w:cs="Arial"/>
                <w:szCs w:val="22"/>
              </w:rPr>
              <w:t>ing</w:t>
            </w:r>
            <w:r w:rsidR="004B6205">
              <w:rPr>
                <w:rFonts w:eastAsia="Times New Roman" w:cs="Arial"/>
                <w:szCs w:val="22"/>
              </w:rPr>
              <w:t xml:space="preserve"> use of </w:t>
            </w:r>
            <w:r>
              <w:rPr>
                <w:rFonts w:eastAsia="Times New Roman" w:cs="Arial"/>
                <w:szCs w:val="22"/>
              </w:rPr>
              <w:t>the SOPRP (for reviewing org performance) and the SP3 (for projecting performance).</w:t>
            </w:r>
            <w:r w:rsidR="004B6205">
              <w:rPr>
                <w:rFonts w:eastAsia="Times New Roman" w:cs="Arial"/>
                <w:szCs w:val="22"/>
              </w:rPr>
              <w:t xml:space="preserve"> This </w:t>
            </w:r>
            <w:r w:rsidR="00013625">
              <w:rPr>
                <w:rFonts w:eastAsia="Times New Roman" w:cs="Arial"/>
                <w:szCs w:val="22"/>
              </w:rPr>
              <w:t>comment points not to</w:t>
            </w:r>
            <w:r w:rsidR="004B6205">
              <w:rPr>
                <w:rFonts w:eastAsia="Times New Roman" w:cs="Arial"/>
                <w:szCs w:val="22"/>
              </w:rPr>
              <w:t xml:space="preserve"> a complete gap but </w:t>
            </w:r>
            <w:r w:rsidR="00013625">
              <w:rPr>
                <w:rFonts w:eastAsia="Times New Roman" w:cs="Arial"/>
                <w:szCs w:val="22"/>
              </w:rPr>
              <w:t xml:space="preserve">to </w:t>
            </w:r>
            <w:r w:rsidR="004B6205">
              <w:rPr>
                <w:rFonts w:eastAsia="Times New Roman" w:cs="Arial"/>
                <w:szCs w:val="22"/>
              </w:rPr>
              <w:t>an opportunity to improve existing systematic processes.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E8F143D" w14:textId="77777777" w:rsidR="005E22BD" w:rsidRDefault="000A11B9">
            <w:pPr>
              <w:rPr>
                <w:rFonts w:eastAsia="Times New Roman" w:cs="Arial"/>
                <w:szCs w:val="22"/>
              </w:rPr>
            </w:pPr>
            <w:r>
              <w:rPr>
                <w:rFonts w:eastAsia="Times New Roman" w:cs="Arial"/>
                <w:szCs w:val="22"/>
              </w:rPr>
              <w:lastRenderedPageBreak/>
              <w:t>b,c(1)</w:t>
            </w:r>
          </w:p>
        </w:tc>
      </w:tr>
      <w:tr w:rsidR="005E22BD" w14:paraId="325E5BF9"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5FA56505"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67214C4D" w14:textId="2D8F9EE6" w:rsidR="005E22BD" w:rsidRDefault="00013625">
            <w:pPr>
              <w:rPr>
                <w:rFonts w:eastAsia="Times New Roman" w:cs="Arial"/>
                <w:szCs w:val="22"/>
              </w:rPr>
            </w:pPr>
            <w:r>
              <w:rPr>
                <w:rFonts w:eastAsia="Times New Roman" w:cs="Arial"/>
                <w:szCs w:val="22"/>
              </w:rPr>
              <w:t>K</w:t>
            </w:r>
            <w:r w:rsidR="000A11B9">
              <w:rPr>
                <w:rFonts w:eastAsia="Times New Roman" w:cs="Arial"/>
                <w:szCs w:val="22"/>
              </w:rPr>
              <w:t xml:space="preserve">ey short- and longer-term financial measures </w:t>
            </w:r>
            <w:r>
              <w:rPr>
                <w:rFonts w:eastAsia="Times New Roman" w:cs="Arial"/>
                <w:szCs w:val="22"/>
              </w:rPr>
              <w:t xml:space="preserve">are not evident </w:t>
            </w:r>
            <w:r w:rsidR="000A11B9">
              <w:rPr>
                <w:rFonts w:eastAsia="Times New Roman" w:cs="Arial"/>
                <w:szCs w:val="22"/>
              </w:rPr>
              <w:t xml:space="preserve">among </w:t>
            </w:r>
            <w:r>
              <w:rPr>
                <w:rFonts w:eastAsia="Times New Roman" w:cs="Arial"/>
                <w:szCs w:val="22"/>
              </w:rPr>
              <w:t>the applicant</w:t>
            </w:r>
            <w:r w:rsidR="005663C4">
              <w:rPr>
                <w:rFonts w:eastAsia="Times New Roman" w:cs="Arial"/>
                <w:szCs w:val="22"/>
              </w:rPr>
              <w:t>’</w:t>
            </w:r>
            <w:r>
              <w:rPr>
                <w:rFonts w:eastAsia="Times New Roman" w:cs="Arial"/>
                <w:szCs w:val="22"/>
              </w:rPr>
              <w:t xml:space="preserve">s </w:t>
            </w:r>
            <w:r w:rsidR="000A11B9">
              <w:rPr>
                <w:rFonts w:eastAsia="Times New Roman" w:cs="Arial"/>
                <w:szCs w:val="22"/>
              </w:rPr>
              <w:t>S-KPIs. For example, no financial measures are listed with S-KPIs (Figure 2.1-1)</w:t>
            </w:r>
            <w:r w:rsidR="000E2FC0">
              <w:rPr>
                <w:rFonts w:eastAsia="Times New Roman" w:cs="Arial"/>
                <w:szCs w:val="22"/>
              </w:rPr>
              <w:t>;</w:t>
            </w:r>
            <w:r w:rsidR="000A11B9">
              <w:rPr>
                <w:rFonts w:eastAsia="Times New Roman" w:cs="Arial"/>
                <w:szCs w:val="22"/>
              </w:rPr>
              <w:t xml:space="preserve"> nor are any listed in the short-term O-KPIs (Figure 4.1-2). The lack of broad, </w:t>
            </w:r>
            <w:r w:rsidR="00FC7C2D">
              <w:rPr>
                <w:rFonts w:eastAsia="Times New Roman" w:cs="Arial"/>
                <w:szCs w:val="22"/>
              </w:rPr>
              <w:t>strategically focused</w:t>
            </w:r>
            <w:r w:rsidR="000A11B9">
              <w:rPr>
                <w:rFonts w:eastAsia="Times New Roman" w:cs="Arial"/>
                <w:szCs w:val="22"/>
              </w:rPr>
              <w:t xml:space="preserve"> financial measures among the S-KPIs </w:t>
            </w:r>
            <w:r>
              <w:rPr>
                <w:rFonts w:eastAsia="Times New Roman" w:cs="Arial"/>
                <w:szCs w:val="22"/>
              </w:rPr>
              <w:t xml:space="preserve">may </w:t>
            </w:r>
            <w:r w:rsidR="000A11B9">
              <w:rPr>
                <w:rFonts w:eastAsia="Times New Roman" w:cs="Arial"/>
                <w:szCs w:val="22"/>
              </w:rPr>
              <w:t>limit leaders</w:t>
            </w:r>
            <w:r w:rsidR="005663C4">
              <w:rPr>
                <w:rFonts w:eastAsia="Times New Roman" w:cs="Arial"/>
                <w:szCs w:val="22"/>
              </w:rPr>
              <w:t>’</w:t>
            </w:r>
            <w:r w:rsidR="000A11B9">
              <w:rPr>
                <w:rFonts w:eastAsia="Times New Roman" w:cs="Arial"/>
                <w:szCs w:val="22"/>
              </w:rPr>
              <w:t xml:space="preserve"> ability to manage county funds and to successfully navigate an environment with reduced state funding.</w:t>
            </w:r>
          </w:p>
        </w:tc>
        <w:tc>
          <w:tcPr>
            <w:tcW w:w="0" w:type="auto"/>
            <w:tcBorders>
              <w:bottom w:val="single" w:sz="6" w:space="0" w:color="000000"/>
              <w:right w:val="single" w:sz="6" w:space="0" w:color="000000"/>
            </w:tcBorders>
            <w:tcMar>
              <w:top w:w="75" w:type="dxa"/>
              <w:left w:w="75" w:type="dxa"/>
              <w:bottom w:w="75" w:type="dxa"/>
              <w:right w:w="75" w:type="dxa"/>
            </w:tcMar>
            <w:hideMark/>
          </w:tcPr>
          <w:p w14:paraId="03791DDD" w14:textId="15D42CA1" w:rsidR="005D7B5E" w:rsidRDefault="000A11B9">
            <w:pPr>
              <w:rPr>
                <w:rFonts w:eastAsia="Times New Roman" w:cs="Arial"/>
                <w:szCs w:val="22"/>
              </w:rPr>
            </w:pPr>
            <w:r>
              <w:rPr>
                <w:rFonts w:eastAsia="Times New Roman" w:cs="Arial"/>
                <w:szCs w:val="22"/>
              </w:rPr>
              <w:t>The team had two diametrically opposing thoughts about this multiple-level OFI: First, this certainly exists within the applicant and would be discovered 5 minutes into the site visit when talking to the CFO. On the other hand, it</w:t>
            </w:r>
            <w:r w:rsidR="005663C4">
              <w:rPr>
                <w:rFonts w:eastAsia="Times New Roman" w:cs="Arial"/>
                <w:szCs w:val="22"/>
              </w:rPr>
              <w:t>’</w:t>
            </w:r>
            <w:r>
              <w:rPr>
                <w:rFonts w:eastAsia="Times New Roman" w:cs="Arial"/>
                <w:szCs w:val="22"/>
              </w:rPr>
              <w:t>s a big omission. We decided to cut the baby in half: we</w:t>
            </w:r>
            <w:r w:rsidR="005663C4">
              <w:rPr>
                <w:rFonts w:eastAsia="Times New Roman" w:cs="Arial"/>
                <w:szCs w:val="22"/>
              </w:rPr>
              <w:t>’</w:t>
            </w:r>
            <w:r>
              <w:rPr>
                <w:rFonts w:eastAsia="Times New Roman" w:cs="Arial"/>
                <w:szCs w:val="22"/>
              </w:rPr>
              <w:t>ll move it to the bottom, so if the</w:t>
            </w:r>
            <w:r w:rsidR="00013625">
              <w:rPr>
                <w:rFonts w:eastAsia="Times New Roman" w:cs="Arial"/>
                <w:szCs w:val="22"/>
              </w:rPr>
              <w:t xml:space="preserve"> applicant doesn</w:t>
            </w:r>
            <w:r w:rsidR="005663C4">
              <w:rPr>
                <w:rFonts w:eastAsia="Times New Roman" w:cs="Arial"/>
                <w:szCs w:val="22"/>
              </w:rPr>
              <w:t>’</w:t>
            </w:r>
            <w:r w:rsidR="00013625">
              <w:rPr>
                <w:rFonts w:eastAsia="Times New Roman" w:cs="Arial"/>
                <w:szCs w:val="22"/>
              </w:rPr>
              <w:t>t</w:t>
            </w:r>
            <w:r>
              <w:rPr>
                <w:rFonts w:eastAsia="Times New Roman" w:cs="Arial"/>
                <w:szCs w:val="22"/>
              </w:rPr>
              <w:t xml:space="preserve"> get a site visit, </w:t>
            </w:r>
            <w:r w:rsidR="00013625">
              <w:rPr>
                <w:rFonts w:eastAsia="Times New Roman" w:cs="Arial"/>
                <w:szCs w:val="22"/>
              </w:rPr>
              <w:t>it</w:t>
            </w:r>
            <w:r>
              <w:rPr>
                <w:rFonts w:eastAsia="Times New Roman" w:cs="Arial"/>
                <w:szCs w:val="22"/>
              </w:rPr>
              <w:t xml:space="preserve"> will know about this omission. </w:t>
            </w:r>
          </w:p>
          <w:p w14:paraId="587B4C60" w14:textId="3F044477" w:rsidR="005E22BD" w:rsidRDefault="000A11B9">
            <w:pPr>
              <w:rPr>
                <w:rFonts w:eastAsia="Times New Roman" w:cs="Arial"/>
                <w:szCs w:val="22"/>
              </w:rPr>
            </w:pPr>
            <w:r>
              <w:rPr>
                <w:rFonts w:eastAsia="Times New Roman" w:cs="Arial"/>
                <w:szCs w:val="22"/>
              </w:rPr>
              <w:t>This OFI is at the multiple level and is largely integration</w:t>
            </w:r>
            <w:r w:rsidR="00013625">
              <w:rPr>
                <w:rFonts w:eastAsia="Times New Roman" w:cs="Arial"/>
                <w:szCs w:val="22"/>
              </w:rPr>
              <w:t xml:space="preserve"> </w:t>
            </w:r>
            <w:r>
              <w:rPr>
                <w:rFonts w:eastAsia="Times New Roman" w:cs="Arial"/>
                <w:szCs w:val="22"/>
              </w:rPr>
              <w:t xml:space="preserve">focused. Note: Two narrow financial O-KPIs for the finance department were mentioned in Figure 6.1-1, but those are not S-KPIs. </w:t>
            </w:r>
          </w:p>
        </w:tc>
        <w:tc>
          <w:tcPr>
            <w:tcW w:w="0" w:type="auto"/>
            <w:tcBorders>
              <w:bottom w:val="single" w:sz="6" w:space="0" w:color="000000"/>
              <w:right w:val="single" w:sz="6" w:space="0" w:color="000000"/>
            </w:tcBorders>
            <w:tcMar>
              <w:top w:w="75" w:type="dxa"/>
              <w:left w:w="75" w:type="dxa"/>
              <w:bottom w:w="75" w:type="dxa"/>
              <w:right w:w="75" w:type="dxa"/>
            </w:tcMar>
            <w:hideMark/>
          </w:tcPr>
          <w:p w14:paraId="0D2DD558" w14:textId="77777777" w:rsidR="005E22BD" w:rsidRDefault="000A11B9">
            <w:pPr>
              <w:rPr>
                <w:rFonts w:eastAsia="Times New Roman" w:cs="Arial"/>
                <w:szCs w:val="22"/>
              </w:rPr>
            </w:pPr>
            <w:r>
              <w:rPr>
                <w:rFonts w:eastAsia="Times New Roman" w:cs="Arial"/>
                <w:szCs w:val="22"/>
              </w:rPr>
              <w:t>a(1)</w:t>
            </w:r>
          </w:p>
        </w:tc>
      </w:tr>
    </w:tbl>
    <w:p w14:paraId="68FB327A"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0E3D77D9" w14:textId="77777777" w:rsidTr="00080296">
        <w:tc>
          <w:tcPr>
            <w:tcW w:w="10170" w:type="dxa"/>
          </w:tcPr>
          <w:p w14:paraId="0C5F5195" w14:textId="77777777" w:rsidR="00080296" w:rsidRDefault="00080296" w:rsidP="00080296">
            <w:pPr>
              <w:rPr>
                <w:rFonts w:eastAsia="Times New Roman" w:cs="Arial"/>
                <w:szCs w:val="22"/>
              </w:rPr>
            </w:pPr>
            <w:r>
              <w:rPr>
                <w:rFonts w:eastAsia="Times New Roman" w:cs="Arial"/>
                <w:szCs w:val="22"/>
              </w:rPr>
              <w:t xml:space="preserve">Ex3 specifically noted tech partners in her "b" OFI. Since we went in a different direction in that "b" OFI, should we consider including tech partners in our c(2) OFI (I excluded it because the core competency was an ideal match)? Or, is there some cross-cutting OFI in 4.1 that applies to tech partners? So, subject matter experts: think about the relevance of something like that. It would be an out-of-the-box approach, for sure. But, perhaps, of value if accurate and relevant. </w:t>
            </w:r>
          </w:p>
          <w:p w14:paraId="3FC96DDD" w14:textId="07C0E732" w:rsidR="00080296" w:rsidRDefault="00080296" w:rsidP="00080296">
            <w:pPr>
              <w:rPr>
                <w:rFonts w:eastAsia="Times New Roman" w:cs="Arial"/>
                <w:szCs w:val="22"/>
              </w:rPr>
            </w:pPr>
            <w:r>
              <w:rPr>
                <w:rFonts w:eastAsia="Times New Roman" w:cs="Arial"/>
                <w:szCs w:val="22"/>
              </w:rPr>
              <w:t>"b" OFIs from Ex2 and Ex7. Lack of clarity about how performance reviews are done. They are right. It is blurry. But we</w:t>
            </w:r>
            <w:r w:rsidR="005663C4">
              <w:rPr>
                <w:rFonts w:eastAsia="Times New Roman" w:cs="Arial"/>
                <w:szCs w:val="22"/>
              </w:rPr>
              <w:t>’</w:t>
            </w:r>
            <w:r>
              <w:rPr>
                <w:rFonts w:eastAsia="Times New Roman" w:cs="Arial"/>
                <w:szCs w:val="22"/>
              </w:rPr>
              <w:t xml:space="preserve">re giving benefit of the doubt and a STR for "b." A site visit will help us sort it out. </w:t>
            </w:r>
          </w:p>
          <w:p w14:paraId="2D887B9F" w14:textId="0E722051" w:rsidR="00080296" w:rsidRDefault="00080296" w:rsidP="00080296">
            <w:pPr>
              <w:rPr>
                <w:rFonts w:eastAsia="Times New Roman" w:cs="Arial"/>
                <w:szCs w:val="22"/>
              </w:rPr>
            </w:pPr>
            <w:r>
              <w:rPr>
                <w:rFonts w:eastAsia="Times New Roman" w:cs="Arial"/>
                <w:szCs w:val="22"/>
              </w:rPr>
              <w:t>a(2) OFIs from Ex7 and Ex5. Lack of clarity about how comparative data is selected, etc. They are right. It is blurry. But we</w:t>
            </w:r>
            <w:r w:rsidR="005663C4">
              <w:rPr>
                <w:rFonts w:eastAsia="Times New Roman" w:cs="Arial"/>
                <w:szCs w:val="22"/>
              </w:rPr>
              <w:t>’</w:t>
            </w:r>
            <w:r>
              <w:rPr>
                <w:rFonts w:eastAsia="Times New Roman" w:cs="Arial"/>
                <w:szCs w:val="22"/>
              </w:rPr>
              <w:t xml:space="preserve">re giving benefit of the doubt and a STR. A site visit will help us sort it out. </w:t>
            </w:r>
          </w:p>
          <w:p w14:paraId="67FB4F69" w14:textId="4B4E6AEA" w:rsidR="00080296" w:rsidRDefault="00080296" w:rsidP="00080296">
            <w:pPr>
              <w:rPr>
                <w:rFonts w:eastAsia="Times New Roman" w:cs="Arial"/>
                <w:szCs w:val="22"/>
              </w:rPr>
            </w:pPr>
            <w:r>
              <w:rPr>
                <w:rFonts w:eastAsia="Times New Roman" w:cs="Arial"/>
                <w:szCs w:val="22"/>
              </w:rPr>
              <w:t>a(3) OFIs from Ex1 and Ex6. Lack of performance measurement system responsive to agility. Decided that this isn</w:t>
            </w:r>
            <w:r w:rsidR="005663C4">
              <w:rPr>
                <w:rFonts w:eastAsia="Times New Roman" w:cs="Arial"/>
                <w:szCs w:val="22"/>
              </w:rPr>
              <w:t>’</w:t>
            </w:r>
            <w:r>
              <w:rPr>
                <w:rFonts w:eastAsia="Times New Roman" w:cs="Arial"/>
                <w:szCs w:val="22"/>
              </w:rPr>
              <w:t xml:space="preserve">t important enough to include as either a STR or an OFI. Letting it fall to the cutting room floor. </w:t>
            </w:r>
          </w:p>
          <w:p w14:paraId="79FA312D" w14:textId="1A686249" w:rsidR="00080296" w:rsidRDefault="00080296" w:rsidP="00080296">
            <w:pPr>
              <w:rPr>
                <w:rFonts w:eastAsia="Times New Roman" w:cs="Arial"/>
                <w:szCs w:val="22"/>
              </w:rPr>
            </w:pPr>
            <w:r>
              <w:rPr>
                <w:rFonts w:eastAsia="Times New Roman" w:cs="Arial"/>
                <w:szCs w:val="22"/>
              </w:rPr>
              <w:t>Overall learning OFI for 4.1 from Ex5. She wanted to see some actual examples of improvements, etc. They pretty specifically said that they had numerous cycles of improvement (with no other detail, which is unnerving, I know), so I think we have to give them benefit of the doubt here and be ready to explore it at site. And if they were embellishing their application, that</w:t>
            </w:r>
            <w:r w:rsidR="005663C4">
              <w:rPr>
                <w:rFonts w:eastAsia="Times New Roman" w:cs="Arial"/>
                <w:szCs w:val="22"/>
              </w:rPr>
              <w:t>’</w:t>
            </w:r>
            <w:r>
              <w:rPr>
                <w:rFonts w:eastAsia="Times New Roman" w:cs="Arial"/>
                <w:szCs w:val="22"/>
              </w:rPr>
              <w:t>s on them.</w:t>
            </w:r>
          </w:p>
        </w:tc>
      </w:tr>
    </w:tbl>
    <w:p w14:paraId="450E017F"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170"/>
      </w:tblGrid>
      <w:tr w:rsidR="00080296" w14:paraId="7D6D82E7" w14:textId="77777777" w:rsidTr="00080296">
        <w:tc>
          <w:tcPr>
            <w:tcW w:w="10170" w:type="dxa"/>
          </w:tcPr>
          <w:p w14:paraId="01DE6A2A" w14:textId="77777777" w:rsidR="00080296" w:rsidRDefault="00080296" w:rsidP="00080296">
            <w:pPr>
              <w:ind w:right="720"/>
              <w:rPr>
                <w:rFonts w:eastAsia="Times New Roman" w:cs="Arial"/>
                <w:szCs w:val="22"/>
              </w:rPr>
            </w:pPr>
            <w:r w:rsidRPr="00FD460C">
              <w:rPr>
                <w:rFonts w:eastAsia="Times New Roman" w:cs="Arial"/>
                <w:b/>
                <w:bCs/>
                <w:szCs w:val="22"/>
              </w:rPr>
              <w:t>Score Value:</w:t>
            </w:r>
            <w:r w:rsidRPr="00FD460C">
              <w:rPr>
                <w:rFonts w:eastAsia="Times New Roman" w:cs="Arial"/>
                <w:szCs w:val="22"/>
              </w:rPr>
              <w:t xml:space="preserve"> </w:t>
            </w:r>
            <w:r w:rsidRPr="00FD460C">
              <w:rPr>
                <w:rStyle w:val="Strong"/>
                <w:rFonts w:eastAsia="Times New Roman" w:cs="Arial"/>
                <w:b w:val="0"/>
                <w:bCs w:val="0"/>
                <w:szCs w:val="22"/>
              </w:rPr>
              <w:t>65</w:t>
            </w:r>
          </w:p>
          <w:p w14:paraId="4C9B86CD" w14:textId="77777777" w:rsidR="00080296" w:rsidRDefault="00080296" w:rsidP="00080296">
            <w:pPr>
              <w:ind w:right="720"/>
              <w:rPr>
                <w:rFonts w:eastAsia="Times New Roman" w:cs="Arial"/>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058F5380" w14:textId="1D76DC75" w:rsidR="00080296" w:rsidRPr="00FD460C" w:rsidRDefault="00080296" w:rsidP="00080296">
            <w:pPr>
              <w:ind w:right="360"/>
              <w:rPr>
                <w:rStyle w:val="Strong"/>
                <w:rFonts w:eastAsia="Times New Roman" w:cs="Arial"/>
                <w:b w:val="0"/>
                <w:bCs w:val="0"/>
                <w:szCs w:val="22"/>
              </w:rPr>
            </w:pPr>
            <w:r w:rsidRPr="00FD460C">
              <w:rPr>
                <w:rFonts w:eastAsia="Times New Roman" w:cs="Arial"/>
                <w:b/>
                <w:bCs/>
                <w:szCs w:val="22"/>
              </w:rPr>
              <w:lastRenderedPageBreak/>
              <w:t>Why shouldn</w:t>
            </w:r>
            <w:r w:rsidR="005663C4">
              <w:rPr>
                <w:rFonts w:eastAsia="Times New Roman" w:cs="Arial"/>
                <w:b/>
                <w:bCs/>
                <w:szCs w:val="22"/>
              </w:rPr>
              <w:t>’</w:t>
            </w:r>
            <w:r w:rsidRPr="00FD460C">
              <w:rPr>
                <w:rFonts w:eastAsia="Times New Roman" w:cs="Arial"/>
                <w:b/>
                <w:bCs/>
                <w:szCs w:val="22"/>
              </w:rPr>
              <w:t>t the score be in the range above or below the selected one?</w:t>
            </w:r>
            <w:r w:rsidRPr="00FD460C">
              <w:rPr>
                <w:rFonts w:eastAsia="Times New Roman" w:cs="Arial"/>
                <w:szCs w:val="22"/>
              </w:rPr>
              <w:t xml:space="preserve"> </w:t>
            </w:r>
            <w:r w:rsidRPr="00FD460C">
              <w:rPr>
                <w:rStyle w:val="Strong"/>
                <w:rFonts w:eastAsia="Times New Roman" w:cs="Arial"/>
                <w:b w:val="0"/>
                <w:bCs w:val="0"/>
                <w:szCs w:val="22"/>
              </w:rPr>
              <w:t>T</w:t>
            </w:r>
            <w:r w:rsidR="007F464C">
              <w:rPr>
                <w:rStyle w:val="Strong"/>
                <w:rFonts w:eastAsia="Times New Roman" w:cs="Arial"/>
                <w:b w:val="0"/>
                <w:bCs w:val="0"/>
                <w:szCs w:val="22"/>
              </w:rPr>
              <w:t>wo of the t</w:t>
            </w:r>
            <w:r w:rsidRPr="00FD460C">
              <w:rPr>
                <w:rStyle w:val="Strong"/>
                <w:rFonts w:eastAsia="Times New Roman" w:cs="Arial"/>
                <w:b w:val="0"/>
                <w:bCs w:val="0"/>
                <w:szCs w:val="22"/>
              </w:rPr>
              <w:t>hree STRs are reaching into the multiples. My teammates tell me that deployment exists for them</w:t>
            </w:r>
            <w:r w:rsidRPr="00EF0034">
              <w:rPr>
                <w:rFonts w:eastAsia="Times New Roman" w:cs="Arial"/>
                <w:szCs w:val="22"/>
              </w:rPr>
              <w:t xml:space="preserve"> </w:t>
            </w:r>
            <w:r>
              <w:rPr>
                <w:rFonts w:eastAsia="Times New Roman" w:cs="Arial"/>
                <w:szCs w:val="22"/>
              </w:rPr>
              <w:t>(although I usually punt on deployment until the site visit unless it</w:t>
            </w:r>
            <w:r w:rsidR="005663C4">
              <w:rPr>
                <w:rFonts w:eastAsia="Times New Roman" w:cs="Arial"/>
                <w:szCs w:val="22"/>
              </w:rPr>
              <w:t>’</w:t>
            </w:r>
            <w:r>
              <w:rPr>
                <w:rFonts w:eastAsia="Times New Roman" w:cs="Arial"/>
                <w:szCs w:val="22"/>
              </w:rPr>
              <w:t>s screaming at me)</w:t>
            </w:r>
            <w:r w:rsidRPr="00FD460C">
              <w:rPr>
                <w:rStyle w:val="Strong"/>
                <w:rFonts w:eastAsia="Times New Roman" w:cs="Arial"/>
                <w:b w:val="0"/>
                <w:bCs w:val="0"/>
                <w:szCs w:val="22"/>
              </w:rPr>
              <w:t>. Although the applicant doesn</w:t>
            </w:r>
            <w:r w:rsidR="005663C4">
              <w:rPr>
                <w:rStyle w:val="Strong"/>
                <w:rFonts w:eastAsia="Times New Roman" w:cs="Arial"/>
                <w:b w:val="0"/>
                <w:bCs w:val="0"/>
                <w:szCs w:val="22"/>
              </w:rPr>
              <w:t>’</w:t>
            </w:r>
            <w:r w:rsidRPr="00FD460C">
              <w:rPr>
                <w:rStyle w:val="Strong"/>
                <w:rFonts w:eastAsia="Times New Roman" w:cs="Arial"/>
                <w:b w:val="0"/>
                <w:bCs w:val="0"/>
                <w:szCs w:val="22"/>
              </w:rPr>
              <w:t>t tell us how they go about learning, they emphatically say, "we</w:t>
            </w:r>
            <w:r w:rsidR="005663C4">
              <w:rPr>
                <w:rStyle w:val="Strong"/>
                <w:rFonts w:eastAsia="Times New Roman" w:cs="Arial"/>
                <w:b w:val="0"/>
                <w:bCs w:val="0"/>
                <w:szCs w:val="22"/>
              </w:rPr>
              <w:t>’</w:t>
            </w:r>
            <w:r w:rsidRPr="00FD460C">
              <w:rPr>
                <w:rStyle w:val="Strong"/>
                <w:rFonts w:eastAsia="Times New Roman" w:cs="Arial"/>
                <w:b w:val="0"/>
                <w:bCs w:val="0"/>
                <w:szCs w:val="22"/>
              </w:rPr>
              <w:t>ve put X through Y cycles of improvement" and we</w:t>
            </w:r>
            <w:r w:rsidR="005663C4">
              <w:rPr>
                <w:rStyle w:val="Strong"/>
                <w:rFonts w:eastAsia="Times New Roman" w:cs="Arial"/>
                <w:b w:val="0"/>
                <w:bCs w:val="0"/>
                <w:szCs w:val="22"/>
              </w:rPr>
              <w:t>’</w:t>
            </w:r>
            <w:r w:rsidRPr="00FD460C">
              <w:rPr>
                <w:rStyle w:val="Strong"/>
                <w:rFonts w:eastAsia="Times New Roman" w:cs="Arial"/>
                <w:b w:val="0"/>
                <w:bCs w:val="0"/>
                <w:szCs w:val="22"/>
              </w:rPr>
              <w:t xml:space="preserve">re giving benefit of the doubt. Integration is well-documented for the STRs. And all the STRs relate to something relevant to the applicant. </w:t>
            </w:r>
            <w:r>
              <w:rPr>
                <w:rFonts w:eastAsia="Times New Roman" w:cs="Arial"/>
                <w:szCs w:val="22"/>
              </w:rPr>
              <w:t>None of the STRs are technical or academic (no pun intended) for them. They are meaty.</w:t>
            </w:r>
          </w:p>
          <w:p w14:paraId="668304A1" w14:textId="75225FB1" w:rsidR="00080296" w:rsidRDefault="00080296" w:rsidP="00080296">
            <w:pPr>
              <w:ind w:right="360"/>
              <w:rPr>
                <w:rFonts w:eastAsia="Times New Roman" w:cs="Arial"/>
                <w:szCs w:val="22"/>
              </w:rPr>
            </w:pPr>
            <w:r>
              <w:rPr>
                <w:rFonts w:eastAsia="Times New Roman" w:cs="Arial"/>
                <w:szCs w:val="22"/>
              </w:rPr>
              <w:t>Some of you might be having indigestion because some of the responses were blurry. They often said that X happens within a big process Y, but it</w:t>
            </w:r>
            <w:r w:rsidR="005663C4">
              <w:rPr>
                <w:rFonts w:eastAsia="Times New Roman" w:cs="Arial"/>
                <w:szCs w:val="22"/>
              </w:rPr>
              <w:t>’</w:t>
            </w:r>
            <w:r>
              <w:rPr>
                <w:rFonts w:eastAsia="Times New Roman" w:cs="Arial"/>
                <w:szCs w:val="22"/>
              </w:rPr>
              <w:t>s not totally clear how it happens in there. When applicants do this, it makes it hard for us examiners. In this case, we</w:t>
            </w:r>
            <w:r w:rsidR="005663C4">
              <w:rPr>
                <w:rFonts w:eastAsia="Times New Roman" w:cs="Arial"/>
                <w:szCs w:val="22"/>
              </w:rPr>
              <w:t>’</w:t>
            </w:r>
            <w:r>
              <w:rPr>
                <w:rFonts w:eastAsia="Times New Roman" w:cs="Arial"/>
                <w:szCs w:val="22"/>
              </w:rPr>
              <w:t>re giving benefit of the doubt. If we get to a site visit, we</w:t>
            </w:r>
            <w:r w:rsidR="005663C4">
              <w:rPr>
                <w:rFonts w:eastAsia="Times New Roman" w:cs="Arial"/>
                <w:szCs w:val="22"/>
              </w:rPr>
              <w:t>’</w:t>
            </w:r>
            <w:r>
              <w:rPr>
                <w:rFonts w:eastAsia="Times New Roman" w:cs="Arial"/>
                <w:szCs w:val="22"/>
              </w:rPr>
              <w:t>ll get to inspect for ourselves. If we don</w:t>
            </w:r>
            <w:r w:rsidR="005663C4">
              <w:rPr>
                <w:rFonts w:eastAsia="Times New Roman" w:cs="Arial"/>
                <w:szCs w:val="22"/>
              </w:rPr>
              <w:t>’</w:t>
            </w:r>
            <w:r>
              <w:rPr>
                <w:rFonts w:eastAsia="Times New Roman" w:cs="Arial"/>
                <w:szCs w:val="22"/>
              </w:rPr>
              <w:t>t get to a site visit, we won</w:t>
            </w:r>
            <w:r w:rsidR="005663C4">
              <w:rPr>
                <w:rFonts w:eastAsia="Times New Roman" w:cs="Arial"/>
                <w:szCs w:val="22"/>
              </w:rPr>
              <w:t>’</w:t>
            </w:r>
            <w:r>
              <w:rPr>
                <w:rFonts w:eastAsia="Times New Roman" w:cs="Arial"/>
                <w:szCs w:val="22"/>
              </w:rPr>
              <w:t>t have irritated the applicant with OFIs they find unactionable in case they just didn</w:t>
            </w:r>
            <w:r w:rsidR="005663C4">
              <w:rPr>
                <w:rFonts w:eastAsia="Times New Roman" w:cs="Arial"/>
                <w:szCs w:val="22"/>
              </w:rPr>
              <w:t>’</w:t>
            </w:r>
            <w:r>
              <w:rPr>
                <w:rFonts w:eastAsia="Times New Roman" w:cs="Arial"/>
                <w:szCs w:val="22"/>
              </w:rPr>
              <w:t xml:space="preserve">t have enough room to include a more thorough response in their application. </w:t>
            </w:r>
          </w:p>
          <w:p w14:paraId="4B5577FE" w14:textId="3233A6F0" w:rsidR="00080296" w:rsidRPr="00FD460C" w:rsidRDefault="00080296" w:rsidP="00080296">
            <w:pPr>
              <w:ind w:right="360"/>
              <w:rPr>
                <w:rStyle w:val="Strong"/>
                <w:rFonts w:eastAsia="Times New Roman" w:cs="Arial"/>
                <w:b w:val="0"/>
                <w:bCs w:val="0"/>
                <w:szCs w:val="22"/>
              </w:rPr>
            </w:pPr>
            <w:r w:rsidRPr="00FD460C">
              <w:rPr>
                <w:rStyle w:val="Strong"/>
                <w:rFonts w:eastAsia="Times New Roman" w:cs="Arial"/>
                <w:b w:val="0"/>
                <w:bCs w:val="0"/>
                <w:szCs w:val="22"/>
              </w:rPr>
              <w:t xml:space="preserve">Regarding our OFIs, they are all at the multiple level. The first OFI is a deployment OFI, but at the multiple level (no other OFI on deployment). The </w:t>
            </w:r>
            <w:r w:rsidR="007F464C">
              <w:rPr>
                <w:rStyle w:val="Strong"/>
                <w:rFonts w:eastAsia="Times New Roman" w:cs="Arial"/>
                <w:b w:val="0"/>
                <w:bCs w:val="0"/>
                <w:szCs w:val="22"/>
              </w:rPr>
              <w:t>2nd</w:t>
            </w:r>
            <w:r w:rsidRPr="00FD460C">
              <w:rPr>
                <w:rStyle w:val="Strong"/>
                <w:rFonts w:eastAsia="Times New Roman" w:cs="Arial"/>
                <w:b w:val="0"/>
                <w:bCs w:val="0"/>
                <w:szCs w:val="22"/>
              </w:rPr>
              <w:t xml:space="preserve"> OFI is focused around 2 words in the multiples. It</w:t>
            </w:r>
            <w:r w:rsidR="005663C4">
              <w:rPr>
                <w:rStyle w:val="Strong"/>
                <w:rFonts w:eastAsia="Times New Roman" w:cs="Arial"/>
                <w:b w:val="0"/>
                <w:bCs w:val="0"/>
                <w:szCs w:val="22"/>
              </w:rPr>
              <w:t>’</w:t>
            </w:r>
            <w:r w:rsidRPr="00FD460C">
              <w:rPr>
                <w:rStyle w:val="Strong"/>
                <w:rFonts w:eastAsia="Times New Roman" w:cs="Arial"/>
                <w:b w:val="0"/>
                <w:bCs w:val="0"/>
                <w:szCs w:val="22"/>
              </w:rPr>
              <w:t xml:space="preserve">s very narrow. </w:t>
            </w:r>
            <w:r w:rsidR="007F464C" w:rsidRPr="00FD460C">
              <w:rPr>
                <w:rStyle w:val="Strong"/>
                <w:rFonts w:eastAsia="Times New Roman" w:cs="Arial"/>
                <w:b w:val="0"/>
                <w:bCs w:val="0"/>
                <w:szCs w:val="22"/>
              </w:rPr>
              <w:t xml:space="preserve">The </w:t>
            </w:r>
            <w:r w:rsidR="007F464C">
              <w:rPr>
                <w:rStyle w:val="Strong"/>
                <w:rFonts w:eastAsia="Times New Roman" w:cs="Arial"/>
                <w:b w:val="0"/>
                <w:bCs w:val="0"/>
                <w:szCs w:val="22"/>
              </w:rPr>
              <w:t>3r</w:t>
            </w:r>
            <w:r w:rsidR="007F464C" w:rsidRPr="00FD460C">
              <w:rPr>
                <w:rStyle w:val="Strong"/>
                <w:rFonts w:eastAsia="Times New Roman" w:cs="Arial"/>
                <w:b w:val="0"/>
                <w:bCs w:val="0"/>
                <w:szCs w:val="22"/>
              </w:rPr>
              <w:t>d OFI is narrowly focused on financial measures (a multiple).</w:t>
            </w:r>
          </w:p>
          <w:p w14:paraId="549F46D7" w14:textId="0E96A7A2" w:rsidR="00080296" w:rsidRDefault="00080296" w:rsidP="00AD4815">
            <w:pPr>
              <w:rPr>
                <w:rFonts w:eastAsia="Times New Roman" w:cs="Arial"/>
                <w:b/>
                <w:bCs/>
                <w:szCs w:val="22"/>
              </w:rPr>
            </w:pPr>
            <w:r w:rsidRPr="00FD460C">
              <w:rPr>
                <w:rStyle w:val="Strong"/>
                <w:rFonts w:eastAsia="Times New Roman" w:cs="Arial"/>
                <w:b w:val="0"/>
                <w:bCs w:val="0"/>
                <w:szCs w:val="22"/>
              </w:rPr>
              <w:t>I</w:t>
            </w:r>
            <w:r w:rsidR="005663C4">
              <w:rPr>
                <w:rStyle w:val="Strong"/>
                <w:rFonts w:eastAsia="Times New Roman" w:cs="Arial"/>
                <w:b w:val="0"/>
                <w:bCs w:val="0"/>
                <w:szCs w:val="22"/>
              </w:rPr>
              <w:t>’</w:t>
            </w:r>
            <w:r w:rsidRPr="00FD460C">
              <w:rPr>
                <w:rStyle w:val="Strong"/>
                <w:rFonts w:eastAsia="Times New Roman" w:cs="Arial"/>
                <w:b w:val="0"/>
                <w:bCs w:val="0"/>
                <w:szCs w:val="22"/>
              </w:rPr>
              <w:t>m falling in the north side of the 65/70 range boundary, but I know I</w:t>
            </w:r>
            <w:r w:rsidR="005663C4">
              <w:rPr>
                <w:rStyle w:val="Strong"/>
                <w:rFonts w:eastAsia="Times New Roman" w:cs="Arial"/>
                <w:b w:val="0"/>
                <w:bCs w:val="0"/>
                <w:szCs w:val="22"/>
              </w:rPr>
              <w:t>’</w:t>
            </w:r>
            <w:r w:rsidRPr="00FD460C">
              <w:rPr>
                <w:rStyle w:val="Strong"/>
                <w:rFonts w:eastAsia="Times New Roman" w:cs="Arial"/>
                <w:b w:val="0"/>
                <w:bCs w:val="0"/>
                <w:szCs w:val="22"/>
              </w:rPr>
              <w:t>m a high scorer. A 60 or 65 could also be justified. I</w:t>
            </w:r>
            <w:r w:rsidR="005663C4">
              <w:rPr>
                <w:rStyle w:val="Strong"/>
                <w:rFonts w:eastAsia="Times New Roman" w:cs="Arial"/>
                <w:b w:val="0"/>
                <w:bCs w:val="0"/>
                <w:szCs w:val="22"/>
              </w:rPr>
              <w:t>’</w:t>
            </w:r>
            <w:r w:rsidRPr="00FD460C">
              <w:rPr>
                <w:rStyle w:val="Strong"/>
                <w:rFonts w:eastAsia="Times New Roman" w:cs="Arial"/>
                <w:b w:val="0"/>
                <w:bCs w:val="0"/>
                <w:szCs w:val="22"/>
              </w:rPr>
              <w:t>ll propose a 65 because we did give them lots of benefit of the doubt.</w:t>
            </w:r>
          </w:p>
        </w:tc>
      </w:tr>
    </w:tbl>
    <w:p w14:paraId="484759D7" w14:textId="2F4943D8" w:rsidR="00050D3F" w:rsidRDefault="00050D3F" w:rsidP="00351245">
      <w:pPr>
        <w:ind w:right="720"/>
        <w:rPr>
          <w:rFonts w:eastAsia="Times New Roman" w:cs="Arial"/>
          <w:b/>
          <w:bCs/>
          <w:szCs w:val="22"/>
        </w:rPr>
      </w:pPr>
    </w:p>
    <w:p w14:paraId="28BC8545" w14:textId="77777777" w:rsidR="00050D3F" w:rsidRDefault="00050D3F">
      <w:pPr>
        <w:spacing w:after="0"/>
        <w:rPr>
          <w:rFonts w:eastAsia="Times New Roman" w:cs="Arial"/>
          <w:b/>
          <w:bCs/>
          <w:szCs w:val="22"/>
        </w:rPr>
      </w:pPr>
      <w:r>
        <w:rPr>
          <w:rFonts w:eastAsia="Times New Roman" w:cs="Arial"/>
          <w:b/>
          <w:bCs/>
          <w:szCs w:val="22"/>
        </w:rPr>
        <w:br w:type="page"/>
      </w:r>
    </w:p>
    <w:p w14:paraId="20AABC83"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4.2</w:t>
      </w:r>
    </w:p>
    <w:p w14:paraId="510EA782" w14:textId="77777777" w:rsidR="005E22BD" w:rsidRDefault="000A11B9">
      <w:pPr>
        <w:pStyle w:val="Heading2"/>
        <w:divId w:val="905190427"/>
        <w:rPr>
          <w:rFonts w:eastAsia="Times New Roman" w:cs="Arial"/>
        </w:rPr>
      </w:pPr>
      <w:r>
        <w:rPr>
          <w:rFonts w:eastAsia="Times New Roman" w:cs="Arial"/>
        </w:rPr>
        <w:t>Information and Knowledge Management</w:t>
      </w:r>
    </w:p>
    <w:p w14:paraId="3A3D0FBA" w14:textId="77777777" w:rsidR="005E22BD" w:rsidRDefault="000A11B9">
      <w:pPr>
        <w:pStyle w:val="Heading3"/>
        <w:divId w:val="905190427"/>
        <w:rPr>
          <w:rFonts w:eastAsia="Times New Roman" w:cs="Arial"/>
        </w:rPr>
      </w:pPr>
      <w:r>
        <w:rPr>
          <w:rFonts w:eastAsia="Times New Roman" w:cs="Arial"/>
        </w:rPr>
        <w:t>Relevant Key Factors</w:t>
      </w:r>
    </w:p>
    <w:p w14:paraId="539122D1" w14:textId="5969CCAC" w:rsidR="005E22BD" w:rsidRDefault="000A11B9">
      <w:pPr>
        <w:numPr>
          <w:ilvl w:val="0"/>
          <w:numId w:val="12"/>
        </w:numPr>
        <w:spacing w:before="100" w:beforeAutospacing="1" w:after="100" w:afterAutospacing="1"/>
        <w:divId w:val="905190427"/>
        <w:rPr>
          <w:rFonts w:eastAsia="Times New Roman" w:cs="Arial"/>
          <w:szCs w:val="22"/>
        </w:rPr>
      </w:pPr>
      <w:r>
        <w:rPr>
          <w:rFonts w:eastAsia="Times New Roman" w:cs="Arial"/>
          <w:szCs w:val="22"/>
        </w:rPr>
        <w:t>CC3: Maintain expert, up-to-date workforce</w:t>
      </w:r>
      <w:r w:rsidR="00013625">
        <w:rPr>
          <w:rFonts w:eastAsia="Times New Roman" w:cs="Arial"/>
          <w:szCs w:val="22"/>
        </w:rPr>
        <w:t>.</w:t>
      </w:r>
    </w:p>
    <w:p w14:paraId="01F19A60" w14:textId="4ADDD86C" w:rsidR="005E22BD" w:rsidRDefault="000A11B9">
      <w:pPr>
        <w:numPr>
          <w:ilvl w:val="0"/>
          <w:numId w:val="12"/>
        </w:numPr>
        <w:spacing w:before="100" w:beforeAutospacing="1" w:after="100" w:afterAutospacing="1"/>
        <w:divId w:val="905190427"/>
        <w:rPr>
          <w:rFonts w:eastAsia="Times New Roman" w:cs="Arial"/>
          <w:szCs w:val="22"/>
        </w:rPr>
      </w:pPr>
      <w:r>
        <w:rPr>
          <w:rFonts w:eastAsia="Times New Roman" w:cs="Arial"/>
          <w:szCs w:val="22"/>
        </w:rPr>
        <w:t>I have the necessary training and resources to do my work</w:t>
      </w:r>
      <w:r w:rsidR="00013625">
        <w:rPr>
          <w:rFonts w:eastAsia="Times New Roman" w:cs="Arial"/>
          <w:szCs w:val="22"/>
        </w:rPr>
        <w:t>.</w:t>
      </w:r>
    </w:p>
    <w:p w14:paraId="2CBBFE50" w14:textId="683229E4" w:rsidR="005E22BD" w:rsidRDefault="00351245">
      <w:pPr>
        <w:numPr>
          <w:ilvl w:val="0"/>
          <w:numId w:val="12"/>
        </w:numPr>
        <w:spacing w:before="100" w:beforeAutospacing="1" w:after="100" w:afterAutospacing="1"/>
        <w:divId w:val="905190427"/>
        <w:rPr>
          <w:rFonts w:eastAsia="Times New Roman" w:cs="Arial"/>
          <w:szCs w:val="22"/>
        </w:rPr>
      </w:pPr>
      <w:r>
        <w:rPr>
          <w:rFonts w:eastAsia="Times New Roman" w:cs="Arial"/>
          <w:szCs w:val="22"/>
        </w:rPr>
        <w:t>STAR-Point</w:t>
      </w:r>
      <w:r w:rsidR="000A11B9">
        <w:rPr>
          <w:rFonts w:eastAsia="Times New Roman" w:cs="Arial"/>
          <w:szCs w:val="22"/>
        </w:rPr>
        <w:t xml:space="preserve"> app; </w:t>
      </w:r>
      <w:r w:rsidR="00153A64">
        <w:rPr>
          <w:rFonts w:eastAsia="Times New Roman" w:cs="Arial"/>
          <w:szCs w:val="22"/>
        </w:rPr>
        <w:t xml:space="preserve">internal </w:t>
      </w:r>
      <w:r w:rsidR="000A11B9">
        <w:rPr>
          <w:rFonts w:eastAsia="Times New Roman" w:cs="Arial"/>
          <w:szCs w:val="22"/>
        </w:rPr>
        <w:t>mobile app; college wireless network; online instructional resources</w:t>
      </w:r>
      <w:r w:rsidR="00153A64">
        <w:rPr>
          <w:rFonts w:eastAsia="Times New Roman" w:cs="Arial"/>
          <w:szCs w:val="22"/>
        </w:rPr>
        <w:t>/</w:t>
      </w:r>
      <w:r w:rsidR="000A11B9">
        <w:rPr>
          <w:rFonts w:eastAsia="Times New Roman" w:cs="Arial"/>
          <w:szCs w:val="22"/>
        </w:rPr>
        <w:t>support services; BOYD, interactive tv, virtual classrooms</w:t>
      </w:r>
      <w:r w:rsidR="00153A64">
        <w:rPr>
          <w:rFonts w:eastAsia="Times New Roman" w:cs="Arial"/>
          <w:szCs w:val="22"/>
        </w:rPr>
        <w:t>/</w:t>
      </w:r>
      <w:r w:rsidR="000A11B9">
        <w:rPr>
          <w:rFonts w:eastAsia="Times New Roman" w:cs="Arial"/>
          <w:szCs w:val="22"/>
        </w:rPr>
        <w:t>podcasting, virtual anatomy table, collaboration technology</w:t>
      </w:r>
      <w:r w:rsidR="00153A64">
        <w:rPr>
          <w:rFonts w:eastAsia="Times New Roman" w:cs="Arial"/>
          <w:szCs w:val="22"/>
        </w:rPr>
        <w:t>/</w:t>
      </w:r>
      <w:r w:rsidR="000A11B9">
        <w:rPr>
          <w:rFonts w:eastAsia="Times New Roman" w:cs="Arial"/>
          <w:szCs w:val="22"/>
        </w:rPr>
        <w:t>virtual discussion rooms, CAD systems</w:t>
      </w:r>
      <w:r w:rsidR="00013625">
        <w:rPr>
          <w:rFonts w:eastAsia="Times New Roman" w:cs="Arial"/>
          <w:szCs w:val="22"/>
        </w:rPr>
        <w:t>.</w:t>
      </w:r>
    </w:p>
    <w:p w14:paraId="431807B3" w14:textId="7C08CE0A" w:rsidR="001F46D7" w:rsidRDefault="001F46D7" w:rsidP="001F46D7">
      <w:pPr>
        <w:numPr>
          <w:ilvl w:val="0"/>
          <w:numId w:val="12"/>
        </w:numPr>
        <w:spacing w:before="100" w:beforeAutospacing="1" w:after="100" w:afterAutospacing="1"/>
        <w:divId w:val="905190427"/>
        <w:rPr>
          <w:rFonts w:eastAsia="Times New Roman" w:cs="Arial"/>
          <w:szCs w:val="22"/>
        </w:rPr>
      </w:pPr>
      <w:r>
        <w:rPr>
          <w:rFonts w:eastAsia="Times New Roman" w:cs="Arial"/>
          <w:szCs w:val="22"/>
        </w:rPr>
        <w:t>Career-seeking students—degree completion info, academic support services. Transfer—transfer articulation, degree completion info, academic challenges. Non-degree-seeking—workforce skills, adult learner needs. Dual Credit—college credit courses, collaboration with high school schedule</w:t>
      </w:r>
      <w:r w:rsidR="00013625">
        <w:rPr>
          <w:rFonts w:eastAsia="Times New Roman" w:cs="Arial"/>
          <w:szCs w:val="22"/>
        </w:rPr>
        <w:t>.</w:t>
      </w:r>
    </w:p>
    <w:p w14:paraId="0BEC3732" w14:textId="77777777" w:rsidR="005E22BD" w:rsidRDefault="00DB6E5E">
      <w:pPr>
        <w:numPr>
          <w:ilvl w:val="0"/>
          <w:numId w:val="12"/>
        </w:numPr>
        <w:spacing w:before="100" w:beforeAutospacing="1" w:after="100" w:afterAutospacing="1"/>
        <w:divId w:val="905190427"/>
        <w:rPr>
          <w:rFonts w:eastAsia="Times New Roman" w:cs="Arial"/>
          <w:szCs w:val="22"/>
        </w:rPr>
      </w:pPr>
      <w:r>
        <w:rPr>
          <w:rFonts w:eastAsia="Times New Roman" w:cs="Arial"/>
          <w:szCs w:val="22"/>
        </w:rPr>
        <w:t>Transfer schools/sister colleges</w:t>
      </w:r>
      <w:r w:rsidR="000A11B9">
        <w:rPr>
          <w:rFonts w:eastAsia="Times New Roman" w:cs="Arial"/>
          <w:szCs w:val="22"/>
        </w:rPr>
        <w:t xml:space="preserve">, </w:t>
      </w:r>
      <w:r>
        <w:rPr>
          <w:rFonts w:eastAsia="Times New Roman" w:cs="Arial"/>
          <w:szCs w:val="22"/>
        </w:rPr>
        <w:t xml:space="preserve">feeder high schools, foundation, donors, alumni association, alumni, </w:t>
      </w:r>
      <w:r w:rsidR="001F46D7">
        <w:rPr>
          <w:rFonts w:eastAsia="Times New Roman" w:cs="Arial"/>
          <w:szCs w:val="22"/>
        </w:rPr>
        <w:t>employers/advisory committees</w:t>
      </w:r>
      <w:r>
        <w:rPr>
          <w:rFonts w:eastAsia="Times New Roman" w:cs="Arial"/>
          <w:szCs w:val="22"/>
        </w:rPr>
        <w:t>, technology partners, local</w:t>
      </w:r>
      <w:r w:rsidR="000A11B9">
        <w:rPr>
          <w:rFonts w:eastAsia="Times New Roman" w:cs="Arial"/>
          <w:szCs w:val="22"/>
        </w:rPr>
        <w:t xml:space="preserve"> community including chamber of commerce</w:t>
      </w:r>
    </w:p>
    <w:p w14:paraId="3BB3972A" w14:textId="2940EFAE" w:rsidR="005E22BD" w:rsidRPr="00EF0034" w:rsidRDefault="00DB6E5E" w:rsidP="00606434">
      <w:pPr>
        <w:numPr>
          <w:ilvl w:val="0"/>
          <w:numId w:val="12"/>
        </w:numPr>
        <w:spacing w:before="100" w:beforeAutospacing="1" w:after="100" w:afterAutospacing="1"/>
        <w:divId w:val="905190427"/>
        <w:rPr>
          <w:rFonts w:eastAsia="Times New Roman" w:cs="Arial"/>
          <w:szCs w:val="22"/>
        </w:rPr>
      </w:pPr>
      <w:r w:rsidRPr="00EF0034">
        <w:rPr>
          <w:rFonts w:eastAsia="Times New Roman" w:cs="Arial"/>
          <w:szCs w:val="22"/>
        </w:rPr>
        <w:t xml:space="preserve">Technology providers, laboratory support providers, service providers </w:t>
      </w:r>
      <w:r w:rsidR="000A11B9" w:rsidRPr="00EF0034">
        <w:rPr>
          <w:rFonts w:eastAsia="Times New Roman" w:cs="Arial"/>
          <w:szCs w:val="22"/>
        </w:rPr>
        <w:t>(bookstore, dining), administrative support</w:t>
      </w:r>
      <w:r w:rsidR="00013625" w:rsidRPr="00EF0034">
        <w:rPr>
          <w:rFonts w:eastAsia="Times New Roman" w:cs="Arial"/>
          <w:szCs w:val="22"/>
        </w:rPr>
        <w:t>.</w:t>
      </w:r>
    </w:p>
    <w:p w14:paraId="73BAF11C"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3851"/>
        <w:gridCol w:w="4606"/>
        <w:gridCol w:w="1200"/>
      </w:tblGrid>
      <w:tr w:rsidR="005E22BD" w14:paraId="66004004"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65C0B841"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2D6983D6"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43F363A3"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6B423536"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216EC542"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32A4CCC5"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75069F2" w14:textId="18F619C1" w:rsidR="005E22BD" w:rsidRDefault="00293CEF">
            <w:pPr>
              <w:rPr>
                <w:rFonts w:eastAsia="Times New Roman" w:cs="Arial"/>
                <w:szCs w:val="22"/>
              </w:rPr>
            </w:pPr>
            <w:r>
              <w:rPr>
                <w:rFonts w:eastAsia="Times New Roman" w:cs="Arial"/>
                <w:szCs w:val="22"/>
              </w:rPr>
              <w:t>In support of the workforce engagement driver</w:t>
            </w:r>
            <w:r w:rsidR="001800FF" w:rsidRPr="00BF1B40">
              <w:rPr>
                <w:rFonts w:eastAsia="Times New Roman" w:cs="Arial"/>
                <w:szCs w:val="22"/>
              </w:rPr>
              <w:t xml:space="preserve"> </w:t>
            </w:r>
            <w:r w:rsidR="001800FF">
              <w:rPr>
                <w:rFonts w:eastAsia="Times New Roman" w:cs="Arial"/>
                <w:szCs w:val="22"/>
              </w:rPr>
              <w:t xml:space="preserve">of </w:t>
            </w:r>
            <w:r w:rsidR="001800FF" w:rsidRPr="00BF1B40">
              <w:rPr>
                <w:rFonts w:eastAsia="Times New Roman" w:cs="Arial"/>
                <w:szCs w:val="22"/>
              </w:rPr>
              <w:t>training</w:t>
            </w:r>
            <w:r w:rsidR="001800FF">
              <w:rPr>
                <w:rFonts w:eastAsia="Times New Roman" w:cs="Arial"/>
                <w:szCs w:val="22"/>
              </w:rPr>
              <w:t xml:space="preserve"> and </w:t>
            </w:r>
            <w:r w:rsidR="001800FF" w:rsidRPr="00BF1B40">
              <w:rPr>
                <w:rFonts w:eastAsia="Times New Roman" w:cs="Arial"/>
                <w:szCs w:val="22"/>
              </w:rPr>
              <w:t>resource</w:t>
            </w:r>
            <w:r w:rsidR="001800FF">
              <w:rPr>
                <w:rFonts w:eastAsia="Times New Roman" w:cs="Arial"/>
                <w:szCs w:val="22"/>
              </w:rPr>
              <w:t xml:space="preserve"> </w:t>
            </w:r>
            <w:r w:rsidR="001800FF" w:rsidRPr="00BF1B40">
              <w:rPr>
                <w:rFonts w:eastAsia="Times New Roman" w:cs="Arial"/>
                <w:szCs w:val="22"/>
              </w:rPr>
              <w:t>availability</w:t>
            </w:r>
            <w:r>
              <w:rPr>
                <w:rFonts w:eastAsia="Times New Roman" w:cs="Arial"/>
                <w:szCs w:val="22"/>
              </w:rPr>
              <w:t>, t</w:t>
            </w:r>
            <w:r w:rsidR="000A11B9">
              <w:rPr>
                <w:rFonts w:eastAsia="Times New Roman" w:cs="Arial"/>
                <w:szCs w:val="22"/>
              </w:rPr>
              <w:t>he four-step COKMP (Figure 4.2-2) allows the applicant to build and manage organizational knowledge as well as conduct workforce knowledge transfer. This process resulted from two improvement cycles and a subsequent innovation project</w:t>
            </w:r>
            <w:r>
              <w:rPr>
                <w:rFonts w:eastAsia="Times New Roman" w:cs="Arial"/>
                <w:szCs w:val="22"/>
              </w:rPr>
              <w:t>,</w:t>
            </w:r>
            <w:r w:rsidR="000A11B9">
              <w:rPr>
                <w:rFonts w:eastAsia="Times New Roman" w:cs="Arial"/>
                <w:szCs w:val="22"/>
              </w:rPr>
              <w:t xml:space="preserve"> with the current version being improved to include search technology and data entry automations. </w:t>
            </w:r>
          </w:p>
        </w:tc>
        <w:tc>
          <w:tcPr>
            <w:tcW w:w="0" w:type="auto"/>
            <w:tcBorders>
              <w:bottom w:val="single" w:sz="6" w:space="0" w:color="000000"/>
              <w:right w:val="single" w:sz="6" w:space="0" w:color="000000"/>
            </w:tcBorders>
            <w:tcMar>
              <w:top w:w="75" w:type="dxa"/>
              <w:left w:w="75" w:type="dxa"/>
              <w:bottom w:w="75" w:type="dxa"/>
              <w:right w:w="75" w:type="dxa"/>
            </w:tcMar>
            <w:hideMark/>
          </w:tcPr>
          <w:p w14:paraId="0B0531C3" w14:textId="77777777" w:rsidR="00013625" w:rsidRDefault="000A11B9">
            <w:pPr>
              <w:rPr>
                <w:rFonts w:eastAsia="Times New Roman" w:cs="Arial"/>
                <w:szCs w:val="22"/>
              </w:rPr>
            </w:pPr>
            <w:r>
              <w:rPr>
                <w:rFonts w:eastAsia="Times New Roman" w:cs="Arial"/>
                <w:szCs w:val="22"/>
              </w:rPr>
              <w:t xml:space="preserve">The team had a hard time ranking both the STRs and OFIs in this item. In the end, we felt that workforce knowledge management is the most important part of this item for this applicant. </w:t>
            </w:r>
          </w:p>
          <w:p w14:paraId="62FD5496" w14:textId="1773D791" w:rsidR="005E22BD" w:rsidRDefault="000A11B9">
            <w:pPr>
              <w:rPr>
                <w:rFonts w:eastAsia="Times New Roman" w:cs="Arial"/>
                <w:szCs w:val="22"/>
              </w:rPr>
            </w:pPr>
            <w:r>
              <w:rPr>
                <w:rFonts w:eastAsia="Times New Roman" w:cs="Arial"/>
                <w:szCs w:val="22"/>
              </w:rPr>
              <w:t>Since we had both a STR and an OFI for workforce knowledge (b</w:t>
            </w:r>
            <w:r w:rsidR="00013625">
              <w:rPr>
                <w:rFonts w:eastAsia="Times New Roman" w:cs="Arial"/>
                <w:szCs w:val="22"/>
              </w:rPr>
              <w:t>[</w:t>
            </w:r>
            <w:r>
              <w:rPr>
                <w:rFonts w:eastAsia="Times New Roman" w:cs="Arial"/>
                <w:szCs w:val="22"/>
              </w:rPr>
              <w:t>1</w:t>
            </w:r>
            <w:r w:rsidR="00013625">
              <w:rPr>
                <w:rFonts w:eastAsia="Times New Roman" w:cs="Arial"/>
                <w:szCs w:val="22"/>
              </w:rPr>
              <w:t>]</w:t>
            </w:r>
            <w:r>
              <w:rPr>
                <w:rFonts w:eastAsia="Times New Roman" w:cs="Arial"/>
                <w:szCs w:val="22"/>
              </w:rPr>
              <w:t>), we moved both to the top to make the following point: You</w:t>
            </w:r>
            <w:r w:rsidR="005663C4">
              <w:rPr>
                <w:rFonts w:eastAsia="Times New Roman" w:cs="Arial"/>
                <w:szCs w:val="22"/>
              </w:rPr>
              <w:t>’</w:t>
            </w:r>
            <w:r>
              <w:rPr>
                <w:rFonts w:eastAsia="Times New Roman" w:cs="Arial"/>
                <w:szCs w:val="22"/>
              </w:rPr>
              <w:t>ve got some good stuff going on in workforce knowledge, but you</w:t>
            </w:r>
            <w:r w:rsidR="005663C4">
              <w:rPr>
                <w:rFonts w:eastAsia="Times New Roman" w:cs="Arial"/>
                <w:szCs w:val="22"/>
              </w:rPr>
              <w:t>’</w:t>
            </w:r>
            <w:r>
              <w:rPr>
                <w:rFonts w:eastAsia="Times New Roman" w:cs="Arial"/>
                <w:szCs w:val="22"/>
              </w:rPr>
              <w:t xml:space="preserve">ve still got a </w:t>
            </w:r>
            <w:r w:rsidR="00FC7C2D">
              <w:rPr>
                <w:rFonts w:eastAsia="Times New Roman" w:cs="Arial"/>
                <w:szCs w:val="22"/>
              </w:rPr>
              <w:t>way</w:t>
            </w:r>
            <w:r>
              <w:rPr>
                <w:rFonts w:eastAsia="Times New Roman" w:cs="Arial"/>
                <w:szCs w:val="22"/>
              </w:rPr>
              <w:t xml:space="preserve"> to go.</w:t>
            </w:r>
          </w:p>
        </w:tc>
        <w:tc>
          <w:tcPr>
            <w:tcW w:w="0" w:type="auto"/>
            <w:tcBorders>
              <w:bottom w:val="single" w:sz="6" w:space="0" w:color="000000"/>
              <w:right w:val="single" w:sz="6" w:space="0" w:color="000000"/>
            </w:tcBorders>
            <w:tcMar>
              <w:top w:w="75" w:type="dxa"/>
              <w:left w:w="75" w:type="dxa"/>
              <w:bottom w:w="75" w:type="dxa"/>
              <w:right w:w="75" w:type="dxa"/>
            </w:tcMar>
            <w:hideMark/>
          </w:tcPr>
          <w:p w14:paraId="2BA2D915" w14:textId="77777777" w:rsidR="005E22BD" w:rsidRDefault="000A11B9">
            <w:pPr>
              <w:rPr>
                <w:rFonts w:eastAsia="Times New Roman" w:cs="Arial"/>
                <w:szCs w:val="22"/>
              </w:rPr>
            </w:pPr>
            <w:r>
              <w:rPr>
                <w:rFonts w:eastAsia="Times New Roman" w:cs="Arial"/>
                <w:szCs w:val="22"/>
              </w:rPr>
              <w:t>b(1)</w:t>
            </w:r>
          </w:p>
        </w:tc>
      </w:tr>
      <w:tr w:rsidR="005E22BD" w14:paraId="0C116AF0"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1924B85"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467FF49" w14:textId="6AB738ED" w:rsidR="005E22BD" w:rsidRDefault="000A11B9">
            <w:pPr>
              <w:rPr>
                <w:rFonts w:eastAsia="Times New Roman" w:cs="Arial"/>
                <w:szCs w:val="22"/>
              </w:rPr>
            </w:pPr>
            <w:r>
              <w:rPr>
                <w:rFonts w:eastAsia="Times New Roman" w:cs="Arial"/>
                <w:szCs w:val="22"/>
              </w:rPr>
              <w:t xml:space="preserve">The applicant uses multiple approaches through its MDQA (Figure 4.2-1) to systematically verify and ensure data and information </w:t>
            </w:r>
            <w:r w:rsidR="00293CEF">
              <w:rPr>
                <w:rFonts w:eastAsia="Times New Roman" w:cs="Arial"/>
                <w:szCs w:val="22"/>
              </w:rPr>
              <w:t xml:space="preserve">quality </w:t>
            </w:r>
            <w:r>
              <w:rPr>
                <w:rFonts w:eastAsia="Times New Roman" w:cs="Arial"/>
                <w:szCs w:val="22"/>
              </w:rPr>
              <w:t xml:space="preserve">as well as attributes including accuracy, validity, integrity, </w:t>
            </w:r>
            <w:r w:rsidR="005D7B5E">
              <w:rPr>
                <w:rFonts w:eastAsia="Times New Roman" w:cs="Arial"/>
                <w:szCs w:val="22"/>
              </w:rPr>
              <w:t>reliability,</w:t>
            </w:r>
            <w:r>
              <w:rPr>
                <w:rFonts w:eastAsia="Times New Roman" w:cs="Arial"/>
                <w:szCs w:val="22"/>
              </w:rPr>
              <w:t xml:space="preserve"> and currency. The MDQA has undergone two cycles of improvement and is currently subject to two improvement projects regarding quality of data and information. The MDQA is integrated with several other key processes such as the SPP, PMS, BwP, PMM, and SP3. These approaches allow users to get accurate and timely </w:t>
            </w:r>
            <w:r>
              <w:rPr>
                <w:rFonts w:eastAsia="Times New Roman" w:cs="Arial"/>
                <w:szCs w:val="22"/>
              </w:rPr>
              <w:lastRenderedPageBreak/>
              <w:t>information from the applicant</w:t>
            </w:r>
            <w:r w:rsidR="005663C4">
              <w:rPr>
                <w:rFonts w:eastAsia="Times New Roman" w:cs="Arial"/>
                <w:szCs w:val="22"/>
              </w:rPr>
              <w:t>’</w:t>
            </w:r>
            <w:r>
              <w:rPr>
                <w:rFonts w:eastAsia="Times New Roman" w:cs="Arial"/>
                <w:szCs w:val="22"/>
              </w:rPr>
              <w:t>s many information technology platforms.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4B988C9" w14:textId="77777777" w:rsidR="005D7B5E" w:rsidRDefault="000A11B9">
            <w:pPr>
              <w:rPr>
                <w:rFonts w:eastAsia="Times New Roman" w:cs="Arial"/>
                <w:szCs w:val="22"/>
              </w:rPr>
            </w:pPr>
            <w:r>
              <w:rPr>
                <w:rFonts w:eastAsia="Times New Roman" w:cs="Arial"/>
                <w:szCs w:val="22"/>
              </w:rPr>
              <w:lastRenderedPageBreak/>
              <w:t xml:space="preserve">Massive editing after R-2 feedback. </w:t>
            </w:r>
          </w:p>
          <w:p w14:paraId="4CC144C3" w14:textId="77777777" w:rsidR="005D7B5E" w:rsidRDefault="000A11B9">
            <w:pPr>
              <w:rPr>
                <w:rFonts w:eastAsia="Times New Roman" w:cs="Arial"/>
                <w:szCs w:val="22"/>
              </w:rPr>
            </w:pPr>
            <w:r>
              <w:rPr>
                <w:rFonts w:eastAsia="Times New Roman" w:cs="Arial"/>
                <w:szCs w:val="22"/>
              </w:rPr>
              <w:t xml:space="preserve">The relevance is that the applicant has many, many sources of information and many platforms/applications. </w:t>
            </w:r>
          </w:p>
          <w:p w14:paraId="2D77BA18" w14:textId="01DFF18D" w:rsidR="005D7B5E" w:rsidRDefault="000A11B9">
            <w:pPr>
              <w:rPr>
                <w:rFonts w:eastAsia="Times New Roman" w:cs="Arial"/>
                <w:szCs w:val="22"/>
              </w:rPr>
            </w:pPr>
            <w:r>
              <w:rPr>
                <w:rFonts w:eastAsia="Times New Roman" w:cs="Arial"/>
                <w:szCs w:val="22"/>
              </w:rPr>
              <w:t>Note that I</w:t>
            </w:r>
            <w:r w:rsidR="005663C4">
              <w:rPr>
                <w:rFonts w:eastAsia="Times New Roman" w:cs="Arial"/>
                <w:szCs w:val="22"/>
              </w:rPr>
              <w:t>’</w:t>
            </w:r>
            <w:r>
              <w:rPr>
                <w:rFonts w:eastAsia="Times New Roman" w:cs="Arial"/>
                <w:szCs w:val="22"/>
              </w:rPr>
              <w:t>m going with the broader "a" reference instead of the a(1) reference that half of our team chose. The two sections are very close and only differ by adding a few words to the nugget sentence. The applicant</w:t>
            </w:r>
            <w:r w:rsidR="005663C4">
              <w:rPr>
                <w:rFonts w:eastAsia="Times New Roman" w:cs="Arial"/>
                <w:szCs w:val="22"/>
              </w:rPr>
              <w:t>’</w:t>
            </w:r>
            <w:r>
              <w:rPr>
                <w:rFonts w:eastAsia="Times New Roman" w:cs="Arial"/>
                <w:szCs w:val="22"/>
              </w:rPr>
              <w:t xml:space="preserve">s responses were basically the same for a(1) and a(2). Including all the terms in the nugget was necessary to indicate that they responded to both a(1) and a(2) at the multiple levels. </w:t>
            </w:r>
          </w:p>
          <w:p w14:paraId="652AE89C" w14:textId="074259C3" w:rsidR="005E22BD" w:rsidRDefault="000A11B9">
            <w:pPr>
              <w:rPr>
                <w:rFonts w:eastAsia="Times New Roman" w:cs="Arial"/>
                <w:szCs w:val="22"/>
              </w:rPr>
            </w:pPr>
            <w:r>
              <w:rPr>
                <w:rFonts w:eastAsia="Times New Roman" w:cs="Arial"/>
                <w:szCs w:val="22"/>
              </w:rPr>
              <w:t xml:space="preserve">This STR covers A, </w:t>
            </w:r>
            <w:r w:rsidR="005D7B5E">
              <w:rPr>
                <w:rFonts w:eastAsia="Times New Roman" w:cs="Arial"/>
                <w:szCs w:val="22"/>
              </w:rPr>
              <w:t>L,</w:t>
            </w:r>
            <w:r>
              <w:rPr>
                <w:rFonts w:eastAsia="Times New Roman" w:cs="Arial"/>
                <w:szCs w:val="22"/>
              </w:rPr>
              <w:t xml:space="preserve"> and I. (And others note D as well, but I often have a hard time sorting </w:t>
            </w:r>
            <w:r>
              <w:rPr>
                <w:rFonts w:eastAsia="Times New Roman" w:cs="Arial"/>
                <w:szCs w:val="22"/>
              </w:rPr>
              <w:lastRenderedPageBreak/>
              <w:t>ou</w:t>
            </w:r>
            <w:r w:rsidR="00334293">
              <w:rPr>
                <w:rFonts w:eastAsia="Times New Roman" w:cs="Arial"/>
                <w:szCs w:val="22"/>
              </w:rPr>
              <w:t>t</w:t>
            </w:r>
            <w:r>
              <w:rPr>
                <w:rFonts w:eastAsia="Times New Roman" w:cs="Arial"/>
                <w:szCs w:val="22"/>
              </w:rPr>
              <w:t xml:space="preserve"> D until the site visit.) Approach is covered at the multiple levels for both a(1) and a(2).</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A2A83DC" w14:textId="77777777" w:rsidR="005E22BD" w:rsidRDefault="000A11B9">
            <w:pPr>
              <w:rPr>
                <w:rFonts w:eastAsia="Times New Roman" w:cs="Arial"/>
                <w:szCs w:val="22"/>
              </w:rPr>
            </w:pPr>
            <w:r>
              <w:rPr>
                <w:rFonts w:eastAsia="Times New Roman" w:cs="Arial"/>
                <w:szCs w:val="22"/>
              </w:rPr>
              <w:lastRenderedPageBreak/>
              <w:t>a</w:t>
            </w:r>
          </w:p>
        </w:tc>
      </w:tr>
    </w:tbl>
    <w:p w14:paraId="13402EC4"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080296" w14:paraId="5994E2D4" w14:textId="77777777" w:rsidTr="00080296">
        <w:tc>
          <w:tcPr>
            <w:tcW w:w="10080" w:type="dxa"/>
          </w:tcPr>
          <w:p w14:paraId="106DA663" w14:textId="44A9A7E0" w:rsidR="00080296" w:rsidRDefault="00080296" w:rsidP="00AD4815">
            <w:pPr>
              <w:rPr>
                <w:rFonts w:eastAsia="Times New Roman" w:cs="Arial"/>
                <w:szCs w:val="22"/>
              </w:rPr>
            </w:pPr>
            <w:r>
              <w:rPr>
                <w:rFonts w:eastAsia="Times New Roman" w:cs="Arial"/>
                <w:szCs w:val="22"/>
              </w:rPr>
              <w:t xml:space="preserve">All proposed STRs from IR are addressed in the comments proposed or in the ghost comment. No extra loose ends for STRs in this item. </w:t>
            </w:r>
          </w:p>
        </w:tc>
      </w:tr>
    </w:tbl>
    <w:p w14:paraId="08BAB54B"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73"/>
        <w:gridCol w:w="4184"/>
        <w:gridCol w:w="1200"/>
      </w:tblGrid>
      <w:tr w:rsidR="00293CEF" w14:paraId="6EF9A116"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7DC9B098"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D88B9D2"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414D77D8"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3FB690B" w14:textId="77777777" w:rsidR="005E22BD" w:rsidRDefault="000A11B9">
            <w:pPr>
              <w:jc w:val="center"/>
              <w:rPr>
                <w:rFonts w:eastAsia="Times New Roman" w:cs="Arial"/>
                <w:b/>
                <w:bCs/>
                <w:szCs w:val="22"/>
              </w:rPr>
            </w:pPr>
            <w:r>
              <w:rPr>
                <w:rFonts w:eastAsia="Times New Roman" w:cs="Arial"/>
                <w:b/>
                <w:bCs/>
                <w:szCs w:val="22"/>
              </w:rPr>
              <w:t>Item Ref.</w:t>
            </w:r>
          </w:p>
        </w:tc>
      </w:tr>
      <w:tr w:rsidR="00293CEF" w14:paraId="19480FB1"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9A5BDE1"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6672485D" w14:textId="274E3AFA" w:rsidR="005E22BD" w:rsidRDefault="000A11B9">
            <w:pPr>
              <w:rPr>
                <w:rFonts w:eastAsia="Times New Roman" w:cs="Arial"/>
                <w:szCs w:val="22"/>
              </w:rPr>
            </w:pPr>
            <w:r>
              <w:rPr>
                <w:rFonts w:eastAsia="Times New Roman" w:cs="Arial"/>
                <w:szCs w:val="22"/>
              </w:rPr>
              <w:t>It is not clear how the applicant transfers relevant knowledge to and from students and other groups</w:t>
            </w:r>
            <w:r w:rsidR="00334293">
              <w:rPr>
                <w:rFonts w:eastAsia="Times New Roman" w:cs="Arial"/>
                <w:szCs w:val="22"/>
              </w:rPr>
              <w:t>;</w:t>
            </w:r>
            <w:r>
              <w:rPr>
                <w:rFonts w:eastAsia="Times New Roman" w:cs="Arial"/>
                <w:szCs w:val="22"/>
              </w:rPr>
              <w:t xml:space="preserve"> nor </w:t>
            </w:r>
            <w:r w:rsidR="00334293">
              <w:rPr>
                <w:rFonts w:eastAsia="Times New Roman" w:cs="Arial"/>
                <w:szCs w:val="22"/>
              </w:rPr>
              <w:t xml:space="preserve">is it clear </w:t>
            </w:r>
            <w:r>
              <w:rPr>
                <w:rFonts w:eastAsia="Times New Roman" w:cs="Arial"/>
                <w:szCs w:val="22"/>
              </w:rPr>
              <w:t xml:space="preserve">how it transfers relevant knowledge for use in strategic planning and innovation processes. For example, it is not evident how students and other stakeholders are made aware of knowledge available in the TNW portals, and it is unclear what process triggers other departments to use TNW portal information in innovation and strategic planning processes. </w:t>
            </w:r>
            <w:r w:rsidR="00EF0034">
              <w:rPr>
                <w:rFonts w:eastAsia="Times New Roman" w:cs="Arial"/>
                <w:szCs w:val="22"/>
              </w:rPr>
              <w:t xml:space="preserve">Systematically transferring </w:t>
            </w:r>
            <w:r>
              <w:rPr>
                <w:rFonts w:eastAsia="Times New Roman" w:cs="Arial"/>
                <w:szCs w:val="22"/>
              </w:rPr>
              <w:t>knowledge may help the applicant</w:t>
            </w:r>
            <w:r w:rsidR="005663C4">
              <w:rPr>
                <w:rFonts w:eastAsia="Times New Roman" w:cs="Arial"/>
                <w:szCs w:val="22"/>
              </w:rPr>
              <w:t>’</w:t>
            </w:r>
            <w:r>
              <w:rPr>
                <w:rFonts w:eastAsia="Times New Roman" w:cs="Arial"/>
                <w:szCs w:val="22"/>
              </w:rPr>
              <w:t>s various stakeholder groups more fully engage to create an environment of organizational success.</w:t>
            </w:r>
          </w:p>
        </w:tc>
        <w:tc>
          <w:tcPr>
            <w:tcW w:w="0" w:type="auto"/>
            <w:tcBorders>
              <w:bottom w:val="single" w:sz="6" w:space="0" w:color="000000"/>
              <w:right w:val="single" w:sz="6" w:space="0" w:color="000000"/>
            </w:tcBorders>
            <w:tcMar>
              <w:top w:w="75" w:type="dxa"/>
              <w:left w:w="75" w:type="dxa"/>
              <w:bottom w:w="75" w:type="dxa"/>
              <w:right w:w="75" w:type="dxa"/>
            </w:tcMar>
            <w:hideMark/>
          </w:tcPr>
          <w:p w14:paraId="494EF9B7" w14:textId="541566E6" w:rsidR="005E22BD" w:rsidRDefault="000A11B9">
            <w:pPr>
              <w:rPr>
                <w:rFonts w:eastAsia="Times New Roman" w:cs="Arial"/>
                <w:szCs w:val="22"/>
              </w:rPr>
            </w:pPr>
            <w:r>
              <w:rPr>
                <w:rFonts w:eastAsia="Times New Roman" w:cs="Arial"/>
                <w:szCs w:val="22"/>
              </w:rPr>
              <w:t>The team had a hard time ranking both the STRs and</w:t>
            </w:r>
            <w:r w:rsidR="00EF0034">
              <w:rPr>
                <w:rFonts w:eastAsia="Times New Roman" w:cs="Arial"/>
                <w:szCs w:val="22"/>
              </w:rPr>
              <w:t xml:space="preserve"> the</w:t>
            </w:r>
            <w:r>
              <w:rPr>
                <w:rFonts w:eastAsia="Times New Roman" w:cs="Arial"/>
                <w:szCs w:val="22"/>
              </w:rPr>
              <w:t xml:space="preserve"> OFIs in this item. In the end, we felt that workforce knowledge management is the most important part of this item for this applicant. Since we had both a STR and an OFI for workforce knowledge (b(1)), we moved both to the top to make the following point: You</w:t>
            </w:r>
            <w:r w:rsidR="005663C4">
              <w:rPr>
                <w:rFonts w:eastAsia="Times New Roman" w:cs="Arial"/>
                <w:szCs w:val="22"/>
              </w:rPr>
              <w:t>’</w:t>
            </w:r>
            <w:r>
              <w:rPr>
                <w:rFonts w:eastAsia="Times New Roman" w:cs="Arial"/>
                <w:szCs w:val="22"/>
              </w:rPr>
              <w:t>ve got some good stuff going on in workforce knowledge, but you</w:t>
            </w:r>
            <w:r w:rsidR="005663C4">
              <w:rPr>
                <w:rFonts w:eastAsia="Times New Roman" w:cs="Arial"/>
                <w:szCs w:val="22"/>
              </w:rPr>
              <w:t>’</w:t>
            </w:r>
            <w:r>
              <w:rPr>
                <w:rFonts w:eastAsia="Times New Roman" w:cs="Arial"/>
                <w:szCs w:val="22"/>
              </w:rPr>
              <w:t xml:space="preserve">ve still got a </w:t>
            </w:r>
            <w:r w:rsidR="005D7B5E">
              <w:rPr>
                <w:rFonts w:eastAsia="Times New Roman" w:cs="Arial"/>
                <w:szCs w:val="22"/>
              </w:rPr>
              <w:t>way</w:t>
            </w:r>
            <w:r>
              <w:rPr>
                <w:rFonts w:eastAsia="Times New Roman" w:cs="Arial"/>
                <w:szCs w:val="22"/>
              </w:rPr>
              <w:t xml:space="preserve"> to go.</w:t>
            </w:r>
          </w:p>
        </w:tc>
        <w:tc>
          <w:tcPr>
            <w:tcW w:w="0" w:type="auto"/>
            <w:tcBorders>
              <w:bottom w:val="single" w:sz="6" w:space="0" w:color="000000"/>
              <w:right w:val="single" w:sz="6" w:space="0" w:color="000000"/>
            </w:tcBorders>
            <w:tcMar>
              <w:top w:w="75" w:type="dxa"/>
              <w:left w:w="75" w:type="dxa"/>
              <w:bottom w:w="75" w:type="dxa"/>
              <w:right w:w="75" w:type="dxa"/>
            </w:tcMar>
            <w:hideMark/>
          </w:tcPr>
          <w:p w14:paraId="75CECAD4" w14:textId="77777777" w:rsidR="005E22BD" w:rsidRDefault="000A11B9">
            <w:pPr>
              <w:rPr>
                <w:rFonts w:eastAsia="Times New Roman" w:cs="Arial"/>
                <w:szCs w:val="22"/>
              </w:rPr>
            </w:pPr>
            <w:r>
              <w:rPr>
                <w:rFonts w:eastAsia="Times New Roman" w:cs="Arial"/>
                <w:szCs w:val="22"/>
              </w:rPr>
              <w:t>b(1)</w:t>
            </w:r>
          </w:p>
        </w:tc>
      </w:tr>
      <w:tr w:rsidR="00293CEF" w14:paraId="5B382A98"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C8EC9B2"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CDCAE0C" w14:textId="6CE07230" w:rsidR="005E22BD" w:rsidRDefault="000A11B9">
            <w:pPr>
              <w:rPr>
                <w:rFonts w:eastAsia="Times New Roman" w:cs="Arial"/>
                <w:szCs w:val="22"/>
              </w:rPr>
            </w:pPr>
            <w:r>
              <w:rPr>
                <w:rFonts w:eastAsia="Times New Roman" w:cs="Arial"/>
                <w:szCs w:val="22"/>
              </w:rPr>
              <w:t xml:space="preserve">Several aspects </w:t>
            </w:r>
            <w:r w:rsidR="00293CEF">
              <w:rPr>
                <w:rFonts w:eastAsia="Times New Roman" w:cs="Arial"/>
                <w:szCs w:val="22"/>
              </w:rPr>
              <w:t xml:space="preserve">of </w:t>
            </w:r>
            <w:r>
              <w:rPr>
                <w:rFonts w:eastAsia="Times New Roman" w:cs="Arial"/>
                <w:szCs w:val="22"/>
              </w:rPr>
              <w:t xml:space="preserve">how the applicant manages best practices are </w:t>
            </w:r>
            <w:r w:rsidR="00293CEF">
              <w:rPr>
                <w:rFonts w:eastAsia="Times New Roman" w:cs="Arial"/>
                <w:szCs w:val="22"/>
              </w:rPr>
              <w:t>not evident</w:t>
            </w:r>
            <w:r>
              <w:rPr>
                <w:rFonts w:eastAsia="Times New Roman" w:cs="Arial"/>
                <w:szCs w:val="22"/>
              </w:rPr>
              <w:t xml:space="preserve">, potentially limiting its efforts to become one of the best in the nation. For example, it is unclear how the applicant identifies best practices to be shared at its annual Day of Sharing or for inclusion in the TNW portal, or </w:t>
            </w:r>
            <w:r w:rsidR="00293CEF">
              <w:rPr>
                <w:rFonts w:eastAsia="Times New Roman" w:cs="Arial"/>
                <w:szCs w:val="22"/>
              </w:rPr>
              <w:t>whether</w:t>
            </w:r>
            <w:r>
              <w:rPr>
                <w:rFonts w:eastAsia="Times New Roman" w:cs="Arial"/>
                <w:szCs w:val="22"/>
              </w:rPr>
              <w:t xml:space="preserve"> any best practices come from the highest-performing role models. Further, it is not evident how best practices are implemented once they are identified and shared.</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511DA8D" w14:textId="77777777" w:rsidR="00293CEF" w:rsidRDefault="000A11B9">
            <w:pPr>
              <w:rPr>
                <w:rFonts w:eastAsia="Times New Roman" w:cs="Arial"/>
                <w:szCs w:val="22"/>
              </w:rPr>
            </w:pPr>
            <w:r>
              <w:rPr>
                <w:rFonts w:eastAsia="Times New Roman" w:cs="Arial"/>
                <w:szCs w:val="22"/>
              </w:rPr>
              <w:t xml:space="preserve">Best practice management is an important part of a performance excellence journey (so says I) and a vision to be the best. So, this comment makes the cut. </w:t>
            </w:r>
          </w:p>
          <w:p w14:paraId="090DC9EB" w14:textId="59DFD32B" w:rsidR="005E22BD" w:rsidRDefault="000A11B9">
            <w:pPr>
              <w:rPr>
                <w:rFonts w:eastAsia="Times New Roman" w:cs="Arial"/>
                <w:szCs w:val="22"/>
              </w:rPr>
            </w:pPr>
            <w:r>
              <w:rPr>
                <w:rFonts w:eastAsia="Times New Roman" w:cs="Arial"/>
                <w:szCs w:val="22"/>
              </w:rPr>
              <w:t>Edited the comment to point out that the</w:t>
            </w:r>
            <w:r w:rsidR="00293CEF">
              <w:rPr>
                <w:rFonts w:eastAsia="Times New Roman" w:cs="Arial"/>
                <w:szCs w:val="22"/>
              </w:rPr>
              <w:t xml:space="preserve"> applicant</w:t>
            </w:r>
            <w:r>
              <w:rPr>
                <w:rFonts w:eastAsia="Times New Roman" w:cs="Arial"/>
                <w:szCs w:val="22"/>
              </w:rPr>
              <w:t xml:space="preserve"> might consider best practices of role-model organizations if </w:t>
            </w:r>
            <w:r w:rsidR="00293CEF">
              <w:rPr>
                <w:rFonts w:eastAsia="Times New Roman" w:cs="Arial"/>
                <w:szCs w:val="22"/>
              </w:rPr>
              <w:t xml:space="preserve">it </w:t>
            </w:r>
            <w:r>
              <w:rPr>
                <w:rFonts w:eastAsia="Times New Roman" w:cs="Arial"/>
                <w:szCs w:val="22"/>
              </w:rPr>
              <w:t>want</w:t>
            </w:r>
            <w:r w:rsidR="00293CEF">
              <w:rPr>
                <w:rFonts w:eastAsia="Times New Roman" w:cs="Arial"/>
                <w:szCs w:val="22"/>
              </w:rPr>
              <w:t>s</w:t>
            </w:r>
            <w:r>
              <w:rPr>
                <w:rFonts w:eastAsia="Times New Roman" w:cs="Arial"/>
                <w:szCs w:val="22"/>
              </w:rPr>
              <w:t xml:space="preserve"> to achieve the vision of being the best.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10801C1" w14:textId="77777777" w:rsidR="005E22BD" w:rsidRDefault="000A11B9">
            <w:pPr>
              <w:rPr>
                <w:rFonts w:eastAsia="Times New Roman" w:cs="Arial"/>
                <w:szCs w:val="22"/>
              </w:rPr>
            </w:pPr>
            <w:r>
              <w:rPr>
                <w:rFonts w:eastAsia="Times New Roman" w:cs="Arial"/>
                <w:szCs w:val="22"/>
              </w:rPr>
              <w:t>b(2)</w:t>
            </w:r>
          </w:p>
        </w:tc>
      </w:tr>
      <w:tr w:rsidR="00293CEF" w14:paraId="7634D183"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14C6EF33"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ED3332C" w14:textId="7A3C4749" w:rsidR="005E22BD" w:rsidRDefault="00293CEF">
            <w:pPr>
              <w:rPr>
                <w:rFonts w:eastAsia="Times New Roman" w:cs="Arial"/>
                <w:szCs w:val="22"/>
              </w:rPr>
            </w:pPr>
            <w:r>
              <w:rPr>
                <w:rFonts w:eastAsia="Times New Roman" w:cs="Arial"/>
                <w:szCs w:val="22"/>
              </w:rPr>
              <w:t>T</w:t>
            </w:r>
            <w:r w:rsidR="000A11B9">
              <w:rPr>
                <w:rFonts w:eastAsia="Times New Roman" w:cs="Arial"/>
                <w:szCs w:val="22"/>
              </w:rPr>
              <w:t>he applicant</w:t>
            </w:r>
            <w:r w:rsidR="005663C4">
              <w:rPr>
                <w:rFonts w:eastAsia="Times New Roman" w:cs="Arial"/>
                <w:szCs w:val="22"/>
              </w:rPr>
              <w:t>’</w:t>
            </w:r>
            <w:r>
              <w:rPr>
                <w:rFonts w:eastAsia="Times New Roman" w:cs="Arial"/>
                <w:szCs w:val="22"/>
              </w:rPr>
              <w:t>s approach</w:t>
            </w:r>
            <w:r w:rsidR="000A11B9">
              <w:rPr>
                <w:rFonts w:eastAsia="Times New Roman" w:cs="Arial"/>
                <w:szCs w:val="22"/>
              </w:rPr>
              <w:t xml:space="preserve"> to mak</w:t>
            </w:r>
            <w:r>
              <w:rPr>
                <w:rFonts w:eastAsia="Times New Roman" w:cs="Arial"/>
                <w:szCs w:val="22"/>
              </w:rPr>
              <w:t>ing</w:t>
            </w:r>
            <w:r w:rsidR="000A11B9">
              <w:rPr>
                <w:rFonts w:eastAsia="Times New Roman" w:cs="Arial"/>
                <w:szCs w:val="22"/>
              </w:rPr>
              <w:t xml:space="preserve"> needed data and information available in a user-friendly format and timely manner to students and the workforce</w:t>
            </w:r>
            <w:r>
              <w:rPr>
                <w:rFonts w:eastAsia="Times New Roman" w:cs="Arial"/>
                <w:szCs w:val="22"/>
              </w:rPr>
              <w:t xml:space="preserve"> does not appear to be systematic</w:t>
            </w:r>
            <w:r w:rsidR="000A11B9">
              <w:rPr>
                <w:rFonts w:eastAsia="Times New Roman" w:cs="Arial"/>
                <w:szCs w:val="22"/>
              </w:rPr>
              <w:t xml:space="preserve">. For example, </w:t>
            </w:r>
            <w:r w:rsidR="005D7B5E">
              <w:rPr>
                <w:rFonts w:eastAsia="Times New Roman" w:cs="Arial"/>
                <w:szCs w:val="22"/>
              </w:rPr>
              <w:t>it</w:t>
            </w:r>
            <w:r w:rsidR="000A11B9">
              <w:rPr>
                <w:rFonts w:eastAsia="Times New Roman" w:cs="Arial"/>
                <w:szCs w:val="22"/>
              </w:rPr>
              <w:t xml:space="preserve"> is not evident how</w:t>
            </w:r>
            <w:r>
              <w:rPr>
                <w:rFonts w:eastAsia="Times New Roman" w:cs="Arial"/>
                <w:szCs w:val="22"/>
              </w:rPr>
              <w:t xml:space="preserve"> or </w:t>
            </w:r>
            <w:r w:rsidR="000A11B9">
              <w:rPr>
                <w:rFonts w:eastAsia="Times New Roman" w:cs="Arial"/>
                <w:szCs w:val="22"/>
              </w:rPr>
              <w:t xml:space="preserve">when PROD reviews user satisfaction data to determine </w:t>
            </w:r>
            <w:r>
              <w:rPr>
                <w:rFonts w:eastAsia="Times New Roman" w:cs="Arial"/>
                <w:szCs w:val="22"/>
              </w:rPr>
              <w:t xml:space="preserve">whether </w:t>
            </w:r>
            <w:r w:rsidR="000A11B9">
              <w:rPr>
                <w:rFonts w:eastAsia="Times New Roman" w:cs="Arial"/>
                <w:szCs w:val="22"/>
              </w:rPr>
              <w:t>student</w:t>
            </w:r>
            <w:r>
              <w:rPr>
                <w:rFonts w:eastAsia="Times New Roman" w:cs="Arial"/>
                <w:szCs w:val="22"/>
              </w:rPr>
              <w:t>s</w:t>
            </w:r>
            <w:r w:rsidR="000A11B9">
              <w:rPr>
                <w:rFonts w:eastAsia="Times New Roman" w:cs="Arial"/>
                <w:szCs w:val="22"/>
              </w:rPr>
              <w:t xml:space="preserve"> and </w:t>
            </w:r>
            <w:r>
              <w:rPr>
                <w:rFonts w:eastAsia="Times New Roman" w:cs="Arial"/>
                <w:szCs w:val="22"/>
              </w:rPr>
              <w:t xml:space="preserve">the </w:t>
            </w:r>
            <w:r w:rsidR="000A11B9">
              <w:rPr>
                <w:rFonts w:eastAsia="Times New Roman" w:cs="Arial"/>
                <w:szCs w:val="22"/>
              </w:rPr>
              <w:t xml:space="preserve">workforce </w:t>
            </w:r>
            <w:r>
              <w:rPr>
                <w:rFonts w:eastAsia="Times New Roman" w:cs="Arial"/>
                <w:szCs w:val="22"/>
              </w:rPr>
              <w:t xml:space="preserve">perceive that information is </w:t>
            </w:r>
            <w:r w:rsidR="000A11B9">
              <w:rPr>
                <w:rFonts w:eastAsia="Times New Roman" w:cs="Arial"/>
                <w:szCs w:val="22"/>
              </w:rPr>
              <w:t>user-friend</w:t>
            </w:r>
            <w:r>
              <w:rPr>
                <w:rFonts w:eastAsia="Times New Roman" w:cs="Arial"/>
                <w:szCs w:val="22"/>
              </w:rPr>
              <w:t>ly</w:t>
            </w:r>
            <w:r w:rsidR="000A11B9">
              <w:rPr>
                <w:rFonts w:eastAsia="Times New Roman" w:cs="Arial"/>
                <w:szCs w:val="22"/>
              </w:rPr>
              <w:t xml:space="preserve"> and timel</w:t>
            </w:r>
            <w:r>
              <w:rPr>
                <w:rFonts w:eastAsia="Times New Roman" w:cs="Arial"/>
                <w:szCs w:val="22"/>
              </w:rPr>
              <w:t>y</w:t>
            </w:r>
            <w:r w:rsidR="000A11B9">
              <w:rPr>
                <w:rFonts w:eastAsia="Times New Roman" w:cs="Arial"/>
                <w:szCs w:val="22"/>
              </w:rPr>
              <w:t xml:space="preserve">. </w:t>
            </w:r>
            <w:r>
              <w:rPr>
                <w:rFonts w:eastAsia="Times New Roman" w:cs="Arial"/>
                <w:szCs w:val="22"/>
              </w:rPr>
              <w:t>A more systematic approach</w:t>
            </w:r>
            <w:r w:rsidR="005E3D0E">
              <w:rPr>
                <w:rFonts w:eastAsia="Times New Roman" w:cs="Arial"/>
                <w:szCs w:val="22"/>
              </w:rPr>
              <w:t xml:space="preserve"> </w:t>
            </w:r>
            <w:r w:rsidR="000A11B9">
              <w:rPr>
                <w:rFonts w:eastAsia="Times New Roman" w:cs="Arial"/>
                <w:szCs w:val="22"/>
              </w:rPr>
              <w:lastRenderedPageBreak/>
              <w:t>may be important given the centrality of the STAR-Point app (introduced in 2019) and the Students-First value.</w:t>
            </w:r>
          </w:p>
        </w:tc>
        <w:tc>
          <w:tcPr>
            <w:tcW w:w="0" w:type="auto"/>
            <w:tcBorders>
              <w:bottom w:val="single" w:sz="6" w:space="0" w:color="000000"/>
              <w:right w:val="single" w:sz="6" w:space="0" w:color="000000"/>
            </w:tcBorders>
            <w:tcMar>
              <w:top w:w="75" w:type="dxa"/>
              <w:left w:w="75" w:type="dxa"/>
              <w:bottom w:w="75" w:type="dxa"/>
              <w:right w:w="75" w:type="dxa"/>
            </w:tcMar>
            <w:hideMark/>
          </w:tcPr>
          <w:p w14:paraId="775EE8F0" w14:textId="77777777" w:rsidR="005D7B5E" w:rsidRDefault="005D7B5E">
            <w:pPr>
              <w:rPr>
                <w:rFonts w:eastAsia="Times New Roman" w:cs="Arial"/>
                <w:szCs w:val="22"/>
              </w:rPr>
            </w:pPr>
            <w:r>
              <w:rPr>
                <w:rFonts w:eastAsia="Times New Roman" w:cs="Arial"/>
                <w:szCs w:val="22"/>
              </w:rPr>
              <w:lastRenderedPageBreak/>
              <w:t>Lots</w:t>
            </w:r>
            <w:r w:rsidR="000A11B9">
              <w:rPr>
                <w:rFonts w:eastAsia="Times New Roman" w:cs="Arial"/>
                <w:szCs w:val="22"/>
              </w:rPr>
              <w:t xml:space="preserve"> of editing after R-2. </w:t>
            </w:r>
          </w:p>
          <w:p w14:paraId="0F1B23BF" w14:textId="77777777" w:rsidR="005D7B5E" w:rsidRDefault="000A11B9">
            <w:pPr>
              <w:rPr>
                <w:rFonts w:eastAsia="Times New Roman" w:cs="Arial"/>
                <w:szCs w:val="22"/>
              </w:rPr>
            </w:pPr>
            <w:r>
              <w:rPr>
                <w:rFonts w:eastAsia="Times New Roman" w:cs="Arial"/>
                <w:szCs w:val="22"/>
              </w:rPr>
              <w:t xml:space="preserve">Good relevance for this comment: this applicant lives on data, so making it available to key stakeholders is really important. </w:t>
            </w:r>
          </w:p>
          <w:p w14:paraId="1F3700E0" w14:textId="2FBD616D" w:rsidR="005E22BD" w:rsidRDefault="000A11B9">
            <w:pPr>
              <w:rPr>
                <w:rFonts w:eastAsia="Times New Roman" w:cs="Arial"/>
                <w:szCs w:val="22"/>
              </w:rPr>
            </w:pPr>
            <w:r>
              <w:rPr>
                <w:rFonts w:eastAsia="Times New Roman" w:cs="Arial"/>
                <w:szCs w:val="22"/>
              </w:rPr>
              <w:t>This approach OFI is at the multiple level, while the STR for a</w:t>
            </w:r>
            <w:r w:rsidR="00293CEF">
              <w:rPr>
                <w:rFonts w:eastAsia="Times New Roman" w:cs="Arial"/>
                <w:szCs w:val="22"/>
              </w:rPr>
              <w:t xml:space="preserve"> is</w:t>
            </w:r>
            <w:r>
              <w:rPr>
                <w:rFonts w:eastAsia="Times New Roman" w:cs="Arial"/>
                <w:szCs w:val="22"/>
              </w:rPr>
              <w:t xml:space="preserve"> at the overall and (a little bit at the) multiple level.</w:t>
            </w:r>
          </w:p>
        </w:tc>
        <w:tc>
          <w:tcPr>
            <w:tcW w:w="0" w:type="auto"/>
            <w:tcBorders>
              <w:bottom w:val="single" w:sz="6" w:space="0" w:color="000000"/>
              <w:right w:val="single" w:sz="6" w:space="0" w:color="000000"/>
            </w:tcBorders>
            <w:tcMar>
              <w:top w:w="75" w:type="dxa"/>
              <w:left w:w="75" w:type="dxa"/>
              <w:bottom w:w="75" w:type="dxa"/>
              <w:right w:w="75" w:type="dxa"/>
            </w:tcMar>
            <w:hideMark/>
          </w:tcPr>
          <w:p w14:paraId="1C29447B" w14:textId="77777777" w:rsidR="005E22BD" w:rsidRDefault="000A11B9">
            <w:pPr>
              <w:rPr>
                <w:rFonts w:eastAsia="Times New Roman" w:cs="Arial"/>
                <w:szCs w:val="22"/>
              </w:rPr>
            </w:pPr>
            <w:r>
              <w:rPr>
                <w:rFonts w:eastAsia="Times New Roman" w:cs="Arial"/>
                <w:szCs w:val="22"/>
              </w:rPr>
              <w:t>a(2)</w:t>
            </w:r>
          </w:p>
        </w:tc>
      </w:tr>
    </w:tbl>
    <w:p w14:paraId="63567C95"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7C33610D" w14:textId="77777777" w:rsidTr="00080296">
        <w:tc>
          <w:tcPr>
            <w:tcW w:w="10170" w:type="dxa"/>
          </w:tcPr>
          <w:p w14:paraId="0EF220AE" w14:textId="77777777" w:rsidR="00080296" w:rsidRDefault="00080296" w:rsidP="00080296">
            <w:pPr>
              <w:rPr>
                <w:rFonts w:eastAsia="Times New Roman" w:cs="Arial"/>
                <w:szCs w:val="22"/>
              </w:rPr>
            </w:pPr>
            <w:r>
              <w:rPr>
                <w:rFonts w:eastAsia="Times New Roman" w:cs="Arial"/>
                <w:szCs w:val="22"/>
              </w:rPr>
              <w:t xml:space="preserve">CONFLICT ALERT!!!!! The b(1) STR focuses on the overall question and the first 2 bullets of the multiples. The OFI focuses on the last 2 bullets from the multiples. </w:t>
            </w:r>
          </w:p>
          <w:p w14:paraId="79DC66E9" w14:textId="5201B932" w:rsidR="00080296" w:rsidRDefault="00080296" w:rsidP="00080296">
            <w:pPr>
              <w:rPr>
                <w:rFonts w:eastAsia="Times New Roman" w:cs="Arial"/>
                <w:szCs w:val="22"/>
              </w:rPr>
            </w:pPr>
            <w:r>
              <w:rPr>
                <w:rFonts w:eastAsia="Times New Roman" w:cs="Arial"/>
                <w:szCs w:val="22"/>
              </w:rPr>
              <w:t>Ex1</w:t>
            </w:r>
            <w:r w:rsidR="005663C4">
              <w:rPr>
                <w:rFonts w:eastAsia="Times New Roman" w:cs="Arial"/>
                <w:szCs w:val="22"/>
              </w:rPr>
              <w:t>’</w:t>
            </w:r>
            <w:r>
              <w:rPr>
                <w:rFonts w:eastAsia="Times New Roman" w:cs="Arial"/>
                <w:szCs w:val="22"/>
              </w:rPr>
              <w:t>s OFI on a(2) had a nugget that was focused on learning (then his example focused on stakeholders). It would be nice if we could polish our a(2) OFI so it had an element of learning. My brainstorm was to include that somehow in the relevance, but Ex3</w:t>
            </w:r>
            <w:r w:rsidR="005663C4">
              <w:rPr>
                <w:rFonts w:eastAsia="Times New Roman" w:cs="Arial"/>
                <w:szCs w:val="22"/>
              </w:rPr>
              <w:t>’</w:t>
            </w:r>
            <w:r>
              <w:rPr>
                <w:rFonts w:eastAsia="Times New Roman" w:cs="Arial"/>
                <w:szCs w:val="22"/>
              </w:rPr>
              <w:t>s relevance was so damn nice that I didn</w:t>
            </w:r>
            <w:r w:rsidR="005663C4">
              <w:rPr>
                <w:rFonts w:eastAsia="Times New Roman" w:cs="Arial"/>
                <w:szCs w:val="22"/>
              </w:rPr>
              <w:t>’</w:t>
            </w:r>
            <w:r>
              <w:rPr>
                <w:rFonts w:eastAsia="Times New Roman" w:cs="Arial"/>
                <w:szCs w:val="22"/>
              </w:rPr>
              <w:t>t want to muck it up. Open to clever ideas on how to work in some learning to the a(2) OFI, but we don</w:t>
            </w:r>
            <w:r w:rsidR="005663C4">
              <w:rPr>
                <w:rFonts w:eastAsia="Times New Roman" w:cs="Arial"/>
                <w:szCs w:val="22"/>
              </w:rPr>
              <w:t>’</w:t>
            </w:r>
            <w:r>
              <w:rPr>
                <w:rFonts w:eastAsia="Times New Roman" w:cs="Arial"/>
                <w:szCs w:val="22"/>
              </w:rPr>
              <w:t>t want to mess with its current effectiveness.</w:t>
            </w:r>
            <w:r w:rsidR="005E3D0E">
              <w:rPr>
                <w:rFonts w:eastAsia="Times New Roman" w:cs="Arial"/>
                <w:szCs w:val="22"/>
              </w:rPr>
              <w:t xml:space="preserve"> </w:t>
            </w:r>
          </w:p>
          <w:p w14:paraId="1764DF39" w14:textId="61DE88E8" w:rsidR="00080296" w:rsidRDefault="00080296" w:rsidP="00080296">
            <w:pPr>
              <w:rPr>
                <w:rFonts w:eastAsia="Times New Roman" w:cs="Arial"/>
                <w:szCs w:val="22"/>
              </w:rPr>
            </w:pPr>
            <w:r>
              <w:rPr>
                <w:rFonts w:eastAsia="Times New Roman" w:cs="Arial"/>
                <w:szCs w:val="22"/>
              </w:rPr>
              <w:t>Ex1 and Ex6 both noted that it</w:t>
            </w:r>
            <w:r w:rsidR="005663C4">
              <w:rPr>
                <w:rFonts w:eastAsia="Times New Roman" w:cs="Arial"/>
                <w:szCs w:val="22"/>
              </w:rPr>
              <w:t>’</w:t>
            </w:r>
            <w:r>
              <w:rPr>
                <w:rFonts w:eastAsia="Times New Roman" w:cs="Arial"/>
                <w:szCs w:val="22"/>
              </w:rPr>
              <w:t xml:space="preserve">s unclear what prompts anyone to make use of the best practices in the TNW portals. I worked this into the b(1) comment as an example. </w:t>
            </w:r>
          </w:p>
          <w:p w14:paraId="48C30213" w14:textId="1427A7AA" w:rsidR="00080296" w:rsidRDefault="00080296" w:rsidP="00080296">
            <w:pPr>
              <w:rPr>
                <w:rFonts w:eastAsia="Times New Roman" w:cs="Arial"/>
                <w:szCs w:val="22"/>
              </w:rPr>
            </w:pPr>
            <w:r>
              <w:rPr>
                <w:rFonts w:eastAsia="Times New Roman" w:cs="Arial"/>
                <w:szCs w:val="22"/>
              </w:rPr>
              <w:t>Several of us (I</w:t>
            </w:r>
            <w:r w:rsidR="005663C4">
              <w:rPr>
                <w:rFonts w:eastAsia="Times New Roman" w:cs="Arial"/>
                <w:szCs w:val="22"/>
              </w:rPr>
              <w:t>’</w:t>
            </w:r>
            <w:r>
              <w:rPr>
                <w:rFonts w:eastAsia="Times New Roman" w:cs="Arial"/>
                <w:szCs w:val="22"/>
              </w:rPr>
              <w:t>m recalling Ex4 and Ex6, and I think some others) wrote a few OFIs as follow-ups to some of the STRs where details were left out. (And this applicant did this a lot.) We often gave benefit of the doubt for the STRs, but I sensed a desire to include some OFIs that would say to the applicant: "OK, we gave you some STRs with some benefit of the doubt, but we</w:t>
            </w:r>
            <w:r w:rsidR="005663C4">
              <w:rPr>
                <w:rFonts w:eastAsia="Times New Roman" w:cs="Arial"/>
                <w:szCs w:val="22"/>
              </w:rPr>
              <w:t>’</w:t>
            </w:r>
            <w:r>
              <w:rPr>
                <w:rFonts w:eastAsia="Times New Roman" w:cs="Arial"/>
                <w:szCs w:val="22"/>
              </w:rPr>
              <w:t>re still not sure these processes are really fully functional. There was some stuff missing." I</w:t>
            </w:r>
            <w:r w:rsidR="005663C4">
              <w:rPr>
                <w:rFonts w:eastAsia="Times New Roman" w:cs="Arial"/>
                <w:szCs w:val="22"/>
              </w:rPr>
              <w:t>’</w:t>
            </w:r>
            <w:r>
              <w:rPr>
                <w:rFonts w:eastAsia="Times New Roman" w:cs="Arial"/>
                <w:szCs w:val="22"/>
              </w:rPr>
              <w:t>ve not included those specific comments as OFIs, but I have included some OFIs as counterweights to some STRs where we gave some significant benefit of the doubt. If you had one of those OFIs in your IR, I just wanted to acknowledge that.</w:t>
            </w:r>
          </w:p>
        </w:tc>
      </w:tr>
    </w:tbl>
    <w:p w14:paraId="0FD505D5" w14:textId="4B6BD88C" w:rsidR="005E22BD" w:rsidRDefault="00BF1B40" w:rsidP="00080296">
      <w:pPr>
        <w:pStyle w:val="Heading3"/>
        <w:ind w:left="-360"/>
        <w:divId w:val="905190427"/>
        <w:rPr>
          <w:rFonts w:eastAsia="Times New Roman"/>
        </w:rPr>
      </w:pPr>
      <w:r>
        <w:rPr>
          <w:rFonts w:eastAsia="Times New Roman"/>
          <w:szCs w:val="22"/>
        </w:rPr>
        <w:t xml:space="preserve"> </w:t>
      </w:r>
      <w:r w:rsidR="000A11B9">
        <w:rPr>
          <w:rFonts w:eastAsia="Times New Roman"/>
        </w:rPr>
        <w:t>Scoring</w:t>
      </w:r>
    </w:p>
    <w:tbl>
      <w:tblPr>
        <w:tblStyle w:val="TableGrid"/>
        <w:tblW w:w="0" w:type="auto"/>
        <w:tblInd w:w="355" w:type="dxa"/>
        <w:tblLook w:val="04A0" w:firstRow="1" w:lastRow="0" w:firstColumn="1" w:lastColumn="0" w:noHBand="0" w:noVBand="1"/>
      </w:tblPr>
      <w:tblGrid>
        <w:gridCol w:w="10170"/>
      </w:tblGrid>
      <w:tr w:rsidR="00080296" w14:paraId="278A7013" w14:textId="77777777" w:rsidTr="00080296">
        <w:tc>
          <w:tcPr>
            <w:tcW w:w="10170" w:type="dxa"/>
          </w:tcPr>
          <w:p w14:paraId="2871DFF3" w14:textId="77777777" w:rsidR="00080296" w:rsidRDefault="00080296" w:rsidP="00080296">
            <w:pPr>
              <w:ind w:right="720"/>
              <w:rPr>
                <w:rFonts w:eastAsia="Times New Roman" w:cs="Arial"/>
                <w:szCs w:val="22"/>
              </w:rPr>
            </w:pPr>
            <w:r w:rsidRPr="00FD460C">
              <w:rPr>
                <w:rFonts w:eastAsia="Times New Roman" w:cs="Arial"/>
                <w:b/>
                <w:bCs/>
                <w:szCs w:val="22"/>
              </w:rPr>
              <w:t>Score Value:</w:t>
            </w:r>
            <w:r w:rsidRPr="00FD460C">
              <w:rPr>
                <w:rFonts w:eastAsia="Times New Roman" w:cs="Arial"/>
                <w:szCs w:val="22"/>
              </w:rPr>
              <w:t xml:space="preserve"> </w:t>
            </w:r>
            <w:r w:rsidRPr="00FD460C">
              <w:rPr>
                <w:rStyle w:val="Strong"/>
                <w:rFonts w:eastAsia="Times New Roman" w:cs="Arial"/>
                <w:b w:val="0"/>
                <w:bCs w:val="0"/>
                <w:szCs w:val="22"/>
              </w:rPr>
              <w:t>55</w:t>
            </w:r>
          </w:p>
          <w:p w14:paraId="33A92DCB" w14:textId="77777777" w:rsidR="00080296" w:rsidRDefault="00080296" w:rsidP="00080296">
            <w:pPr>
              <w:ind w:right="720"/>
              <w:rPr>
                <w:rFonts w:eastAsia="Times New Roman" w:cs="Arial"/>
                <w:szCs w:val="22"/>
              </w:rPr>
            </w:pPr>
            <w:r w:rsidRPr="00FD460C">
              <w:rPr>
                <w:rFonts w:eastAsia="Times New Roman" w:cs="Arial"/>
                <w:b/>
                <w:bCs/>
                <w:szCs w:val="22"/>
              </w:rPr>
              <w:t>Score Range:</w:t>
            </w:r>
            <w:r w:rsidRPr="00FD460C">
              <w:rPr>
                <w:rFonts w:eastAsia="Times New Roman" w:cs="Arial"/>
                <w:szCs w:val="22"/>
              </w:rPr>
              <w:t xml:space="preserve"> </w:t>
            </w:r>
            <w:r>
              <w:rPr>
                <w:rStyle w:val="Strong"/>
                <w:rFonts w:eastAsia="Times New Roman" w:cs="Arial"/>
                <w:b w:val="0"/>
                <w:bCs w:val="0"/>
                <w:szCs w:val="22"/>
              </w:rPr>
              <w:t>50–65</w:t>
            </w:r>
            <w:r w:rsidRPr="00FD460C">
              <w:rPr>
                <w:rStyle w:val="Strong"/>
                <w:rFonts w:eastAsia="Times New Roman" w:cs="Arial"/>
                <w:b w:val="0"/>
                <w:bCs w:val="0"/>
                <w:szCs w:val="22"/>
              </w:rPr>
              <w:t>%</w:t>
            </w:r>
          </w:p>
          <w:p w14:paraId="7C4E8747" w14:textId="57EF265C" w:rsidR="00080296" w:rsidRPr="00FD460C" w:rsidRDefault="00080296" w:rsidP="00080296">
            <w:pPr>
              <w:ind w:right="360"/>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t the score be in the range above or below the selected one?</w:t>
            </w:r>
            <w:r w:rsidRPr="00FD460C">
              <w:rPr>
                <w:rFonts w:eastAsia="Times New Roman" w:cs="Arial"/>
                <w:szCs w:val="22"/>
              </w:rPr>
              <w:t xml:space="preserve"> </w:t>
            </w:r>
            <w:r w:rsidRPr="00FD460C">
              <w:rPr>
                <w:rStyle w:val="Strong"/>
                <w:rFonts w:eastAsia="Times New Roman" w:cs="Arial"/>
                <w:b w:val="0"/>
                <w:bCs w:val="0"/>
                <w:szCs w:val="22"/>
              </w:rPr>
              <w:t>The two STRs cover some important turf. They address important multiple</w:t>
            </w:r>
            <w:r w:rsidR="00145004">
              <w:rPr>
                <w:rStyle w:val="Strong"/>
                <w:rFonts w:eastAsia="Times New Roman" w:cs="Arial"/>
                <w:b w:val="0"/>
                <w:bCs w:val="0"/>
                <w:szCs w:val="22"/>
              </w:rPr>
              <w:t>-</w:t>
            </w:r>
            <w:r w:rsidR="00145004" w:rsidRPr="00145004">
              <w:rPr>
                <w:rStyle w:val="Strong"/>
                <w:rFonts w:cs="Arial"/>
                <w:b w:val="0"/>
                <w:bCs w:val="0"/>
                <w:szCs w:val="22"/>
              </w:rPr>
              <w:t>level</w:t>
            </w:r>
            <w:r w:rsidR="00145004">
              <w:rPr>
                <w:rStyle w:val="Strong"/>
                <w:rFonts w:eastAsia="Times New Roman" w:cs="Arial"/>
                <w:b w:val="0"/>
                <w:bCs w:val="0"/>
                <w:szCs w:val="22"/>
              </w:rPr>
              <w:t xml:space="preserve"> </w:t>
            </w:r>
            <w:r w:rsidR="00145004" w:rsidRPr="00145004">
              <w:rPr>
                <w:rStyle w:val="Strong"/>
                <w:rFonts w:cs="Arial"/>
                <w:b w:val="0"/>
                <w:bCs w:val="0"/>
                <w:szCs w:val="22"/>
              </w:rPr>
              <w:t>Criteria question</w:t>
            </w:r>
            <w:r w:rsidRPr="00145004">
              <w:rPr>
                <w:rStyle w:val="Strong"/>
                <w:rFonts w:eastAsia="Times New Roman" w:cs="Arial"/>
                <w:b w:val="0"/>
                <w:bCs w:val="0"/>
                <w:szCs w:val="22"/>
              </w:rPr>
              <w:t>s</w:t>
            </w:r>
            <w:r w:rsidRPr="00FD460C">
              <w:rPr>
                <w:rStyle w:val="Strong"/>
                <w:rFonts w:eastAsia="Times New Roman" w:cs="Arial"/>
                <w:b w:val="0"/>
                <w:bCs w:val="0"/>
                <w:szCs w:val="22"/>
              </w:rPr>
              <w:t>, they strongly assert they</w:t>
            </w:r>
            <w:r w:rsidR="005663C4">
              <w:rPr>
                <w:rStyle w:val="Strong"/>
                <w:rFonts w:eastAsia="Times New Roman" w:cs="Arial"/>
                <w:b w:val="0"/>
                <w:bCs w:val="0"/>
                <w:szCs w:val="22"/>
              </w:rPr>
              <w:t>’</w:t>
            </w:r>
            <w:r w:rsidRPr="00FD460C">
              <w:rPr>
                <w:rStyle w:val="Strong"/>
                <w:rFonts w:eastAsia="Times New Roman" w:cs="Arial"/>
                <w:b w:val="0"/>
                <w:bCs w:val="0"/>
                <w:szCs w:val="22"/>
              </w:rPr>
              <w:t xml:space="preserve">ve done cycles of improvement, and they are integrated. (As you know by now, I have a hard time seeing deployment in applications, but others noted deployment.) This pushes us maybe into the </w:t>
            </w:r>
            <w:r>
              <w:rPr>
                <w:rStyle w:val="Strong"/>
                <w:rFonts w:eastAsia="Times New Roman" w:cs="Arial"/>
                <w:b w:val="0"/>
                <w:bCs w:val="0"/>
                <w:szCs w:val="22"/>
              </w:rPr>
              <w:t xml:space="preserve">70–85% </w:t>
            </w:r>
            <w:r w:rsidRPr="00FD460C">
              <w:rPr>
                <w:rStyle w:val="Strong"/>
                <w:rFonts w:eastAsia="Times New Roman" w:cs="Arial"/>
                <w:b w:val="0"/>
                <w:bCs w:val="0"/>
                <w:szCs w:val="22"/>
              </w:rPr>
              <w:t xml:space="preserve">range. </w:t>
            </w:r>
          </w:p>
          <w:p w14:paraId="6BA8BA62" w14:textId="5E9788AE" w:rsidR="00080296" w:rsidRPr="00FD460C" w:rsidRDefault="00080296" w:rsidP="00145004">
            <w:pPr>
              <w:ind w:right="360"/>
              <w:rPr>
                <w:rStyle w:val="Strong"/>
                <w:rFonts w:eastAsia="Times New Roman" w:cs="Arial"/>
                <w:b w:val="0"/>
                <w:bCs w:val="0"/>
                <w:szCs w:val="22"/>
              </w:rPr>
            </w:pPr>
            <w:r w:rsidRPr="00FD460C">
              <w:rPr>
                <w:rStyle w:val="Strong"/>
                <w:rFonts w:eastAsia="Times New Roman" w:cs="Arial"/>
                <w:b w:val="0"/>
                <w:bCs w:val="0"/>
                <w:szCs w:val="22"/>
              </w:rPr>
              <w:t xml:space="preserve">The OFIs are all at the multiple level, but they are important omissions. This brings us back to </w:t>
            </w:r>
            <w:r>
              <w:rPr>
                <w:rStyle w:val="Strong"/>
                <w:rFonts w:eastAsia="Times New Roman" w:cs="Arial"/>
                <w:b w:val="0"/>
                <w:bCs w:val="0"/>
                <w:szCs w:val="22"/>
              </w:rPr>
              <w:t>50–65%</w:t>
            </w:r>
            <w:r w:rsidRPr="00FD460C">
              <w:rPr>
                <w:rStyle w:val="Strong"/>
                <w:rFonts w:eastAsia="Times New Roman" w:cs="Arial"/>
                <w:b w:val="0"/>
                <w:bCs w:val="0"/>
                <w:szCs w:val="22"/>
              </w:rPr>
              <w:t xml:space="preserve">. </w:t>
            </w:r>
          </w:p>
          <w:p w14:paraId="2975CEC7" w14:textId="3B9A14CA" w:rsidR="00080296" w:rsidRDefault="00080296" w:rsidP="00145004">
            <w:pPr>
              <w:ind w:right="360"/>
              <w:rPr>
                <w:rFonts w:eastAsia="Times New Roman" w:cs="Arial"/>
                <w:szCs w:val="22"/>
              </w:rPr>
            </w:pPr>
            <w:r w:rsidRPr="00FD460C">
              <w:rPr>
                <w:rStyle w:val="Strong"/>
                <w:rFonts w:eastAsia="Times New Roman" w:cs="Arial"/>
                <w:b w:val="0"/>
                <w:bCs w:val="0"/>
                <w:szCs w:val="22"/>
              </w:rPr>
              <w:t>I initially proposed a 60 (and we gave quite a bit of benefit of the doubt). The feedback was that a little lower might be preferred. Coming back after R-2 with 55.</w:t>
            </w:r>
          </w:p>
        </w:tc>
      </w:tr>
    </w:tbl>
    <w:p w14:paraId="4C9B85A7" w14:textId="77777777" w:rsidR="00E816F5" w:rsidRDefault="00E816F5">
      <w:pPr>
        <w:spacing w:after="0"/>
        <w:rPr>
          <w:rFonts w:eastAsia="Times New Roman" w:cs="Arial"/>
          <w:szCs w:val="22"/>
        </w:rPr>
      </w:pPr>
      <w:r>
        <w:rPr>
          <w:rFonts w:eastAsia="Times New Roman" w:cs="Arial"/>
          <w:szCs w:val="22"/>
        </w:rPr>
        <w:br w:type="page"/>
      </w:r>
    </w:p>
    <w:p w14:paraId="5EB964BE"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5.1</w:t>
      </w:r>
    </w:p>
    <w:p w14:paraId="095AB939" w14:textId="77777777" w:rsidR="005E22BD" w:rsidRDefault="000A11B9">
      <w:pPr>
        <w:pStyle w:val="Heading2"/>
        <w:divId w:val="905190427"/>
        <w:rPr>
          <w:rFonts w:eastAsia="Times New Roman" w:cs="Arial"/>
        </w:rPr>
      </w:pPr>
      <w:r>
        <w:rPr>
          <w:rFonts w:eastAsia="Times New Roman" w:cs="Arial"/>
        </w:rPr>
        <w:t>Workforce Environment</w:t>
      </w:r>
    </w:p>
    <w:p w14:paraId="78807E45" w14:textId="77777777" w:rsidR="005E22BD" w:rsidRDefault="000A11B9">
      <w:pPr>
        <w:pStyle w:val="Heading3"/>
        <w:divId w:val="905190427"/>
        <w:rPr>
          <w:rFonts w:eastAsia="Times New Roman" w:cs="Arial"/>
        </w:rPr>
      </w:pPr>
      <w:r>
        <w:rPr>
          <w:rFonts w:eastAsia="Times New Roman" w:cs="Arial"/>
        </w:rPr>
        <w:t>Relevant Key Factors</w:t>
      </w:r>
    </w:p>
    <w:p w14:paraId="7479109A" w14:textId="03B16458" w:rsidR="005E22BD" w:rsidRDefault="000A11B9">
      <w:pPr>
        <w:numPr>
          <w:ilvl w:val="0"/>
          <w:numId w:val="13"/>
        </w:numPr>
        <w:spacing w:before="100" w:beforeAutospacing="1" w:after="100" w:afterAutospacing="1"/>
        <w:divId w:val="905190427"/>
        <w:rPr>
          <w:rFonts w:eastAsia="Times New Roman" w:cs="Arial"/>
          <w:szCs w:val="22"/>
        </w:rPr>
      </w:pPr>
      <w:r>
        <w:rPr>
          <w:rFonts w:eastAsia="Times New Roman" w:cs="Arial"/>
          <w:szCs w:val="22"/>
        </w:rPr>
        <w:t xml:space="preserve">50 associate; </w:t>
      </w:r>
      <w:r w:rsidR="001F46D7">
        <w:rPr>
          <w:rFonts w:eastAsia="Times New Roman" w:cs="Arial"/>
          <w:szCs w:val="22"/>
        </w:rPr>
        <w:t>25 certificates/workforce training badge</w:t>
      </w:r>
      <w:r>
        <w:rPr>
          <w:rFonts w:eastAsia="Times New Roman" w:cs="Arial"/>
          <w:szCs w:val="22"/>
        </w:rPr>
        <w:t xml:space="preserve">; </w:t>
      </w:r>
      <w:r w:rsidR="001F46D7">
        <w:rPr>
          <w:rFonts w:eastAsia="Times New Roman" w:cs="Arial"/>
          <w:szCs w:val="22"/>
        </w:rPr>
        <w:t>workforce development/continuing education</w:t>
      </w:r>
      <w:r w:rsidR="000834C7">
        <w:rPr>
          <w:rFonts w:eastAsia="Times New Roman" w:cs="Arial"/>
          <w:szCs w:val="22"/>
        </w:rPr>
        <w:t>—</w:t>
      </w:r>
      <w:r w:rsidR="001F46D7">
        <w:rPr>
          <w:rFonts w:eastAsia="Times New Roman" w:cs="Arial"/>
          <w:szCs w:val="22"/>
        </w:rPr>
        <w:t>personal development, badges, skill-building courses</w:t>
      </w:r>
      <w:r>
        <w:rPr>
          <w:rFonts w:eastAsia="Times New Roman" w:cs="Arial"/>
          <w:szCs w:val="22"/>
        </w:rPr>
        <w:t xml:space="preserve">. All associate </w:t>
      </w:r>
      <w:r w:rsidR="001F46D7">
        <w:rPr>
          <w:rFonts w:eastAsia="Times New Roman" w:cs="Arial"/>
          <w:szCs w:val="22"/>
        </w:rPr>
        <w:t>programs require internship, apprenticeship, or other applied experience</w:t>
      </w:r>
      <w:r>
        <w:rPr>
          <w:rFonts w:eastAsia="Times New Roman" w:cs="Arial"/>
          <w:szCs w:val="22"/>
        </w:rPr>
        <w:t>.</w:t>
      </w:r>
    </w:p>
    <w:p w14:paraId="637EE7BE" w14:textId="77777777" w:rsidR="005E22BD" w:rsidRDefault="000A11B9">
      <w:pPr>
        <w:numPr>
          <w:ilvl w:val="0"/>
          <w:numId w:val="13"/>
        </w:numPr>
        <w:spacing w:before="100" w:beforeAutospacing="1" w:after="100" w:afterAutospacing="1"/>
        <w:divId w:val="905190427"/>
        <w:rPr>
          <w:rFonts w:eastAsia="Times New Roman" w:cs="Arial"/>
          <w:szCs w:val="22"/>
        </w:rPr>
      </w:pPr>
      <w:r>
        <w:rPr>
          <w:rFonts w:eastAsia="Times New Roman" w:cs="Arial"/>
          <w:szCs w:val="22"/>
        </w:rPr>
        <w:t>Vision</w:t>
      </w:r>
      <w:r w:rsidR="000834C7">
        <w:rPr>
          <w:rFonts w:eastAsia="Times New Roman" w:cs="Arial"/>
          <w:szCs w:val="22"/>
        </w:rPr>
        <w:t>—</w:t>
      </w:r>
      <w:r>
        <w:rPr>
          <w:rFonts w:eastAsia="Times New Roman" w:cs="Arial"/>
          <w:szCs w:val="22"/>
        </w:rPr>
        <w:t>Will be the best in the nation in providing students with accessibility, affordability, career-readiness, and social responsibility.</w:t>
      </w:r>
    </w:p>
    <w:p w14:paraId="168D5159" w14:textId="423C0D5A" w:rsidR="005E22BD" w:rsidRDefault="000A11B9">
      <w:pPr>
        <w:numPr>
          <w:ilvl w:val="0"/>
          <w:numId w:val="13"/>
        </w:numPr>
        <w:spacing w:before="100" w:beforeAutospacing="1" w:after="100" w:afterAutospacing="1"/>
        <w:divId w:val="905190427"/>
        <w:rPr>
          <w:rFonts w:eastAsia="Times New Roman" w:cs="Arial"/>
          <w:szCs w:val="22"/>
        </w:rPr>
      </w:pPr>
      <w:r>
        <w:rPr>
          <w:rFonts w:eastAsia="Times New Roman" w:cs="Arial"/>
          <w:szCs w:val="22"/>
        </w:rPr>
        <w:t>CC3: Maintain expert, up-to-date workforce</w:t>
      </w:r>
      <w:r w:rsidR="006D50DF">
        <w:rPr>
          <w:rFonts w:eastAsia="Times New Roman" w:cs="Arial"/>
          <w:szCs w:val="22"/>
        </w:rPr>
        <w:t>.</w:t>
      </w:r>
    </w:p>
    <w:p w14:paraId="46767755" w14:textId="77D259A6" w:rsidR="005E22BD" w:rsidRDefault="00153A64">
      <w:pPr>
        <w:numPr>
          <w:ilvl w:val="0"/>
          <w:numId w:val="13"/>
        </w:numPr>
        <w:spacing w:before="100" w:beforeAutospacing="1" w:after="100" w:afterAutospacing="1"/>
        <w:divId w:val="905190427"/>
        <w:rPr>
          <w:rFonts w:eastAsia="Times New Roman" w:cs="Arial"/>
          <w:szCs w:val="22"/>
        </w:rPr>
      </w:pPr>
      <w:r>
        <w:rPr>
          <w:rFonts w:eastAsia="Times New Roman" w:cs="Arial"/>
          <w:szCs w:val="22"/>
        </w:rPr>
        <w:t>Tenured/tenure-track faculty</w:t>
      </w:r>
      <w:r w:rsidR="000A11B9">
        <w:rPr>
          <w:rFonts w:eastAsia="Times New Roman" w:cs="Arial"/>
          <w:szCs w:val="22"/>
        </w:rPr>
        <w:t xml:space="preserve"> (250); </w:t>
      </w:r>
      <w:r>
        <w:rPr>
          <w:rFonts w:eastAsia="Times New Roman" w:cs="Arial"/>
          <w:szCs w:val="22"/>
        </w:rPr>
        <w:t>adjunct and non-tenure-track,</w:t>
      </w:r>
      <w:r w:rsidR="000A11B9">
        <w:rPr>
          <w:rFonts w:eastAsia="Times New Roman" w:cs="Arial"/>
          <w:szCs w:val="22"/>
        </w:rPr>
        <w:t xml:space="preserve"> FT &amp; PT (200); </w:t>
      </w:r>
      <w:r w:rsidR="00235345">
        <w:rPr>
          <w:rFonts w:eastAsia="Times New Roman" w:cs="Arial"/>
          <w:szCs w:val="22"/>
        </w:rPr>
        <w:t xml:space="preserve">management (60); professional support (250); support (400); temp. </w:t>
      </w:r>
      <w:r w:rsidR="000A11B9">
        <w:rPr>
          <w:rFonts w:eastAsia="Times New Roman" w:cs="Arial"/>
          <w:szCs w:val="22"/>
        </w:rPr>
        <w:t>(50)</w:t>
      </w:r>
      <w:r w:rsidR="006D50DF">
        <w:rPr>
          <w:rFonts w:eastAsia="Times New Roman" w:cs="Arial"/>
          <w:szCs w:val="22"/>
        </w:rPr>
        <w:t>.</w:t>
      </w:r>
    </w:p>
    <w:p w14:paraId="49CCD3F7" w14:textId="64CB9CBC" w:rsidR="005E22BD" w:rsidRDefault="000A11B9">
      <w:pPr>
        <w:numPr>
          <w:ilvl w:val="0"/>
          <w:numId w:val="13"/>
        </w:numPr>
        <w:spacing w:before="100" w:beforeAutospacing="1" w:after="100" w:afterAutospacing="1"/>
        <w:divId w:val="905190427"/>
        <w:rPr>
          <w:rFonts w:eastAsia="Times New Roman" w:cs="Arial"/>
          <w:szCs w:val="22"/>
        </w:rPr>
      </w:pPr>
      <w:r>
        <w:rPr>
          <w:rFonts w:eastAsia="Times New Roman" w:cs="Arial"/>
          <w:szCs w:val="22"/>
        </w:rPr>
        <w:t xml:space="preserve">Decreased state funding, Influx of </w:t>
      </w:r>
      <w:r w:rsidR="00DB6E5E">
        <w:rPr>
          <w:rFonts w:eastAsia="Times New Roman" w:cs="Arial"/>
          <w:szCs w:val="22"/>
        </w:rPr>
        <w:t>dual-credit</w:t>
      </w:r>
      <w:r>
        <w:rPr>
          <w:rFonts w:eastAsia="Times New Roman" w:cs="Arial"/>
          <w:szCs w:val="22"/>
        </w:rPr>
        <w:t xml:space="preserve"> high school students, increased competition for students, demands </w:t>
      </w:r>
      <w:r w:rsidR="00DB6E5E">
        <w:rPr>
          <w:rFonts w:eastAsia="Times New Roman" w:cs="Arial"/>
          <w:szCs w:val="22"/>
        </w:rPr>
        <w:t>to close achievement gap</w:t>
      </w:r>
      <w:r>
        <w:rPr>
          <w:rFonts w:eastAsia="Times New Roman" w:cs="Arial"/>
          <w:szCs w:val="22"/>
        </w:rPr>
        <w:t xml:space="preserve">, ensuring qualifications of incoming </w:t>
      </w:r>
      <w:r w:rsidR="00DB6E5E">
        <w:rPr>
          <w:rFonts w:eastAsia="Times New Roman" w:cs="Arial"/>
          <w:szCs w:val="22"/>
        </w:rPr>
        <w:t>FT/PT</w:t>
      </w:r>
      <w:r>
        <w:rPr>
          <w:rFonts w:eastAsia="Times New Roman" w:cs="Arial"/>
          <w:szCs w:val="22"/>
        </w:rPr>
        <w:t xml:space="preserve"> faculty</w:t>
      </w:r>
      <w:r w:rsidR="006D50DF">
        <w:rPr>
          <w:rFonts w:eastAsia="Times New Roman" w:cs="Arial"/>
          <w:szCs w:val="22"/>
        </w:rPr>
        <w:t>.</w:t>
      </w:r>
    </w:p>
    <w:p w14:paraId="51EC8DA3"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906"/>
        <w:gridCol w:w="3551"/>
        <w:gridCol w:w="1200"/>
      </w:tblGrid>
      <w:tr w:rsidR="007B79ED" w14:paraId="28CC5BA2"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7B02770F"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289E7A47"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62C5CB22"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90ED348" w14:textId="77777777" w:rsidR="005E22BD" w:rsidRDefault="000A11B9">
            <w:pPr>
              <w:jc w:val="center"/>
              <w:rPr>
                <w:rFonts w:eastAsia="Times New Roman" w:cs="Arial"/>
                <w:b/>
                <w:bCs/>
                <w:szCs w:val="22"/>
              </w:rPr>
            </w:pPr>
            <w:r>
              <w:rPr>
                <w:rFonts w:eastAsia="Times New Roman" w:cs="Arial"/>
                <w:b/>
                <w:bCs/>
                <w:szCs w:val="22"/>
              </w:rPr>
              <w:t>Item Ref.</w:t>
            </w:r>
          </w:p>
        </w:tc>
      </w:tr>
      <w:tr w:rsidR="007B79ED" w14:paraId="2A90AC4F"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2E40D99"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1EA85D1" w14:textId="3B269FC2" w:rsidR="005E22BD" w:rsidRDefault="000A11B9">
            <w:pPr>
              <w:rPr>
                <w:rFonts w:eastAsia="Times New Roman" w:cs="Arial"/>
                <w:szCs w:val="22"/>
              </w:rPr>
            </w:pPr>
            <w:r>
              <w:rPr>
                <w:rFonts w:eastAsia="Times New Roman" w:cs="Arial"/>
                <w:szCs w:val="22"/>
              </w:rPr>
              <w:t xml:space="preserve">The JPC team </w:t>
            </w:r>
            <w:r w:rsidR="006D50DF">
              <w:rPr>
                <w:rFonts w:eastAsia="Times New Roman" w:cs="Arial"/>
                <w:szCs w:val="22"/>
              </w:rPr>
              <w:t xml:space="preserve">systematically </w:t>
            </w:r>
            <w:r>
              <w:rPr>
                <w:rFonts w:eastAsia="Times New Roman" w:cs="Arial"/>
                <w:szCs w:val="22"/>
              </w:rPr>
              <w:t>assesses workforce capability and capacity needs through the annual Capability Review Process</w:t>
            </w:r>
            <w:r w:rsidR="006D50DF">
              <w:rPr>
                <w:rFonts w:eastAsia="Times New Roman" w:cs="Arial"/>
                <w:szCs w:val="22"/>
              </w:rPr>
              <w:t>, which is</w:t>
            </w:r>
            <w:r>
              <w:rPr>
                <w:rFonts w:eastAsia="Times New Roman" w:cs="Arial"/>
                <w:szCs w:val="22"/>
              </w:rPr>
              <w:t xml:space="preserve"> part of the SPP</w:t>
            </w:r>
            <w:r w:rsidR="006D50DF">
              <w:rPr>
                <w:rFonts w:eastAsia="Times New Roman" w:cs="Arial"/>
                <w:szCs w:val="22"/>
              </w:rPr>
              <w:t xml:space="preserve"> and undergoes annual reviews</w:t>
            </w:r>
            <w:r>
              <w:rPr>
                <w:rFonts w:eastAsia="Times New Roman" w:cs="Arial"/>
                <w:szCs w:val="22"/>
              </w:rPr>
              <w:t xml:space="preserve">. Skills, competencies, </w:t>
            </w:r>
            <w:r w:rsidR="005D7B5E">
              <w:rPr>
                <w:rFonts w:eastAsia="Times New Roman" w:cs="Arial"/>
                <w:szCs w:val="22"/>
              </w:rPr>
              <w:t>certifications,</w:t>
            </w:r>
            <w:r>
              <w:rPr>
                <w:rFonts w:eastAsia="Times New Roman" w:cs="Arial"/>
                <w:szCs w:val="22"/>
              </w:rPr>
              <w:t xml:space="preserve"> and staffing levels are considered and aligned to the SPP, budget, and the NWPMP processes to evaluate performance and future development needs. Capacity analysis for academics includes projected enrollment, contact hours with consideration for FT/PT faculty ratios, average class size,</w:t>
            </w:r>
            <w:r w:rsidR="006D50DF">
              <w:rPr>
                <w:rFonts w:eastAsia="Times New Roman" w:cs="Arial"/>
                <w:szCs w:val="22"/>
              </w:rPr>
              <w:t xml:space="preserve"> and</w:t>
            </w:r>
            <w:r>
              <w:rPr>
                <w:rFonts w:eastAsia="Times New Roman" w:cs="Arial"/>
                <w:szCs w:val="22"/>
              </w:rPr>
              <w:t xml:space="preserve"> advising and student services ratios. Achieving appropriate workforce capability and capacity </w:t>
            </w:r>
            <w:r w:rsidR="006D50DF">
              <w:rPr>
                <w:rFonts w:eastAsia="Times New Roman" w:cs="Arial"/>
                <w:szCs w:val="22"/>
              </w:rPr>
              <w:t>supports the applicant</w:t>
            </w:r>
            <w:r w:rsidR="005663C4">
              <w:rPr>
                <w:rFonts w:eastAsia="Times New Roman" w:cs="Arial"/>
                <w:szCs w:val="22"/>
              </w:rPr>
              <w:t>’</w:t>
            </w:r>
            <w:r w:rsidR="006D50DF">
              <w:rPr>
                <w:rFonts w:eastAsia="Times New Roman" w:cs="Arial"/>
                <w:szCs w:val="22"/>
              </w:rPr>
              <w:t xml:space="preserve">s </w:t>
            </w:r>
            <w:r w:rsidR="002014D0">
              <w:rPr>
                <w:rFonts w:eastAsia="Times New Roman" w:cs="Arial"/>
                <w:szCs w:val="22"/>
              </w:rPr>
              <w:t>S</w:t>
            </w:r>
            <w:r>
              <w:rPr>
                <w:rFonts w:eastAsia="Times New Roman" w:cs="Arial"/>
                <w:szCs w:val="22"/>
              </w:rPr>
              <w:t>tudents</w:t>
            </w:r>
            <w:r w:rsidR="002014D0">
              <w:rPr>
                <w:rFonts w:eastAsia="Times New Roman" w:cs="Arial"/>
                <w:szCs w:val="22"/>
              </w:rPr>
              <w:t xml:space="preserve"> F</w:t>
            </w:r>
            <w:r>
              <w:rPr>
                <w:rFonts w:eastAsia="Times New Roman" w:cs="Arial"/>
                <w:szCs w:val="22"/>
              </w:rPr>
              <w:t>irst value.</w:t>
            </w:r>
          </w:p>
        </w:tc>
        <w:tc>
          <w:tcPr>
            <w:tcW w:w="0" w:type="auto"/>
            <w:tcBorders>
              <w:bottom w:val="single" w:sz="6" w:space="0" w:color="000000"/>
              <w:right w:val="single" w:sz="6" w:space="0" w:color="000000"/>
            </w:tcBorders>
            <w:tcMar>
              <w:top w:w="75" w:type="dxa"/>
              <w:left w:w="75" w:type="dxa"/>
              <w:bottom w:w="75" w:type="dxa"/>
              <w:right w:w="75" w:type="dxa"/>
            </w:tcMar>
            <w:hideMark/>
          </w:tcPr>
          <w:p w14:paraId="1E3FBAFA" w14:textId="77777777" w:rsidR="005E22BD" w:rsidRDefault="000A11B9">
            <w:pPr>
              <w:rPr>
                <w:rFonts w:eastAsia="Times New Roman" w:cs="Arial"/>
                <w:szCs w:val="22"/>
              </w:rPr>
            </w:pPr>
            <w:r>
              <w:rPr>
                <w:rFonts w:eastAsia="Times New Roman" w:cs="Arial"/>
                <w:szCs w:val="22"/>
              </w:rPr>
              <w:t xml:space="preserve">All </w:t>
            </w:r>
            <w:r w:rsidR="0062229F">
              <w:rPr>
                <w:rFonts w:eastAsia="Times New Roman" w:cs="Arial"/>
                <w:szCs w:val="22"/>
              </w:rPr>
              <w:t xml:space="preserve">examiners </w:t>
            </w:r>
            <w:r>
              <w:rPr>
                <w:rFonts w:eastAsia="Times New Roman" w:cs="Arial"/>
                <w:szCs w:val="22"/>
              </w:rPr>
              <w:t>had a strength for a(1).</w:t>
            </w:r>
          </w:p>
          <w:p w14:paraId="5D1C7798" w14:textId="2B329693" w:rsidR="006D50DF" w:rsidRDefault="006D50DF">
            <w:pPr>
              <w:rPr>
                <w:rFonts w:eastAsia="Times New Roman" w:cs="Arial"/>
                <w:szCs w:val="22"/>
              </w:rPr>
            </w:pPr>
            <w:r>
              <w:rPr>
                <w:rFonts w:eastAsia="Times New Roman" w:cs="Arial"/>
                <w:szCs w:val="22"/>
              </w:rPr>
              <w:t>ALI</w:t>
            </w:r>
          </w:p>
        </w:tc>
        <w:tc>
          <w:tcPr>
            <w:tcW w:w="0" w:type="auto"/>
            <w:tcBorders>
              <w:bottom w:val="single" w:sz="6" w:space="0" w:color="000000"/>
              <w:right w:val="single" w:sz="6" w:space="0" w:color="000000"/>
            </w:tcBorders>
            <w:tcMar>
              <w:top w:w="75" w:type="dxa"/>
              <w:left w:w="75" w:type="dxa"/>
              <w:bottom w:w="75" w:type="dxa"/>
              <w:right w:w="75" w:type="dxa"/>
            </w:tcMar>
            <w:hideMark/>
          </w:tcPr>
          <w:p w14:paraId="2824E5CD" w14:textId="77777777" w:rsidR="005E22BD" w:rsidRDefault="000A11B9">
            <w:pPr>
              <w:rPr>
                <w:rFonts w:eastAsia="Times New Roman" w:cs="Arial"/>
                <w:szCs w:val="22"/>
              </w:rPr>
            </w:pPr>
            <w:r>
              <w:rPr>
                <w:rFonts w:eastAsia="Times New Roman" w:cs="Arial"/>
                <w:szCs w:val="22"/>
              </w:rPr>
              <w:t>a(1)</w:t>
            </w:r>
          </w:p>
        </w:tc>
      </w:tr>
      <w:tr w:rsidR="007B79ED" w14:paraId="528D49CA"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B2F2D71"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BEEFA41" w14:textId="0635AED3" w:rsidR="005E22BD" w:rsidRDefault="000A11B9">
            <w:pPr>
              <w:rPr>
                <w:rFonts w:eastAsia="Times New Roman" w:cs="Arial"/>
                <w:szCs w:val="22"/>
              </w:rPr>
            </w:pPr>
            <w:r>
              <w:rPr>
                <w:rFonts w:eastAsia="Times New Roman" w:cs="Arial"/>
                <w:szCs w:val="22"/>
              </w:rPr>
              <w:t>Changes to addressing workforce capacity and capability needs are systematically determined through the SPP and are reviewed twice a year for degree instruction and quarterly for workforce development. Changes in capacity are addressed through the Center for Faculty Development, the Emergency Innovation Response Team, and the three-year systematic change management strategy. Improvements over the last three years include established outplacement, revised training opportunities, and more just-in-time hiring. These improved processes may help the applicant strengthen its core competency of an expert</w:t>
            </w:r>
            <w:r w:rsidR="002014D0">
              <w:rPr>
                <w:rFonts w:eastAsia="Times New Roman" w:cs="Arial"/>
                <w:szCs w:val="22"/>
              </w:rPr>
              <w:t>,</w:t>
            </w:r>
            <w:r>
              <w:rPr>
                <w:rFonts w:eastAsia="Times New Roman" w:cs="Arial"/>
                <w:szCs w:val="22"/>
              </w:rPr>
              <w:t xml:space="preserve"> up-to-date workforce.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864780E" w14:textId="4EC75BCB" w:rsidR="006D50DF" w:rsidRDefault="00350724">
            <w:pPr>
              <w:rPr>
                <w:rFonts w:eastAsia="Times New Roman" w:cs="Arial"/>
                <w:szCs w:val="22"/>
              </w:rPr>
            </w:pPr>
            <w:r>
              <w:rPr>
                <w:rFonts w:eastAsia="Times New Roman" w:cs="Arial"/>
                <w:szCs w:val="22"/>
              </w:rPr>
              <w:t xml:space="preserve">Ex1, Ex2, Ex3, Ex4, </w:t>
            </w:r>
            <w:r w:rsidR="007B4856">
              <w:rPr>
                <w:rFonts w:eastAsia="Times New Roman" w:cs="Arial"/>
                <w:szCs w:val="22"/>
              </w:rPr>
              <w:t>Ex7</w:t>
            </w:r>
            <w:r w:rsidR="000A11B9">
              <w:rPr>
                <w:rFonts w:eastAsia="Times New Roman" w:cs="Arial"/>
                <w:szCs w:val="22"/>
              </w:rPr>
              <w:t xml:space="preserve"> all have a + for a(3). </w:t>
            </w:r>
          </w:p>
          <w:p w14:paraId="51196525" w14:textId="68B20E5D" w:rsidR="006D50DF" w:rsidRDefault="006D50DF">
            <w:pPr>
              <w:rPr>
                <w:rFonts w:eastAsia="Times New Roman" w:cs="Arial"/>
                <w:szCs w:val="22"/>
              </w:rPr>
            </w:pPr>
            <w:r>
              <w:rPr>
                <w:rFonts w:eastAsia="Times New Roman" w:cs="Arial"/>
                <w:szCs w:val="22"/>
              </w:rPr>
              <w:t>A</w:t>
            </w:r>
            <w:r w:rsidR="007D09C2">
              <w:rPr>
                <w:rFonts w:eastAsia="Times New Roman" w:cs="Arial"/>
                <w:szCs w:val="22"/>
              </w:rPr>
              <w:t>LI</w:t>
            </w:r>
          </w:p>
          <w:p w14:paraId="0A035DEB" w14:textId="45A1C429" w:rsidR="005E22BD" w:rsidRDefault="000A11B9">
            <w:pPr>
              <w:rPr>
                <w:rFonts w:eastAsia="Times New Roman" w:cs="Arial"/>
                <w:szCs w:val="22"/>
              </w:rPr>
            </w:pPr>
            <w:r>
              <w:rPr>
                <w:rFonts w:eastAsia="Times New Roman" w:cs="Arial"/>
                <w:szCs w:val="22"/>
              </w:rPr>
              <w:t>One examiner included a(3) as an OFI based on how the applicant uses teams as part of its ability to manage changing capacity</w:t>
            </w:r>
            <w:r w:rsidR="002014D0">
              <w:rPr>
                <w:rFonts w:eastAsia="Times New Roman" w:cs="Arial"/>
                <w:szCs w:val="22"/>
              </w:rPr>
              <w:t>.</w:t>
            </w:r>
            <w:r>
              <w:rPr>
                <w:rFonts w:eastAsia="Times New Roman" w:cs="Arial"/>
                <w:szCs w:val="22"/>
              </w:rPr>
              <w:t xml:space="preserve"> I did not include this as the </w:t>
            </w:r>
            <w:r w:rsidR="00FD460C">
              <w:rPr>
                <w:rFonts w:eastAsia="Times New Roman" w:cs="Arial"/>
                <w:szCs w:val="22"/>
              </w:rPr>
              <w:t xml:space="preserve">Criteria </w:t>
            </w:r>
            <w:r>
              <w:rPr>
                <w:rFonts w:eastAsia="Times New Roman" w:cs="Arial"/>
                <w:szCs w:val="22"/>
              </w:rPr>
              <w:t>do not include questions specific to teams.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E36ACBB" w14:textId="77777777" w:rsidR="005E22BD" w:rsidRDefault="000A11B9">
            <w:pPr>
              <w:rPr>
                <w:rFonts w:eastAsia="Times New Roman" w:cs="Arial"/>
                <w:szCs w:val="22"/>
              </w:rPr>
            </w:pPr>
            <w:r>
              <w:rPr>
                <w:rFonts w:eastAsia="Times New Roman" w:cs="Arial"/>
                <w:szCs w:val="22"/>
              </w:rPr>
              <w:t>a(3)</w:t>
            </w:r>
          </w:p>
        </w:tc>
      </w:tr>
      <w:tr w:rsidR="007B79ED" w14:paraId="605499C3"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1154ABA5"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8498393" w14:textId="610C084B" w:rsidR="005E22BD" w:rsidRDefault="000A11B9">
            <w:pPr>
              <w:rPr>
                <w:rFonts w:eastAsia="Times New Roman" w:cs="Arial"/>
                <w:szCs w:val="22"/>
              </w:rPr>
            </w:pPr>
            <w:r>
              <w:rPr>
                <w:rFonts w:eastAsia="Times New Roman" w:cs="Arial"/>
                <w:szCs w:val="22"/>
              </w:rPr>
              <w:t xml:space="preserve">The applicant </w:t>
            </w:r>
            <w:r w:rsidR="007B79ED">
              <w:rPr>
                <w:rFonts w:eastAsia="Times New Roman" w:cs="Arial"/>
                <w:szCs w:val="22"/>
              </w:rPr>
              <w:t xml:space="preserve">systematically </w:t>
            </w:r>
            <w:r>
              <w:rPr>
                <w:rFonts w:eastAsia="Times New Roman" w:cs="Arial"/>
                <w:szCs w:val="22"/>
              </w:rPr>
              <w:t xml:space="preserve">addresses work accomplishment through a defined structure </w:t>
            </w:r>
            <w:r>
              <w:rPr>
                <w:rFonts w:eastAsia="Times New Roman" w:cs="Arial"/>
                <w:szCs w:val="22"/>
              </w:rPr>
              <w:lastRenderedPageBreak/>
              <w:t xml:space="preserve">focused on aligning the organization to achieve goals/action plans with a focus on continuous improvement. Committees and teams promote collaboration and continuous improvement across the </w:t>
            </w:r>
            <w:r w:rsidR="002014D0">
              <w:rPr>
                <w:rFonts w:eastAsia="Times New Roman" w:cs="Arial"/>
                <w:szCs w:val="22"/>
              </w:rPr>
              <w:t>organization</w:t>
            </w:r>
            <w:r>
              <w:rPr>
                <w:rFonts w:eastAsia="Times New Roman" w:cs="Arial"/>
                <w:szCs w:val="22"/>
              </w:rPr>
              <w:t>. Unit-level teams focus on achieving SPP goals and establish action plans for the coming year. Cross-functional teams work on issues affecting the larger organization, and ad hoc teams address specific issues. Departments are aligned by function. Both faculty and staff</w:t>
            </w:r>
            <w:r w:rsidR="002014D0">
              <w:rPr>
                <w:rFonts w:eastAsia="Times New Roman" w:cs="Arial"/>
                <w:szCs w:val="22"/>
              </w:rPr>
              <w:t xml:space="preserve"> members</w:t>
            </w:r>
            <w:r>
              <w:rPr>
                <w:rFonts w:eastAsia="Times New Roman" w:cs="Arial"/>
                <w:szCs w:val="22"/>
              </w:rPr>
              <w:t xml:space="preserve"> participate on teams and committees.</w:t>
            </w:r>
          </w:p>
        </w:tc>
        <w:tc>
          <w:tcPr>
            <w:tcW w:w="0" w:type="auto"/>
            <w:tcBorders>
              <w:bottom w:val="single" w:sz="6" w:space="0" w:color="000000"/>
              <w:right w:val="single" w:sz="6" w:space="0" w:color="000000"/>
            </w:tcBorders>
            <w:tcMar>
              <w:top w:w="75" w:type="dxa"/>
              <w:left w:w="75" w:type="dxa"/>
              <w:bottom w:w="75" w:type="dxa"/>
              <w:right w:w="75" w:type="dxa"/>
            </w:tcMar>
            <w:hideMark/>
          </w:tcPr>
          <w:p w14:paraId="4042CED3" w14:textId="25A715A4" w:rsidR="005E22BD" w:rsidRDefault="000A11B9">
            <w:pPr>
              <w:rPr>
                <w:rFonts w:eastAsia="Times New Roman" w:cs="Arial"/>
                <w:szCs w:val="22"/>
              </w:rPr>
            </w:pPr>
            <w:r>
              <w:rPr>
                <w:rFonts w:eastAsia="Times New Roman" w:cs="Arial"/>
                <w:szCs w:val="22"/>
              </w:rPr>
              <w:lastRenderedPageBreak/>
              <w:t>Three examiners identified this as a strength</w:t>
            </w:r>
            <w:r w:rsidR="006D50DF">
              <w:rPr>
                <w:rFonts w:eastAsia="Times New Roman" w:cs="Arial"/>
                <w:szCs w:val="22"/>
              </w:rPr>
              <w:t>,</w:t>
            </w:r>
            <w:r>
              <w:rPr>
                <w:rFonts w:eastAsia="Times New Roman" w:cs="Arial"/>
                <w:szCs w:val="22"/>
              </w:rPr>
              <w:t xml:space="preserve"> and three identified that </w:t>
            </w:r>
            <w:r>
              <w:rPr>
                <w:rFonts w:eastAsia="Times New Roman" w:cs="Arial"/>
                <w:szCs w:val="22"/>
              </w:rPr>
              <w:lastRenderedPageBreak/>
              <w:t>this process does not address the</w:t>
            </w:r>
            <w:r w:rsidR="006D50DF">
              <w:rPr>
                <w:rFonts w:eastAsia="Times New Roman" w:cs="Arial"/>
                <w:szCs w:val="22"/>
              </w:rPr>
              <w:t xml:space="preserve"> applicant</w:t>
            </w:r>
            <w:r w:rsidR="005663C4">
              <w:rPr>
                <w:rFonts w:eastAsia="Times New Roman" w:cs="Arial"/>
                <w:szCs w:val="22"/>
              </w:rPr>
              <w:t>’</w:t>
            </w:r>
            <w:r w:rsidR="006D50DF">
              <w:rPr>
                <w:rFonts w:eastAsia="Times New Roman" w:cs="Arial"/>
                <w:szCs w:val="22"/>
              </w:rPr>
              <w:t>s core competencies, so</w:t>
            </w:r>
            <w:r>
              <w:rPr>
                <w:rFonts w:eastAsia="Times New Roman" w:cs="Arial"/>
                <w:szCs w:val="22"/>
              </w:rPr>
              <w:t xml:space="preserve"> see corresponding OFI.</w:t>
            </w:r>
          </w:p>
          <w:p w14:paraId="374985CE" w14:textId="40EFA38C" w:rsidR="007D09C2" w:rsidRDefault="007D09C2">
            <w:pPr>
              <w:rPr>
                <w:rFonts w:eastAsia="Times New Roman" w:cs="Arial"/>
                <w:szCs w:val="22"/>
              </w:rPr>
            </w:pPr>
            <w:r>
              <w:rPr>
                <w:rFonts w:eastAsia="Times New Roman" w:cs="Arial"/>
                <w:szCs w:val="22"/>
              </w:rPr>
              <w:t>AD</w:t>
            </w:r>
            <w:r w:rsidR="007B79ED">
              <w:rPr>
                <w:rFonts w:eastAsia="Times New Roman" w:cs="Arial"/>
                <w:szCs w:val="22"/>
              </w:rPr>
              <w:t>I</w:t>
            </w:r>
          </w:p>
        </w:tc>
        <w:tc>
          <w:tcPr>
            <w:tcW w:w="0" w:type="auto"/>
            <w:tcBorders>
              <w:bottom w:val="single" w:sz="6" w:space="0" w:color="000000"/>
              <w:right w:val="single" w:sz="6" w:space="0" w:color="000000"/>
            </w:tcBorders>
            <w:tcMar>
              <w:top w:w="75" w:type="dxa"/>
              <w:left w:w="75" w:type="dxa"/>
              <w:bottom w:w="75" w:type="dxa"/>
              <w:right w:w="75" w:type="dxa"/>
            </w:tcMar>
            <w:hideMark/>
          </w:tcPr>
          <w:p w14:paraId="1A9EFCCA" w14:textId="77777777" w:rsidR="005E22BD" w:rsidRDefault="000A11B9">
            <w:pPr>
              <w:rPr>
                <w:rFonts w:eastAsia="Times New Roman" w:cs="Arial"/>
                <w:szCs w:val="22"/>
              </w:rPr>
            </w:pPr>
            <w:r>
              <w:rPr>
                <w:rFonts w:eastAsia="Times New Roman" w:cs="Arial"/>
                <w:szCs w:val="22"/>
              </w:rPr>
              <w:lastRenderedPageBreak/>
              <w:t>a(4)</w:t>
            </w:r>
          </w:p>
        </w:tc>
      </w:tr>
    </w:tbl>
    <w:p w14:paraId="289BB983"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74686913" w14:textId="77777777" w:rsidTr="00080296">
        <w:tc>
          <w:tcPr>
            <w:tcW w:w="10170" w:type="dxa"/>
          </w:tcPr>
          <w:p w14:paraId="4BCC370A" w14:textId="187A943D" w:rsidR="00080296" w:rsidRDefault="00080296">
            <w:pPr>
              <w:rPr>
                <w:rFonts w:eastAsia="Times New Roman" w:cs="Arial"/>
                <w:szCs w:val="22"/>
              </w:rPr>
            </w:pPr>
            <w:r>
              <w:rPr>
                <w:rFonts w:eastAsia="Times New Roman" w:cs="Arial"/>
                <w:szCs w:val="22"/>
              </w:rPr>
              <w:t xml:space="preserve">a(1): Two examiners had OFIs around segmentation. One examiner expressed concern over lack of systematic process to assess skills, competencies, certifications, and staffing levels needed to </w:t>
            </w:r>
            <w:r w:rsidR="00F77ED2">
              <w:rPr>
                <w:rFonts w:eastAsia="Times New Roman" w:cs="Arial"/>
                <w:szCs w:val="22"/>
              </w:rPr>
              <w:t>en</w:t>
            </w:r>
            <w:r>
              <w:rPr>
                <w:rFonts w:eastAsia="Times New Roman" w:cs="Arial"/>
                <w:szCs w:val="22"/>
              </w:rPr>
              <w:t>sure qualifications of incoming full</w:t>
            </w:r>
            <w:r w:rsidR="00F77ED2">
              <w:rPr>
                <w:rFonts w:eastAsia="Times New Roman" w:cs="Arial"/>
                <w:szCs w:val="22"/>
              </w:rPr>
              <w:t>-</w:t>
            </w:r>
            <w:r>
              <w:rPr>
                <w:rFonts w:eastAsia="Times New Roman" w:cs="Arial"/>
                <w:szCs w:val="22"/>
              </w:rPr>
              <w:t xml:space="preserve"> and par</w:t>
            </w:r>
            <w:r w:rsidR="00F77ED2">
              <w:rPr>
                <w:rFonts w:eastAsia="Times New Roman" w:cs="Arial"/>
                <w:szCs w:val="22"/>
              </w:rPr>
              <w:t>t-</w:t>
            </w:r>
            <w:r>
              <w:rPr>
                <w:rFonts w:eastAsia="Times New Roman" w:cs="Arial"/>
                <w:szCs w:val="22"/>
              </w:rPr>
              <w:t>time staff. The other examiner expressed concern over lack of description for addressing all segments of the workforce</w:t>
            </w:r>
            <w:r w:rsidR="00F77ED2">
              <w:rPr>
                <w:rFonts w:eastAsia="Times New Roman" w:cs="Arial"/>
                <w:szCs w:val="22"/>
              </w:rPr>
              <w:t>,</w:t>
            </w:r>
            <w:r>
              <w:rPr>
                <w:rFonts w:eastAsia="Times New Roman" w:cs="Arial"/>
                <w:szCs w:val="22"/>
              </w:rPr>
              <w:t xml:space="preserve"> such as all faculty</w:t>
            </w:r>
            <w:r w:rsidR="00F77ED2">
              <w:rPr>
                <w:rFonts w:eastAsia="Times New Roman" w:cs="Arial"/>
                <w:szCs w:val="22"/>
              </w:rPr>
              <w:t>,</w:t>
            </w:r>
            <w:r>
              <w:rPr>
                <w:rFonts w:eastAsia="Times New Roman" w:cs="Arial"/>
                <w:szCs w:val="22"/>
              </w:rPr>
              <w:t xml:space="preserve"> but also management, professional support, temporary, and how full-time versus part-time decisions are made.</w:t>
            </w:r>
          </w:p>
        </w:tc>
      </w:tr>
    </w:tbl>
    <w:p w14:paraId="291F1C78"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13"/>
        <w:gridCol w:w="4144"/>
        <w:gridCol w:w="1200"/>
      </w:tblGrid>
      <w:tr w:rsidR="00CB4973" w14:paraId="3BA73BBF"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29940255"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2E2A4F72"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283696B7"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140BD33" w14:textId="77777777" w:rsidR="005E22BD" w:rsidRDefault="000A11B9">
            <w:pPr>
              <w:jc w:val="center"/>
              <w:rPr>
                <w:rFonts w:eastAsia="Times New Roman" w:cs="Arial"/>
                <w:b/>
                <w:bCs/>
                <w:szCs w:val="22"/>
              </w:rPr>
            </w:pPr>
            <w:r>
              <w:rPr>
                <w:rFonts w:eastAsia="Times New Roman" w:cs="Arial"/>
                <w:b/>
                <w:bCs/>
                <w:szCs w:val="22"/>
              </w:rPr>
              <w:t>Item Ref.</w:t>
            </w:r>
          </w:p>
        </w:tc>
      </w:tr>
      <w:tr w:rsidR="00CB4973" w14:paraId="648F85A7"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19ABEFA5" w14:textId="77777777" w:rsidR="005E22BD" w:rsidRDefault="000A11B9">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74155DF0" w14:textId="109B7599" w:rsidR="005E22BD" w:rsidRDefault="000A11B9">
            <w:pPr>
              <w:rPr>
                <w:rFonts w:eastAsia="Times New Roman" w:cs="Arial"/>
                <w:szCs w:val="22"/>
              </w:rPr>
            </w:pPr>
            <w:r>
              <w:rPr>
                <w:rFonts w:eastAsia="Times New Roman" w:cs="Arial"/>
                <w:szCs w:val="22"/>
              </w:rPr>
              <w:t xml:space="preserve">It is not clear how the applicant considers its various workforce </w:t>
            </w:r>
            <w:r w:rsidR="007D09C2">
              <w:rPr>
                <w:rFonts w:eastAsia="Times New Roman" w:cs="Arial"/>
                <w:szCs w:val="22"/>
              </w:rPr>
              <w:t xml:space="preserve">segments in </w:t>
            </w:r>
            <w:r>
              <w:rPr>
                <w:rFonts w:eastAsia="Times New Roman" w:cs="Arial"/>
                <w:szCs w:val="22"/>
              </w:rPr>
              <w:t xml:space="preserve">managing workplace capability and capacity, workplace environment, and benefits/policies. For example, </w:t>
            </w:r>
            <w:r w:rsidR="007D09C2">
              <w:rPr>
                <w:rFonts w:eastAsia="Times New Roman" w:cs="Arial"/>
                <w:szCs w:val="22"/>
              </w:rPr>
              <w:t xml:space="preserve">for </w:t>
            </w:r>
            <w:r>
              <w:rPr>
                <w:rFonts w:eastAsia="Times New Roman" w:cs="Arial"/>
                <w:szCs w:val="22"/>
              </w:rPr>
              <w:t xml:space="preserve">workplace health, </w:t>
            </w:r>
            <w:r w:rsidR="005D7B5E">
              <w:rPr>
                <w:rFonts w:eastAsia="Times New Roman" w:cs="Arial"/>
                <w:szCs w:val="22"/>
              </w:rPr>
              <w:t>security,</w:t>
            </w:r>
            <w:r w:rsidR="007D09C2">
              <w:rPr>
                <w:rFonts w:eastAsia="Times New Roman" w:cs="Arial"/>
                <w:szCs w:val="22"/>
              </w:rPr>
              <w:t xml:space="preserve"> and</w:t>
            </w:r>
            <w:r>
              <w:rPr>
                <w:rFonts w:eastAsia="Times New Roman" w:cs="Arial"/>
                <w:szCs w:val="22"/>
              </w:rPr>
              <w:t xml:space="preserve"> accessibility processes</w:t>
            </w:r>
            <w:r w:rsidR="007D09C2">
              <w:rPr>
                <w:rFonts w:eastAsia="Times New Roman" w:cs="Arial"/>
                <w:szCs w:val="22"/>
              </w:rPr>
              <w:t xml:space="preserve">, it is unclear how the applicant </w:t>
            </w:r>
            <w:proofErr w:type="gramStart"/>
            <w:r w:rsidR="007D09C2">
              <w:rPr>
                <w:rFonts w:eastAsia="Times New Roman" w:cs="Arial"/>
                <w:szCs w:val="22"/>
              </w:rPr>
              <w:t>takes into account</w:t>
            </w:r>
            <w:proofErr w:type="gramEnd"/>
            <w:r>
              <w:rPr>
                <w:rFonts w:eastAsia="Times New Roman" w:cs="Arial"/>
                <w:szCs w:val="22"/>
              </w:rPr>
              <w:t xml:space="preserve"> </w:t>
            </w:r>
            <w:r w:rsidR="00AD4815">
              <w:rPr>
                <w:rFonts w:eastAsia="Times New Roman" w:cs="Arial"/>
                <w:szCs w:val="22"/>
              </w:rPr>
              <w:t xml:space="preserve">potential </w:t>
            </w:r>
            <w:r w:rsidR="007D09C2">
              <w:rPr>
                <w:rFonts w:eastAsia="Times New Roman" w:cs="Arial"/>
                <w:szCs w:val="22"/>
              </w:rPr>
              <w:t>differences</w:t>
            </w:r>
            <w:r w:rsidR="000625F5">
              <w:rPr>
                <w:rFonts w:eastAsia="Times New Roman" w:cs="Arial"/>
                <w:szCs w:val="22"/>
              </w:rPr>
              <w:t xml:space="preserve"> between </w:t>
            </w:r>
            <w:r>
              <w:rPr>
                <w:rFonts w:eastAsia="Times New Roman" w:cs="Arial"/>
                <w:szCs w:val="22"/>
              </w:rPr>
              <w:t xml:space="preserve">professional </w:t>
            </w:r>
            <w:r w:rsidR="000625F5">
              <w:rPr>
                <w:rFonts w:eastAsia="Times New Roman" w:cs="Arial"/>
                <w:szCs w:val="22"/>
              </w:rPr>
              <w:t xml:space="preserve">staff </w:t>
            </w:r>
            <w:r w:rsidR="00AD4815">
              <w:rPr>
                <w:rFonts w:eastAsia="Times New Roman" w:cs="Arial"/>
                <w:szCs w:val="22"/>
              </w:rPr>
              <w:t>vs.</w:t>
            </w:r>
            <w:r w:rsidR="000625F5">
              <w:rPr>
                <w:rFonts w:eastAsia="Times New Roman" w:cs="Arial"/>
                <w:szCs w:val="22"/>
              </w:rPr>
              <w:t xml:space="preserve"> </w:t>
            </w:r>
            <w:r>
              <w:rPr>
                <w:rFonts w:eastAsia="Times New Roman" w:cs="Arial"/>
                <w:szCs w:val="22"/>
              </w:rPr>
              <w:t>faculty</w:t>
            </w:r>
            <w:r w:rsidR="00F77ED2">
              <w:rPr>
                <w:rFonts w:eastAsia="Times New Roman" w:cs="Arial"/>
                <w:szCs w:val="22"/>
              </w:rPr>
              <w:t xml:space="preserve"> members</w:t>
            </w:r>
            <w:r w:rsidR="007D09C2">
              <w:rPr>
                <w:rFonts w:eastAsia="Times New Roman" w:cs="Arial"/>
                <w:szCs w:val="22"/>
              </w:rPr>
              <w:t xml:space="preserve">, full-time vs. part-time </w:t>
            </w:r>
            <w:r w:rsidR="000625F5">
              <w:rPr>
                <w:rFonts w:eastAsia="Times New Roman" w:cs="Arial"/>
                <w:szCs w:val="22"/>
              </w:rPr>
              <w:t>employees</w:t>
            </w:r>
            <w:r w:rsidR="007D09C2">
              <w:rPr>
                <w:rFonts w:eastAsia="Times New Roman" w:cs="Arial"/>
                <w:szCs w:val="22"/>
              </w:rPr>
              <w:t xml:space="preserve">, or </w:t>
            </w:r>
            <w:r w:rsidR="000625F5">
              <w:rPr>
                <w:rFonts w:eastAsia="Times New Roman" w:cs="Arial"/>
                <w:szCs w:val="22"/>
              </w:rPr>
              <w:t xml:space="preserve">employees in </w:t>
            </w:r>
            <w:r w:rsidR="007D09C2">
              <w:rPr>
                <w:rFonts w:eastAsia="Times New Roman" w:cs="Arial"/>
                <w:szCs w:val="22"/>
              </w:rPr>
              <w:t>labs vs.</w:t>
            </w:r>
            <w:r w:rsidR="000625F5">
              <w:rPr>
                <w:rFonts w:eastAsia="Times New Roman" w:cs="Arial"/>
                <w:szCs w:val="22"/>
              </w:rPr>
              <w:t xml:space="preserve"> those in </w:t>
            </w:r>
            <w:r w:rsidR="007D09C2">
              <w:rPr>
                <w:rFonts w:eastAsia="Times New Roman" w:cs="Arial"/>
                <w:szCs w:val="22"/>
              </w:rPr>
              <w:t>other</w:t>
            </w:r>
            <w:r>
              <w:rPr>
                <w:rFonts w:eastAsia="Times New Roman" w:cs="Arial"/>
                <w:szCs w:val="22"/>
              </w:rPr>
              <w:t xml:space="preserve"> location</w:t>
            </w:r>
            <w:r w:rsidR="000625F5">
              <w:rPr>
                <w:rFonts w:eastAsia="Times New Roman" w:cs="Arial"/>
                <w:szCs w:val="22"/>
              </w:rPr>
              <w:t>s</w:t>
            </w:r>
            <w:r>
              <w:rPr>
                <w:rFonts w:eastAsia="Times New Roman" w:cs="Arial"/>
                <w:szCs w:val="22"/>
              </w:rPr>
              <w:t>. Considering</w:t>
            </w:r>
            <w:r w:rsidR="000625F5">
              <w:rPr>
                <w:rFonts w:eastAsia="Times New Roman" w:cs="Arial"/>
                <w:szCs w:val="22"/>
              </w:rPr>
              <w:t xml:space="preserve"> </w:t>
            </w:r>
            <w:r>
              <w:rPr>
                <w:rFonts w:eastAsia="Times New Roman" w:cs="Arial"/>
                <w:szCs w:val="22"/>
              </w:rPr>
              <w:t xml:space="preserve">workforce segments </w:t>
            </w:r>
            <w:r w:rsidR="007D09C2">
              <w:rPr>
                <w:rFonts w:eastAsia="Times New Roman" w:cs="Arial"/>
                <w:szCs w:val="22"/>
              </w:rPr>
              <w:t xml:space="preserve">in these approaches </w:t>
            </w:r>
            <w:r>
              <w:rPr>
                <w:rFonts w:eastAsia="Times New Roman" w:cs="Arial"/>
                <w:szCs w:val="22"/>
              </w:rPr>
              <w:t>may</w:t>
            </w:r>
            <w:r w:rsidR="007D09C2">
              <w:rPr>
                <w:rFonts w:eastAsia="Times New Roman" w:cs="Arial"/>
                <w:szCs w:val="22"/>
              </w:rPr>
              <w:t xml:space="preserve"> strengthen</w:t>
            </w:r>
            <w:r>
              <w:rPr>
                <w:rFonts w:eastAsia="Times New Roman" w:cs="Arial"/>
                <w:szCs w:val="22"/>
              </w:rPr>
              <w:t xml:space="preserve"> the applicant</w:t>
            </w:r>
            <w:r w:rsidR="005663C4">
              <w:rPr>
                <w:rFonts w:eastAsia="Times New Roman" w:cs="Arial"/>
                <w:szCs w:val="22"/>
              </w:rPr>
              <w:t>’</w:t>
            </w:r>
            <w:r w:rsidR="007D09C2">
              <w:rPr>
                <w:rFonts w:eastAsia="Times New Roman" w:cs="Arial"/>
                <w:szCs w:val="22"/>
              </w:rPr>
              <w:t>s</w:t>
            </w:r>
            <w:r>
              <w:rPr>
                <w:rFonts w:eastAsia="Times New Roman" w:cs="Arial"/>
                <w:szCs w:val="22"/>
              </w:rPr>
              <w:t xml:space="preserve"> core competency </w:t>
            </w:r>
            <w:r w:rsidR="007D09C2">
              <w:rPr>
                <w:rFonts w:eastAsia="Times New Roman" w:cs="Arial"/>
                <w:szCs w:val="22"/>
              </w:rPr>
              <w:t xml:space="preserve">of </w:t>
            </w:r>
            <w:r>
              <w:rPr>
                <w:rFonts w:eastAsia="Times New Roman" w:cs="Arial"/>
                <w:szCs w:val="22"/>
              </w:rPr>
              <w:t xml:space="preserve">maintaining </w:t>
            </w:r>
            <w:r w:rsidR="007D09C2">
              <w:rPr>
                <w:rFonts w:eastAsia="Times New Roman" w:cs="Arial"/>
                <w:szCs w:val="22"/>
              </w:rPr>
              <w:t xml:space="preserve">an </w:t>
            </w:r>
            <w:r>
              <w:rPr>
                <w:rFonts w:eastAsia="Times New Roman" w:cs="Arial"/>
                <w:szCs w:val="22"/>
              </w:rPr>
              <w:t>expert, up-to-date workforce.</w:t>
            </w:r>
          </w:p>
        </w:tc>
        <w:tc>
          <w:tcPr>
            <w:tcW w:w="0" w:type="auto"/>
            <w:tcBorders>
              <w:bottom w:val="single" w:sz="6" w:space="0" w:color="000000"/>
              <w:right w:val="single" w:sz="6" w:space="0" w:color="000000"/>
            </w:tcBorders>
            <w:tcMar>
              <w:top w:w="75" w:type="dxa"/>
              <w:left w:w="75" w:type="dxa"/>
              <w:bottom w:w="75" w:type="dxa"/>
              <w:right w:w="75" w:type="dxa"/>
            </w:tcMar>
            <w:hideMark/>
          </w:tcPr>
          <w:p w14:paraId="1467CE17" w14:textId="77777777" w:rsidR="005E22BD" w:rsidRDefault="000A11B9">
            <w:pPr>
              <w:rPr>
                <w:rFonts w:eastAsia="Times New Roman" w:cs="Arial"/>
                <w:szCs w:val="22"/>
              </w:rPr>
            </w:pPr>
            <w:r>
              <w:rPr>
                <w:rFonts w:eastAsia="Times New Roman" w:cs="Arial"/>
                <w:szCs w:val="22"/>
              </w:rPr>
              <w:t>There were 3 OFIs for b(2) around benefits and segmentation of benefits for a diverse and segmented workforce</w:t>
            </w:r>
            <w:r w:rsidR="005D7B5E">
              <w:rPr>
                <w:rFonts w:eastAsia="Times New Roman" w:cs="Arial"/>
                <w:szCs w:val="22"/>
              </w:rPr>
              <w:t>.</w:t>
            </w:r>
            <w:r>
              <w:rPr>
                <w:rFonts w:eastAsia="Times New Roman" w:cs="Arial"/>
                <w:szCs w:val="22"/>
              </w:rPr>
              <w:t xml:space="preserve"> Based on other </w:t>
            </w:r>
            <w:r w:rsidR="0062229F">
              <w:rPr>
                <w:rFonts w:eastAsia="Times New Roman" w:cs="Arial"/>
                <w:szCs w:val="22"/>
              </w:rPr>
              <w:t xml:space="preserve">areas </w:t>
            </w:r>
            <w:r>
              <w:rPr>
                <w:rFonts w:eastAsia="Times New Roman" w:cs="Arial"/>
                <w:szCs w:val="22"/>
              </w:rPr>
              <w:t>to address also having a concern over the lack of segmentation</w:t>
            </w:r>
            <w:r w:rsidR="000625F5">
              <w:rPr>
                <w:rFonts w:eastAsia="Times New Roman" w:cs="Arial"/>
                <w:szCs w:val="22"/>
              </w:rPr>
              <w:t>,</w:t>
            </w:r>
            <w:r>
              <w:rPr>
                <w:rFonts w:eastAsia="Times New Roman" w:cs="Arial"/>
                <w:szCs w:val="22"/>
              </w:rPr>
              <w:t xml:space="preserve"> I opted to address segmentation across the item. At one point I changed the focus to be on deployment but after consideration and coaching from BPEP, I opted to focus on actual segmentation as the applicant will benefit from segmentation of the stated processes.</w:t>
            </w:r>
          </w:p>
          <w:p w14:paraId="72C1A796" w14:textId="257510FE" w:rsidR="007B79ED" w:rsidRDefault="007B79ED">
            <w:pPr>
              <w:rPr>
                <w:rFonts w:eastAsia="Times New Roman" w:cs="Arial"/>
                <w:szCs w:val="22"/>
              </w:rPr>
            </w:pPr>
            <w:r>
              <w:rPr>
                <w:rFonts w:eastAsia="Times New Roman" w:cs="Arial"/>
                <w:szCs w:val="22"/>
              </w:rPr>
              <w:t>I</w:t>
            </w:r>
          </w:p>
        </w:tc>
        <w:tc>
          <w:tcPr>
            <w:tcW w:w="0" w:type="auto"/>
            <w:tcBorders>
              <w:bottom w:val="single" w:sz="6" w:space="0" w:color="000000"/>
              <w:right w:val="single" w:sz="6" w:space="0" w:color="000000"/>
            </w:tcBorders>
            <w:tcMar>
              <w:top w:w="75" w:type="dxa"/>
              <w:left w:w="75" w:type="dxa"/>
              <w:bottom w:w="75" w:type="dxa"/>
              <w:right w:w="75" w:type="dxa"/>
            </w:tcMar>
            <w:hideMark/>
          </w:tcPr>
          <w:p w14:paraId="0A4718CF" w14:textId="77777777" w:rsidR="005E22BD" w:rsidRDefault="000A11B9">
            <w:pPr>
              <w:rPr>
                <w:rFonts w:eastAsia="Times New Roman" w:cs="Arial"/>
                <w:szCs w:val="22"/>
              </w:rPr>
            </w:pPr>
            <w:r>
              <w:rPr>
                <w:rFonts w:eastAsia="Times New Roman" w:cs="Arial"/>
                <w:szCs w:val="22"/>
              </w:rPr>
              <w:t>a,b</w:t>
            </w:r>
          </w:p>
        </w:tc>
      </w:tr>
      <w:tr w:rsidR="00CB4973" w14:paraId="6D9BE8DB"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1074A4E"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FBA8F18" w14:textId="03B5D030" w:rsidR="005E22BD" w:rsidRDefault="007B79ED">
            <w:pPr>
              <w:rPr>
                <w:rFonts w:eastAsia="Times New Roman" w:cs="Arial"/>
                <w:szCs w:val="22"/>
              </w:rPr>
            </w:pPr>
            <w:r>
              <w:rPr>
                <w:rFonts w:eastAsia="Times New Roman" w:cs="Arial"/>
                <w:szCs w:val="22"/>
              </w:rPr>
              <w:t>T</w:t>
            </w:r>
            <w:r w:rsidR="000A11B9">
              <w:rPr>
                <w:rFonts w:eastAsia="Times New Roman" w:cs="Arial"/>
                <w:szCs w:val="22"/>
              </w:rPr>
              <w:t>he applicant</w:t>
            </w:r>
            <w:r w:rsidR="005663C4">
              <w:rPr>
                <w:rFonts w:eastAsia="Times New Roman" w:cs="Arial"/>
                <w:szCs w:val="22"/>
              </w:rPr>
              <w:t>’</w:t>
            </w:r>
            <w:r>
              <w:rPr>
                <w:rFonts w:eastAsia="Times New Roman" w:cs="Arial"/>
                <w:szCs w:val="22"/>
              </w:rPr>
              <w:t>s team-based structure to accomplish work</w:t>
            </w:r>
            <w:r w:rsidR="000A11B9">
              <w:rPr>
                <w:rFonts w:eastAsia="Times New Roman" w:cs="Arial"/>
                <w:szCs w:val="22"/>
              </w:rPr>
              <w:t xml:space="preserve"> does not </w:t>
            </w:r>
            <w:r>
              <w:rPr>
                <w:rFonts w:eastAsia="Times New Roman" w:cs="Arial"/>
                <w:szCs w:val="22"/>
              </w:rPr>
              <w:t xml:space="preserve">appear to </w:t>
            </w:r>
            <w:r w:rsidR="000A11B9">
              <w:rPr>
                <w:rFonts w:eastAsia="Times New Roman" w:cs="Arial"/>
                <w:szCs w:val="22"/>
              </w:rPr>
              <w:t xml:space="preserve">capitalize on </w:t>
            </w:r>
            <w:r>
              <w:rPr>
                <w:rFonts w:eastAsia="Times New Roman" w:cs="Arial"/>
                <w:szCs w:val="22"/>
              </w:rPr>
              <w:t>the college</w:t>
            </w:r>
            <w:r w:rsidR="005663C4">
              <w:rPr>
                <w:rFonts w:eastAsia="Times New Roman" w:cs="Arial"/>
                <w:szCs w:val="22"/>
              </w:rPr>
              <w:t>’</w:t>
            </w:r>
            <w:r>
              <w:rPr>
                <w:rFonts w:eastAsia="Times New Roman" w:cs="Arial"/>
                <w:szCs w:val="22"/>
              </w:rPr>
              <w:t>s</w:t>
            </w:r>
            <w:r w:rsidR="000A11B9">
              <w:rPr>
                <w:rFonts w:eastAsia="Times New Roman" w:cs="Arial"/>
                <w:szCs w:val="22"/>
              </w:rPr>
              <w:t xml:space="preserve"> three core competencies, reinforce resilience and a student focus, or </w:t>
            </w:r>
            <w:r>
              <w:rPr>
                <w:rFonts w:eastAsia="Times New Roman" w:cs="Arial"/>
                <w:szCs w:val="22"/>
              </w:rPr>
              <w:t xml:space="preserve">manage the workforce to </w:t>
            </w:r>
            <w:r w:rsidR="000A11B9">
              <w:rPr>
                <w:rFonts w:eastAsia="Times New Roman" w:cs="Arial"/>
                <w:szCs w:val="22"/>
              </w:rPr>
              <w:t xml:space="preserve">exceed performance expectations. </w:t>
            </w:r>
            <w:r>
              <w:rPr>
                <w:rFonts w:eastAsia="Times New Roman" w:cs="Arial"/>
                <w:szCs w:val="22"/>
              </w:rPr>
              <w:t>S</w:t>
            </w:r>
            <w:r w:rsidR="000A11B9">
              <w:rPr>
                <w:rFonts w:eastAsia="Times New Roman" w:cs="Arial"/>
                <w:szCs w:val="22"/>
              </w:rPr>
              <w:t>ystematic</w:t>
            </w:r>
            <w:r>
              <w:rPr>
                <w:rFonts w:eastAsia="Times New Roman" w:cs="Arial"/>
                <w:szCs w:val="22"/>
              </w:rPr>
              <w:t xml:space="preserve">ally </w:t>
            </w:r>
            <w:r w:rsidR="000A11B9">
              <w:rPr>
                <w:rFonts w:eastAsia="Times New Roman" w:cs="Arial"/>
                <w:szCs w:val="22"/>
              </w:rPr>
              <w:t xml:space="preserve">addressing these components of its work accomplishment </w:t>
            </w:r>
            <w:r>
              <w:rPr>
                <w:rFonts w:eastAsia="Times New Roman" w:cs="Arial"/>
                <w:szCs w:val="22"/>
              </w:rPr>
              <w:t xml:space="preserve">approach </w:t>
            </w:r>
            <w:r w:rsidR="000A11B9">
              <w:rPr>
                <w:rFonts w:eastAsia="Times New Roman" w:cs="Arial"/>
                <w:szCs w:val="22"/>
              </w:rPr>
              <w:t xml:space="preserve">may </w:t>
            </w:r>
            <w:r>
              <w:rPr>
                <w:rFonts w:eastAsia="Times New Roman" w:cs="Arial"/>
                <w:szCs w:val="22"/>
              </w:rPr>
              <w:t xml:space="preserve">help </w:t>
            </w:r>
            <w:r w:rsidR="000A11B9">
              <w:rPr>
                <w:rFonts w:eastAsia="Times New Roman" w:cs="Arial"/>
                <w:szCs w:val="22"/>
              </w:rPr>
              <w:t>the applicant meet or exceed its stated performance expectations.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D6545FB" w14:textId="77777777" w:rsidR="005E22BD" w:rsidRDefault="0062229F">
            <w:pPr>
              <w:rPr>
                <w:rFonts w:eastAsia="Times New Roman" w:cs="Arial"/>
                <w:szCs w:val="22"/>
              </w:rPr>
            </w:pPr>
            <w:r>
              <w:rPr>
                <w:rFonts w:eastAsia="Times New Roman" w:cs="Arial"/>
                <w:szCs w:val="22"/>
              </w:rPr>
              <w:t>3</w:t>
            </w:r>
            <w:r w:rsidR="000A11B9">
              <w:rPr>
                <w:rFonts w:eastAsia="Times New Roman" w:cs="Arial"/>
                <w:szCs w:val="22"/>
              </w:rPr>
              <w:t xml:space="preserve"> examiners identified the lack of addressing the core competencies and reinforcing student focus.</w:t>
            </w:r>
          </w:p>
          <w:p w14:paraId="73104FD3" w14:textId="413A7BF6" w:rsidR="007B79ED" w:rsidRDefault="007B79ED">
            <w:pPr>
              <w:rPr>
                <w:rFonts w:eastAsia="Times New Roman" w:cs="Arial"/>
                <w:szCs w:val="22"/>
              </w:rPr>
            </w:pPr>
            <w:r>
              <w:rPr>
                <w:rFonts w:eastAsia="Times New Roman" w:cs="Arial"/>
                <w:szCs w:val="22"/>
              </w:rPr>
              <w:t>A</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3D35620" w14:textId="77777777" w:rsidR="005E22BD" w:rsidRDefault="000A11B9">
            <w:pPr>
              <w:rPr>
                <w:rFonts w:eastAsia="Times New Roman" w:cs="Arial"/>
                <w:szCs w:val="22"/>
              </w:rPr>
            </w:pPr>
            <w:r>
              <w:rPr>
                <w:rFonts w:eastAsia="Times New Roman" w:cs="Arial"/>
                <w:szCs w:val="22"/>
              </w:rPr>
              <w:t>a(4)</w:t>
            </w:r>
          </w:p>
        </w:tc>
      </w:tr>
      <w:tr w:rsidR="00CB4973" w14:paraId="06F65FD8"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11411498"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08BFC897" w14:textId="127F1341" w:rsidR="007B79ED" w:rsidRPr="00F77ED2" w:rsidRDefault="00A87B72" w:rsidP="00E816F5">
            <w:pPr>
              <w:rPr>
                <w:rFonts w:eastAsia="Times New Roman" w:cs="Arial"/>
                <w:szCs w:val="22"/>
                <w:highlight w:val="yellow"/>
              </w:rPr>
            </w:pPr>
            <w:r w:rsidRPr="00AD4815">
              <w:rPr>
                <w:rFonts w:eastAsia="Times New Roman" w:cs="Arial"/>
                <w:szCs w:val="22"/>
              </w:rPr>
              <w:t xml:space="preserve">A </w:t>
            </w:r>
            <w:r w:rsidR="000A11B9" w:rsidRPr="00AD4815">
              <w:rPr>
                <w:rFonts w:eastAsia="Times New Roman" w:cs="Arial"/>
                <w:szCs w:val="22"/>
              </w:rPr>
              <w:t>systematic process</w:t>
            </w:r>
            <w:r w:rsidR="006537C1" w:rsidRPr="00AD4815">
              <w:rPr>
                <w:rFonts w:eastAsia="Times New Roman" w:cs="Arial"/>
                <w:szCs w:val="22"/>
              </w:rPr>
              <w:t xml:space="preserve"> is not evident for </w:t>
            </w:r>
            <w:r w:rsidR="00AD4815">
              <w:rPr>
                <w:rFonts w:eastAsia="Times New Roman" w:cs="Arial"/>
                <w:szCs w:val="22"/>
              </w:rPr>
              <w:t>improving</w:t>
            </w:r>
            <w:r w:rsidR="006537C1" w:rsidRPr="00AD4815">
              <w:rPr>
                <w:rFonts w:eastAsia="Times New Roman" w:cs="Arial"/>
                <w:szCs w:val="22"/>
              </w:rPr>
              <w:t xml:space="preserve"> the effectiveness of the applicant’s </w:t>
            </w:r>
            <w:r w:rsidR="00690CC2" w:rsidRPr="00AD4815">
              <w:rPr>
                <w:rFonts w:eastAsia="Times New Roman" w:cs="Arial"/>
                <w:szCs w:val="22"/>
              </w:rPr>
              <w:t xml:space="preserve">diversity-related </w:t>
            </w:r>
            <w:r w:rsidR="005E3D0E" w:rsidRPr="00AD4815">
              <w:rPr>
                <w:rFonts w:eastAsia="Times New Roman" w:cs="Arial"/>
                <w:szCs w:val="22"/>
              </w:rPr>
              <w:t>processes for</w:t>
            </w:r>
            <w:r w:rsidR="00690CC2" w:rsidRPr="00AD4815">
              <w:rPr>
                <w:rFonts w:eastAsia="Times New Roman" w:cs="Arial"/>
                <w:szCs w:val="22"/>
              </w:rPr>
              <w:t xml:space="preserve"> </w:t>
            </w:r>
            <w:r w:rsidR="000A11B9" w:rsidRPr="00AD4815">
              <w:rPr>
                <w:rFonts w:eastAsia="Times New Roman" w:cs="Arial"/>
                <w:szCs w:val="22"/>
              </w:rPr>
              <w:t>recruit</w:t>
            </w:r>
            <w:r w:rsidR="00690CC2" w:rsidRPr="00AD4815">
              <w:rPr>
                <w:rFonts w:eastAsia="Times New Roman" w:cs="Arial"/>
                <w:szCs w:val="22"/>
              </w:rPr>
              <w:t>ing</w:t>
            </w:r>
            <w:r w:rsidR="000A11B9" w:rsidRPr="00AD4815">
              <w:rPr>
                <w:rFonts w:eastAsia="Times New Roman" w:cs="Arial"/>
                <w:szCs w:val="22"/>
              </w:rPr>
              <w:t xml:space="preserve">, </w:t>
            </w:r>
            <w:r w:rsidR="005D7B5E" w:rsidRPr="00AD4815">
              <w:rPr>
                <w:rFonts w:eastAsia="Times New Roman" w:cs="Arial"/>
                <w:szCs w:val="22"/>
              </w:rPr>
              <w:t>hir</w:t>
            </w:r>
            <w:r w:rsidR="00690CC2" w:rsidRPr="00AD4815">
              <w:rPr>
                <w:rFonts w:eastAsia="Times New Roman" w:cs="Arial"/>
                <w:szCs w:val="22"/>
              </w:rPr>
              <w:t>ing</w:t>
            </w:r>
            <w:r w:rsidR="005D7B5E" w:rsidRPr="00AD4815">
              <w:rPr>
                <w:rFonts w:eastAsia="Times New Roman" w:cs="Arial"/>
                <w:szCs w:val="22"/>
              </w:rPr>
              <w:t>,</w:t>
            </w:r>
            <w:r w:rsidR="000A11B9" w:rsidRPr="00AD4815">
              <w:rPr>
                <w:rFonts w:eastAsia="Times New Roman" w:cs="Arial"/>
                <w:szCs w:val="22"/>
              </w:rPr>
              <w:t xml:space="preserve"> and onboard</w:t>
            </w:r>
            <w:r w:rsidR="00690CC2" w:rsidRPr="00AD4815">
              <w:rPr>
                <w:rFonts w:eastAsia="Times New Roman" w:cs="Arial"/>
                <w:szCs w:val="22"/>
              </w:rPr>
              <w:t>ing</w:t>
            </w:r>
            <w:r w:rsidR="000A11B9" w:rsidRPr="00AD4815">
              <w:rPr>
                <w:rFonts w:eastAsia="Times New Roman" w:cs="Arial"/>
                <w:szCs w:val="22"/>
              </w:rPr>
              <w:t xml:space="preserve"> new workforce members. </w:t>
            </w:r>
            <w:r w:rsidRPr="00AD4815">
              <w:rPr>
                <w:rFonts w:eastAsia="Times New Roman" w:cs="Arial"/>
                <w:szCs w:val="22"/>
              </w:rPr>
              <w:t>Specifically, it is unclear how processes such as using community agencies, diversity websites, behavioral interviewing, and the Works System ensure that its workforce represents the ideas, cultures, and thinking of its student community.</w:t>
            </w:r>
            <w:r w:rsidR="000A11B9" w:rsidRPr="00AD4815">
              <w:rPr>
                <w:rFonts w:eastAsia="Times New Roman" w:cs="Arial"/>
                <w:szCs w:val="22"/>
              </w:rPr>
              <w:t xml:space="preserve"> </w:t>
            </w:r>
            <w:r w:rsidRPr="00AD4815">
              <w:rPr>
                <w:rFonts w:eastAsia="Times New Roman" w:cs="Arial"/>
                <w:szCs w:val="22"/>
              </w:rPr>
              <w:t>Such a</w:t>
            </w:r>
            <w:r w:rsidR="006537C1" w:rsidRPr="00AD4815">
              <w:rPr>
                <w:rFonts w:eastAsia="Times New Roman" w:cs="Arial"/>
                <w:szCs w:val="22"/>
              </w:rPr>
              <w:t>n evaluation</w:t>
            </w:r>
            <w:r w:rsidRPr="00AD4815">
              <w:rPr>
                <w:rFonts w:eastAsia="Times New Roman" w:cs="Arial"/>
                <w:szCs w:val="22"/>
              </w:rPr>
              <w:t xml:space="preserve"> </w:t>
            </w:r>
            <w:r w:rsidR="000A11B9" w:rsidRPr="00AD4815">
              <w:rPr>
                <w:rFonts w:eastAsia="Times New Roman" w:cs="Arial"/>
                <w:szCs w:val="22"/>
              </w:rPr>
              <w:t xml:space="preserve">process </w:t>
            </w:r>
            <w:r w:rsidRPr="00AD4815">
              <w:rPr>
                <w:rFonts w:eastAsia="Times New Roman" w:cs="Arial"/>
                <w:szCs w:val="22"/>
              </w:rPr>
              <w:t xml:space="preserve">may help the applicant </w:t>
            </w:r>
            <w:r w:rsidR="001A3A1E" w:rsidRPr="00AD4815">
              <w:rPr>
                <w:rFonts w:eastAsia="Times New Roman" w:cs="Arial"/>
                <w:szCs w:val="22"/>
              </w:rPr>
              <w:t>s</w:t>
            </w:r>
            <w:r w:rsidR="001A3A1E" w:rsidRPr="00AD4815">
              <w:t>ucceed in</w:t>
            </w:r>
            <w:r w:rsidR="007750DF" w:rsidRPr="00AD4815">
              <w:rPr>
                <w:rFonts w:eastAsia="Times New Roman" w:cs="Arial"/>
                <w:szCs w:val="22"/>
              </w:rPr>
              <w:t xml:space="preserve"> an environment of</w:t>
            </w:r>
            <w:r w:rsidR="000A11B9" w:rsidRPr="00AD4815">
              <w:rPr>
                <w:rFonts w:eastAsia="Times New Roman" w:cs="Arial"/>
                <w:szCs w:val="22"/>
              </w:rPr>
              <w:t xml:space="preserve"> increased competition for students.</w:t>
            </w:r>
          </w:p>
        </w:tc>
        <w:tc>
          <w:tcPr>
            <w:tcW w:w="0" w:type="auto"/>
            <w:tcBorders>
              <w:bottom w:val="single" w:sz="6" w:space="0" w:color="000000"/>
              <w:right w:val="single" w:sz="6" w:space="0" w:color="000000"/>
            </w:tcBorders>
            <w:tcMar>
              <w:top w:w="75" w:type="dxa"/>
              <w:left w:w="75" w:type="dxa"/>
              <w:bottom w:w="75" w:type="dxa"/>
              <w:right w:w="75" w:type="dxa"/>
            </w:tcMar>
            <w:hideMark/>
          </w:tcPr>
          <w:p w14:paraId="085CA442" w14:textId="7BB254AB" w:rsidR="007B79ED" w:rsidRDefault="000A11B9">
            <w:pPr>
              <w:rPr>
                <w:rFonts w:eastAsia="Times New Roman" w:cs="Arial"/>
                <w:szCs w:val="22"/>
              </w:rPr>
            </w:pPr>
            <w:r>
              <w:rPr>
                <w:rFonts w:eastAsia="Times New Roman" w:cs="Arial"/>
                <w:szCs w:val="22"/>
              </w:rPr>
              <w:t xml:space="preserve">Lack of systematic processes for considering community demographics, diversity of student population in hiring process, and ensuring the workforce represents the local community, etc. </w:t>
            </w:r>
          </w:p>
          <w:p w14:paraId="03672F31" w14:textId="16329ED9" w:rsidR="007B79ED" w:rsidRDefault="006537C1">
            <w:pPr>
              <w:rPr>
                <w:rFonts w:eastAsia="Times New Roman" w:cs="Arial"/>
                <w:szCs w:val="22"/>
              </w:rPr>
            </w:pPr>
            <w:r>
              <w:rPr>
                <w:rFonts w:eastAsia="Times New Roman" w:cs="Arial"/>
                <w:szCs w:val="22"/>
              </w:rPr>
              <w:t>L</w:t>
            </w:r>
          </w:p>
          <w:p w14:paraId="592C7425" w14:textId="77777777" w:rsidR="007B79ED" w:rsidRDefault="000A11B9">
            <w:pPr>
              <w:rPr>
                <w:rFonts w:eastAsia="Times New Roman" w:cs="Arial"/>
                <w:szCs w:val="22"/>
              </w:rPr>
            </w:pPr>
            <w:r>
              <w:rPr>
                <w:rFonts w:eastAsia="Times New Roman" w:cs="Arial"/>
                <w:szCs w:val="22"/>
              </w:rPr>
              <w:t xml:space="preserve">The applicant lists the following: </w:t>
            </w:r>
          </w:p>
          <w:p w14:paraId="5C58534D" w14:textId="77777777" w:rsidR="007B79ED" w:rsidRDefault="000A11B9">
            <w:pPr>
              <w:rPr>
                <w:rFonts w:eastAsia="Times New Roman" w:cs="Arial"/>
                <w:szCs w:val="22"/>
              </w:rPr>
            </w:pPr>
            <w:r>
              <w:rPr>
                <w:rFonts w:eastAsia="Times New Roman" w:cs="Arial"/>
                <w:szCs w:val="22"/>
              </w:rPr>
              <w:t>Figure 5.2-1 and Figure 5.1-1 indicate meeting EEOC requirements</w:t>
            </w:r>
            <w:r w:rsidR="007B79ED">
              <w:rPr>
                <w:rFonts w:eastAsia="Times New Roman" w:cs="Arial"/>
                <w:szCs w:val="22"/>
              </w:rPr>
              <w:t>,</w:t>
            </w:r>
            <w:r>
              <w:rPr>
                <w:rFonts w:eastAsia="Times New Roman" w:cs="Arial"/>
                <w:szCs w:val="22"/>
              </w:rPr>
              <w:t xml:space="preserve"> but meeting EEOC requirements does not necessarily mean meeting the needs of the local community or student population. </w:t>
            </w:r>
          </w:p>
          <w:p w14:paraId="1899170B" w14:textId="38B2B8B2" w:rsidR="0062229F" w:rsidRDefault="000A11B9">
            <w:pPr>
              <w:rPr>
                <w:rFonts w:eastAsia="Times New Roman" w:cs="Arial"/>
                <w:szCs w:val="22"/>
              </w:rPr>
            </w:pPr>
            <w:r>
              <w:rPr>
                <w:rFonts w:eastAsia="Times New Roman" w:cs="Arial"/>
                <w:szCs w:val="22"/>
              </w:rPr>
              <w:t>The applicant list</w:t>
            </w:r>
            <w:r w:rsidR="0062229F">
              <w:rPr>
                <w:rFonts w:eastAsia="Times New Roman" w:cs="Arial"/>
                <w:szCs w:val="22"/>
              </w:rPr>
              <w:t>s</w:t>
            </w:r>
            <w:r>
              <w:rPr>
                <w:rFonts w:eastAsia="Times New Roman" w:cs="Arial"/>
                <w:szCs w:val="22"/>
              </w:rPr>
              <w:t xml:space="preserve"> several processes aimed toward improving the diversity of the applicant pool</w:t>
            </w:r>
            <w:r w:rsidR="007B79ED">
              <w:rPr>
                <w:rFonts w:eastAsia="Times New Roman" w:cs="Arial"/>
                <w:szCs w:val="22"/>
              </w:rPr>
              <w:t>,</w:t>
            </w:r>
            <w:r>
              <w:rPr>
                <w:rFonts w:eastAsia="Times New Roman" w:cs="Arial"/>
                <w:szCs w:val="22"/>
              </w:rPr>
              <w:t xml:space="preserve"> such as using community agencies, diversity websites, behavioral </w:t>
            </w:r>
            <w:r w:rsidR="005D7B5E">
              <w:rPr>
                <w:rFonts w:eastAsia="Times New Roman" w:cs="Arial"/>
                <w:szCs w:val="22"/>
              </w:rPr>
              <w:t>interviewing,</w:t>
            </w:r>
            <w:r>
              <w:rPr>
                <w:rFonts w:eastAsia="Times New Roman" w:cs="Arial"/>
                <w:szCs w:val="22"/>
              </w:rPr>
              <w:t xml:space="preserve"> and the Works System. But there is a lack of a description as to HOW these processes actually help the applicant represent their student population in the processes to recruit, hire and onboard their workforce. </w:t>
            </w:r>
          </w:p>
          <w:p w14:paraId="407EF344" w14:textId="5BB9C740" w:rsidR="005E22BD" w:rsidRDefault="0062229F">
            <w:pPr>
              <w:rPr>
                <w:rFonts w:eastAsia="Times New Roman" w:cs="Arial"/>
                <w:szCs w:val="22"/>
              </w:rPr>
            </w:pPr>
            <w:r>
              <w:rPr>
                <w:rFonts w:eastAsia="Times New Roman" w:cs="Arial"/>
                <w:szCs w:val="22"/>
              </w:rPr>
              <w:t>3</w:t>
            </w:r>
            <w:r w:rsidR="000A11B9">
              <w:rPr>
                <w:rFonts w:eastAsia="Times New Roman" w:cs="Arial"/>
                <w:szCs w:val="22"/>
              </w:rPr>
              <w:t xml:space="preserve"> examiners listed a(2) as an OFI, and </w:t>
            </w:r>
            <w:r>
              <w:rPr>
                <w:rFonts w:eastAsia="Times New Roman" w:cs="Arial"/>
                <w:szCs w:val="22"/>
              </w:rPr>
              <w:t>3</w:t>
            </w:r>
            <w:r w:rsidR="000A11B9">
              <w:rPr>
                <w:rFonts w:eastAsia="Times New Roman" w:cs="Arial"/>
                <w:szCs w:val="22"/>
              </w:rPr>
              <w:t xml:space="preserve"> had this as a strength. The strengths are all around the </w:t>
            </w:r>
            <w:r>
              <w:rPr>
                <w:rFonts w:eastAsia="Times New Roman" w:cs="Arial"/>
                <w:szCs w:val="22"/>
              </w:rPr>
              <w:t>a</w:t>
            </w:r>
            <w:r w:rsidR="000A11B9">
              <w:rPr>
                <w:rFonts w:eastAsia="Times New Roman" w:cs="Arial"/>
                <w:szCs w:val="22"/>
              </w:rPr>
              <w:t>pproach. The learning OFI appears to have more value to the applicant for learning purposes.</w:t>
            </w:r>
          </w:p>
        </w:tc>
        <w:tc>
          <w:tcPr>
            <w:tcW w:w="0" w:type="auto"/>
            <w:tcBorders>
              <w:bottom w:val="single" w:sz="6" w:space="0" w:color="000000"/>
              <w:right w:val="single" w:sz="6" w:space="0" w:color="000000"/>
            </w:tcBorders>
            <w:tcMar>
              <w:top w:w="75" w:type="dxa"/>
              <w:left w:w="75" w:type="dxa"/>
              <w:bottom w:w="75" w:type="dxa"/>
              <w:right w:w="75" w:type="dxa"/>
            </w:tcMar>
            <w:hideMark/>
          </w:tcPr>
          <w:p w14:paraId="61474A33" w14:textId="77777777" w:rsidR="005E22BD" w:rsidRDefault="000A11B9">
            <w:pPr>
              <w:rPr>
                <w:rFonts w:eastAsia="Times New Roman" w:cs="Arial"/>
                <w:szCs w:val="22"/>
              </w:rPr>
            </w:pPr>
            <w:r>
              <w:rPr>
                <w:rFonts w:eastAsia="Times New Roman" w:cs="Arial"/>
                <w:szCs w:val="22"/>
              </w:rPr>
              <w:t>a(2)</w:t>
            </w:r>
          </w:p>
        </w:tc>
      </w:tr>
    </w:tbl>
    <w:p w14:paraId="34C7A8BA"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2309FAB3" w14:textId="77777777" w:rsidTr="00080296">
        <w:tc>
          <w:tcPr>
            <w:tcW w:w="10170" w:type="dxa"/>
          </w:tcPr>
          <w:p w14:paraId="5904AA66" w14:textId="3FA2EB2A" w:rsidR="00080296" w:rsidRDefault="00080296" w:rsidP="00080296">
            <w:pPr>
              <w:rPr>
                <w:rFonts w:eastAsia="Times New Roman" w:cs="Arial"/>
                <w:szCs w:val="22"/>
              </w:rPr>
            </w:pPr>
            <w:r>
              <w:rPr>
                <w:rFonts w:eastAsia="Times New Roman" w:cs="Arial"/>
                <w:szCs w:val="22"/>
              </w:rPr>
              <w:t xml:space="preserve">On first comment: One examiner cautioned segmentation since it is not explicitly called for in the Criteria, and I thought he was right. So, I switched the focus to be on deployment, not segmentation. But the learning for the applicant is around segmentation so I reverted back to my original thought around segmentation. (This is now an integration OFI highlighting a lack of alignment with the workforce groups listed in the Org. Profile.) </w:t>
            </w:r>
          </w:p>
        </w:tc>
      </w:tr>
    </w:tbl>
    <w:p w14:paraId="32AA5C05"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170"/>
      </w:tblGrid>
      <w:tr w:rsidR="00080296" w14:paraId="4F740E56" w14:textId="77777777" w:rsidTr="00080296">
        <w:tc>
          <w:tcPr>
            <w:tcW w:w="10170" w:type="dxa"/>
          </w:tcPr>
          <w:p w14:paraId="3C348606" w14:textId="77777777" w:rsidR="00080296" w:rsidRDefault="00080296" w:rsidP="00080296">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60</w:t>
            </w:r>
          </w:p>
          <w:p w14:paraId="4606591D" w14:textId="77777777" w:rsidR="00080296" w:rsidRDefault="00080296" w:rsidP="00080296">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0C73BF06" w14:textId="67F4A919" w:rsidR="00080296" w:rsidRDefault="00080296" w:rsidP="00AD4815">
            <w:pPr>
              <w:rPr>
                <w:rFonts w:eastAsia="Times New Roman" w:cs="Arial"/>
                <w:b/>
                <w:bCs/>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 xml:space="preserve">It should not be in the </w:t>
            </w:r>
            <w:r>
              <w:rPr>
                <w:rStyle w:val="Strong"/>
                <w:rFonts w:eastAsia="Times New Roman" w:cs="Arial"/>
                <w:b w:val="0"/>
                <w:bCs w:val="0"/>
                <w:szCs w:val="22"/>
              </w:rPr>
              <w:t xml:space="preserve">30–45% </w:t>
            </w:r>
            <w:r w:rsidRPr="00FD460C">
              <w:rPr>
                <w:rStyle w:val="Strong"/>
                <w:rFonts w:eastAsia="Times New Roman" w:cs="Arial"/>
                <w:b w:val="0"/>
                <w:bCs w:val="0"/>
                <w:szCs w:val="22"/>
              </w:rPr>
              <w:t xml:space="preserve">range due </w:t>
            </w:r>
            <w:r w:rsidR="006E24F0">
              <w:rPr>
                <w:rStyle w:val="Strong"/>
                <w:rFonts w:eastAsia="Times New Roman" w:cs="Arial"/>
                <w:b w:val="0"/>
                <w:bCs w:val="0"/>
                <w:szCs w:val="22"/>
              </w:rPr>
              <w:t xml:space="preserve">in part </w:t>
            </w:r>
            <w:r w:rsidRPr="00FD460C">
              <w:rPr>
                <w:rStyle w:val="Strong"/>
                <w:rFonts w:eastAsia="Times New Roman" w:cs="Arial"/>
                <w:b w:val="0"/>
                <w:bCs w:val="0"/>
                <w:szCs w:val="22"/>
              </w:rPr>
              <w:t xml:space="preserve">to addressing </w:t>
            </w:r>
            <w:r w:rsidR="006E24F0">
              <w:rPr>
                <w:rStyle w:val="Strong"/>
                <w:rFonts w:eastAsia="Times New Roman" w:cs="Arial"/>
                <w:b w:val="0"/>
                <w:bCs w:val="0"/>
                <w:szCs w:val="22"/>
              </w:rPr>
              <w:t xml:space="preserve">Criteria questions </w:t>
            </w:r>
            <w:r w:rsidRPr="00FD460C">
              <w:rPr>
                <w:rStyle w:val="Strong"/>
                <w:rFonts w:eastAsia="Times New Roman" w:cs="Arial"/>
                <w:b w:val="0"/>
                <w:bCs w:val="0"/>
                <w:szCs w:val="22"/>
              </w:rPr>
              <w:t xml:space="preserve">beyond </w:t>
            </w:r>
            <w:r>
              <w:rPr>
                <w:rStyle w:val="Strong"/>
                <w:rFonts w:eastAsia="Times New Roman" w:cs="Arial"/>
                <w:b w:val="0"/>
                <w:bCs w:val="0"/>
                <w:szCs w:val="22"/>
              </w:rPr>
              <w:t xml:space="preserve">the </w:t>
            </w:r>
            <w:r w:rsidRPr="00FD460C">
              <w:rPr>
                <w:rStyle w:val="Strong"/>
                <w:rFonts w:eastAsia="Times New Roman" w:cs="Arial"/>
                <w:b w:val="0"/>
                <w:bCs w:val="0"/>
                <w:szCs w:val="22"/>
              </w:rPr>
              <w:t>basic</w:t>
            </w:r>
            <w:r>
              <w:rPr>
                <w:rStyle w:val="Strong"/>
                <w:rFonts w:eastAsia="Times New Roman" w:cs="Arial"/>
                <w:b w:val="0"/>
                <w:bCs w:val="0"/>
                <w:szCs w:val="22"/>
              </w:rPr>
              <w:t xml:space="preserve"> requirements</w:t>
            </w:r>
            <w:r w:rsidRPr="00FD460C">
              <w:rPr>
                <w:rStyle w:val="Strong"/>
                <w:rFonts w:eastAsia="Times New Roman" w:cs="Arial"/>
                <w:b w:val="0"/>
                <w:bCs w:val="0"/>
                <w:szCs w:val="22"/>
              </w:rPr>
              <w:t xml:space="preserve">. It should not be in the </w:t>
            </w:r>
            <w:r>
              <w:rPr>
                <w:rStyle w:val="Strong"/>
                <w:rFonts w:eastAsia="Times New Roman" w:cs="Arial"/>
                <w:b w:val="0"/>
                <w:bCs w:val="0"/>
                <w:szCs w:val="22"/>
              </w:rPr>
              <w:t xml:space="preserve">70–85% </w:t>
            </w:r>
            <w:r w:rsidRPr="00FD460C">
              <w:rPr>
                <w:rStyle w:val="Strong"/>
                <w:rFonts w:eastAsia="Times New Roman" w:cs="Arial"/>
                <w:b w:val="0"/>
                <w:bCs w:val="0"/>
                <w:szCs w:val="22"/>
              </w:rPr>
              <w:t xml:space="preserve">range due </w:t>
            </w:r>
            <w:r w:rsidR="006E24F0">
              <w:rPr>
                <w:rStyle w:val="Strong"/>
                <w:rFonts w:eastAsia="Times New Roman" w:cs="Arial"/>
                <w:b w:val="0"/>
                <w:bCs w:val="0"/>
                <w:szCs w:val="22"/>
              </w:rPr>
              <w:t xml:space="preserve">in part </w:t>
            </w:r>
            <w:r w:rsidRPr="00FD460C">
              <w:rPr>
                <w:rStyle w:val="Strong"/>
                <w:rFonts w:eastAsia="Times New Roman" w:cs="Arial"/>
                <w:b w:val="0"/>
                <w:bCs w:val="0"/>
                <w:szCs w:val="22"/>
              </w:rPr>
              <w:t xml:space="preserve">to the applicant not addressing </w:t>
            </w:r>
            <w:r>
              <w:rPr>
                <w:rStyle w:val="Strong"/>
                <w:rFonts w:eastAsia="Times New Roman" w:cs="Arial"/>
                <w:b w:val="0"/>
                <w:bCs w:val="0"/>
                <w:szCs w:val="22"/>
              </w:rPr>
              <w:t xml:space="preserve">many </w:t>
            </w:r>
            <w:r w:rsidRPr="00FD460C">
              <w:rPr>
                <w:rStyle w:val="Strong"/>
                <w:rFonts w:eastAsia="Times New Roman" w:cs="Arial"/>
                <w:b w:val="0"/>
                <w:bCs w:val="0"/>
                <w:szCs w:val="22"/>
              </w:rPr>
              <w:t xml:space="preserve">multiple </w:t>
            </w:r>
            <w:r>
              <w:rPr>
                <w:rStyle w:val="Strong"/>
                <w:rFonts w:eastAsia="Times New Roman" w:cs="Arial"/>
                <w:b w:val="0"/>
                <w:bCs w:val="0"/>
                <w:szCs w:val="22"/>
              </w:rPr>
              <w:t>questions</w:t>
            </w:r>
            <w:r w:rsidR="005E3D0E">
              <w:rPr>
                <w:rStyle w:val="Strong"/>
                <w:rFonts w:eastAsia="Times New Roman" w:cs="Arial"/>
                <w:b w:val="0"/>
                <w:bCs w:val="0"/>
                <w:szCs w:val="22"/>
              </w:rPr>
              <w:t xml:space="preserve"> </w:t>
            </w:r>
            <w:r w:rsidRPr="00FD460C">
              <w:rPr>
                <w:rStyle w:val="Strong"/>
                <w:rFonts w:eastAsia="Times New Roman" w:cs="Arial"/>
                <w:b w:val="0"/>
                <w:bCs w:val="0"/>
                <w:szCs w:val="22"/>
              </w:rPr>
              <w:t>and also due to lack of segmentation</w:t>
            </w:r>
            <w:r>
              <w:rPr>
                <w:rStyle w:val="Strong"/>
                <w:rFonts w:eastAsia="Times New Roman" w:cs="Arial"/>
                <w:b w:val="0"/>
                <w:bCs w:val="0"/>
                <w:szCs w:val="22"/>
              </w:rPr>
              <w:t xml:space="preserve"> by</w:t>
            </w:r>
            <w:r w:rsidRPr="00FD460C">
              <w:rPr>
                <w:rStyle w:val="Strong"/>
                <w:rFonts w:eastAsia="Times New Roman" w:cs="Arial"/>
                <w:b w:val="0"/>
                <w:bCs w:val="0"/>
                <w:szCs w:val="22"/>
              </w:rPr>
              <w:t xml:space="preserve"> the workforce segments in the OP</w:t>
            </w:r>
            <w:r>
              <w:rPr>
                <w:rStyle w:val="Strong"/>
                <w:rFonts w:eastAsia="Times New Roman" w:cs="Arial"/>
                <w:b w:val="0"/>
                <w:bCs w:val="0"/>
                <w:szCs w:val="22"/>
              </w:rPr>
              <w:t>,</w:t>
            </w:r>
            <w:r w:rsidRPr="00FD460C">
              <w:rPr>
                <w:rStyle w:val="Strong"/>
                <w:rFonts w:eastAsia="Times New Roman" w:cs="Arial"/>
                <w:b w:val="0"/>
                <w:bCs w:val="0"/>
                <w:szCs w:val="22"/>
              </w:rPr>
              <w:t xml:space="preserve"> as well as a lack of</w:t>
            </w:r>
            <w:r>
              <w:rPr>
                <w:rStyle w:val="Strong"/>
                <w:rFonts w:eastAsia="Times New Roman" w:cs="Arial"/>
                <w:b w:val="0"/>
                <w:bCs w:val="0"/>
                <w:szCs w:val="22"/>
              </w:rPr>
              <w:t xml:space="preserve"> some examples of</w:t>
            </w:r>
            <w:r w:rsidRPr="00FD460C">
              <w:rPr>
                <w:rStyle w:val="Strong"/>
                <w:rFonts w:eastAsia="Times New Roman" w:cs="Arial"/>
                <w:b w:val="0"/>
                <w:bCs w:val="0"/>
                <w:szCs w:val="22"/>
              </w:rPr>
              <w:t xml:space="preserve"> adopting best practices</w:t>
            </w:r>
            <w:r>
              <w:rPr>
                <w:rStyle w:val="Strong"/>
                <w:rFonts w:eastAsia="Times New Roman" w:cs="Arial"/>
                <w:b w:val="0"/>
                <w:bCs w:val="0"/>
                <w:szCs w:val="22"/>
              </w:rPr>
              <w:t>,</w:t>
            </w:r>
            <w:r w:rsidRPr="00FD460C">
              <w:rPr>
                <w:rStyle w:val="Strong"/>
                <w:rFonts w:eastAsia="Times New Roman" w:cs="Arial"/>
                <w:b w:val="0"/>
                <w:bCs w:val="0"/>
                <w:szCs w:val="22"/>
              </w:rPr>
              <w:t xml:space="preserve"> which may be a major issue since its vision is to be the BEST. There is no evidence that the applicant studies "best" which may inhibit the accomplishment of the vision (KT?)</w:t>
            </w:r>
            <w:r>
              <w:rPr>
                <w:rStyle w:val="Strong"/>
                <w:rFonts w:eastAsia="Times New Roman" w:cs="Arial"/>
                <w:b w:val="0"/>
                <w:bCs w:val="0"/>
                <w:szCs w:val="22"/>
              </w:rPr>
              <w:t>.</w:t>
            </w:r>
          </w:p>
        </w:tc>
      </w:tr>
    </w:tbl>
    <w:p w14:paraId="411D5BC0" w14:textId="77777777" w:rsidR="00050D3F" w:rsidRDefault="00050D3F">
      <w:pPr>
        <w:spacing w:after="0"/>
        <w:rPr>
          <w:rFonts w:eastAsia="Times New Roman" w:cs="Arial"/>
          <w:b/>
          <w:bCs/>
          <w:szCs w:val="22"/>
        </w:rPr>
      </w:pPr>
      <w:r>
        <w:rPr>
          <w:rFonts w:eastAsia="Times New Roman" w:cs="Arial"/>
          <w:b/>
          <w:bCs/>
          <w:szCs w:val="22"/>
        </w:rPr>
        <w:br w:type="page"/>
      </w:r>
    </w:p>
    <w:p w14:paraId="23739059"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5.2</w:t>
      </w:r>
    </w:p>
    <w:p w14:paraId="23755CA8" w14:textId="77777777" w:rsidR="005E22BD" w:rsidRDefault="000A11B9">
      <w:pPr>
        <w:pStyle w:val="Heading2"/>
        <w:divId w:val="905190427"/>
        <w:rPr>
          <w:rFonts w:eastAsia="Times New Roman" w:cs="Arial"/>
        </w:rPr>
      </w:pPr>
      <w:r>
        <w:rPr>
          <w:rFonts w:eastAsia="Times New Roman" w:cs="Arial"/>
        </w:rPr>
        <w:t>Workforce Engagement</w:t>
      </w:r>
    </w:p>
    <w:p w14:paraId="687066F4" w14:textId="77777777" w:rsidR="005E22BD" w:rsidRDefault="000A11B9">
      <w:pPr>
        <w:pStyle w:val="Heading3"/>
        <w:divId w:val="905190427"/>
        <w:rPr>
          <w:rFonts w:eastAsia="Times New Roman" w:cs="Arial"/>
        </w:rPr>
      </w:pPr>
      <w:r>
        <w:rPr>
          <w:rFonts w:eastAsia="Times New Roman" w:cs="Arial"/>
        </w:rPr>
        <w:t>Relevant Key Factors</w:t>
      </w:r>
    </w:p>
    <w:p w14:paraId="3B2A9B3F" w14:textId="4BCA0F39" w:rsidR="005E22BD" w:rsidRDefault="000A11B9">
      <w:pPr>
        <w:numPr>
          <w:ilvl w:val="0"/>
          <w:numId w:val="14"/>
        </w:numPr>
        <w:spacing w:before="100" w:beforeAutospacing="1" w:after="100" w:afterAutospacing="1"/>
        <w:divId w:val="905190427"/>
        <w:rPr>
          <w:rFonts w:eastAsia="Times New Roman" w:cs="Arial"/>
          <w:szCs w:val="22"/>
        </w:rPr>
      </w:pPr>
      <w:r>
        <w:rPr>
          <w:rFonts w:eastAsia="Times New Roman" w:cs="Arial"/>
          <w:szCs w:val="22"/>
        </w:rPr>
        <w:t>CC3: Maintain expert, up-to-date workforce</w:t>
      </w:r>
      <w:r w:rsidR="003F044D">
        <w:rPr>
          <w:rFonts w:eastAsia="Times New Roman" w:cs="Arial"/>
          <w:szCs w:val="22"/>
        </w:rPr>
        <w:t>.</w:t>
      </w:r>
    </w:p>
    <w:p w14:paraId="6C929C59" w14:textId="22AA54BA" w:rsidR="005E22BD" w:rsidRDefault="00153A64">
      <w:pPr>
        <w:numPr>
          <w:ilvl w:val="0"/>
          <w:numId w:val="14"/>
        </w:numPr>
        <w:spacing w:before="100" w:beforeAutospacing="1" w:after="100" w:afterAutospacing="1"/>
        <w:divId w:val="905190427"/>
        <w:rPr>
          <w:rFonts w:eastAsia="Times New Roman" w:cs="Arial"/>
          <w:szCs w:val="22"/>
        </w:rPr>
      </w:pPr>
      <w:r>
        <w:rPr>
          <w:rFonts w:eastAsia="Times New Roman" w:cs="Arial"/>
          <w:szCs w:val="22"/>
        </w:rPr>
        <w:t>Tenured/tenure-track faculty</w:t>
      </w:r>
      <w:r w:rsidR="000A11B9">
        <w:rPr>
          <w:rFonts w:eastAsia="Times New Roman" w:cs="Arial"/>
          <w:szCs w:val="22"/>
        </w:rPr>
        <w:t xml:space="preserve"> (250); </w:t>
      </w:r>
      <w:r>
        <w:rPr>
          <w:rFonts w:eastAsia="Times New Roman" w:cs="Arial"/>
          <w:szCs w:val="22"/>
        </w:rPr>
        <w:t>adjunct and non-tenure-track,</w:t>
      </w:r>
      <w:r w:rsidR="000A11B9">
        <w:rPr>
          <w:rFonts w:eastAsia="Times New Roman" w:cs="Arial"/>
          <w:szCs w:val="22"/>
        </w:rPr>
        <w:t xml:space="preserve"> FT &amp; PT (200); </w:t>
      </w:r>
      <w:r>
        <w:rPr>
          <w:rFonts w:eastAsia="Times New Roman" w:cs="Arial"/>
          <w:szCs w:val="22"/>
        </w:rPr>
        <w:t xml:space="preserve">management (60); professional support (250); support (400); </w:t>
      </w:r>
      <w:r w:rsidR="00235345">
        <w:rPr>
          <w:rFonts w:eastAsia="Times New Roman" w:cs="Arial"/>
          <w:szCs w:val="22"/>
        </w:rPr>
        <w:t>temp.</w:t>
      </w:r>
      <w:r>
        <w:rPr>
          <w:rFonts w:eastAsia="Times New Roman" w:cs="Arial"/>
          <w:szCs w:val="22"/>
        </w:rPr>
        <w:t xml:space="preserve"> (50)</w:t>
      </w:r>
      <w:r w:rsidR="003F044D">
        <w:rPr>
          <w:rFonts w:eastAsia="Times New Roman" w:cs="Arial"/>
          <w:szCs w:val="22"/>
        </w:rPr>
        <w:t>.</w:t>
      </w:r>
    </w:p>
    <w:p w14:paraId="42FB7641" w14:textId="77777777" w:rsidR="00351245" w:rsidRDefault="00351245" w:rsidP="00351245">
      <w:pPr>
        <w:pStyle w:val="ListParagraph"/>
        <w:numPr>
          <w:ilvl w:val="0"/>
          <w:numId w:val="14"/>
        </w:numPr>
        <w:divId w:val="905190427"/>
      </w:pPr>
      <w:r w:rsidRPr="00351245">
        <w:rPr>
          <w:rFonts w:eastAsia="Times New Roman" w:cs="Arial"/>
          <w:szCs w:val="22"/>
        </w:rPr>
        <w:t>Open communication (supervisor relationships); high-performance work (valued as team member);</w:t>
      </w:r>
      <w:r w:rsidRPr="00BF1B40">
        <w:t xml:space="preserve"> </w:t>
      </w:r>
      <w:r w:rsidRPr="00351245">
        <w:rPr>
          <w:rFonts w:eastAsia="Times New Roman" w:cs="Arial"/>
          <w:szCs w:val="22"/>
        </w:rPr>
        <w:t>focus on continuous improvement/innovation (training/resource availability/relevance);</w:t>
      </w:r>
      <w:r w:rsidRPr="00BF1B40">
        <w:t xml:space="preserve"> </w:t>
      </w:r>
      <w:r w:rsidRPr="00351245">
        <w:rPr>
          <w:rFonts w:eastAsia="Times New Roman" w:cs="Arial"/>
          <w:szCs w:val="22"/>
        </w:rPr>
        <w:t>engaged/empowered workforce (satisfied with sense of contribution to mission);</w:t>
      </w:r>
      <w:r w:rsidRPr="00BF1B40">
        <w:t xml:space="preserve"> </w:t>
      </w:r>
      <w:r w:rsidRPr="00351245">
        <w:rPr>
          <w:rFonts w:eastAsia="Times New Roman" w:cs="Arial"/>
          <w:szCs w:val="22"/>
        </w:rPr>
        <w:t>diverse ideas, cultures, thinking (satisfied with sense mission and college future);</w:t>
      </w:r>
      <w:r w:rsidRPr="00BF1B40">
        <w:t xml:space="preserve"> </w:t>
      </w:r>
      <w:r w:rsidRPr="00351245">
        <w:rPr>
          <w:rFonts w:eastAsia="Times New Roman" w:cs="Arial"/>
          <w:szCs w:val="22"/>
        </w:rPr>
        <w:t>inclusion/equity.</w:t>
      </w:r>
    </w:p>
    <w:p w14:paraId="37D40C29" w14:textId="41E7B0E6" w:rsidR="005E22BD" w:rsidRDefault="00153A64">
      <w:pPr>
        <w:numPr>
          <w:ilvl w:val="0"/>
          <w:numId w:val="14"/>
        </w:numPr>
        <w:spacing w:before="100" w:beforeAutospacing="1" w:after="100" w:afterAutospacing="1"/>
        <w:divId w:val="905190427"/>
        <w:rPr>
          <w:rFonts w:eastAsia="Times New Roman" w:cs="Arial"/>
          <w:szCs w:val="22"/>
        </w:rPr>
      </w:pPr>
      <w:r>
        <w:rPr>
          <w:rFonts w:eastAsia="Times New Roman" w:cs="Arial"/>
          <w:szCs w:val="22"/>
        </w:rPr>
        <w:t xml:space="preserve">125 acres: 25 major </w:t>
      </w:r>
      <w:r w:rsidR="00235345">
        <w:rPr>
          <w:rFonts w:eastAsia="Times New Roman" w:cs="Arial"/>
          <w:szCs w:val="22"/>
        </w:rPr>
        <w:t>academic/admin.</w:t>
      </w:r>
      <w:r>
        <w:rPr>
          <w:rFonts w:eastAsia="Times New Roman" w:cs="Arial"/>
          <w:szCs w:val="22"/>
        </w:rPr>
        <w:t xml:space="preserve"> buildings; 238 labs; 12 research labs.</w:t>
      </w:r>
      <w:r w:rsidR="000A11B9">
        <w:rPr>
          <w:rFonts w:eastAsia="Times New Roman" w:cs="Arial"/>
          <w:szCs w:val="22"/>
        </w:rPr>
        <w:t xml:space="preserve"> </w:t>
      </w:r>
      <w:r>
        <w:rPr>
          <w:rFonts w:eastAsia="Times New Roman" w:cs="Arial"/>
          <w:szCs w:val="22"/>
        </w:rPr>
        <w:t>D</w:t>
      </w:r>
      <w:r w:rsidR="000A11B9">
        <w:rPr>
          <w:rFonts w:eastAsia="Times New Roman" w:cs="Arial"/>
          <w:szCs w:val="22"/>
        </w:rPr>
        <w:t>ining, athletic facilities, art galleries, theaters, rehearsal</w:t>
      </w:r>
      <w:r>
        <w:rPr>
          <w:rFonts w:eastAsia="Times New Roman" w:cs="Arial"/>
          <w:szCs w:val="22"/>
        </w:rPr>
        <w:t>/</w:t>
      </w:r>
      <w:r w:rsidR="000A11B9">
        <w:rPr>
          <w:rFonts w:eastAsia="Times New Roman" w:cs="Arial"/>
          <w:szCs w:val="22"/>
        </w:rPr>
        <w:t xml:space="preserve">studio space. </w:t>
      </w:r>
      <w:r w:rsidR="00235345">
        <w:rPr>
          <w:rFonts w:eastAsia="Times New Roman" w:cs="Arial"/>
          <w:szCs w:val="22"/>
        </w:rPr>
        <w:t>3X</w:t>
      </w:r>
      <w:r w:rsidR="000A11B9">
        <w:rPr>
          <w:rFonts w:eastAsia="Times New Roman" w:cs="Arial"/>
          <w:szCs w:val="22"/>
        </w:rPr>
        <w:t xml:space="preserve"> more labs than classrooms.</w:t>
      </w:r>
    </w:p>
    <w:p w14:paraId="5CE36333" w14:textId="7E63C86F" w:rsidR="005E22BD" w:rsidRDefault="000A11B9">
      <w:pPr>
        <w:numPr>
          <w:ilvl w:val="0"/>
          <w:numId w:val="14"/>
        </w:numPr>
        <w:spacing w:before="100" w:beforeAutospacing="1" w:after="100" w:afterAutospacing="1"/>
        <w:divId w:val="905190427"/>
        <w:rPr>
          <w:rFonts w:eastAsia="Times New Roman" w:cs="Arial"/>
          <w:szCs w:val="22"/>
        </w:rPr>
      </w:pPr>
      <w:r>
        <w:rPr>
          <w:rFonts w:eastAsia="Times New Roman" w:cs="Arial"/>
          <w:szCs w:val="22"/>
        </w:rPr>
        <w:t>Service providers (bookstore, dining), administrative support</w:t>
      </w:r>
      <w:r w:rsidR="003F044D">
        <w:rPr>
          <w:rFonts w:eastAsia="Times New Roman" w:cs="Arial"/>
          <w:szCs w:val="22"/>
        </w:rPr>
        <w:t>.</w:t>
      </w:r>
    </w:p>
    <w:p w14:paraId="1A61815C" w14:textId="2BAFC263" w:rsidR="005E22BD" w:rsidRDefault="00E64140">
      <w:pPr>
        <w:numPr>
          <w:ilvl w:val="0"/>
          <w:numId w:val="14"/>
        </w:numPr>
        <w:spacing w:before="100" w:beforeAutospacing="1" w:after="100" w:afterAutospacing="1"/>
        <w:divId w:val="905190427"/>
        <w:rPr>
          <w:rFonts w:eastAsia="Times New Roman" w:cs="Arial"/>
          <w:szCs w:val="22"/>
        </w:rPr>
      </w:pPr>
      <w:r>
        <w:rPr>
          <w:rFonts w:eastAsia="Times New Roman" w:cs="Arial"/>
          <w:szCs w:val="22"/>
        </w:rPr>
        <w:t xml:space="preserve">Ensuring </w:t>
      </w:r>
      <w:r w:rsidR="000A11B9">
        <w:rPr>
          <w:rFonts w:eastAsia="Times New Roman" w:cs="Arial"/>
          <w:szCs w:val="22"/>
        </w:rPr>
        <w:t xml:space="preserve">qualifications of incoming </w:t>
      </w:r>
      <w:r w:rsidR="00DB6E5E">
        <w:rPr>
          <w:rFonts w:eastAsia="Times New Roman" w:cs="Arial"/>
          <w:szCs w:val="22"/>
        </w:rPr>
        <w:t>FT/PT</w:t>
      </w:r>
      <w:r w:rsidR="000A11B9">
        <w:rPr>
          <w:rFonts w:eastAsia="Times New Roman" w:cs="Arial"/>
          <w:szCs w:val="22"/>
        </w:rPr>
        <w:t xml:space="preserve"> faculty</w:t>
      </w:r>
      <w:r w:rsidR="003F044D">
        <w:rPr>
          <w:rFonts w:eastAsia="Times New Roman" w:cs="Arial"/>
          <w:szCs w:val="22"/>
        </w:rPr>
        <w:t>.</w:t>
      </w:r>
    </w:p>
    <w:p w14:paraId="29AC5421"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01"/>
        <w:gridCol w:w="4156"/>
        <w:gridCol w:w="1200"/>
      </w:tblGrid>
      <w:tr w:rsidR="005E22BD" w14:paraId="3D81F724"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5324482F"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1F216E1"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2F648D7B"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F94760F"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0DC7B6B4"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3DF2E3D0"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A1A8432" w14:textId="5AAF4EF2" w:rsidR="005E22BD" w:rsidRDefault="000A11B9">
            <w:pPr>
              <w:rPr>
                <w:rFonts w:eastAsia="Times New Roman" w:cs="Arial"/>
                <w:szCs w:val="22"/>
              </w:rPr>
            </w:pPr>
            <w:r>
              <w:rPr>
                <w:rFonts w:eastAsia="Times New Roman" w:cs="Arial"/>
                <w:szCs w:val="22"/>
              </w:rPr>
              <w:t xml:space="preserve">The applicant </w:t>
            </w:r>
            <w:r w:rsidR="003F044D">
              <w:rPr>
                <w:rFonts w:eastAsia="Times New Roman" w:cs="Arial"/>
                <w:szCs w:val="22"/>
              </w:rPr>
              <w:t>s</w:t>
            </w:r>
            <w:r w:rsidR="003F044D">
              <w:t xml:space="preserve">ystematically </w:t>
            </w:r>
            <w:r>
              <w:rPr>
                <w:rFonts w:eastAsia="Times New Roman" w:cs="Arial"/>
                <w:szCs w:val="22"/>
              </w:rPr>
              <w:t>identifies</w:t>
            </w:r>
            <w:r w:rsidR="00EF0034">
              <w:rPr>
                <w:rFonts w:eastAsia="Times New Roman" w:cs="Arial"/>
                <w:szCs w:val="22"/>
              </w:rPr>
              <w:t xml:space="preserve"> the</w:t>
            </w:r>
            <w:r>
              <w:rPr>
                <w:rFonts w:eastAsia="Times New Roman" w:cs="Arial"/>
                <w:szCs w:val="22"/>
              </w:rPr>
              <w:t xml:space="preserve"> key drivers </w:t>
            </w:r>
            <w:r w:rsidR="00EF0034">
              <w:rPr>
                <w:rFonts w:eastAsia="Times New Roman" w:cs="Arial"/>
                <w:szCs w:val="22"/>
              </w:rPr>
              <w:t xml:space="preserve">of </w:t>
            </w:r>
            <w:r>
              <w:rPr>
                <w:rFonts w:eastAsia="Times New Roman" w:cs="Arial"/>
                <w:szCs w:val="22"/>
              </w:rPr>
              <w:t xml:space="preserve">workforce engagement through an annual environmental scan including data from Baldrige </w:t>
            </w:r>
            <w:r w:rsidR="003F044D">
              <w:rPr>
                <w:rFonts w:eastAsia="Times New Roman" w:cs="Arial"/>
                <w:szCs w:val="22"/>
              </w:rPr>
              <w:t xml:space="preserve">Award </w:t>
            </w:r>
            <w:r>
              <w:rPr>
                <w:rFonts w:eastAsia="Times New Roman" w:cs="Arial"/>
                <w:szCs w:val="22"/>
              </w:rPr>
              <w:t>recipients and surveys from CCSSE, Dasher, and Great Higher Ed Employers. Further, focus groups, performance evaluations, training feedback, and exit interviews</w:t>
            </w:r>
            <w:r w:rsidR="003F044D">
              <w:rPr>
                <w:rFonts w:eastAsia="Times New Roman" w:cs="Arial"/>
                <w:szCs w:val="22"/>
              </w:rPr>
              <w:t xml:space="preserve"> help</w:t>
            </w:r>
            <w:r>
              <w:rPr>
                <w:rFonts w:eastAsia="Times New Roman" w:cs="Arial"/>
                <w:szCs w:val="22"/>
              </w:rPr>
              <w:t xml:space="preserve"> identify potential improvements. Examples of improvement include enhancements </w:t>
            </w:r>
            <w:r w:rsidR="00EF0034">
              <w:rPr>
                <w:rFonts w:eastAsia="Times New Roman" w:cs="Arial"/>
                <w:szCs w:val="22"/>
              </w:rPr>
              <w:t xml:space="preserve">to </w:t>
            </w:r>
            <w:r>
              <w:rPr>
                <w:rFonts w:eastAsia="Times New Roman" w:cs="Arial"/>
                <w:szCs w:val="22"/>
              </w:rPr>
              <w:t xml:space="preserve">the surveys in 2017 and the addition of exit interviews in 2019. These actions </w:t>
            </w:r>
            <w:r w:rsidR="003F044D">
              <w:rPr>
                <w:rFonts w:eastAsia="Times New Roman" w:cs="Arial"/>
                <w:szCs w:val="22"/>
              </w:rPr>
              <w:t xml:space="preserve">support </w:t>
            </w:r>
            <w:r>
              <w:rPr>
                <w:rFonts w:eastAsia="Times New Roman" w:cs="Arial"/>
                <w:szCs w:val="22"/>
              </w:rPr>
              <w:t>the applicant</w:t>
            </w:r>
            <w:r w:rsidR="005663C4">
              <w:rPr>
                <w:rFonts w:eastAsia="Times New Roman" w:cs="Arial"/>
                <w:szCs w:val="22"/>
              </w:rPr>
              <w:t>’</w:t>
            </w:r>
            <w:r w:rsidR="003F044D">
              <w:rPr>
                <w:rFonts w:eastAsia="Times New Roman" w:cs="Arial"/>
                <w:szCs w:val="22"/>
              </w:rPr>
              <w:t>s</w:t>
            </w:r>
            <w:r>
              <w:rPr>
                <w:rFonts w:eastAsia="Times New Roman" w:cs="Arial"/>
                <w:szCs w:val="22"/>
              </w:rPr>
              <w:t xml:space="preserve"> core competency of maintaining an expert, up-to-date work force.</w:t>
            </w:r>
          </w:p>
        </w:tc>
        <w:tc>
          <w:tcPr>
            <w:tcW w:w="0" w:type="auto"/>
            <w:tcBorders>
              <w:bottom w:val="single" w:sz="6" w:space="0" w:color="000000"/>
              <w:right w:val="single" w:sz="6" w:space="0" w:color="000000"/>
            </w:tcBorders>
            <w:tcMar>
              <w:top w:w="75" w:type="dxa"/>
              <w:left w:w="75" w:type="dxa"/>
              <w:bottom w:w="75" w:type="dxa"/>
              <w:right w:w="75" w:type="dxa"/>
            </w:tcMar>
            <w:hideMark/>
          </w:tcPr>
          <w:p w14:paraId="60737827" w14:textId="127479C0" w:rsidR="005E22BD" w:rsidRDefault="000A11B9">
            <w:pPr>
              <w:rPr>
                <w:rFonts w:eastAsia="Times New Roman" w:cs="Arial"/>
                <w:szCs w:val="22"/>
              </w:rPr>
            </w:pPr>
            <w:r>
              <w:rPr>
                <w:rFonts w:eastAsia="Times New Roman" w:cs="Arial"/>
                <w:szCs w:val="22"/>
              </w:rPr>
              <w:t>Six examiners list a(</w:t>
            </w:r>
            <w:r w:rsidR="00312438">
              <w:rPr>
                <w:rFonts w:eastAsia="Times New Roman" w:cs="Arial"/>
                <w:szCs w:val="22"/>
              </w:rPr>
              <w:t>1</w:t>
            </w:r>
            <w:r>
              <w:rPr>
                <w:rFonts w:eastAsia="Times New Roman" w:cs="Arial"/>
                <w:szCs w:val="22"/>
              </w:rPr>
              <w:t>) as a strength, but four examiners identified this as an OFI (including me) for lack of segmentation, hence, there is a corresponding OFI.</w:t>
            </w:r>
          </w:p>
          <w:p w14:paraId="564E3FA4" w14:textId="03FCA434" w:rsidR="003F044D" w:rsidRDefault="003F044D" w:rsidP="004364D6">
            <w:pPr>
              <w:jc w:val="both"/>
              <w:rPr>
                <w:rFonts w:eastAsia="Times New Roman" w:cs="Arial"/>
                <w:szCs w:val="22"/>
              </w:rPr>
            </w:pPr>
            <w:r>
              <w:t>A</w:t>
            </w:r>
            <w:r w:rsidR="004364D6">
              <w:t>L</w:t>
            </w:r>
          </w:p>
        </w:tc>
        <w:tc>
          <w:tcPr>
            <w:tcW w:w="0" w:type="auto"/>
            <w:tcBorders>
              <w:bottom w:val="single" w:sz="6" w:space="0" w:color="000000"/>
              <w:right w:val="single" w:sz="6" w:space="0" w:color="000000"/>
            </w:tcBorders>
            <w:tcMar>
              <w:top w:w="75" w:type="dxa"/>
              <w:left w:w="75" w:type="dxa"/>
              <w:bottom w:w="75" w:type="dxa"/>
              <w:right w:w="75" w:type="dxa"/>
            </w:tcMar>
            <w:hideMark/>
          </w:tcPr>
          <w:p w14:paraId="12EC4961" w14:textId="77777777" w:rsidR="005E22BD" w:rsidRDefault="000A11B9">
            <w:pPr>
              <w:rPr>
                <w:rFonts w:eastAsia="Times New Roman" w:cs="Arial"/>
                <w:szCs w:val="22"/>
              </w:rPr>
            </w:pPr>
            <w:r>
              <w:rPr>
                <w:rFonts w:eastAsia="Times New Roman" w:cs="Arial"/>
                <w:szCs w:val="22"/>
              </w:rPr>
              <w:t>a(1)</w:t>
            </w:r>
          </w:p>
        </w:tc>
      </w:tr>
      <w:tr w:rsidR="005E22BD" w14:paraId="6036442D"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1B8CE2A"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9C9F2A1" w14:textId="7D003272" w:rsidR="005E22BD" w:rsidRDefault="003F044D">
            <w:pPr>
              <w:rPr>
                <w:rFonts w:eastAsia="Times New Roman" w:cs="Arial"/>
                <w:szCs w:val="22"/>
              </w:rPr>
            </w:pPr>
            <w:r>
              <w:rPr>
                <w:rFonts w:eastAsia="Times New Roman" w:cs="Arial"/>
                <w:szCs w:val="22"/>
              </w:rPr>
              <w:t>Through analysis of surveys, focus groups, and departmental performance review summaries, t</w:t>
            </w:r>
            <w:r w:rsidR="000A11B9">
              <w:rPr>
                <w:rFonts w:eastAsia="Times New Roman" w:cs="Arial"/>
                <w:szCs w:val="22"/>
              </w:rPr>
              <w:t xml:space="preserve">he applicant </w:t>
            </w:r>
            <w:r>
              <w:rPr>
                <w:rFonts w:eastAsia="Times New Roman" w:cs="Arial"/>
                <w:szCs w:val="22"/>
              </w:rPr>
              <w:t>systematically</w:t>
            </w:r>
            <w:r w:rsidR="000A11B9">
              <w:rPr>
                <w:rFonts w:eastAsia="Times New Roman" w:cs="Arial"/>
                <w:szCs w:val="22"/>
              </w:rPr>
              <w:t xml:space="preserve"> assess</w:t>
            </w:r>
            <w:r>
              <w:rPr>
                <w:rFonts w:eastAsia="Times New Roman" w:cs="Arial"/>
                <w:szCs w:val="22"/>
              </w:rPr>
              <w:t>es</w:t>
            </w:r>
            <w:r w:rsidR="000A11B9">
              <w:rPr>
                <w:rFonts w:eastAsia="Times New Roman" w:cs="Arial"/>
                <w:szCs w:val="22"/>
              </w:rPr>
              <w:t xml:space="preserve"> workforce engagement. Three surveys (CEE Climate, Canter 12Q and the Great Higher Ed Employers surveys) include benchmarks of top-performing organizations outside education as well as data to evaluate and understand the key workforce drivers. Further, focus groups and departmental performance review summaries are combined with the survey results for analysis, with findings used as an input into the SPP.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438F3AF" w14:textId="1619BEEC" w:rsidR="003F044D" w:rsidRDefault="003F044D">
            <w:pPr>
              <w:rPr>
                <w:rFonts w:eastAsia="Times New Roman" w:cs="Arial"/>
                <w:szCs w:val="22"/>
              </w:rPr>
            </w:pPr>
            <w:r>
              <w:rPr>
                <w:rFonts w:eastAsia="Times New Roman" w:cs="Arial"/>
                <w:szCs w:val="22"/>
              </w:rPr>
              <w:t>AI</w:t>
            </w:r>
          </w:p>
          <w:p w14:paraId="4C3920AA" w14:textId="7EA60741" w:rsidR="003F044D" w:rsidRDefault="000A11B9">
            <w:pPr>
              <w:rPr>
                <w:rFonts w:eastAsia="Times New Roman" w:cs="Arial"/>
                <w:szCs w:val="22"/>
              </w:rPr>
            </w:pPr>
            <w:r>
              <w:rPr>
                <w:rFonts w:eastAsia="Times New Roman" w:cs="Arial"/>
                <w:szCs w:val="22"/>
              </w:rPr>
              <w:t xml:space="preserve">While there is an OFI around segmentation and also the listing of three different sets of key engagement drivers, three examiners </w:t>
            </w:r>
            <w:r w:rsidR="00350724">
              <w:rPr>
                <w:rFonts w:eastAsia="Times New Roman" w:cs="Arial"/>
                <w:szCs w:val="22"/>
              </w:rPr>
              <w:t xml:space="preserve">(Ex1, Ex2, Ex6) </w:t>
            </w:r>
            <w:r>
              <w:rPr>
                <w:rFonts w:eastAsia="Times New Roman" w:cs="Arial"/>
                <w:szCs w:val="22"/>
              </w:rPr>
              <w:t>wrote a strength around the current process. This item was a discussion point between team members. Some felt that the applicant describes three differing sets of drivers of engagement as presented in P.1a(3), 5.2.a(1) and Figure 5.2-1.</w:t>
            </w:r>
          </w:p>
          <w:p w14:paraId="036DEE5F" w14:textId="4271358F" w:rsidR="005E22BD" w:rsidRDefault="000A11B9">
            <w:pPr>
              <w:rPr>
                <w:rFonts w:eastAsia="Times New Roman" w:cs="Arial"/>
                <w:szCs w:val="22"/>
              </w:rPr>
            </w:pPr>
            <w:r>
              <w:rPr>
                <w:rFonts w:eastAsia="Times New Roman" w:cs="Arial"/>
                <w:szCs w:val="22"/>
              </w:rPr>
              <w:t xml:space="preserve">After closer examination, it is now seen that P.1a(3) is actually presenting the questions from the survey that determine the engagement factors. Figure 5.2-1 </w:t>
            </w:r>
            <w:r>
              <w:rPr>
                <w:rFonts w:eastAsia="Times New Roman" w:cs="Arial"/>
                <w:szCs w:val="22"/>
              </w:rPr>
              <w:lastRenderedPageBreak/>
              <w:t xml:space="preserve">lists the </w:t>
            </w:r>
            <w:r w:rsidR="003F044D">
              <w:rPr>
                <w:rFonts w:eastAsia="Times New Roman" w:cs="Arial"/>
                <w:szCs w:val="22"/>
              </w:rPr>
              <w:t>key dri</w:t>
            </w:r>
            <w:r>
              <w:rPr>
                <w:rFonts w:eastAsia="Times New Roman" w:cs="Arial"/>
                <w:szCs w:val="22"/>
              </w:rPr>
              <w:t>vers</w:t>
            </w:r>
            <w:r w:rsidR="003F044D">
              <w:rPr>
                <w:rFonts w:eastAsia="Times New Roman" w:cs="Arial"/>
                <w:szCs w:val="22"/>
              </w:rPr>
              <w:t>,</w:t>
            </w:r>
            <w:r>
              <w:rPr>
                <w:rFonts w:eastAsia="Times New Roman" w:cs="Arial"/>
                <w:szCs w:val="22"/>
              </w:rPr>
              <w:t xml:space="preserve"> and 5.2a(1) describe</w:t>
            </w:r>
            <w:r w:rsidR="003F044D">
              <w:rPr>
                <w:rFonts w:eastAsia="Times New Roman" w:cs="Arial"/>
                <w:szCs w:val="22"/>
              </w:rPr>
              <w:t>s</w:t>
            </w:r>
            <w:r>
              <w:rPr>
                <w:rFonts w:eastAsia="Times New Roman" w:cs="Arial"/>
                <w:szCs w:val="22"/>
              </w:rPr>
              <w:t xml:space="preserve"> factors that impact the key drivers. Figures 7.3-9 (CEE Survey) and 7.3-10 (Canter Q12 Survey) and 7.3-6 include results for the key drivers. Yet, there are gaps between what is presented in the OP, </w:t>
            </w:r>
            <w:r w:rsidR="003F044D">
              <w:rPr>
                <w:rFonts w:eastAsia="Times New Roman" w:cs="Arial"/>
                <w:szCs w:val="22"/>
              </w:rPr>
              <w:t>c</w:t>
            </w:r>
            <w:r>
              <w:rPr>
                <w:rFonts w:eastAsia="Times New Roman" w:cs="Arial"/>
                <w:szCs w:val="22"/>
              </w:rPr>
              <w:t>at</w:t>
            </w:r>
            <w:r w:rsidR="003F044D">
              <w:rPr>
                <w:rFonts w:eastAsia="Times New Roman" w:cs="Arial"/>
                <w:szCs w:val="22"/>
              </w:rPr>
              <w:t>egory</w:t>
            </w:r>
            <w:r>
              <w:rPr>
                <w:rFonts w:eastAsia="Times New Roman" w:cs="Arial"/>
                <w:szCs w:val="22"/>
              </w:rPr>
              <w:t xml:space="preserve"> </w:t>
            </w:r>
            <w:r w:rsidR="005D7B5E">
              <w:rPr>
                <w:rFonts w:eastAsia="Times New Roman" w:cs="Arial"/>
                <w:szCs w:val="22"/>
              </w:rPr>
              <w:t>5,</w:t>
            </w:r>
            <w:r>
              <w:rPr>
                <w:rFonts w:eastAsia="Times New Roman" w:cs="Arial"/>
                <w:szCs w:val="22"/>
              </w:rPr>
              <w:t xml:space="preserve"> and outcomes. There is enough evidence to apply benefit of the doubt and address on site.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B5E6ADC" w14:textId="77777777" w:rsidR="005E22BD" w:rsidRDefault="000A11B9">
            <w:pPr>
              <w:rPr>
                <w:rFonts w:eastAsia="Times New Roman" w:cs="Arial"/>
                <w:szCs w:val="22"/>
              </w:rPr>
            </w:pPr>
            <w:r>
              <w:rPr>
                <w:rFonts w:eastAsia="Times New Roman" w:cs="Arial"/>
                <w:szCs w:val="22"/>
              </w:rPr>
              <w:lastRenderedPageBreak/>
              <w:t>a(2)</w:t>
            </w:r>
          </w:p>
        </w:tc>
      </w:tr>
      <w:tr w:rsidR="005E22BD" w14:paraId="739E57FD"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1CE24C6A"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09A3EB9" w14:textId="3433F49D" w:rsidR="005E22BD" w:rsidRDefault="000A11B9">
            <w:pPr>
              <w:rPr>
                <w:rFonts w:eastAsia="Times New Roman" w:cs="Arial"/>
                <w:szCs w:val="22"/>
              </w:rPr>
            </w:pPr>
            <w:r>
              <w:rPr>
                <w:rFonts w:eastAsia="Times New Roman" w:cs="Arial"/>
                <w:szCs w:val="22"/>
              </w:rPr>
              <w:t>The applicant systematic</w:t>
            </w:r>
            <w:r w:rsidR="003F044D">
              <w:rPr>
                <w:rFonts w:eastAsia="Times New Roman" w:cs="Arial"/>
                <w:szCs w:val="22"/>
              </w:rPr>
              <w:t>ally</w:t>
            </w:r>
            <w:r>
              <w:rPr>
                <w:rFonts w:eastAsia="Times New Roman" w:cs="Arial"/>
                <w:szCs w:val="22"/>
              </w:rPr>
              <w:t xml:space="preserve"> evaluat</w:t>
            </w:r>
            <w:r w:rsidR="003F044D">
              <w:rPr>
                <w:rFonts w:eastAsia="Times New Roman" w:cs="Arial"/>
                <w:szCs w:val="22"/>
              </w:rPr>
              <w:t>es</w:t>
            </w:r>
            <w:r>
              <w:rPr>
                <w:rFonts w:eastAsia="Times New Roman" w:cs="Arial"/>
                <w:szCs w:val="22"/>
              </w:rPr>
              <w:t xml:space="preserve"> and improv</w:t>
            </w:r>
            <w:r w:rsidR="003F044D">
              <w:rPr>
                <w:rFonts w:eastAsia="Times New Roman" w:cs="Arial"/>
                <w:szCs w:val="22"/>
              </w:rPr>
              <w:t>es</w:t>
            </w:r>
            <w:r>
              <w:rPr>
                <w:rFonts w:eastAsia="Times New Roman" w:cs="Arial"/>
                <w:szCs w:val="22"/>
              </w:rPr>
              <w:t xml:space="preserve"> its LDC process, which includes Kirkpatrick for benchmarking against best</w:t>
            </w:r>
            <w:r w:rsidR="003F044D">
              <w:rPr>
                <w:rFonts w:eastAsia="Times New Roman" w:cs="Arial"/>
                <w:szCs w:val="22"/>
              </w:rPr>
              <w:t>-</w:t>
            </w:r>
            <w:r>
              <w:rPr>
                <w:rFonts w:eastAsia="Times New Roman" w:cs="Arial"/>
                <w:szCs w:val="22"/>
              </w:rPr>
              <w:t xml:space="preserve">performing organizations. A multidisciplinary team began a biennial </w:t>
            </w:r>
            <w:r w:rsidR="003F044D">
              <w:rPr>
                <w:rFonts w:eastAsia="Times New Roman" w:cs="Arial"/>
                <w:szCs w:val="22"/>
              </w:rPr>
              <w:t xml:space="preserve">learning and development </w:t>
            </w:r>
            <w:r>
              <w:rPr>
                <w:rFonts w:eastAsia="Times New Roman" w:cs="Arial"/>
                <w:szCs w:val="22"/>
              </w:rPr>
              <w:t>assessment</w:t>
            </w:r>
            <w:r w:rsidR="003F044D">
              <w:rPr>
                <w:rFonts w:eastAsia="Times New Roman" w:cs="Arial"/>
                <w:szCs w:val="22"/>
              </w:rPr>
              <w:t>,</w:t>
            </w:r>
            <w:r>
              <w:rPr>
                <w:rFonts w:eastAsia="Times New Roman" w:cs="Arial"/>
                <w:szCs w:val="22"/>
              </w:rPr>
              <w:t xml:space="preserve"> which led improvements</w:t>
            </w:r>
            <w:r w:rsidR="003F044D">
              <w:rPr>
                <w:rFonts w:eastAsia="Times New Roman" w:cs="Arial"/>
                <w:szCs w:val="22"/>
              </w:rPr>
              <w:t xml:space="preserve"> such as</w:t>
            </w:r>
            <w:r>
              <w:rPr>
                <w:rFonts w:eastAsia="Times New Roman" w:cs="Arial"/>
                <w:szCs w:val="22"/>
              </w:rPr>
              <w:t xml:space="preserve"> the development of professional development seminars and classes open to all levels of faculty and staff. </w:t>
            </w:r>
            <w:r w:rsidR="003F044D">
              <w:rPr>
                <w:rFonts w:eastAsia="Times New Roman" w:cs="Arial"/>
                <w:szCs w:val="22"/>
              </w:rPr>
              <w:t xml:space="preserve">This approach </w:t>
            </w:r>
            <w:r w:rsidR="00FB7697">
              <w:rPr>
                <w:rFonts w:eastAsia="Times New Roman" w:cs="Arial"/>
                <w:szCs w:val="22"/>
              </w:rPr>
              <w:t>responds to the workforce engagement driver of training and resource availability and relevance</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3EF5C7AC" w14:textId="77777777" w:rsidR="005E22BD" w:rsidRDefault="000A11B9">
            <w:pPr>
              <w:rPr>
                <w:rFonts w:eastAsia="Times New Roman" w:cs="Arial"/>
                <w:szCs w:val="22"/>
              </w:rPr>
            </w:pPr>
            <w:r>
              <w:rPr>
                <w:rFonts w:eastAsia="Times New Roman" w:cs="Arial"/>
                <w:szCs w:val="22"/>
              </w:rPr>
              <w:t>Three examiners saw a strength for 5.2c(3). If I end up with too many comments, this one may not be as important to the applicant as others so consider removing, if needed.</w:t>
            </w:r>
          </w:p>
          <w:p w14:paraId="28650C3C" w14:textId="0CBAA3E0" w:rsidR="003F044D" w:rsidRDefault="003F044D">
            <w:pPr>
              <w:rPr>
                <w:rFonts w:eastAsia="Times New Roman" w:cs="Arial"/>
                <w:szCs w:val="22"/>
              </w:rPr>
            </w:pPr>
            <w:r>
              <w:rPr>
                <w:rFonts w:eastAsia="Times New Roman" w:cs="Arial"/>
                <w:szCs w:val="22"/>
              </w:rPr>
              <w:t>AL</w:t>
            </w:r>
          </w:p>
        </w:tc>
        <w:tc>
          <w:tcPr>
            <w:tcW w:w="0" w:type="auto"/>
            <w:tcBorders>
              <w:bottom w:val="single" w:sz="6" w:space="0" w:color="000000"/>
              <w:right w:val="single" w:sz="6" w:space="0" w:color="000000"/>
            </w:tcBorders>
            <w:tcMar>
              <w:top w:w="75" w:type="dxa"/>
              <w:left w:w="75" w:type="dxa"/>
              <w:bottom w:w="75" w:type="dxa"/>
              <w:right w:w="75" w:type="dxa"/>
            </w:tcMar>
            <w:hideMark/>
          </w:tcPr>
          <w:p w14:paraId="47932925" w14:textId="77777777" w:rsidR="005E22BD" w:rsidRDefault="000A11B9">
            <w:pPr>
              <w:rPr>
                <w:rFonts w:eastAsia="Times New Roman" w:cs="Arial"/>
                <w:szCs w:val="22"/>
              </w:rPr>
            </w:pPr>
            <w:r>
              <w:rPr>
                <w:rFonts w:eastAsia="Times New Roman" w:cs="Arial"/>
                <w:szCs w:val="22"/>
              </w:rPr>
              <w:t>c(3)</w:t>
            </w:r>
          </w:p>
        </w:tc>
      </w:tr>
    </w:tbl>
    <w:p w14:paraId="1CA2862A"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5E17EE13" w14:textId="77777777" w:rsidTr="00080296">
        <w:tc>
          <w:tcPr>
            <w:tcW w:w="10170" w:type="dxa"/>
          </w:tcPr>
          <w:p w14:paraId="318F3603" w14:textId="6A9AB7FF" w:rsidR="00080296" w:rsidRDefault="00BF1B40">
            <w:pPr>
              <w:rPr>
                <w:rFonts w:eastAsia="Times New Roman" w:cs="Arial"/>
                <w:szCs w:val="22"/>
              </w:rPr>
            </w:pPr>
            <w:r>
              <w:rPr>
                <w:rFonts w:eastAsia="Times New Roman" w:cs="Arial"/>
                <w:szCs w:val="22"/>
              </w:rPr>
              <w:t xml:space="preserve"> </w:t>
            </w:r>
          </w:p>
        </w:tc>
      </w:tr>
    </w:tbl>
    <w:p w14:paraId="373523FC"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34"/>
        <w:gridCol w:w="4223"/>
        <w:gridCol w:w="1200"/>
      </w:tblGrid>
      <w:tr w:rsidR="00926065" w14:paraId="23C940DD"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0CB249E6"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2EC9BDBE"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0C80FCEA"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4B735D25" w14:textId="77777777" w:rsidR="005E22BD" w:rsidRDefault="000A11B9">
            <w:pPr>
              <w:jc w:val="center"/>
              <w:rPr>
                <w:rFonts w:eastAsia="Times New Roman" w:cs="Arial"/>
                <w:b/>
                <w:bCs/>
                <w:szCs w:val="22"/>
              </w:rPr>
            </w:pPr>
            <w:r>
              <w:rPr>
                <w:rFonts w:eastAsia="Times New Roman" w:cs="Arial"/>
                <w:b/>
                <w:bCs/>
                <w:szCs w:val="22"/>
              </w:rPr>
              <w:t>Item Ref.</w:t>
            </w:r>
          </w:p>
        </w:tc>
      </w:tr>
      <w:tr w:rsidR="00926065" w14:paraId="0ADFE85A"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ACA31C1"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9E3A04A" w14:textId="1FF52D83" w:rsidR="005E22BD" w:rsidRDefault="00204C1E">
            <w:pPr>
              <w:rPr>
                <w:rFonts w:eastAsia="Times New Roman" w:cs="Arial"/>
                <w:szCs w:val="22"/>
              </w:rPr>
            </w:pPr>
            <w:r>
              <w:rPr>
                <w:rFonts w:eastAsia="Times New Roman" w:cs="Arial"/>
                <w:szCs w:val="22"/>
              </w:rPr>
              <w:t>T</w:t>
            </w:r>
            <w:r w:rsidR="000A11B9">
              <w:rPr>
                <w:rFonts w:eastAsia="Times New Roman" w:cs="Arial"/>
                <w:szCs w:val="22"/>
              </w:rPr>
              <w:t xml:space="preserve">he </w:t>
            </w:r>
            <w:r w:rsidR="00714FBB">
              <w:rPr>
                <w:rFonts w:eastAsia="Times New Roman" w:cs="Arial"/>
                <w:szCs w:val="22"/>
              </w:rPr>
              <w:t>applicant</w:t>
            </w:r>
            <w:r w:rsidR="005663C4">
              <w:rPr>
                <w:rFonts w:eastAsia="Times New Roman" w:cs="Arial"/>
                <w:szCs w:val="22"/>
              </w:rPr>
              <w:t>’</w:t>
            </w:r>
            <w:r w:rsidR="00714FBB">
              <w:rPr>
                <w:rFonts w:eastAsia="Times New Roman" w:cs="Arial"/>
                <w:szCs w:val="22"/>
              </w:rPr>
              <w:t xml:space="preserve">s approach to </w:t>
            </w:r>
            <w:r w:rsidR="000A11B9">
              <w:rPr>
                <w:rFonts w:eastAsia="Times New Roman" w:cs="Arial"/>
                <w:szCs w:val="22"/>
              </w:rPr>
              <w:t>performance management</w:t>
            </w:r>
            <w:r w:rsidR="00714FBB">
              <w:rPr>
                <w:rFonts w:eastAsia="Times New Roman" w:cs="Arial"/>
                <w:szCs w:val="22"/>
              </w:rPr>
              <w:t xml:space="preserve"> </w:t>
            </w:r>
            <w:r>
              <w:rPr>
                <w:rFonts w:eastAsia="Times New Roman" w:cs="Arial"/>
                <w:szCs w:val="22"/>
              </w:rPr>
              <w:t xml:space="preserve">does not appear to </w:t>
            </w:r>
            <w:r w:rsidR="00714FBB">
              <w:rPr>
                <w:rFonts w:eastAsia="Times New Roman" w:cs="Arial"/>
                <w:szCs w:val="22"/>
              </w:rPr>
              <w:t>support</w:t>
            </w:r>
            <w:r w:rsidR="000A11B9">
              <w:rPr>
                <w:rFonts w:eastAsia="Times New Roman" w:cs="Arial"/>
                <w:szCs w:val="22"/>
              </w:rPr>
              <w:t xml:space="preserve"> high performance. </w:t>
            </w:r>
            <w:r w:rsidR="00714FBB">
              <w:rPr>
                <w:rFonts w:eastAsia="Times New Roman" w:cs="Arial"/>
                <w:szCs w:val="22"/>
              </w:rPr>
              <w:t>For example, t</w:t>
            </w:r>
            <w:r w:rsidR="000A11B9">
              <w:rPr>
                <w:rFonts w:eastAsia="Times New Roman" w:cs="Arial"/>
                <w:szCs w:val="22"/>
              </w:rPr>
              <w:t>he NWPMP defines how performance is tracked</w:t>
            </w:r>
            <w:r w:rsidR="00714FBB">
              <w:rPr>
                <w:rFonts w:eastAsia="Times New Roman" w:cs="Arial"/>
                <w:szCs w:val="22"/>
              </w:rPr>
              <w:t>, but not how the process</w:t>
            </w:r>
            <w:r w:rsidR="000A11B9">
              <w:rPr>
                <w:rFonts w:eastAsia="Times New Roman" w:cs="Arial"/>
                <w:szCs w:val="22"/>
              </w:rPr>
              <w:t xml:space="preserve"> supports high performance</w:t>
            </w:r>
            <w:r w:rsidR="00E64140">
              <w:rPr>
                <w:rFonts w:eastAsia="Times New Roman" w:cs="Arial"/>
                <w:szCs w:val="22"/>
              </w:rPr>
              <w:t xml:space="preserve"> or how it</w:t>
            </w:r>
            <w:r w:rsidR="000A11B9">
              <w:rPr>
                <w:rFonts w:eastAsia="Times New Roman" w:cs="Arial"/>
                <w:szCs w:val="22"/>
              </w:rPr>
              <w:t xml:space="preserve"> reinforces intelligent risk</w:t>
            </w:r>
            <w:r w:rsidR="00E64140">
              <w:rPr>
                <w:rFonts w:eastAsia="Times New Roman" w:cs="Arial"/>
                <w:szCs w:val="22"/>
              </w:rPr>
              <w:t xml:space="preserve"> taking and</w:t>
            </w:r>
            <w:r w:rsidR="000A11B9">
              <w:rPr>
                <w:rFonts w:eastAsia="Times New Roman" w:cs="Arial"/>
                <w:szCs w:val="22"/>
              </w:rPr>
              <w:t xml:space="preserve"> the achievement of action plans. </w:t>
            </w:r>
            <w:r w:rsidR="00714FBB">
              <w:rPr>
                <w:rFonts w:eastAsia="Times New Roman" w:cs="Arial"/>
                <w:szCs w:val="22"/>
              </w:rPr>
              <w:t>In addition, g</w:t>
            </w:r>
            <w:r w:rsidR="000A11B9">
              <w:rPr>
                <w:rFonts w:eastAsia="Times New Roman" w:cs="Arial"/>
                <w:szCs w:val="22"/>
              </w:rPr>
              <w:t xml:space="preserve">oal setting considers innovative ideas and intelligent risk, but </w:t>
            </w:r>
            <w:r w:rsidR="00714FBB">
              <w:rPr>
                <w:rFonts w:eastAsia="Times New Roman" w:cs="Arial"/>
                <w:szCs w:val="22"/>
              </w:rPr>
              <w:t xml:space="preserve">it is not clear </w:t>
            </w:r>
            <w:r w:rsidR="000A11B9">
              <w:rPr>
                <w:rFonts w:eastAsia="Times New Roman" w:cs="Arial"/>
                <w:szCs w:val="22"/>
              </w:rPr>
              <w:t>how this is actually accomplished</w:t>
            </w:r>
            <w:r w:rsidR="00E64140">
              <w:rPr>
                <w:rFonts w:eastAsia="Times New Roman" w:cs="Arial"/>
                <w:szCs w:val="22"/>
              </w:rPr>
              <w:t>. Supporting high performance through the NWPMP may help the applicant respond to the engagement factor of high-performance work</w:t>
            </w:r>
            <w:r w:rsidR="000A11B9">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3F8AA524" w14:textId="1042F626" w:rsidR="003F044D" w:rsidRDefault="000A11B9">
            <w:pPr>
              <w:rPr>
                <w:rFonts w:eastAsia="Times New Roman" w:cs="Arial"/>
                <w:szCs w:val="22"/>
              </w:rPr>
            </w:pPr>
            <w:r>
              <w:rPr>
                <w:rFonts w:eastAsia="Times New Roman" w:cs="Arial"/>
                <w:szCs w:val="22"/>
              </w:rPr>
              <w:t>Several parts of the multiple</w:t>
            </w:r>
            <w:r w:rsidR="00FD460C">
              <w:rPr>
                <w:rFonts w:eastAsia="Times New Roman" w:cs="Arial"/>
                <w:szCs w:val="22"/>
              </w:rPr>
              <w:t xml:space="preserve"> questions</w:t>
            </w:r>
            <w:r>
              <w:rPr>
                <w:rFonts w:eastAsia="Times New Roman" w:cs="Arial"/>
                <w:szCs w:val="22"/>
              </w:rPr>
              <w:t xml:space="preserve"> were not addresse</w:t>
            </w:r>
            <w:r w:rsidR="005D7B5E">
              <w:rPr>
                <w:rFonts w:eastAsia="Times New Roman" w:cs="Arial"/>
                <w:szCs w:val="22"/>
              </w:rPr>
              <w:t>d,</w:t>
            </w:r>
            <w:r>
              <w:rPr>
                <w:rFonts w:eastAsia="Times New Roman" w:cs="Arial"/>
                <w:szCs w:val="22"/>
              </w:rPr>
              <w:t xml:space="preserve"> such as high performance and intelligent risks. </w:t>
            </w:r>
          </w:p>
          <w:p w14:paraId="73E9CFA4" w14:textId="6BCFBD7D" w:rsidR="00714FBB" w:rsidRDefault="00714FBB">
            <w:pPr>
              <w:rPr>
                <w:rFonts w:eastAsia="Times New Roman" w:cs="Arial"/>
                <w:szCs w:val="22"/>
              </w:rPr>
            </w:pPr>
            <w:r>
              <w:rPr>
                <w:rFonts w:eastAsia="Times New Roman" w:cs="Arial"/>
                <w:szCs w:val="22"/>
              </w:rPr>
              <w:t>A</w:t>
            </w:r>
          </w:p>
          <w:p w14:paraId="7CE95D21" w14:textId="77777777" w:rsidR="00204C1E" w:rsidRDefault="000A11B9">
            <w:pPr>
              <w:rPr>
                <w:rFonts w:eastAsia="Times New Roman" w:cs="Arial"/>
                <w:szCs w:val="22"/>
              </w:rPr>
            </w:pPr>
            <w:r>
              <w:rPr>
                <w:rFonts w:eastAsia="Times New Roman" w:cs="Arial"/>
                <w:szCs w:val="22"/>
              </w:rPr>
              <w:t xml:space="preserve">Two examiners listed OFIs and two </w:t>
            </w:r>
            <w:r w:rsidR="003F044D">
              <w:rPr>
                <w:rFonts w:eastAsia="Times New Roman" w:cs="Arial"/>
                <w:szCs w:val="22"/>
              </w:rPr>
              <w:t xml:space="preserve">examiners </w:t>
            </w:r>
            <w:r>
              <w:rPr>
                <w:rFonts w:eastAsia="Times New Roman" w:cs="Arial"/>
                <w:szCs w:val="22"/>
              </w:rPr>
              <w:t>found strengths around the WOR</w:t>
            </w:r>
            <w:r w:rsidR="00714FBB">
              <w:rPr>
                <w:rFonts w:eastAsia="Times New Roman" w:cs="Arial"/>
                <w:szCs w:val="22"/>
              </w:rPr>
              <w:t>KS</w:t>
            </w:r>
            <w:r>
              <w:rPr>
                <w:rFonts w:eastAsia="Times New Roman" w:cs="Arial"/>
                <w:szCs w:val="22"/>
              </w:rPr>
              <w:t xml:space="preserve"> system and how it aligns to goal setting and its 360 structure</w:t>
            </w:r>
            <w:r w:rsidR="00204C1E">
              <w:rPr>
                <w:rFonts w:eastAsia="Times New Roman" w:cs="Arial"/>
                <w:szCs w:val="22"/>
              </w:rPr>
              <w:t xml:space="preserve">. </w:t>
            </w:r>
          </w:p>
          <w:p w14:paraId="6C89155D" w14:textId="3F8C1AB5" w:rsidR="005E22BD" w:rsidRDefault="00204C1E">
            <w:pPr>
              <w:rPr>
                <w:rFonts w:eastAsia="Times New Roman" w:cs="Arial"/>
                <w:szCs w:val="22"/>
              </w:rPr>
            </w:pPr>
            <w:r>
              <w:rPr>
                <w:rFonts w:eastAsia="Times New Roman" w:cs="Arial"/>
                <w:szCs w:val="22"/>
              </w:rPr>
              <w:t>O</w:t>
            </w:r>
            <w:r w:rsidR="000A11B9">
              <w:rPr>
                <w:rFonts w:eastAsia="Times New Roman" w:cs="Arial"/>
                <w:szCs w:val="22"/>
              </w:rPr>
              <w:t xml:space="preserve">ne </w:t>
            </w:r>
            <w:r w:rsidR="00714FBB">
              <w:rPr>
                <w:rFonts w:eastAsia="Times New Roman" w:cs="Arial"/>
                <w:szCs w:val="22"/>
              </w:rPr>
              <w:t xml:space="preserve">examiner </w:t>
            </w:r>
            <w:r w:rsidR="000A11B9">
              <w:rPr>
                <w:rFonts w:eastAsia="Times New Roman" w:cs="Arial"/>
                <w:szCs w:val="22"/>
              </w:rPr>
              <w:t xml:space="preserve">provided feedback that caused me to alter the sentence to be more tightly aligned to the </w:t>
            </w:r>
            <w:r w:rsidR="00FD460C">
              <w:rPr>
                <w:rFonts w:eastAsia="Times New Roman" w:cs="Arial"/>
                <w:szCs w:val="22"/>
              </w:rPr>
              <w:t xml:space="preserve">Criteria </w:t>
            </w:r>
            <w:r w:rsidR="000A11B9">
              <w:rPr>
                <w:rFonts w:eastAsia="Times New Roman" w:cs="Arial"/>
                <w:szCs w:val="22"/>
              </w:rPr>
              <w:t xml:space="preserve">at the multiple level. However, the OFI is addressing the lack of an approach at the </w:t>
            </w:r>
            <w:r w:rsidR="00E64140">
              <w:rPr>
                <w:rFonts w:eastAsia="Times New Roman" w:cs="Arial"/>
                <w:szCs w:val="22"/>
              </w:rPr>
              <w:t xml:space="preserve">overall </w:t>
            </w:r>
            <w:r w:rsidR="000A11B9">
              <w:rPr>
                <w:rFonts w:eastAsia="Times New Roman" w:cs="Arial"/>
                <w:szCs w:val="22"/>
              </w:rPr>
              <w:t>level</w:t>
            </w:r>
            <w:r w:rsidR="00714FBB">
              <w:rPr>
                <w:rFonts w:eastAsia="Times New Roman" w:cs="Arial"/>
                <w:szCs w:val="22"/>
              </w:rPr>
              <w:t>,</w:t>
            </w:r>
            <w:r w:rsidR="000A11B9">
              <w:rPr>
                <w:rFonts w:eastAsia="Times New Roman" w:cs="Arial"/>
                <w:szCs w:val="22"/>
              </w:rPr>
              <w:t xml:space="preserve"> so I will consider this an OFI at the overall level.</w:t>
            </w:r>
          </w:p>
        </w:tc>
        <w:tc>
          <w:tcPr>
            <w:tcW w:w="0" w:type="auto"/>
            <w:tcBorders>
              <w:bottom w:val="single" w:sz="6" w:space="0" w:color="000000"/>
              <w:right w:val="single" w:sz="6" w:space="0" w:color="000000"/>
            </w:tcBorders>
            <w:tcMar>
              <w:top w:w="75" w:type="dxa"/>
              <w:left w:w="75" w:type="dxa"/>
              <w:bottom w:w="75" w:type="dxa"/>
              <w:right w:w="75" w:type="dxa"/>
            </w:tcMar>
            <w:hideMark/>
          </w:tcPr>
          <w:p w14:paraId="620592DC" w14:textId="77777777" w:rsidR="005E22BD" w:rsidRDefault="000A11B9">
            <w:pPr>
              <w:rPr>
                <w:rFonts w:eastAsia="Times New Roman" w:cs="Arial"/>
                <w:szCs w:val="22"/>
              </w:rPr>
            </w:pPr>
            <w:r>
              <w:rPr>
                <w:rFonts w:eastAsia="Times New Roman" w:cs="Arial"/>
                <w:szCs w:val="22"/>
              </w:rPr>
              <w:t>c(1)</w:t>
            </w:r>
          </w:p>
        </w:tc>
      </w:tr>
      <w:tr w:rsidR="00926065" w14:paraId="38A384D1"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AE183C9"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8898D9C" w14:textId="51047075" w:rsidR="005E22BD" w:rsidRDefault="004364D6">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 xml:space="preserve">s approach </w:t>
            </w:r>
            <w:r w:rsidR="000A11B9">
              <w:rPr>
                <w:rFonts w:eastAsia="Times New Roman" w:cs="Arial"/>
                <w:szCs w:val="22"/>
              </w:rPr>
              <w:t>for determining drivers of workforce engagement</w:t>
            </w:r>
            <w:r>
              <w:rPr>
                <w:rFonts w:eastAsia="Times New Roman" w:cs="Arial"/>
                <w:szCs w:val="22"/>
              </w:rPr>
              <w:t xml:space="preserve"> does not appear to differentiate these drivers</w:t>
            </w:r>
            <w:r w:rsidR="000A11B9">
              <w:rPr>
                <w:rFonts w:eastAsia="Times New Roman" w:cs="Arial"/>
                <w:szCs w:val="22"/>
              </w:rPr>
              <w:t xml:space="preserve"> </w:t>
            </w:r>
            <w:r w:rsidR="000A11B9">
              <w:rPr>
                <w:rFonts w:eastAsia="Times New Roman" w:cs="Arial"/>
                <w:szCs w:val="22"/>
              </w:rPr>
              <w:lastRenderedPageBreak/>
              <w:t>for</w:t>
            </w:r>
            <w:r w:rsidR="00204C1E">
              <w:rPr>
                <w:rFonts w:eastAsia="Times New Roman" w:cs="Arial"/>
                <w:szCs w:val="22"/>
              </w:rPr>
              <w:t xml:space="preserve"> the college</w:t>
            </w:r>
            <w:r w:rsidR="005663C4">
              <w:rPr>
                <w:rFonts w:eastAsia="Times New Roman" w:cs="Arial"/>
                <w:szCs w:val="22"/>
              </w:rPr>
              <w:t>’</w:t>
            </w:r>
            <w:r w:rsidR="00204C1E">
              <w:rPr>
                <w:rFonts w:eastAsia="Times New Roman" w:cs="Arial"/>
                <w:szCs w:val="22"/>
              </w:rPr>
              <w:t>s</w:t>
            </w:r>
            <w:r w:rsidR="000A11B9">
              <w:rPr>
                <w:rFonts w:eastAsia="Times New Roman" w:cs="Arial"/>
                <w:szCs w:val="22"/>
              </w:rPr>
              <w:t xml:space="preserve"> various workforce segments</w:t>
            </w:r>
            <w:r w:rsidR="00926065">
              <w:rPr>
                <w:rFonts w:eastAsia="Times New Roman" w:cs="Arial"/>
                <w:szCs w:val="22"/>
              </w:rPr>
              <w:t>, such as</w:t>
            </w:r>
            <w:r w:rsidR="000A11B9">
              <w:rPr>
                <w:rFonts w:eastAsia="Times New Roman" w:cs="Arial"/>
                <w:szCs w:val="22"/>
              </w:rPr>
              <w:t xml:space="preserve"> faculty vs</w:t>
            </w:r>
            <w:r w:rsidR="00AD4815">
              <w:rPr>
                <w:rFonts w:eastAsia="Times New Roman" w:cs="Arial"/>
                <w:szCs w:val="22"/>
              </w:rPr>
              <w:t>.</w:t>
            </w:r>
            <w:r w:rsidR="000A11B9">
              <w:rPr>
                <w:rFonts w:eastAsia="Times New Roman" w:cs="Arial"/>
                <w:szCs w:val="22"/>
              </w:rPr>
              <w:t xml:space="preserve"> staff</w:t>
            </w:r>
            <w:r w:rsidR="00312438">
              <w:rPr>
                <w:rFonts w:eastAsia="Times New Roman" w:cs="Arial"/>
                <w:szCs w:val="22"/>
              </w:rPr>
              <w:t xml:space="preserve"> members</w:t>
            </w:r>
            <w:r w:rsidR="000A11B9">
              <w:rPr>
                <w:rFonts w:eastAsia="Times New Roman" w:cs="Arial"/>
                <w:szCs w:val="22"/>
              </w:rPr>
              <w:t xml:space="preserve">. Determining </w:t>
            </w:r>
            <w:r w:rsidR="00926065">
              <w:rPr>
                <w:rFonts w:eastAsia="Times New Roman" w:cs="Arial"/>
                <w:szCs w:val="22"/>
              </w:rPr>
              <w:t xml:space="preserve">these </w:t>
            </w:r>
            <w:r w:rsidR="000A11B9">
              <w:rPr>
                <w:rFonts w:eastAsia="Times New Roman" w:cs="Arial"/>
                <w:szCs w:val="22"/>
              </w:rPr>
              <w:t xml:space="preserve">drivers </w:t>
            </w:r>
            <w:r w:rsidR="00926065">
              <w:rPr>
                <w:rFonts w:eastAsia="Times New Roman" w:cs="Arial"/>
                <w:szCs w:val="22"/>
              </w:rPr>
              <w:t xml:space="preserve">for </w:t>
            </w:r>
            <w:r w:rsidR="000A11B9">
              <w:rPr>
                <w:rFonts w:eastAsia="Times New Roman" w:cs="Arial"/>
                <w:szCs w:val="22"/>
              </w:rPr>
              <w:t xml:space="preserve">each workforce segment may assist the </w:t>
            </w:r>
            <w:r w:rsidR="00C74F71">
              <w:rPr>
                <w:rFonts w:eastAsia="Times New Roman" w:cs="Arial"/>
                <w:szCs w:val="22"/>
              </w:rPr>
              <w:t>applicant</w:t>
            </w:r>
            <w:r w:rsidR="00926065">
              <w:rPr>
                <w:rFonts w:eastAsia="Times New Roman" w:cs="Arial"/>
                <w:szCs w:val="22"/>
              </w:rPr>
              <w:t xml:space="preserve"> in</w:t>
            </w:r>
            <w:r w:rsidR="000A11B9">
              <w:rPr>
                <w:rFonts w:eastAsia="Times New Roman" w:cs="Arial"/>
                <w:szCs w:val="22"/>
              </w:rPr>
              <w:t xml:space="preserve"> </w:t>
            </w:r>
            <w:r w:rsidR="00FB7697">
              <w:rPr>
                <w:rFonts w:eastAsia="Times New Roman" w:cs="Arial"/>
                <w:szCs w:val="22"/>
              </w:rPr>
              <w:t xml:space="preserve">responding to </w:t>
            </w:r>
            <w:r w:rsidR="000A11B9">
              <w:rPr>
                <w:rFonts w:eastAsia="Times New Roman" w:cs="Arial"/>
                <w:szCs w:val="22"/>
              </w:rPr>
              <w:t>the needs of its workforce.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59FE097" w14:textId="77777777" w:rsidR="004364D6" w:rsidRDefault="004364D6">
            <w:pPr>
              <w:rPr>
                <w:rFonts w:eastAsia="Times New Roman" w:cs="Arial"/>
                <w:szCs w:val="22"/>
              </w:rPr>
            </w:pPr>
            <w:r>
              <w:rPr>
                <w:rFonts w:eastAsia="Times New Roman" w:cs="Arial"/>
                <w:szCs w:val="22"/>
              </w:rPr>
              <w:lastRenderedPageBreak/>
              <w:t>I</w:t>
            </w:r>
          </w:p>
          <w:p w14:paraId="48D4BFBA" w14:textId="5E69BCDD" w:rsidR="004364D6" w:rsidRDefault="004364D6">
            <w:pPr>
              <w:rPr>
                <w:rFonts w:eastAsia="Times New Roman" w:cs="Arial"/>
                <w:szCs w:val="22"/>
              </w:rPr>
            </w:pPr>
            <w:r>
              <w:rPr>
                <w:rFonts w:eastAsia="Times New Roman" w:cs="Arial"/>
                <w:szCs w:val="22"/>
              </w:rPr>
              <w:t>4 examiners identified</w:t>
            </w:r>
            <w:r w:rsidR="000A11B9">
              <w:rPr>
                <w:rFonts w:eastAsia="Times New Roman" w:cs="Arial"/>
                <w:szCs w:val="22"/>
              </w:rPr>
              <w:t xml:space="preserve"> an OFI for segmentation</w:t>
            </w:r>
            <w:r>
              <w:rPr>
                <w:rFonts w:eastAsia="Times New Roman" w:cs="Arial"/>
                <w:szCs w:val="22"/>
              </w:rPr>
              <w:t>,</w:t>
            </w:r>
            <w:r w:rsidR="000A11B9">
              <w:rPr>
                <w:rFonts w:eastAsia="Times New Roman" w:cs="Arial"/>
                <w:szCs w:val="22"/>
              </w:rPr>
              <w:t xml:space="preserve"> so there is a + for </w:t>
            </w:r>
            <w:r>
              <w:rPr>
                <w:rFonts w:eastAsia="Times New Roman" w:cs="Arial"/>
                <w:szCs w:val="22"/>
              </w:rPr>
              <w:lastRenderedPageBreak/>
              <w:t xml:space="preserve">approach and learning and a - for integration </w:t>
            </w:r>
            <w:r w:rsidR="000A11B9">
              <w:rPr>
                <w:rFonts w:eastAsia="Times New Roman" w:cs="Arial"/>
                <w:szCs w:val="22"/>
              </w:rPr>
              <w:t xml:space="preserve">due to the lack of segmentation. </w:t>
            </w:r>
          </w:p>
          <w:p w14:paraId="600A8079" w14:textId="4FF57614" w:rsidR="005E22BD" w:rsidRDefault="000A11B9">
            <w:pPr>
              <w:rPr>
                <w:rFonts w:eastAsia="Times New Roman" w:cs="Arial"/>
                <w:szCs w:val="22"/>
              </w:rPr>
            </w:pPr>
            <w:r>
              <w:rPr>
                <w:rFonts w:eastAsia="Times New Roman" w:cs="Arial"/>
                <w:szCs w:val="22"/>
              </w:rPr>
              <w:t>There was a lot of concern over how many sets of engagement factors the applicant presented but after carefully reviewing the details, P</w:t>
            </w:r>
            <w:r w:rsidR="004364D6">
              <w:rPr>
                <w:rFonts w:eastAsia="Times New Roman" w:cs="Arial"/>
                <w:szCs w:val="22"/>
              </w:rPr>
              <w:t>.</w:t>
            </w:r>
            <w:r>
              <w:rPr>
                <w:rFonts w:eastAsia="Times New Roman" w:cs="Arial"/>
                <w:szCs w:val="22"/>
              </w:rPr>
              <w:t>1a</w:t>
            </w:r>
            <w:r w:rsidR="004364D6">
              <w:rPr>
                <w:rFonts w:eastAsia="Times New Roman" w:cs="Arial"/>
                <w:szCs w:val="22"/>
              </w:rPr>
              <w:t>(</w:t>
            </w:r>
            <w:r>
              <w:rPr>
                <w:rFonts w:eastAsia="Times New Roman" w:cs="Arial"/>
                <w:szCs w:val="22"/>
              </w:rPr>
              <w:t>3</w:t>
            </w:r>
            <w:r w:rsidR="004364D6">
              <w:rPr>
                <w:rFonts w:eastAsia="Times New Roman" w:cs="Arial"/>
                <w:szCs w:val="22"/>
              </w:rPr>
              <w:t>)</w:t>
            </w:r>
            <w:r>
              <w:rPr>
                <w:rFonts w:eastAsia="Times New Roman" w:cs="Arial"/>
                <w:szCs w:val="22"/>
              </w:rPr>
              <w:t xml:space="preserve"> is actually questions used to determine the drivers in 5.2-1. The list presented in 5.2a</w:t>
            </w:r>
            <w:r w:rsidR="004364D6">
              <w:rPr>
                <w:rFonts w:eastAsia="Times New Roman" w:cs="Arial"/>
                <w:szCs w:val="22"/>
              </w:rPr>
              <w:t>(</w:t>
            </w:r>
            <w:r>
              <w:rPr>
                <w:rFonts w:eastAsia="Times New Roman" w:cs="Arial"/>
                <w:szCs w:val="22"/>
              </w:rPr>
              <w:t>1</w:t>
            </w:r>
            <w:r w:rsidR="004364D6">
              <w:rPr>
                <w:rFonts w:eastAsia="Times New Roman" w:cs="Arial"/>
                <w:szCs w:val="22"/>
              </w:rPr>
              <w:t>)</w:t>
            </w:r>
            <w:r>
              <w:rPr>
                <w:rFonts w:eastAsia="Times New Roman" w:cs="Arial"/>
                <w:szCs w:val="22"/>
              </w:rPr>
              <w:t xml:space="preserve"> are factors that affect the 5.2-1 drivers. So they use the questions in P</w:t>
            </w:r>
            <w:r w:rsidR="004364D6">
              <w:rPr>
                <w:rFonts w:eastAsia="Times New Roman" w:cs="Arial"/>
                <w:szCs w:val="22"/>
              </w:rPr>
              <w:t>.</w:t>
            </w:r>
            <w:r>
              <w:rPr>
                <w:rFonts w:eastAsia="Times New Roman" w:cs="Arial"/>
                <w:szCs w:val="22"/>
              </w:rPr>
              <w:t>1a</w:t>
            </w:r>
            <w:r w:rsidR="004364D6">
              <w:rPr>
                <w:rFonts w:eastAsia="Times New Roman" w:cs="Arial"/>
                <w:szCs w:val="22"/>
              </w:rPr>
              <w:t>(</w:t>
            </w:r>
            <w:r>
              <w:rPr>
                <w:rFonts w:eastAsia="Times New Roman" w:cs="Arial"/>
                <w:szCs w:val="22"/>
              </w:rPr>
              <w:t>3</w:t>
            </w:r>
            <w:r w:rsidR="004364D6">
              <w:rPr>
                <w:rFonts w:eastAsia="Times New Roman" w:cs="Arial"/>
                <w:szCs w:val="22"/>
              </w:rPr>
              <w:t>)</w:t>
            </w:r>
            <w:r>
              <w:rPr>
                <w:rFonts w:eastAsia="Times New Roman" w:cs="Arial"/>
                <w:szCs w:val="22"/>
              </w:rPr>
              <w:t xml:space="preserve"> to determine drivers in 5.2-1. So, I did not include any comments from </w:t>
            </w:r>
            <w:r w:rsidR="004364D6">
              <w:rPr>
                <w:rFonts w:eastAsia="Times New Roman" w:cs="Arial"/>
                <w:szCs w:val="22"/>
              </w:rPr>
              <w:t xml:space="preserve">examiners </w:t>
            </w:r>
            <w:r>
              <w:rPr>
                <w:rFonts w:eastAsia="Times New Roman" w:cs="Arial"/>
                <w:szCs w:val="22"/>
              </w:rPr>
              <w:t>about multiple sets of engagement factors.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DEF83E4" w14:textId="77777777" w:rsidR="005E22BD" w:rsidRDefault="000A11B9">
            <w:pPr>
              <w:rPr>
                <w:rFonts w:eastAsia="Times New Roman" w:cs="Arial"/>
                <w:szCs w:val="22"/>
              </w:rPr>
            </w:pPr>
            <w:r>
              <w:rPr>
                <w:rFonts w:eastAsia="Times New Roman" w:cs="Arial"/>
                <w:szCs w:val="22"/>
              </w:rPr>
              <w:lastRenderedPageBreak/>
              <w:t>a(1)</w:t>
            </w:r>
          </w:p>
        </w:tc>
      </w:tr>
      <w:tr w:rsidR="00926065" w14:paraId="6A88EFD9"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42B083C"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31E7DC7C" w14:textId="386F88AC" w:rsidR="005E22BD" w:rsidRDefault="000A11B9">
            <w:pPr>
              <w:rPr>
                <w:rFonts w:eastAsia="Times New Roman" w:cs="Arial"/>
                <w:szCs w:val="22"/>
              </w:rPr>
            </w:pPr>
            <w:r>
              <w:rPr>
                <w:rFonts w:eastAsia="Times New Roman" w:cs="Arial"/>
                <w:szCs w:val="22"/>
              </w:rPr>
              <w:t>It is not clear how the applicant</w:t>
            </w:r>
            <w:r w:rsidR="005663C4">
              <w:rPr>
                <w:rFonts w:eastAsia="Times New Roman" w:cs="Arial"/>
                <w:szCs w:val="22"/>
              </w:rPr>
              <w:t>’</w:t>
            </w:r>
            <w:r w:rsidR="00926065">
              <w:rPr>
                <w:rFonts w:eastAsia="Times New Roman" w:cs="Arial"/>
                <w:szCs w:val="22"/>
              </w:rPr>
              <w:t xml:space="preserve">s approaches to performance management, performance development, and career development </w:t>
            </w:r>
            <w:r>
              <w:rPr>
                <w:rFonts w:eastAsia="Times New Roman" w:cs="Arial"/>
                <w:szCs w:val="22"/>
              </w:rPr>
              <w:t xml:space="preserve">systematically promote equity and inclusion. </w:t>
            </w:r>
            <w:r w:rsidR="00DC52AF">
              <w:rPr>
                <w:rFonts w:eastAsia="Times New Roman" w:cs="Arial"/>
                <w:szCs w:val="22"/>
              </w:rPr>
              <w:t xml:space="preserve">Such an approach </w:t>
            </w:r>
            <w:r>
              <w:rPr>
                <w:rFonts w:eastAsia="Times New Roman" w:cs="Arial"/>
                <w:szCs w:val="22"/>
              </w:rPr>
              <w:t xml:space="preserve">may help the applicant achieve its strategic objectives and enhance its ability to recruit diverse workforce members, which may support its </w:t>
            </w:r>
            <w:r w:rsidR="00312438">
              <w:rPr>
                <w:rFonts w:eastAsia="Times New Roman" w:cs="Arial"/>
                <w:szCs w:val="22"/>
              </w:rPr>
              <w:t>S</w:t>
            </w:r>
            <w:r>
              <w:rPr>
                <w:rFonts w:eastAsia="Times New Roman" w:cs="Arial"/>
                <w:szCs w:val="22"/>
              </w:rPr>
              <w:t>tudent</w:t>
            </w:r>
            <w:r w:rsidR="00312438">
              <w:rPr>
                <w:rFonts w:eastAsia="Times New Roman" w:cs="Arial"/>
                <w:szCs w:val="22"/>
              </w:rPr>
              <w:t>s F</w:t>
            </w:r>
            <w:r>
              <w:rPr>
                <w:rFonts w:eastAsia="Times New Roman" w:cs="Arial"/>
                <w:szCs w:val="22"/>
              </w:rPr>
              <w:t>irst value.</w:t>
            </w:r>
          </w:p>
        </w:tc>
        <w:tc>
          <w:tcPr>
            <w:tcW w:w="0" w:type="auto"/>
            <w:tcBorders>
              <w:bottom w:val="single" w:sz="6" w:space="0" w:color="000000"/>
              <w:right w:val="single" w:sz="6" w:space="0" w:color="000000"/>
            </w:tcBorders>
            <w:tcMar>
              <w:top w:w="75" w:type="dxa"/>
              <w:left w:w="75" w:type="dxa"/>
              <w:bottom w:w="75" w:type="dxa"/>
              <w:right w:w="75" w:type="dxa"/>
            </w:tcMar>
            <w:hideMark/>
          </w:tcPr>
          <w:p w14:paraId="0BEED13B" w14:textId="74298FDD" w:rsidR="00926065" w:rsidRDefault="00926065">
            <w:pPr>
              <w:rPr>
                <w:rFonts w:eastAsia="Times New Roman" w:cs="Arial"/>
                <w:szCs w:val="22"/>
              </w:rPr>
            </w:pPr>
          </w:p>
          <w:p w14:paraId="07FE8E91" w14:textId="712BD572" w:rsidR="005E22BD" w:rsidRDefault="000A11B9">
            <w:pPr>
              <w:rPr>
                <w:rFonts w:eastAsia="Times New Roman" w:cs="Arial"/>
                <w:szCs w:val="22"/>
              </w:rPr>
            </w:pPr>
            <w:r>
              <w:rPr>
                <w:rFonts w:eastAsia="Times New Roman" w:cs="Arial"/>
                <w:szCs w:val="22"/>
              </w:rPr>
              <w:t xml:space="preserve">I originally used </w:t>
            </w:r>
            <w:r w:rsidR="007B4856">
              <w:rPr>
                <w:rFonts w:eastAsia="Times New Roman" w:cs="Arial"/>
                <w:szCs w:val="22"/>
              </w:rPr>
              <w:t>Ex3</w:t>
            </w:r>
            <w:r w:rsidR="005663C4">
              <w:rPr>
                <w:rFonts w:eastAsia="Times New Roman" w:cs="Arial"/>
                <w:szCs w:val="22"/>
              </w:rPr>
              <w:t>’</w:t>
            </w:r>
            <w:r>
              <w:rPr>
                <w:rFonts w:eastAsia="Times New Roman" w:cs="Arial"/>
                <w:szCs w:val="22"/>
              </w:rPr>
              <w:t xml:space="preserve">s comment to write a </w:t>
            </w:r>
            <w:r w:rsidR="00926065">
              <w:rPr>
                <w:rFonts w:eastAsia="Times New Roman" w:cs="Arial"/>
                <w:szCs w:val="22"/>
              </w:rPr>
              <w:t xml:space="preserve">“b” </w:t>
            </w:r>
            <w:r>
              <w:rPr>
                <w:rFonts w:eastAsia="Times New Roman" w:cs="Arial"/>
                <w:szCs w:val="22"/>
              </w:rPr>
              <w:t xml:space="preserve">OFI around </w:t>
            </w:r>
            <w:r w:rsidR="00926065">
              <w:rPr>
                <w:rFonts w:eastAsia="Times New Roman" w:cs="Arial"/>
                <w:szCs w:val="22"/>
              </w:rPr>
              <w:t xml:space="preserve">the organizational culture promoting </w:t>
            </w:r>
            <w:r>
              <w:rPr>
                <w:rFonts w:eastAsia="Times New Roman" w:cs="Arial"/>
                <w:szCs w:val="22"/>
              </w:rPr>
              <w:t xml:space="preserve">equity and inclusion, but after seeing that there are 5 examiners (including </w:t>
            </w:r>
            <w:r w:rsidR="007B4856">
              <w:rPr>
                <w:rFonts w:eastAsia="Times New Roman" w:cs="Arial"/>
                <w:szCs w:val="22"/>
              </w:rPr>
              <w:t>Ex3</w:t>
            </w:r>
            <w:r>
              <w:rPr>
                <w:rFonts w:eastAsia="Times New Roman" w:cs="Arial"/>
                <w:szCs w:val="22"/>
              </w:rPr>
              <w:t xml:space="preserve">) that have concerns about equity and inclusion for 5.2c(5), I decided to change out the OFI to a combined one referencing b and also c(5). </w:t>
            </w:r>
          </w:p>
          <w:p w14:paraId="27025019" w14:textId="39A85BB8" w:rsidR="00926065" w:rsidRDefault="00926065">
            <w:pPr>
              <w:rPr>
                <w:rFonts w:eastAsia="Times New Roman" w:cs="Arial"/>
                <w:szCs w:val="22"/>
              </w:rPr>
            </w:pPr>
            <w:r>
              <w:rPr>
                <w:rFonts w:eastAsia="Times New Roman" w:cs="Arial"/>
                <w:szCs w:val="22"/>
              </w:rPr>
              <w:t>Subsequently, I changed the OFI to a c(5) OFI only, as the opportunity lies not with organizational culture (b) but with the applicant</w:t>
            </w:r>
            <w:r w:rsidR="005663C4">
              <w:rPr>
                <w:rFonts w:eastAsia="Times New Roman" w:cs="Arial"/>
                <w:szCs w:val="22"/>
              </w:rPr>
              <w:t>’</w:t>
            </w:r>
            <w:r>
              <w:rPr>
                <w:rFonts w:eastAsia="Times New Roman" w:cs="Arial"/>
                <w:szCs w:val="22"/>
              </w:rPr>
              <w:t>s approaches to performance management and development (c[5]).</w:t>
            </w:r>
          </w:p>
        </w:tc>
        <w:tc>
          <w:tcPr>
            <w:tcW w:w="0" w:type="auto"/>
            <w:tcBorders>
              <w:bottom w:val="single" w:sz="6" w:space="0" w:color="000000"/>
              <w:right w:val="single" w:sz="6" w:space="0" w:color="000000"/>
            </w:tcBorders>
            <w:tcMar>
              <w:top w:w="75" w:type="dxa"/>
              <w:left w:w="75" w:type="dxa"/>
              <w:bottom w:w="75" w:type="dxa"/>
              <w:right w:w="75" w:type="dxa"/>
            </w:tcMar>
            <w:hideMark/>
          </w:tcPr>
          <w:p w14:paraId="1EC79AC3" w14:textId="77777777" w:rsidR="005E22BD" w:rsidRDefault="000A11B9">
            <w:pPr>
              <w:rPr>
                <w:rFonts w:eastAsia="Times New Roman" w:cs="Arial"/>
                <w:szCs w:val="22"/>
              </w:rPr>
            </w:pPr>
            <w:r>
              <w:rPr>
                <w:rFonts w:eastAsia="Times New Roman" w:cs="Arial"/>
                <w:szCs w:val="22"/>
              </w:rPr>
              <w:t>c(5)</w:t>
            </w:r>
          </w:p>
        </w:tc>
      </w:tr>
    </w:tbl>
    <w:p w14:paraId="22663CD6"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2A48DE18" w14:textId="77777777" w:rsidTr="00080296">
        <w:tc>
          <w:tcPr>
            <w:tcW w:w="10170" w:type="dxa"/>
          </w:tcPr>
          <w:p w14:paraId="7EE8210D" w14:textId="49C46576" w:rsidR="00080296" w:rsidRDefault="00080296" w:rsidP="00080296">
            <w:pPr>
              <w:rPr>
                <w:rFonts w:eastAsia="Times New Roman" w:cs="Arial"/>
                <w:szCs w:val="22"/>
              </w:rPr>
            </w:pPr>
            <w:r>
              <w:rPr>
                <w:rFonts w:eastAsia="Times New Roman" w:cs="Arial"/>
                <w:szCs w:val="22"/>
              </w:rPr>
              <w:t>Several examiners had OFIs around 5.2b, and 2 listed strengths. The strengths were around communication, but in the spirit of "around" 6, I did not select this as a strength as I found the other strengths to be more important for the applicant.</w:t>
            </w:r>
          </w:p>
        </w:tc>
      </w:tr>
    </w:tbl>
    <w:p w14:paraId="650D2AA1"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170"/>
      </w:tblGrid>
      <w:tr w:rsidR="00080296" w14:paraId="53ACED2D" w14:textId="77777777" w:rsidTr="00080296">
        <w:tc>
          <w:tcPr>
            <w:tcW w:w="10170" w:type="dxa"/>
          </w:tcPr>
          <w:p w14:paraId="6BB262C3" w14:textId="77777777" w:rsidR="00080296" w:rsidRDefault="00080296" w:rsidP="00080296">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50</w:t>
            </w:r>
          </w:p>
          <w:p w14:paraId="3583C422" w14:textId="77777777" w:rsidR="00080296" w:rsidRDefault="00080296" w:rsidP="00080296">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28CCCBA3" w14:textId="7D65707E" w:rsidR="00080296" w:rsidRDefault="00080296" w:rsidP="00080296">
            <w:pPr>
              <w:rPr>
                <w:rFonts w:eastAsia="Times New Roman" w:cs="Arial"/>
                <w:b/>
                <w:bCs/>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00312438">
              <w:rPr>
                <w:rFonts w:eastAsia="Times New Roman" w:cs="Arial"/>
                <w:szCs w:val="22"/>
              </w:rPr>
              <w:t xml:space="preserve">The 50-65% range seems </w:t>
            </w:r>
            <w:r w:rsidR="001A3A1E">
              <w:rPr>
                <w:rFonts w:eastAsia="Times New Roman" w:cs="Arial"/>
                <w:szCs w:val="22"/>
              </w:rPr>
              <w:t xml:space="preserve">the most descriptive </w:t>
            </w:r>
            <w:r w:rsidR="00312438">
              <w:rPr>
                <w:rFonts w:eastAsia="Times New Roman" w:cs="Arial"/>
                <w:szCs w:val="22"/>
              </w:rPr>
              <w:t xml:space="preserve">for all ADLI descriptors. </w:t>
            </w:r>
            <w:r w:rsidR="000542F0">
              <w:rPr>
                <w:rFonts w:eastAsia="Times New Roman" w:cs="Arial"/>
                <w:szCs w:val="22"/>
              </w:rPr>
              <w:t>For example</w:t>
            </w:r>
            <w:r w:rsidR="00312438">
              <w:rPr>
                <w:rFonts w:eastAsia="Times New Roman" w:cs="Arial"/>
                <w:szCs w:val="22"/>
              </w:rPr>
              <w:t xml:space="preserve">, for A, </w:t>
            </w:r>
            <w:r w:rsidR="000542F0">
              <w:rPr>
                <w:rStyle w:val="Strong"/>
                <w:rFonts w:eastAsia="Times New Roman" w:cs="Arial"/>
                <w:b w:val="0"/>
                <w:bCs w:val="0"/>
                <w:szCs w:val="22"/>
              </w:rPr>
              <w:t>t</w:t>
            </w:r>
            <w:r w:rsidR="000542F0" w:rsidRPr="00FD460C">
              <w:rPr>
                <w:rStyle w:val="Strong"/>
                <w:rFonts w:eastAsia="Times New Roman" w:cs="Arial"/>
                <w:b w:val="0"/>
                <w:bCs w:val="0"/>
                <w:szCs w:val="22"/>
              </w:rPr>
              <w:t xml:space="preserve">he applicant addresses </w:t>
            </w:r>
            <w:r w:rsidR="000542F0">
              <w:rPr>
                <w:rStyle w:val="Strong"/>
                <w:rFonts w:eastAsia="Times New Roman" w:cs="Arial"/>
                <w:b w:val="0"/>
                <w:bCs w:val="0"/>
                <w:szCs w:val="22"/>
              </w:rPr>
              <w:t xml:space="preserve">the overall </w:t>
            </w:r>
            <w:r w:rsidR="005E3D0E">
              <w:rPr>
                <w:rStyle w:val="Strong"/>
                <w:rFonts w:eastAsia="Times New Roman" w:cs="Arial"/>
                <w:b w:val="0"/>
                <w:bCs w:val="0"/>
                <w:szCs w:val="22"/>
              </w:rPr>
              <w:t>questions,</w:t>
            </w:r>
            <w:r w:rsidR="000542F0">
              <w:rPr>
                <w:rStyle w:val="Strong"/>
                <w:rFonts w:eastAsia="Times New Roman" w:cs="Arial"/>
                <w:b w:val="0"/>
                <w:bCs w:val="0"/>
                <w:szCs w:val="22"/>
              </w:rPr>
              <w:t xml:space="preserve"> </w:t>
            </w:r>
            <w:r w:rsidR="000542F0" w:rsidRPr="00FD460C">
              <w:rPr>
                <w:rStyle w:val="Strong"/>
                <w:rFonts w:eastAsia="Times New Roman" w:cs="Arial"/>
                <w:b w:val="0"/>
                <w:bCs w:val="0"/>
                <w:szCs w:val="22"/>
              </w:rPr>
              <w:t xml:space="preserve">but many aspects of the </w:t>
            </w:r>
            <w:r w:rsidR="000542F0">
              <w:rPr>
                <w:rStyle w:val="Strong"/>
                <w:rFonts w:eastAsia="Times New Roman" w:cs="Arial"/>
                <w:b w:val="0"/>
                <w:bCs w:val="0"/>
                <w:szCs w:val="22"/>
              </w:rPr>
              <w:t xml:space="preserve">multiple questions </w:t>
            </w:r>
            <w:r w:rsidR="000542F0" w:rsidRPr="00FD460C">
              <w:rPr>
                <w:rStyle w:val="Strong"/>
                <w:rFonts w:eastAsia="Times New Roman" w:cs="Arial"/>
                <w:b w:val="0"/>
                <w:bCs w:val="0"/>
                <w:szCs w:val="22"/>
              </w:rPr>
              <w:t>are not addressed.</w:t>
            </w:r>
            <w:r w:rsidR="000542F0">
              <w:rPr>
                <w:rStyle w:val="Strong"/>
                <w:rFonts w:eastAsia="Times New Roman" w:cs="Arial"/>
                <w:b w:val="0"/>
                <w:bCs w:val="0"/>
                <w:szCs w:val="22"/>
              </w:rPr>
              <w:t xml:space="preserve"> That is, </w:t>
            </w:r>
            <w:r w:rsidR="00312438">
              <w:rPr>
                <w:rFonts w:eastAsia="Times New Roman" w:cs="Arial"/>
                <w:szCs w:val="22"/>
              </w:rPr>
              <w:t>t</w:t>
            </w:r>
            <w:r w:rsidRPr="00FD460C">
              <w:rPr>
                <w:rStyle w:val="Strong"/>
                <w:rFonts w:eastAsia="Times New Roman" w:cs="Arial"/>
                <w:b w:val="0"/>
                <w:bCs w:val="0"/>
                <w:szCs w:val="22"/>
              </w:rPr>
              <w:t>he applicant has</w:t>
            </w:r>
            <w:r>
              <w:rPr>
                <w:rStyle w:val="Strong"/>
                <w:rFonts w:eastAsia="Times New Roman" w:cs="Arial"/>
                <w:b w:val="0"/>
                <w:bCs w:val="0"/>
                <w:szCs w:val="22"/>
              </w:rPr>
              <w:t xml:space="preserve"> three</w:t>
            </w:r>
            <w:r w:rsidRPr="00FD460C">
              <w:rPr>
                <w:rStyle w:val="Strong"/>
                <w:rFonts w:eastAsia="Times New Roman" w:cs="Arial"/>
                <w:b w:val="0"/>
                <w:bCs w:val="0"/>
                <w:szCs w:val="22"/>
              </w:rPr>
              <w:t xml:space="preserve"> strengths at the overall level</w:t>
            </w:r>
            <w:r w:rsidR="000542F0">
              <w:rPr>
                <w:rStyle w:val="Strong"/>
                <w:rFonts w:eastAsia="Times New Roman" w:cs="Arial"/>
                <w:b w:val="0"/>
                <w:bCs w:val="0"/>
                <w:szCs w:val="22"/>
              </w:rPr>
              <w:t>;</w:t>
            </w:r>
            <w:r w:rsidRPr="00FD460C">
              <w:rPr>
                <w:rStyle w:val="Strong"/>
                <w:rFonts w:eastAsia="Times New Roman" w:cs="Arial"/>
                <w:b w:val="0"/>
                <w:bCs w:val="0"/>
                <w:szCs w:val="22"/>
              </w:rPr>
              <w:t xml:space="preserve"> </w:t>
            </w:r>
            <w:r w:rsidR="000542F0">
              <w:rPr>
                <w:rStyle w:val="Strong"/>
                <w:rFonts w:eastAsia="Times New Roman" w:cs="Arial"/>
                <w:b w:val="0"/>
                <w:bCs w:val="0"/>
                <w:szCs w:val="22"/>
              </w:rPr>
              <w:t>t</w:t>
            </w:r>
            <w:r w:rsidRPr="00FD460C">
              <w:rPr>
                <w:rStyle w:val="Strong"/>
                <w:rFonts w:eastAsia="Times New Roman" w:cs="Arial"/>
                <w:b w:val="0"/>
                <w:bCs w:val="0"/>
                <w:szCs w:val="22"/>
              </w:rPr>
              <w:t>wo OFIs are at the overall</w:t>
            </w:r>
            <w:r w:rsidR="000542F0">
              <w:rPr>
                <w:rStyle w:val="Strong"/>
                <w:rFonts w:eastAsia="Times New Roman" w:cs="Arial"/>
                <w:b w:val="0"/>
                <w:bCs w:val="0"/>
                <w:szCs w:val="22"/>
              </w:rPr>
              <w:t>,</w:t>
            </w:r>
            <w:r w:rsidRPr="00FD460C">
              <w:rPr>
                <w:rStyle w:val="Strong"/>
                <w:rFonts w:eastAsia="Times New Roman" w:cs="Arial"/>
                <w:b w:val="0"/>
                <w:bCs w:val="0"/>
                <w:szCs w:val="22"/>
              </w:rPr>
              <w:t xml:space="preserve"> and one is at the multiple level, </w:t>
            </w:r>
            <w:r>
              <w:rPr>
                <w:rStyle w:val="Strong"/>
                <w:rFonts w:eastAsia="Times New Roman" w:cs="Arial"/>
                <w:b w:val="0"/>
                <w:bCs w:val="0"/>
                <w:szCs w:val="22"/>
              </w:rPr>
              <w:t>which reflects the 50–65%</w:t>
            </w:r>
            <w:r w:rsidRPr="00FD460C">
              <w:rPr>
                <w:rStyle w:val="Strong"/>
                <w:rFonts w:eastAsia="Times New Roman" w:cs="Arial"/>
                <w:b w:val="0"/>
                <w:bCs w:val="0"/>
                <w:szCs w:val="22"/>
              </w:rPr>
              <w:t xml:space="preserve"> range. </w:t>
            </w:r>
          </w:p>
        </w:tc>
      </w:tr>
    </w:tbl>
    <w:p w14:paraId="48624433" w14:textId="77777777" w:rsidR="00050D3F" w:rsidRDefault="00050D3F">
      <w:pPr>
        <w:spacing w:after="0"/>
        <w:rPr>
          <w:rFonts w:eastAsia="Times New Roman" w:cs="Arial"/>
          <w:b/>
          <w:bCs/>
          <w:szCs w:val="22"/>
        </w:rPr>
      </w:pPr>
      <w:r>
        <w:rPr>
          <w:rFonts w:eastAsia="Times New Roman" w:cs="Arial"/>
          <w:b/>
          <w:bCs/>
          <w:szCs w:val="22"/>
        </w:rPr>
        <w:br w:type="page"/>
      </w:r>
    </w:p>
    <w:p w14:paraId="54DF324C"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6.1</w:t>
      </w:r>
    </w:p>
    <w:p w14:paraId="1199790F" w14:textId="77777777" w:rsidR="005E22BD" w:rsidRDefault="000A11B9">
      <w:pPr>
        <w:pStyle w:val="Heading2"/>
        <w:divId w:val="905190427"/>
        <w:rPr>
          <w:rFonts w:eastAsia="Times New Roman" w:cs="Arial"/>
        </w:rPr>
      </w:pPr>
      <w:r>
        <w:rPr>
          <w:rFonts w:eastAsia="Times New Roman" w:cs="Arial"/>
        </w:rPr>
        <w:t>Work Processes</w:t>
      </w:r>
    </w:p>
    <w:p w14:paraId="47C5FA0F" w14:textId="77777777" w:rsidR="005E22BD" w:rsidRDefault="000A11B9">
      <w:pPr>
        <w:pStyle w:val="Heading3"/>
        <w:divId w:val="905190427"/>
        <w:rPr>
          <w:rFonts w:eastAsia="Times New Roman" w:cs="Arial"/>
        </w:rPr>
      </w:pPr>
      <w:r>
        <w:rPr>
          <w:rFonts w:eastAsia="Times New Roman" w:cs="Arial"/>
        </w:rPr>
        <w:t>Relevant Key Factors</w:t>
      </w:r>
    </w:p>
    <w:p w14:paraId="35D4B87F" w14:textId="1D8FD2E8" w:rsidR="005E22BD" w:rsidRPr="00085DEF" w:rsidRDefault="000A11B9" w:rsidP="002B5D3E">
      <w:pPr>
        <w:numPr>
          <w:ilvl w:val="0"/>
          <w:numId w:val="15"/>
        </w:numPr>
        <w:spacing w:before="100" w:beforeAutospacing="1" w:after="100" w:afterAutospacing="1"/>
        <w:divId w:val="905190427"/>
        <w:rPr>
          <w:rFonts w:eastAsia="Times New Roman" w:cs="Arial"/>
          <w:szCs w:val="22"/>
        </w:rPr>
      </w:pPr>
      <w:r w:rsidRPr="00085DEF">
        <w:rPr>
          <w:rFonts w:eastAsia="Times New Roman" w:cs="Arial"/>
          <w:szCs w:val="22"/>
        </w:rPr>
        <w:t xml:space="preserve">50 associate; </w:t>
      </w:r>
      <w:r w:rsidR="001F46D7" w:rsidRPr="00085DEF">
        <w:rPr>
          <w:rFonts w:eastAsia="Times New Roman" w:cs="Arial"/>
          <w:szCs w:val="22"/>
        </w:rPr>
        <w:t>25 certificates/workforce training badge</w:t>
      </w:r>
      <w:r w:rsidRPr="00085DEF">
        <w:rPr>
          <w:rFonts w:eastAsia="Times New Roman" w:cs="Arial"/>
          <w:szCs w:val="22"/>
        </w:rPr>
        <w:t xml:space="preserve">; </w:t>
      </w:r>
      <w:r w:rsidR="001F46D7" w:rsidRPr="00085DEF">
        <w:rPr>
          <w:rFonts w:eastAsia="Times New Roman" w:cs="Arial"/>
          <w:szCs w:val="22"/>
        </w:rPr>
        <w:t>workforce development/continuing education</w:t>
      </w:r>
      <w:r w:rsidR="000834C7" w:rsidRPr="00085DEF">
        <w:rPr>
          <w:rFonts w:eastAsia="Times New Roman" w:cs="Arial"/>
          <w:szCs w:val="22"/>
        </w:rPr>
        <w:t>—</w:t>
      </w:r>
      <w:r w:rsidR="001F46D7" w:rsidRPr="00085DEF">
        <w:rPr>
          <w:rFonts w:eastAsia="Times New Roman" w:cs="Arial"/>
          <w:szCs w:val="22"/>
        </w:rPr>
        <w:t>personal development, badges, skill-building courses</w:t>
      </w:r>
      <w:r w:rsidRPr="00085DEF">
        <w:rPr>
          <w:rFonts w:eastAsia="Times New Roman" w:cs="Arial"/>
          <w:szCs w:val="22"/>
        </w:rPr>
        <w:t xml:space="preserve">. All associate </w:t>
      </w:r>
      <w:r w:rsidR="001F46D7" w:rsidRPr="00085DEF">
        <w:rPr>
          <w:rFonts w:eastAsia="Times New Roman" w:cs="Arial"/>
          <w:szCs w:val="22"/>
        </w:rPr>
        <w:t>programs require internship, apprenticeship, or other applied experience</w:t>
      </w:r>
      <w:r w:rsidRPr="00085DEF">
        <w:rPr>
          <w:rFonts w:eastAsia="Times New Roman" w:cs="Arial"/>
          <w:szCs w:val="22"/>
        </w:rPr>
        <w:t>.</w:t>
      </w:r>
    </w:p>
    <w:p w14:paraId="3CB6BC4D" w14:textId="714C0D45" w:rsidR="005E22BD" w:rsidRDefault="000A11B9">
      <w:pPr>
        <w:numPr>
          <w:ilvl w:val="0"/>
          <w:numId w:val="15"/>
        </w:numPr>
        <w:spacing w:before="100" w:beforeAutospacing="1" w:after="100" w:afterAutospacing="1"/>
        <w:divId w:val="905190427"/>
        <w:rPr>
          <w:rFonts w:eastAsia="Times New Roman" w:cs="Arial"/>
          <w:szCs w:val="22"/>
        </w:rPr>
      </w:pPr>
      <w:r>
        <w:rPr>
          <w:rFonts w:eastAsia="Times New Roman" w:cs="Arial"/>
          <w:szCs w:val="22"/>
        </w:rPr>
        <w:t xml:space="preserve">CC1: </w:t>
      </w:r>
      <w:r w:rsidRPr="00400021">
        <w:rPr>
          <w:rFonts w:eastAsia="Times New Roman" w:cs="Arial"/>
          <w:szCs w:val="22"/>
        </w:rPr>
        <w:t>Provide exceptional student support services</w:t>
      </w:r>
      <w:r w:rsidR="000635DD">
        <w:rPr>
          <w:rFonts w:eastAsia="Times New Roman" w:cs="Arial"/>
          <w:szCs w:val="22"/>
        </w:rPr>
        <w:t>.</w:t>
      </w:r>
    </w:p>
    <w:p w14:paraId="4962997C" w14:textId="2E70A66E" w:rsidR="001F46D7" w:rsidRDefault="001F46D7" w:rsidP="001F46D7">
      <w:pPr>
        <w:numPr>
          <w:ilvl w:val="0"/>
          <w:numId w:val="15"/>
        </w:numPr>
        <w:spacing w:before="100" w:beforeAutospacing="1" w:after="100" w:afterAutospacing="1"/>
        <w:divId w:val="905190427"/>
        <w:rPr>
          <w:rFonts w:eastAsia="Times New Roman" w:cs="Arial"/>
          <w:szCs w:val="22"/>
        </w:rPr>
      </w:pPr>
      <w:r>
        <w:rPr>
          <w:rFonts w:eastAsia="Times New Roman" w:cs="Arial"/>
          <w:szCs w:val="22"/>
        </w:rPr>
        <w:t>Career-seeking students—degree completion info, academic support services. Transfer—transfer articulation, degree completion info, academic challenges. Non-degree-seeking—workforce skills, adult learner needs. Dual Credit—college credit courses, collaboration with high school schedule</w:t>
      </w:r>
      <w:r w:rsidR="000635DD">
        <w:rPr>
          <w:rFonts w:eastAsia="Times New Roman" w:cs="Arial"/>
          <w:szCs w:val="22"/>
        </w:rPr>
        <w:t>.</w:t>
      </w:r>
    </w:p>
    <w:p w14:paraId="66A6F6C5" w14:textId="5A4D336C" w:rsidR="005E22BD" w:rsidRDefault="00DB6E5E">
      <w:pPr>
        <w:numPr>
          <w:ilvl w:val="0"/>
          <w:numId w:val="15"/>
        </w:numPr>
        <w:spacing w:before="100" w:beforeAutospacing="1" w:after="100" w:afterAutospacing="1"/>
        <w:divId w:val="905190427"/>
        <w:rPr>
          <w:rFonts w:eastAsia="Times New Roman" w:cs="Arial"/>
          <w:szCs w:val="22"/>
        </w:rPr>
      </w:pPr>
      <w:r>
        <w:rPr>
          <w:rFonts w:eastAsia="Times New Roman" w:cs="Arial"/>
          <w:szCs w:val="22"/>
        </w:rPr>
        <w:t xml:space="preserve">Technology providers, laboratory support providers, service providers </w:t>
      </w:r>
      <w:r w:rsidR="000A11B9">
        <w:rPr>
          <w:rFonts w:eastAsia="Times New Roman" w:cs="Arial"/>
          <w:szCs w:val="22"/>
        </w:rPr>
        <w:t>(bookstore, dining), administrative support</w:t>
      </w:r>
      <w:r w:rsidR="000635DD">
        <w:rPr>
          <w:rFonts w:eastAsia="Times New Roman" w:cs="Arial"/>
          <w:szCs w:val="22"/>
        </w:rPr>
        <w:t>.</w:t>
      </w:r>
    </w:p>
    <w:p w14:paraId="5EBAAF8B" w14:textId="188742DE" w:rsidR="00400021" w:rsidRPr="00400021" w:rsidRDefault="00400021">
      <w:pPr>
        <w:numPr>
          <w:ilvl w:val="0"/>
          <w:numId w:val="15"/>
        </w:numPr>
        <w:spacing w:before="100" w:beforeAutospacing="1" w:after="100" w:afterAutospacing="1"/>
        <w:divId w:val="905190427"/>
        <w:rPr>
          <w:rFonts w:eastAsia="Times New Roman" w:cs="Arial"/>
          <w:szCs w:val="22"/>
        </w:rPr>
      </w:pPr>
      <w:bookmarkStart w:id="5" w:name="_Hlk66437308"/>
      <w:r w:rsidRPr="00400021">
        <w:rPr>
          <w:rFonts w:eastAsia="Times New Roman" w:cs="Arial"/>
          <w:szCs w:val="22"/>
        </w:rPr>
        <w:t>Increased competition for students</w:t>
      </w:r>
      <w:bookmarkEnd w:id="5"/>
      <w:r w:rsidRPr="00400021">
        <w:rPr>
          <w:rFonts w:eastAsia="Times New Roman" w:cs="Arial"/>
          <w:szCs w:val="22"/>
        </w:rPr>
        <w:t>.</w:t>
      </w:r>
    </w:p>
    <w:p w14:paraId="2E55E3C5" w14:textId="0C7B21FB" w:rsidR="005E22BD" w:rsidRPr="00400021" w:rsidRDefault="000A11B9">
      <w:pPr>
        <w:numPr>
          <w:ilvl w:val="0"/>
          <w:numId w:val="15"/>
        </w:numPr>
        <w:spacing w:before="100" w:beforeAutospacing="1" w:after="100" w:afterAutospacing="1"/>
        <w:divId w:val="905190427"/>
        <w:rPr>
          <w:rFonts w:eastAsia="Times New Roman" w:cs="Arial"/>
          <w:szCs w:val="22"/>
        </w:rPr>
      </w:pPr>
      <w:r w:rsidRPr="00400021">
        <w:rPr>
          <w:rFonts w:eastAsia="Times New Roman" w:cs="Arial"/>
          <w:szCs w:val="22"/>
        </w:rPr>
        <w:t xml:space="preserve">Baldrige-based </w:t>
      </w:r>
      <w:r w:rsidR="00C95E51">
        <w:rPr>
          <w:rFonts w:eastAsia="Times New Roman" w:cs="Arial"/>
          <w:szCs w:val="22"/>
        </w:rPr>
        <w:t>PDCA</w:t>
      </w:r>
      <w:r w:rsidRPr="00400021">
        <w:rPr>
          <w:rFonts w:eastAsia="Times New Roman" w:cs="Arial"/>
          <w:szCs w:val="22"/>
        </w:rPr>
        <w:t>.</w:t>
      </w:r>
    </w:p>
    <w:p w14:paraId="300FCE3D"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48"/>
        <w:gridCol w:w="4009"/>
        <w:gridCol w:w="1200"/>
      </w:tblGrid>
      <w:tr w:rsidR="005E22BD" w14:paraId="4C9F567C"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6967D38C"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F2B9672"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56378587"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2B0A7E63"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108A0DD4"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17C5A792"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4BA3B52" w14:textId="11A99188" w:rsidR="005E22BD" w:rsidRDefault="000A11B9">
            <w:pPr>
              <w:rPr>
                <w:rFonts w:eastAsia="Times New Roman" w:cs="Arial"/>
                <w:szCs w:val="22"/>
              </w:rPr>
            </w:pPr>
            <w:r>
              <w:rPr>
                <w:rFonts w:eastAsia="Times New Roman" w:cs="Arial"/>
                <w:szCs w:val="22"/>
              </w:rPr>
              <w:t>The applicant uses best practices such as NIST IDEF0 (Figure 6.1-2) and PMI</w:t>
            </w:r>
            <w:r w:rsidR="005663C4">
              <w:rPr>
                <w:rFonts w:eastAsia="Times New Roman" w:cs="Arial"/>
                <w:szCs w:val="22"/>
              </w:rPr>
              <w:t>’</w:t>
            </w:r>
            <w:r>
              <w:rPr>
                <w:rFonts w:eastAsia="Times New Roman" w:cs="Arial"/>
                <w:szCs w:val="22"/>
              </w:rPr>
              <w:t xml:space="preserve">s Project Management Body of Knowledge to systematically design its educational programs and services and work processes. PDCA has been added as a learning on the Baldrige journey and is embedded into process implementation loops. These processes include a WBS for all required activities and deliverables. This </w:t>
            </w:r>
            <w:r w:rsidR="000635DD">
              <w:rPr>
                <w:rFonts w:eastAsia="Times New Roman" w:cs="Arial"/>
                <w:szCs w:val="22"/>
              </w:rPr>
              <w:t>a</w:t>
            </w:r>
            <w:r w:rsidR="000635DD">
              <w:t xml:space="preserve">pproach </w:t>
            </w:r>
            <w:r>
              <w:rPr>
                <w:rFonts w:eastAsia="Times New Roman" w:cs="Arial"/>
                <w:szCs w:val="22"/>
              </w:rPr>
              <w:t xml:space="preserve">integrates with the KPIs and Tracking Star PMS and </w:t>
            </w:r>
            <w:r w:rsidR="000635DD">
              <w:rPr>
                <w:rFonts w:eastAsia="Times New Roman" w:cs="Arial"/>
                <w:szCs w:val="22"/>
              </w:rPr>
              <w:t>s</w:t>
            </w:r>
            <w:r w:rsidR="000635DD">
              <w:t>upports the applicant</w:t>
            </w:r>
            <w:r w:rsidR="005663C4">
              <w:t>’</w:t>
            </w:r>
            <w:r w:rsidR="000635DD">
              <w:t>s core competency</w:t>
            </w:r>
            <w:r>
              <w:rPr>
                <w:rFonts w:eastAsia="Times New Roman" w:cs="Arial"/>
                <w:szCs w:val="22"/>
              </w:rPr>
              <w:t xml:space="preserve"> of providing exceptional student support services.</w:t>
            </w:r>
          </w:p>
        </w:tc>
        <w:tc>
          <w:tcPr>
            <w:tcW w:w="0" w:type="auto"/>
            <w:tcBorders>
              <w:bottom w:val="single" w:sz="6" w:space="0" w:color="000000"/>
              <w:right w:val="single" w:sz="6" w:space="0" w:color="000000"/>
            </w:tcBorders>
            <w:tcMar>
              <w:top w:w="75" w:type="dxa"/>
              <w:left w:w="75" w:type="dxa"/>
              <w:bottom w:w="75" w:type="dxa"/>
              <w:right w:w="75" w:type="dxa"/>
            </w:tcMar>
            <w:hideMark/>
          </w:tcPr>
          <w:p w14:paraId="7EE101E2" w14:textId="77777777" w:rsidR="00351245" w:rsidRDefault="000A11B9">
            <w:pPr>
              <w:rPr>
                <w:rFonts w:eastAsia="Times New Roman" w:cs="Arial"/>
                <w:szCs w:val="22"/>
              </w:rPr>
            </w:pPr>
            <w:r>
              <w:rPr>
                <w:rFonts w:eastAsia="Times New Roman" w:cs="Arial"/>
                <w:szCs w:val="22"/>
              </w:rPr>
              <w:t>(</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sidR="00350724">
              <w:rPr>
                <w:rFonts w:eastAsia="Times New Roman" w:cs="Arial"/>
                <w:szCs w:val="22"/>
              </w:rPr>
              <w:t>,</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sidR="00351245">
              <w:rPr>
                <w:rFonts w:eastAsia="Times New Roman" w:cs="Arial"/>
                <w:szCs w:val="22"/>
              </w:rPr>
              <w:t>,</w:t>
            </w:r>
            <w:r w:rsidR="00722459">
              <w:rPr>
                <w:rFonts w:eastAsia="Times New Roman" w:cs="Arial"/>
                <w:szCs w:val="22"/>
              </w:rPr>
              <w:t xml:space="preserve"> Ex7 FBR</w:t>
            </w:r>
            <w:r>
              <w:rPr>
                <w:rFonts w:eastAsia="Times New Roman" w:cs="Arial"/>
                <w:szCs w:val="22"/>
              </w:rPr>
              <w:t xml:space="preserve">) </w:t>
            </w:r>
          </w:p>
          <w:p w14:paraId="5D9F6E09" w14:textId="37B3917C" w:rsidR="000635DD" w:rsidRDefault="000A11B9">
            <w:pPr>
              <w:rPr>
                <w:rFonts w:eastAsia="Times New Roman" w:cs="Arial"/>
                <w:szCs w:val="22"/>
              </w:rPr>
            </w:pPr>
            <w:r>
              <w:rPr>
                <w:rFonts w:eastAsia="Times New Roman" w:cs="Arial"/>
                <w:szCs w:val="22"/>
              </w:rPr>
              <w:t xml:space="preserve">Integration and best practices present with PDCA learning loops. Examples are Tracking Star PMS; NIST IDEF0 methodology, Project Management Institute design products and processes, agility. </w:t>
            </w:r>
          </w:p>
          <w:p w14:paraId="478283DE" w14:textId="3CFAABF3" w:rsidR="005E22BD" w:rsidRDefault="000A11B9">
            <w:pPr>
              <w:rPr>
                <w:rFonts w:eastAsia="Times New Roman" w:cs="Arial"/>
                <w:szCs w:val="22"/>
              </w:rPr>
            </w:pPr>
            <w:r>
              <w:rPr>
                <w:rFonts w:eastAsia="Times New Roman" w:cs="Arial"/>
                <w:szCs w:val="22"/>
              </w:rPr>
              <w:t>No OFIs for a(3). (</w:t>
            </w:r>
            <w:r w:rsidR="007B4856">
              <w:rPr>
                <w:rFonts w:eastAsia="Times New Roman" w:cs="Arial"/>
                <w:szCs w:val="22"/>
              </w:rPr>
              <w:t>Ex5</w:t>
            </w:r>
            <w:r>
              <w:rPr>
                <w:rFonts w:eastAsia="Times New Roman" w:cs="Arial"/>
                <w:szCs w:val="22"/>
              </w:rPr>
              <w:t xml:space="preserve"> asks where PMI came from</w:t>
            </w:r>
            <w:r w:rsidR="00722459">
              <w:rPr>
                <w:rFonts w:eastAsia="Times New Roman" w:cs="Arial"/>
                <w:szCs w:val="22"/>
              </w:rPr>
              <w:t>.</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7509B5A2" w14:textId="77777777" w:rsidR="005E22BD" w:rsidRDefault="000A11B9">
            <w:pPr>
              <w:rPr>
                <w:rFonts w:eastAsia="Times New Roman" w:cs="Arial"/>
                <w:szCs w:val="22"/>
              </w:rPr>
            </w:pPr>
            <w:r>
              <w:rPr>
                <w:rFonts w:eastAsia="Times New Roman" w:cs="Arial"/>
                <w:szCs w:val="22"/>
              </w:rPr>
              <w:t>a(3)</w:t>
            </w:r>
          </w:p>
        </w:tc>
      </w:tr>
      <w:tr w:rsidR="005E22BD" w14:paraId="5955D1C3"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B4128CD"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DC70F73" w14:textId="1DD35BD6" w:rsidR="005E22BD" w:rsidRDefault="000A11B9">
            <w:pPr>
              <w:rPr>
                <w:rFonts w:eastAsia="Times New Roman" w:cs="Arial"/>
                <w:szCs w:val="22"/>
              </w:rPr>
            </w:pPr>
            <w:r>
              <w:rPr>
                <w:rFonts w:eastAsia="Times New Roman" w:cs="Arial"/>
                <w:szCs w:val="22"/>
              </w:rPr>
              <w:t xml:space="preserve">The applicant implements and improves its work processes using approaches that have been updated through its Baldrige journey. For example, processes are implemented through monitoring O-KPIs on the dashboard. PDCA has been embedded into process implementation loops and is triggered when O-KPIs cross predetermined thresholds. These approaches </w:t>
            </w:r>
            <w:r w:rsidR="00FE33BF">
              <w:rPr>
                <w:rFonts w:eastAsia="Times New Roman" w:cs="Arial"/>
                <w:szCs w:val="22"/>
              </w:rPr>
              <w:t xml:space="preserve">support </w:t>
            </w:r>
            <w:r>
              <w:rPr>
                <w:rFonts w:eastAsia="Times New Roman" w:cs="Arial"/>
                <w:szCs w:val="22"/>
              </w:rPr>
              <w:t>the applicant</w:t>
            </w:r>
            <w:r w:rsidR="005663C4">
              <w:rPr>
                <w:rFonts w:eastAsia="Times New Roman" w:cs="Arial"/>
                <w:szCs w:val="22"/>
              </w:rPr>
              <w:t>’</w:t>
            </w:r>
            <w:r w:rsidR="00FE33BF">
              <w:rPr>
                <w:rFonts w:eastAsia="Times New Roman" w:cs="Arial"/>
                <w:szCs w:val="22"/>
              </w:rPr>
              <w:t>s</w:t>
            </w:r>
            <w:r>
              <w:rPr>
                <w:rFonts w:eastAsia="Times New Roman" w:cs="Arial"/>
                <w:szCs w:val="22"/>
              </w:rPr>
              <w:t xml:space="preserve"> vision of being the best in the nation in providing students with accessibility, affordability, and career-readiness.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7A652A7" w14:textId="77777777" w:rsidR="00722459" w:rsidRDefault="000A11B9">
            <w:pPr>
              <w:rPr>
                <w:rFonts w:eastAsia="Times New Roman" w:cs="Arial"/>
                <w:szCs w:val="22"/>
              </w:rPr>
            </w:pPr>
            <w:r>
              <w:rPr>
                <w:rFonts w:eastAsia="Times New Roman" w:cs="Arial"/>
                <w:szCs w:val="22"/>
              </w:rPr>
              <w:t>Process implementation includes PDCA loops and operational measures (</w:t>
            </w:r>
            <w:r w:rsidR="007B4856">
              <w:rPr>
                <w:rFonts w:eastAsia="Times New Roman" w:cs="Arial"/>
                <w:szCs w:val="22"/>
              </w:rPr>
              <w:t>Ex1</w:t>
            </w:r>
            <w:r>
              <w:rPr>
                <w:rFonts w:eastAsia="Times New Roman" w:cs="Arial"/>
                <w:szCs w:val="22"/>
              </w:rPr>
              <w:t xml:space="preserve">, </w:t>
            </w:r>
            <w:r w:rsidR="00350724">
              <w:rPr>
                <w:rFonts w:eastAsia="Times New Roman" w:cs="Arial"/>
                <w:szCs w:val="22"/>
              </w:rPr>
              <w:t xml:space="preserve">Ex2,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Combined key elements of </w:t>
            </w:r>
            <w:r w:rsidR="007B4856">
              <w:rPr>
                <w:rFonts w:eastAsia="Times New Roman" w:cs="Arial"/>
                <w:szCs w:val="22"/>
              </w:rPr>
              <w:t>Ex1</w:t>
            </w:r>
            <w:r>
              <w:rPr>
                <w:rFonts w:eastAsia="Times New Roman" w:cs="Arial"/>
                <w:szCs w:val="22"/>
              </w:rPr>
              <w:t xml:space="preserve"> and </w:t>
            </w:r>
            <w:r w:rsidR="007B4856">
              <w:rPr>
                <w:rFonts w:eastAsia="Times New Roman" w:cs="Arial"/>
                <w:szCs w:val="22"/>
              </w:rPr>
              <w:t>Ex6</w:t>
            </w:r>
            <w:r>
              <w:rPr>
                <w:rFonts w:eastAsia="Times New Roman" w:cs="Arial"/>
                <w:szCs w:val="22"/>
              </w:rPr>
              <w:t xml:space="preserve"> feedback ready comments. </w:t>
            </w:r>
            <w:r w:rsidR="007B4856">
              <w:rPr>
                <w:rFonts w:eastAsia="Times New Roman" w:cs="Arial"/>
                <w:szCs w:val="22"/>
              </w:rPr>
              <w:t>Ex2</w:t>
            </w:r>
            <w:r>
              <w:rPr>
                <w:rFonts w:eastAsia="Times New Roman" w:cs="Arial"/>
                <w:szCs w:val="22"/>
              </w:rPr>
              <w:t xml:space="preserve"> and </w:t>
            </w:r>
            <w:r w:rsidR="007B4856">
              <w:rPr>
                <w:rFonts w:eastAsia="Times New Roman" w:cs="Arial"/>
                <w:szCs w:val="22"/>
              </w:rPr>
              <w:t>Ex6</w:t>
            </w:r>
            <w:r>
              <w:rPr>
                <w:rFonts w:eastAsia="Times New Roman" w:cs="Arial"/>
                <w:szCs w:val="22"/>
              </w:rPr>
              <w:t xml:space="preserve"> brought in b(2) and b(3) respectively. </w:t>
            </w:r>
            <w:r w:rsidR="007B4856">
              <w:rPr>
                <w:rFonts w:eastAsia="Times New Roman" w:cs="Arial"/>
                <w:szCs w:val="22"/>
              </w:rPr>
              <w:t>Ex6</w:t>
            </w:r>
            <w:r>
              <w:rPr>
                <w:rFonts w:eastAsia="Times New Roman" w:cs="Arial"/>
                <w:szCs w:val="22"/>
              </w:rPr>
              <w:t xml:space="preserve"> notes that "there are a lot of ways to take this one.</w:t>
            </w:r>
            <w:r w:rsidR="00722459">
              <w:rPr>
                <w:rFonts w:eastAsia="Times New Roman" w:cs="Arial"/>
                <w:szCs w:val="22"/>
              </w:rPr>
              <w:t>”</w:t>
            </w:r>
            <w:r>
              <w:rPr>
                <w:rFonts w:eastAsia="Times New Roman" w:cs="Arial"/>
                <w:szCs w:val="22"/>
              </w:rPr>
              <w:t xml:space="preserve"> </w:t>
            </w:r>
          </w:p>
          <w:p w14:paraId="48A8737D" w14:textId="088A95ED" w:rsidR="005E22BD" w:rsidRDefault="000A11B9">
            <w:pPr>
              <w:rPr>
                <w:rFonts w:eastAsia="Times New Roman" w:cs="Arial"/>
                <w:szCs w:val="22"/>
              </w:rPr>
            </w:pPr>
            <w:r>
              <w:rPr>
                <w:rFonts w:eastAsia="Times New Roman" w:cs="Arial"/>
                <w:szCs w:val="22"/>
              </w:rPr>
              <w:t xml:space="preserve">Combined b(1,3) because only one multiple of a multiple proposed as an OFI for b(3) and we have an OFI around b(2).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1634B8B" w14:textId="77777777" w:rsidR="005E22BD" w:rsidRDefault="000A11B9">
            <w:pPr>
              <w:rPr>
                <w:rFonts w:eastAsia="Times New Roman" w:cs="Arial"/>
                <w:szCs w:val="22"/>
              </w:rPr>
            </w:pPr>
            <w:r>
              <w:rPr>
                <w:rFonts w:eastAsia="Times New Roman" w:cs="Arial"/>
                <w:szCs w:val="22"/>
              </w:rPr>
              <w:t>b(1,3)</w:t>
            </w:r>
          </w:p>
        </w:tc>
      </w:tr>
      <w:tr w:rsidR="005E22BD" w14:paraId="38439713"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C5CFD82"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6763719" w14:textId="7B968A65" w:rsidR="005E22BD" w:rsidRDefault="000A11B9" w:rsidP="00FE33BF">
            <w:pPr>
              <w:rPr>
                <w:rFonts w:eastAsia="Times New Roman" w:cs="Arial"/>
                <w:szCs w:val="22"/>
              </w:rPr>
            </w:pPr>
            <w:r>
              <w:rPr>
                <w:rFonts w:eastAsia="Times New Roman" w:cs="Arial"/>
                <w:szCs w:val="22"/>
              </w:rPr>
              <w:t xml:space="preserve">The PDCA-based innovation process (Figure 6.1-4) helps the applicant manage opportunities for innovation. </w:t>
            </w:r>
            <w:r w:rsidR="00BA714E">
              <w:rPr>
                <w:rFonts w:eastAsia="Times New Roman" w:cs="Arial"/>
                <w:szCs w:val="22"/>
              </w:rPr>
              <w:t>I</w:t>
            </w:r>
            <w:r>
              <w:rPr>
                <w:rFonts w:eastAsia="Times New Roman" w:cs="Arial"/>
                <w:szCs w:val="22"/>
              </w:rPr>
              <w:t xml:space="preserve">nnovation </w:t>
            </w:r>
            <w:r>
              <w:rPr>
                <w:rFonts w:eastAsia="Times New Roman" w:cs="Arial"/>
                <w:szCs w:val="22"/>
              </w:rPr>
              <w:lastRenderedPageBreak/>
              <w:t xml:space="preserve">initiatives are </w:t>
            </w:r>
            <w:r w:rsidR="00774BFB">
              <w:rPr>
                <w:rFonts w:eastAsia="Times New Roman" w:cs="Arial"/>
                <w:szCs w:val="22"/>
              </w:rPr>
              <w:t xml:space="preserve">accompanied by </w:t>
            </w:r>
            <w:r>
              <w:rPr>
                <w:rFonts w:eastAsia="Times New Roman" w:cs="Arial"/>
                <w:szCs w:val="22"/>
              </w:rPr>
              <w:t>a business case including cost, schedule, and scope</w:t>
            </w:r>
            <w:r w:rsidR="00BA714E">
              <w:rPr>
                <w:rFonts w:eastAsia="Times New Roman" w:cs="Arial"/>
                <w:szCs w:val="22"/>
              </w:rPr>
              <w:t xml:space="preserve"> and </w:t>
            </w:r>
            <w:r w:rsidR="00BA714E" w:rsidRPr="00FE33BF">
              <w:rPr>
                <w:rFonts w:eastAsia="Times New Roman" w:cs="Arial"/>
                <w:szCs w:val="22"/>
              </w:rPr>
              <w:t xml:space="preserve">monitored </w:t>
            </w:r>
            <w:r w:rsidR="00BA714E">
              <w:rPr>
                <w:rFonts w:eastAsia="Times New Roman" w:cs="Arial"/>
                <w:szCs w:val="22"/>
              </w:rPr>
              <w:t xml:space="preserve">with </w:t>
            </w:r>
            <w:r w:rsidR="00BA714E" w:rsidRPr="00FE33BF">
              <w:rPr>
                <w:rFonts w:eastAsia="Times New Roman" w:cs="Arial"/>
                <w:szCs w:val="22"/>
              </w:rPr>
              <w:t>stoplight review</w:t>
            </w:r>
            <w:r w:rsidR="00BA714E">
              <w:rPr>
                <w:rFonts w:eastAsia="Times New Roman" w:cs="Arial"/>
                <w:szCs w:val="22"/>
              </w:rPr>
              <w:t>s for budget, schedule, and meeting of objectives</w:t>
            </w:r>
            <w:r>
              <w:rPr>
                <w:rFonts w:eastAsia="Times New Roman" w:cs="Arial"/>
                <w:szCs w:val="22"/>
              </w:rPr>
              <w:t xml:space="preserve">. These processes </w:t>
            </w:r>
            <w:r w:rsidR="00774BFB">
              <w:rPr>
                <w:rFonts w:eastAsia="Times New Roman" w:cs="Arial"/>
                <w:szCs w:val="22"/>
              </w:rPr>
              <w:t xml:space="preserve">support </w:t>
            </w:r>
            <w:r>
              <w:rPr>
                <w:rFonts w:eastAsia="Times New Roman" w:cs="Arial"/>
                <w:szCs w:val="22"/>
              </w:rPr>
              <w:t xml:space="preserve">the applicant </w:t>
            </w:r>
            <w:r w:rsidR="00774BFB">
              <w:rPr>
                <w:rFonts w:eastAsia="Times New Roman" w:cs="Arial"/>
                <w:szCs w:val="22"/>
              </w:rPr>
              <w:t>in pursuing innovation opportunities that are likely to be successful</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5B177CB6" w14:textId="77777777" w:rsidR="00204C1E" w:rsidRDefault="007B4856">
            <w:pPr>
              <w:rPr>
                <w:rFonts w:eastAsia="Times New Roman" w:cs="Arial"/>
                <w:szCs w:val="22"/>
              </w:rPr>
            </w:pPr>
            <w:r>
              <w:rPr>
                <w:rFonts w:eastAsia="Times New Roman" w:cs="Arial"/>
                <w:szCs w:val="22"/>
              </w:rPr>
              <w:lastRenderedPageBreak/>
              <w:t>Ex1</w:t>
            </w:r>
            <w:r w:rsidR="000A11B9">
              <w:rPr>
                <w:rFonts w:eastAsia="Times New Roman" w:cs="Arial"/>
                <w:szCs w:val="22"/>
              </w:rPr>
              <w:t xml:space="preserve">, </w:t>
            </w:r>
            <w:r>
              <w:rPr>
                <w:rFonts w:eastAsia="Times New Roman" w:cs="Arial"/>
                <w:szCs w:val="22"/>
              </w:rPr>
              <w:t>Ex2</w:t>
            </w:r>
            <w:r w:rsidR="000A11B9">
              <w:rPr>
                <w:rFonts w:eastAsia="Times New Roman" w:cs="Arial"/>
                <w:szCs w:val="22"/>
              </w:rPr>
              <w:t xml:space="preserve"> (double), </w:t>
            </w:r>
            <w:r>
              <w:rPr>
                <w:rFonts w:eastAsia="Times New Roman" w:cs="Arial"/>
                <w:szCs w:val="22"/>
              </w:rPr>
              <w:t>Ex3</w:t>
            </w:r>
            <w:r w:rsidR="000A11B9">
              <w:rPr>
                <w:rFonts w:eastAsia="Times New Roman" w:cs="Arial"/>
                <w:szCs w:val="22"/>
              </w:rPr>
              <w:t xml:space="preserve">, </w:t>
            </w:r>
            <w:r>
              <w:rPr>
                <w:rFonts w:eastAsia="Times New Roman" w:cs="Arial"/>
                <w:szCs w:val="22"/>
              </w:rPr>
              <w:t>Ex6</w:t>
            </w:r>
            <w:r w:rsidR="000A11B9">
              <w:rPr>
                <w:rFonts w:eastAsia="Times New Roman" w:cs="Arial"/>
                <w:szCs w:val="22"/>
              </w:rPr>
              <w:t>. Melded feedback</w:t>
            </w:r>
            <w:r w:rsidR="00722459">
              <w:rPr>
                <w:rFonts w:eastAsia="Times New Roman" w:cs="Arial"/>
                <w:szCs w:val="22"/>
              </w:rPr>
              <w:t>-</w:t>
            </w:r>
            <w:r w:rsidR="000A11B9">
              <w:rPr>
                <w:rFonts w:eastAsia="Times New Roman" w:cs="Arial"/>
                <w:szCs w:val="22"/>
              </w:rPr>
              <w:t xml:space="preserve">ready comments from </w:t>
            </w:r>
            <w:r>
              <w:rPr>
                <w:rFonts w:eastAsia="Times New Roman" w:cs="Arial"/>
                <w:szCs w:val="22"/>
              </w:rPr>
              <w:t>Ex2</w:t>
            </w:r>
            <w:r w:rsidR="000A11B9">
              <w:rPr>
                <w:rFonts w:eastAsia="Times New Roman" w:cs="Arial"/>
                <w:szCs w:val="22"/>
              </w:rPr>
              <w:t xml:space="preserve"> </w:t>
            </w:r>
            <w:r w:rsidR="000A11B9">
              <w:rPr>
                <w:rFonts w:eastAsia="Times New Roman" w:cs="Arial"/>
                <w:szCs w:val="22"/>
              </w:rPr>
              <w:lastRenderedPageBreak/>
              <w:t xml:space="preserve">and </w:t>
            </w:r>
            <w:r>
              <w:rPr>
                <w:rFonts w:eastAsia="Times New Roman" w:cs="Arial"/>
                <w:szCs w:val="22"/>
              </w:rPr>
              <w:t>Ex3</w:t>
            </w:r>
            <w:r w:rsidR="000A11B9">
              <w:rPr>
                <w:rFonts w:eastAsia="Times New Roman" w:cs="Arial"/>
                <w:szCs w:val="22"/>
              </w:rPr>
              <w:t xml:space="preserve">. Some noted necessity of giving benefit of doubt. </w:t>
            </w:r>
          </w:p>
          <w:p w14:paraId="202C8FE1" w14:textId="504F25AA" w:rsidR="005E22BD" w:rsidRDefault="007B4856">
            <w:pPr>
              <w:rPr>
                <w:rFonts w:eastAsia="Times New Roman" w:cs="Arial"/>
                <w:szCs w:val="22"/>
              </w:rPr>
            </w:pPr>
            <w:r>
              <w:rPr>
                <w:rFonts w:eastAsia="Times New Roman" w:cs="Arial"/>
                <w:szCs w:val="22"/>
              </w:rPr>
              <w:t>Ex5</w:t>
            </w:r>
            <w:r w:rsidR="000A11B9">
              <w:rPr>
                <w:rFonts w:eastAsia="Times New Roman" w:cs="Arial"/>
                <w:szCs w:val="22"/>
              </w:rPr>
              <w:t xml:space="preserve"> cited this as an OFI because there was a lack of clarity, no cycles of evaluation and improvement and not clear how resources are made available. Propose giving benefit of doubt to allow for verification on</w:t>
            </w:r>
            <w:r w:rsidR="00204C1E">
              <w:rPr>
                <w:rFonts w:eastAsia="Times New Roman" w:cs="Arial"/>
                <w:szCs w:val="22"/>
              </w:rPr>
              <w:t>-</w:t>
            </w:r>
            <w:r w:rsidR="000A11B9">
              <w:rPr>
                <w:rFonts w:eastAsia="Times New Roman" w:cs="Arial"/>
                <w:szCs w:val="22"/>
              </w:rPr>
              <w:t>site given the detail that has been presented.</w:t>
            </w:r>
          </w:p>
        </w:tc>
        <w:tc>
          <w:tcPr>
            <w:tcW w:w="0" w:type="auto"/>
            <w:tcBorders>
              <w:bottom w:val="single" w:sz="6" w:space="0" w:color="000000"/>
              <w:right w:val="single" w:sz="6" w:space="0" w:color="000000"/>
            </w:tcBorders>
            <w:tcMar>
              <w:top w:w="75" w:type="dxa"/>
              <w:left w:w="75" w:type="dxa"/>
              <w:bottom w:w="75" w:type="dxa"/>
              <w:right w:w="75" w:type="dxa"/>
            </w:tcMar>
            <w:hideMark/>
          </w:tcPr>
          <w:p w14:paraId="68985D63" w14:textId="77777777" w:rsidR="005E22BD" w:rsidRDefault="000A11B9">
            <w:pPr>
              <w:rPr>
                <w:rFonts w:eastAsia="Times New Roman" w:cs="Arial"/>
                <w:szCs w:val="22"/>
              </w:rPr>
            </w:pPr>
            <w:r>
              <w:rPr>
                <w:rFonts w:eastAsia="Times New Roman" w:cs="Arial"/>
                <w:szCs w:val="22"/>
              </w:rPr>
              <w:lastRenderedPageBreak/>
              <w:t>d</w:t>
            </w:r>
          </w:p>
        </w:tc>
      </w:tr>
    </w:tbl>
    <w:p w14:paraId="14079443"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70EEAD1A" w14:textId="77777777" w:rsidTr="00080296">
        <w:tc>
          <w:tcPr>
            <w:tcW w:w="10170" w:type="dxa"/>
          </w:tcPr>
          <w:p w14:paraId="41E27992" w14:textId="77777777" w:rsidR="00080296" w:rsidRDefault="00080296" w:rsidP="00080296">
            <w:pPr>
              <w:rPr>
                <w:rFonts w:eastAsia="Times New Roman" w:cs="Arial"/>
                <w:szCs w:val="22"/>
              </w:rPr>
            </w:pPr>
            <w:r>
              <w:rPr>
                <w:rFonts w:eastAsia="Times New Roman" w:cs="Arial"/>
                <w:szCs w:val="22"/>
              </w:rPr>
              <w:t xml:space="preserve">STR a(3) was cited in some way by 7 examiners. Though Ex6 combined a(3) with a(1) into a STR, he noted the a(3) portion was strongest. Support for a(1) was split between STR and OFI and given key factors, proposing it as OFI (please see a(1,2) rationale). </w:t>
            </w:r>
          </w:p>
          <w:p w14:paraId="285EB726" w14:textId="77777777" w:rsidR="00080296" w:rsidRDefault="00080296" w:rsidP="00080296">
            <w:pPr>
              <w:rPr>
                <w:rFonts w:eastAsia="Times New Roman" w:cs="Arial"/>
                <w:szCs w:val="22"/>
              </w:rPr>
            </w:pPr>
            <w:r>
              <w:rPr>
                <w:rFonts w:eastAsia="Times New Roman" w:cs="Arial"/>
                <w:szCs w:val="22"/>
              </w:rPr>
              <w:t xml:space="preserve">Ex6 had combined b(1,3) into a STR and this allowed a merged draft of b(1) and b(3) strength comments from 6 examiners. The t3 examiners who had listed c as a STR all had made notes about it being a weak strength or an OFI as well, so it appears as an OFI. </w:t>
            </w:r>
          </w:p>
          <w:p w14:paraId="71CD6D80" w14:textId="54A4EFDD" w:rsidR="00080296" w:rsidRDefault="00080296" w:rsidP="00080296">
            <w:pPr>
              <w:rPr>
                <w:rFonts w:eastAsia="Times New Roman" w:cs="Arial"/>
                <w:szCs w:val="22"/>
              </w:rPr>
            </w:pPr>
            <w:r>
              <w:rPr>
                <w:rFonts w:eastAsia="Times New Roman" w:cs="Arial"/>
                <w:szCs w:val="22"/>
              </w:rPr>
              <w:t>While Ex5 cited a lack of clarity and some noted benefit of doubt for the d STR, 4 examiners cited a STR with Ex2 giving it a double. Proposing a single strength and listing it as the third strength given the mixed certainty and benefit of doubt.</w:t>
            </w:r>
          </w:p>
        </w:tc>
      </w:tr>
    </w:tbl>
    <w:p w14:paraId="1418198B"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64"/>
        <w:gridCol w:w="4093"/>
        <w:gridCol w:w="1200"/>
      </w:tblGrid>
      <w:tr w:rsidR="005E22BD" w14:paraId="056ACC72"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7B98B1F3"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2BEFC0EC"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27C8EB23"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61F1698A"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386F221F"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6D31E7CF"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E96EB75" w14:textId="1E42E2E4" w:rsidR="005E22BD" w:rsidRDefault="000A11B9">
            <w:pPr>
              <w:rPr>
                <w:rFonts w:eastAsia="Times New Roman" w:cs="Arial"/>
                <w:szCs w:val="22"/>
              </w:rPr>
            </w:pPr>
            <w:r>
              <w:rPr>
                <w:rFonts w:eastAsia="Times New Roman" w:cs="Arial"/>
                <w:szCs w:val="22"/>
              </w:rPr>
              <w:t>It is unclear how the applicant systematically determines key educational program, service, and process requirements</w:t>
            </w:r>
            <w:r w:rsidR="00204C1E">
              <w:rPr>
                <w:rFonts w:eastAsia="Times New Roman" w:cs="Arial"/>
                <w:szCs w:val="22"/>
              </w:rPr>
              <w:t>;</w:t>
            </w:r>
            <w:r w:rsidR="004C103A">
              <w:rPr>
                <w:rFonts w:eastAsia="Times New Roman" w:cs="Arial"/>
                <w:szCs w:val="22"/>
              </w:rPr>
              <w:t xml:space="preserve"> </w:t>
            </w:r>
            <w:r w:rsidR="00774BFB">
              <w:rPr>
                <w:rFonts w:eastAsia="Times New Roman" w:cs="Arial"/>
                <w:szCs w:val="22"/>
              </w:rPr>
              <w:t xml:space="preserve">work processes and requirements (Figure 6.1-1) </w:t>
            </w:r>
            <w:r w:rsidR="00351245">
              <w:rPr>
                <w:rFonts w:eastAsia="Times New Roman" w:cs="Arial"/>
                <w:szCs w:val="22"/>
              </w:rPr>
              <w:t xml:space="preserve">do not appear to </w:t>
            </w:r>
            <w:r w:rsidR="00774BFB">
              <w:rPr>
                <w:rFonts w:eastAsia="Times New Roman" w:cs="Arial"/>
                <w:szCs w:val="22"/>
              </w:rPr>
              <w:t>align with strategic objectives, goals, action plans, and KPIs (Figure 2.1-1)</w:t>
            </w:r>
            <w:r>
              <w:rPr>
                <w:rFonts w:eastAsia="Times New Roman" w:cs="Arial"/>
                <w:szCs w:val="22"/>
              </w:rPr>
              <w:t>. Operational units and departments sort inputs</w:t>
            </w:r>
            <w:r w:rsidR="00774BFB">
              <w:rPr>
                <w:rFonts w:eastAsia="Times New Roman" w:cs="Arial"/>
                <w:szCs w:val="22"/>
              </w:rPr>
              <w:t>,</w:t>
            </w:r>
            <w:r>
              <w:rPr>
                <w:rFonts w:eastAsia="Times New Roman" w:cs="Arial"/>
                <w:szCs w:val="22"/>
              </w:rPr>
              <w:t xml:space="preserve"> but the frequency, criteria, and decision makers are unclear. </w:t>
            </w:r>
            <w:r w:rsidR="00774BFB">
              <w:rPr>
                <w:rFonts w:eastAsia="Times New Roman" w:cs="Arial"/>
                <w:szCs w:val="22"/>
              </w:rPr>
              <w:t xml:space="preserve">In addition, </w:t>
            </w:r>
            <w:r>
              <w:rPr>
                <w:rFonts w:eastAsia="Times New Roman" w:cs="Arial"/>
                <w:szCs w:val="22"/>
              </w:rPr>
              <w:t>no work processes align with learning, graduation, or work readiness of students. Systematic</w:t>
            </w:r>
            <w:r w:rsidR="00204C1E">
              <w:rPr>
                <w:rFonts w:eastAsia="Times New Roman" w:cs="Arial"/>
                <w:szCs w:val="22"/>
              </w:rPr>
              <w:t>ally determining requirements that are aligned with strategic elements</w:t>
            </w:r>
            <w:r>
              <w:rPr>
                <w:rFonts w:eastAsia="Times New Roman" w:cs="Arial"/>
                <w:szCs w:val="22"/>
              </w:rPr>
              <w:t xml:space="preserve"> may assist the applicant in addressing its strategic challenge of increased competition for students.</w:t>
            </w:r>
          </w:p>
        </w:tc>
        <w:tc>
          <w:tcPr>
            <w:tcW w:w="0" w:type="auto"/>
            <w:tcBorders>
              <w:bottom w:val="single" w:sz="6" w:space="0" w:color="000000"/>
              <w:right w:val="single" w:sz="6" w:space="0" w:color="000000"/>
            </w:tcBorders>
            <w:tcMar>
              <w:top w:w="75" w:type="dxa"/>
              <w:left w:w="75" w:type="dxa"/>
              <w:bottom w:w="75" w:type="dxa"/>
              <w:right w:w="75" w:type="dxa"/>
            </w:tcMar>
            <w:hideMark/>
          </w:tcPr>
          <w:p w14:paraId="2863D93E" w14:textId="3325865A" w:rsidR="00774BFB" w:rsidRDefault="000A11B9">
            <w:pPr>
              <w:rPr>
                <w:rFonts w:eastAsia="Times New Roman" w:cs="Arial"/>
                <w:szCs w:val="22"/>
              </w:rPr>
            </w:pPr>
            <w:r>
              <w:rPr>
                <w:rFonts w:eastAsia="Times New Roman" w:cs="Arial"/>
                <w:szCs w:val="22"/>
              </w:rPr>
              <w:t xml:space="preserve">R3: Used </w:t>
            </w:r>
            <w:r w:rsidR="007B4856">
              <w:rPr>
                <w:rFonts w:eastAsia="Times New Roman" w:cs="Arial"/>
                <w:szCs w:val="22"/>
              </w:rPr>
              <w:t>Ex5</w:t>
            </w:r>
            <w:r w:rsidR="005663C4">
              <w:rPr>
                <w:rFonts w:eastAsia="Times New Roman" w:cs="Arial"/>
                <w:szCs w:val="22"/>
              </w:rPr>
              <w:t>’</w:t>
            </w:r>
            <w:r>
              <w:rPr>
                <w:rFonts w:eastAsia="Times New Roman" w:cs="Arial"/>
                <w:szCs w:val="22"/>
              </w:rPr>
              <w:t>s suggestion of combining a(1) and a(2) OFIs. Moved a(1) OFI content back up from GHOST comment into feedback report given importance relative to applicant</w:t>
            </w:r>
            <w:r w:rsidR="005663C4">
              <w:rPr>
                <w:rFonts w:eastAsia="Times New Roman" w:cs="Arial"/>
                <w:szCs w:val="22"/>
              </w:rPr>
              <w:t>’</w:t>
            </w:r>
            <w:r>
              <w:rPr>
                <w:rFonts w:eastAsia="Times New Roman" w:cs="Arial"/>
                <w:szCs w:val="22"/>
              </w:rPr>
              <w:t xml:space="preserve">s key factors and melded it with the a(2) OFI. </w:t>
            </w:r>
          </w:p>
          <w:p w14:paraId="7F05CF59" w14:textId="419FF77F" w:rsidR="00774BFB" w:rsidRDefault="000A11B9">
            <w:pPr>
              <w:rPr>
                <w:rFonts w:eastAsia="Times New Roman" w:cs="Arial"/>
                <w:szCs w:val="22"/>
              </w:rPr>
            </w:pPr>
            <w:r>
              <w:rPr>
                <w:rFonts w:eastAsia="Times New Roman" w:cs="Arial"/>
                <w:szCs w:val="22"/>
              </w:rPr>
              <w:t>R2: Proposed eliminating both STR and OFI for a(1). There</w:t>
            </w:r>
            <w:r w:rsidR="005663C4">
              <w:rPr>
                <w:rFonts w:eastAsia="Times New Roman" w:cs="Arial"/>
                <w:szCs w:val="22"/>
              </w:rPr>
              <w:t>’</w:t>
            </w:r>
            <w:r>
              <w:rPr>
                <w:rFonts w:eastAsia="Times New Roman" w:cs="Arial"/>
                <w:szCs w:val="22"/>
              </w:rPr>
              <w:t>s rationale for giving benefit of doubt and while some proposed OFIs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w:t>
            </w:r>
            <w:r w:rsidR="00774BFB">
              <w:rPr>
                <w:rFonts w:eastAsia="Times New Roman" w:cs="Arial"/>
                <w:szCs w:val="22"/>
              </w:rPr>
              <w:t>.</w:t>
            </w:r>
            <w:r>
              <w:rPr>
                <w:rFonts w:eastAsia="Times New Roman" w:cs="Arial"/>
                <w:szCs w:val="22"/>
              </w:rPr>
              <w:t xml:space="preserve"> Those who gave strengths were </w:t>
            </w:r>
            <w:r w:rsidR="007B4856">
              <w:rPr>
                <w:rFonts w:eastAsia="Times New Roman" w:cs="Arial"/>
                <w:szCs w:val="22"/>
              </w:rPr>
              <w:t>Ex7</w:t>
            </w:r>
            <w:r>
              <w:rPr>
                <w:rFonts w:eastAsia="Times New Roman" w:cs="Arial"/>
                <w:szCs w:val="22"/>
              </w:rPr>
              <w:t xml:space="preserve"> weak strength</w:t>
            </w:r>
            <w:r w:rsidR="00774BFB">
              <w:rPr>
                <w:rFonts w:eastAsia="Times New Roman" w:cs="Arial"/>
                <w:szCs w:val="22"/>
              </w:rPr>
              <w:t>,</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strength based on benefit of doubt, and </w:t>
            </w:r>
            <w:r w:rsidR="007B4856">
              <w:rPr>
                <w:rFonts w:eastAsia="Times New Roman" w:cs="Arial"/>
                <w:szCs w:val="22"/>
              </w:rPr>
              <w:t>Ex1</w:t>
            </w:r>
            <w:r>
              <w:rPr>
                <w:rFonts w:eastAsia="Times New Roman" w:cs="Arial"/>
                <w:szCs w:val="22"/>
              </w:rPr>
              <w:t xml:space="preserve"> focused on inputs. </w:t>
            </w:r>
          </w:p>
          <w:p w14:paraId="0EAB26E2" w14:textId="30E6A3F2" w:rsidR="00774BFB" w:rsidRDefault="000A11B9">
            <w:pPr>
              <w:rPr>
                <w:rFonts w:eastAsia="Times New Roman" w:cs="Arial"/>
                <w:szCs w:val="22"/>
              </w:rPr>
            </w:pPr>
            <w:r>
              <w:rPr>
                <w:rFonts w:eastAsia="Times New Roman" w:cs="Arial"/>
                <w:szCs w:val="22"/>
              </w:rPr>
              <w:t>Though we were mixed on this, with the key factors of increased competition and decreased state funding, it could be a vulnerability if the applicant doesn</w:t>
            </w:r>
            <w:r w:rsidR="005663C4">
              <w:rPr>
                <w:rFonts w:eastAsia="Times New Roman" w:cs="Arial"/>
                <w:szCs w:val="22"/>
              </w:rPr>
              <w:t>’</w:t>
            </w:r>
            <w:r>
              <w:rPr>
                <w:rFonts w:eastAsia="Times New Roman" w:cs="Arial"/>
                <w:szCs w:val="22"/>
              </w:rPr>
              <w:t xml:space="preserve">t systematically determine its work process requirements. Although inputs were listed, it was fuzzy as to whether systematic processes are used. </w:t>
            </w:r>
          </w:p>
          <w:p w14:paraId="21A2F8AB" w14:textId="77777777" w:rsidR="00774BFB" w:rsidRDefault="000A11B9">
            <w:pPr>
              <w:rPr>
                <w:rFonts w:eastAsia="Times New Roman" w:cs="Arial"/>
                <w:szCs w:val="22"/>
              </w:rPr>
            </w:pPr>
            <w:r>
              <w:rPr>
                <w:rFonts w:eastAsia="Times New Roman" w:cs="Arial"/>
                <w:szCs w:val="22"/>
              </w:rPr>
              <w:t xml:space="preserve">This comment focuses on "key educational program, service, and </w:t>
            </w:r>
            <w:r>
              <w:rPr>
                <w:rFonts w:eastAsia="Times New Roman" w:cs="Arial"/>
                <w:szCs w:val="22"/>
              </w:rPr>
              <w:lastRenderedPageBreak/>
              <w:t xml:space="preserve">process requirements" because they were not specifically addressed. </w:t>
            </w:r>
          </w:p>
          <w:p w14:paraId="6ED3B9B3" w14:textId="0CE4D6FF" w:rsidR="005E22BD" w:rsidRDefault="000A11B9">
            <w:pPr>
              <w:rPr>
                <w:rFonts w:eastAsia="Times New Roman" w:cs="Arial"/>
                <w:szCs w:val="22"/>
              </w:rPr>
            </w:pPr>
            <w:r>
              <w:rPr>
                <w:rFonts w:eastAsia="Times New Roman" w:cs="Arial"/>
                <w:szCs w:val="22"/>
              </w:rPr>
              <w:t xml:space="preserve">Drafted using </w:t>
            </w:r>
            <w:r w:rsidR="007B4856">
              <w:rPr>
                <w:rFonts w:eastAsia="Times New Roman" w:cs="Arial"/>
                <w:szCs w:val="22"/>
              </w:rPr>
              <w:t>Ex3</w:t>
            </w:r>
            <w:r w:rsidR="005663C4">
              <w:rPr>
                <w:rFonts w:eastAsia="Times New Roman" w:cs="Arial"/>
                <w:szCs w:val="22"/>
              </w:rPr>
              <w:t>’</w:t>
            </w:r>
            <w:r>
              <w:rPr>
                <w:rFonts w:eastAsia="Times New Roman" w:cs="Arial"/>
                <w:szCs w:val="22"/>
              </w:rPr>
              <w:t xml:space="preserve">s </w:t>
            </w:r>
            <w:r w:rsidR="00C3241D">
              <w:rPr>
                <w:rFonts w:eastAsia="Times New Roman" w:cs="Arial"/>
                <w:szCs w:val="22"/>
              </w:rPr>
              <w:t>feedback-ready</w:t>
            </w:r>
            <w:r>
              <w:rPr>
                <w:rFonts w:eastAsia="Times New Roman" w:cs="Arial"/>
                <w:szCs w:val="22"/>
              </w:rPr>
              <w:t xml:space="preserve"> comment.</w:t>
            </w:r>
          </w:p>
        </w:tc>
        <w:tc>
          <w:tcPr>
            <w:tcW w:w="0" w:type="auto"/>
            <w:tcBorders>
              <w:bottom w:val="single" w:sz="6" w:space="0" w:color="000000"/>
              <w:right w:val="single" w:sz="6" w:space="0" w:color="000000"/>
            </w:tcBorders>
            <w:tcMar>
              <w:top w:w="75" w:type="dxa"/>
              <w:left w:w="75" w:type="dxa"/>
              <w:bottom w:w="75" w:type="dxa"/>
              <w:right w:w="75" w:type="dxa"/>
            </w:tcMar>
            <w:hideMark/>
          </w:tcPr>
          <w:p w14:paraId="4B87EBD5" w14:textId="77777777" w:rsidR="005E22BD" w:rsidRDefault="000A11B9">
            <w:pPr>
              <w:rPr>
                <w:rFonts w:eastAsia="Times New Roman" w:cs="Arial"/>
                <w:szCs w:val="22"/>
              </w:rPr>
            </w:pPr>
            <w:r>
              <w:rPr>
                <w:rFonts w:eastAsia="Times New Roman" w:cs="Arial"/>
                <w:szCs w:val="22"/>
              </w:rPr>
              <w:lastRenderedPageBreak/>
              <w:t>a(1,2)</w:t>
            </w:r>
          </w:p>
        </w:tc>
      </w:tr>
      <w:tr w:rsidR="005E22BD" w14:paraId="25BA4B78"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A7CCDA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0E9BFE7" w14:textId="248F8026" w:rsidR="005E22BD" w:rsidRDefault="00A71A91">
            <w:pPr>
              <w:rPr>
                <w:rFonts w:eastAsia="Times New Roman" w:cs="Arial"/>
                <w:szCs w:val="22"/>
              </w:rPr>
            </w:pPr>
            <w:r>
              <w:rPr>
                <w:rFonts w:eastAsia="Times New Roman" w:cs="Arial"/>
                <w:szCs w:val="22"/>
              </w:rPr>
              <w:t>T</w:t>
            </w:r>
            <w:r w:rsidR="000A11B9">
              <w:rPr>
                <w:rFonts w:eastAsia="Times New Roman" w:cs="Arial"/>
                <w:szCs w:val="22"/>
              </w:rPr>
              <w:t>he applicant</w:t>
            </w:r>
            <w:r w:rsidR="005663C4">
              <w:rPr>
                <w:rFonts w:eastAsia="Times New Roman" w:cs="Arial"/>
                <w:szCs w:val="22"/>
              </w:rPr>
              <w:t>’</w:t>
            </w:r>
            <w:r w:rsidR="000A11B9">
              <w:rPr>
                <w:rFonts w:eastAsia="Times New Roman" w:cs="Arial"/>
                <w:szCs w:val="22"/>
              </w:rPr>
              <w:t xml:space="preserve">s CAS processes for managing the supply network </w:t>
            </w:r>
            <w:r>
              <w:rPr>
                <w:rFonts w:eastAsia="Times New Roman" w:cs="Arial"/>
                <w:szCs w:val="22"/>
              </w:rPr>
              <w:t xml:space="preserve">do not appear to </w:t>
            </w:r>
            <w:r w:rsidR="000A11B9">
              <w:rPr>
                <w:rFonts w:eastAsia="Times New Roman" w:cs="Arial"/>
                <w:szCs w:val="22"/>
              </w:rPr>
              <w:t xml:space="preserve">include approaches </w:t>
            </w:r>
            <w:r w:rsidR="00BA714E">
              <w:rPr>
                <w:rFonts w:eastAsia="Times New Roman" w:cs="Arial"/>
                <w:szCs w:val="22"/>
              </w:rPr>
              <w:t>for</w:t>
            </w:r>
            <w:r w:rsidR="000A11B9">
              <w:rPr>
                <w:rFonts w:eastAsia="Times New Roman" w:cs="Arial"/>
                <w:szCs w:val="22"/>
              </w:rPr>
              <w:t xml:space="preserve"> communicating performance expectations, measuring suppliers</w:t>
            </w:r>
            <w:r w:rsidR="005663C4">
              <w:rPr>
                <w:rFonts w:eastAsia="Times New Roman" w:cs="Arial"/>
                <w:szCs w:val="22"/>
              </w:rPr>
              <w:t>’</w:t>
            </w:r>
            <w:r w:rsidR="000A11B9">
              <w:rPr>
                <w:rFonts w:eastAsia="Times New Roman" w:cs="Arial"/>
                <w:szCs w:val="22"/>
              </w:rPr>
              <w:t xml:space="preserve"> performance, providing </w:t>
            </w:r>
            <w:r w:rsidR="005D7B5E">
              <w:rPr>
                <w:rFonts w:eastAsia="Times New Roman" w:cs="Arial"/>
                <w:szCs w:val="22"/>
              </w:rPr>
              <w:t>feedback,</w:t>
            </w:r>
            <w:r w:rsidR="000A11B9">
              <w:rPr>
                <w:rFonts w:eastAsia="Times New Roman" w:cs="Arial"/>
                <w:szCs w:val="22"/>
              </w:rPr>
              <w:t xml:space="preserve"> or addressing suppliers</w:t>
            </w:r>
            <w:r w:rsidR="005663C4">
              <w:rPr>
                <w:rFonts w:eastAsia="Times New Roman" w:cs="Arial"/>
                <w:szCs w:val="22"/>
              </w:rPr>
              <w:t>’</w:t>
            </w:r>
            <w:r w:rsidR="000A11B9">
              <w:rPr>
                <w:rFonts w:eastAsia="Times New Roman" w:cs="Arial"/>
                <w:szCs w:val="22"/>
              </w:rPr>
              <w:t xml:space="preserve"> poor performance. </w:t>
            </w:r>
            <w:r>
              <w:rPr>
                <w:rFonts w:eastAsia="Times New Roman" w:cs="Arial"/>
                <w:szCs w:val="22"/>
              </w:rPr>
              <w:t xml:space="preserve">Considering </w:t>
            </w:r>
            <w:r w:rsidR="000A11B9">
              <w:rPr>
                <w:rFonts w:eastAsia="Times New Roman" w:cs="Arial"/>
                <w:szCs w:val="22"/>
              </w:rPr>
              <w:t>suppliers</w:t>
            </w:r>
            <w:r w:rsidR="005663C4">
              <w:rPr>
                <w:rFonts w:eastAsia="Times New Roman" w:cs="Arial"/>
                <w:szCs w:val="22"/>
              </w:rPr>
              <w:t>’</w:t>
            </w:r>
            <w:r w:rsidR="000A11B9">
              <w:rPr>
                <w:rFonts w:eastAsia="Times New Roman" w:cs="Arial"/>
                <w:szCs w:val="22"/>
              </w:rPr>
              <w:t xml:space="preserve"> </w:t>
            </w:r>
            <w:r>
              <w:rPr>
                <w:rFonts w:eastAsia="Times New Roman" w:cs="Arial"/>
                <w:szCs w:val="22"/>
              </w:rPr>
              <w:t xml:space="preserve">role in </w:t>
            </w:r>
            <w:r w:rsidR="000A11B9">
              <w:rPr>
                <w:rFonts w:eastAsia="Times New Roman" w:cs="Arial"/>
                <w:szCs w:val="22"/>
              </w:rPr>
              <w:t>provid</w:t>
            </w:r>
            <w:r>
              <w:rPr>
                <w:rFonts w:eastAsia="Times New Roman" w:cs="Arial"/>
                <w:szCs w:val="22"/>
              </w:rPr>
              <w:t>ing</w:t>
            </w:r>
            <w:r w:rsidR="000A11B9">
              <w:rPr>
                <w:rFonts w:eastAsia="Times New Roman" w:cs="Arial"/>
                <w:szCs w:val="22"/>
              </w:rPr>
              <w:t xml:space="preserve"> information technology, </w:t>
            </w:r>
            <w:r w:rsidR="00C3241D">
              <w:rPr>
                <w:rFonts w:eastAsia="Times New Roman" w:cs="Arial"/>
                <w:szCs w:val="22"/>
              </w:rPr>
              <w:t xml:space="preserve">the </w:t>
            </w:r>
            <w:r w:rsidR="000A11B9">
              <w:rPr>
                <w:rFonts w:eastAsia="Times New Roman" w:cs="Arial"/>
                <w:szCs w:val="22"/>
              </w:rPr>
              <w:t>bookstore, and dining services (Figure 6.1-1)</w:t>
            </w:r>
            <w:r>
              <w:rPr>
                <w:rFonts w:eastAsia="Times New Roman" w:cs="Arial"/>
                <w:szCs w:val="22"/>
              </w:rPr>
              <w:t>, supplier management</w:t>
            </w:r>
            <w:r w:rsidR="000A11B9">
              <w:rPr>
                <w:rFonts w:eastAsia="Times New Roman" w:cs="Arial"/>
                <w:szCs w:val="22"/>
              </w:rPr>
              <w:t xml:space="preserve"> may be critical to meeting students</w:t>
            </w:r>
            <w:r w:rsidR="005663C4">
              <w:rPr>
                <w:rFonts w:eastAsia="Times New Roman" w:cs="Arial"/>
                <w:szCs w:val="22"/>
              </w:rPr>
              <w:t>’</w:t>
            </w:r>
            <w:r w:rsidR="000A11B9">
              <w:rPr>
                <w:rFonts w:eastAsia="Times New Roman" w:cs="Arial"/>
                <w:szCs w:val="22"/>
              </w:rPr>
              <w:t xml:space="preserve"> requirements.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515A1F6" w14:textId="3033FD09" w:rsidR="00A71A91" w:rsidRDefault="000A11B9">
            <w:pPr>
              <w:rPr>
                <w:rFonts w:eastAsia="Times New Roman" w:cs="Arial"/>
                <w:szCs w:val="22"/>
              </w:rPr>
            </w:pPr>
            <w:r>
              <w:rPr>
                <w:rFonts w:eastAsia="Times New Roman" w:cs="Arial"/>
                <w:szCs w:val="22"/>
              </w:rPr>
              <w:t>R3: worked on broadening the "so what" while giving specific example of students</w:t>
            </w:r>
            <w:r w:rsidR="005663C4">
              <w:rPr>
                <w:rFonts w:eastAsia="Times New Roman" w:cs="Arial"/>
                <w:szCs w:val="22"/>
              </w:rPr>
              <w:t>’</w:t>
            </w:r>
            <w:r>
              <w:rPr>
                <w:rFonts w:eastAsia="Times New Roman" w:cs="Arial"/>
                <w:szCs w:val="22"/>
              </w:rPr>
              <w:t xml:space="preserve"> requirements. </w:t>
            </w:r>
          </w:p>
          <w:p w14:paraId="43A239BB" w14:textId="557F03D5" w:rsidR="00A71A91" w:rsidRDefault="000A11B9">
            <w:pPr>
              <w:rPr>
                <w:rFonts w:eastAsia="Times New Roman" w:cs="Arial"/>
                <w:szCs w:val="22"/>
              </w:rPr>
            </w:pPr>
            <w:r>
              <w:rPr>
                <w:rFonts w:eastAsia="Times New Roman" w:cs="Arial"/>
                <w:szCs w:val="22"/>
              </w:rPr>
              <w:t>Unclear how applicant</w:t>
            </w:r>
            <w:r w:rsidR="005663C4">
              <w:rPr>
                <w:rFonts w:eastAsia="Times New Roman" w:cs="Arial"/>
                <w:szCs w:val="22"/>
              </w:rPr>
              <w:t>’</w:t>
            </w:r>
            <w:r>
              <w:rPr>
                <w:rFonts w:eastAsia="Times New Roman" w:cs="Arial"/>
                <w:szCs w:val="22"/>
              </w:rPr>
              <w:t>s management of supply network enhances performance or satisfaction (</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Pr>
                <w:rFonts w:eastAsia="Times New Roman" w:cs="Arial"/>
                <w:szCs w:val="22"/>
              </w:rPr>
              <w:t>)</w:t>
            </w:r>
            <w:r w:rsidR="00A71A91">
              <w:rPr>
                <w:rFonts w:eastAsia="Times New Roman" w:cs="Arial"/>
                <w:szCs w:val="22"/>
              </w:rPr>
              <w:t>.</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asked whether RFP is responsive to changes in student preferences. </w:t>
            </w:r>
          </w:p>
          <w:p w14:paraId="4E66264C" w14:textId="77777777" w:rsidR="00A71A91" w:rsidRDefault="000A11B9">
            <w:pPr>
              <w:rPr>
                <w:rFonts w:eastAsia="Times New Roman" w:cs="Arial"/>
                <w:szCs w:val="22"/>
              </w:rPr>
            </w:pPr>
            <w:r>
              <w:rPr>
                <w:rFonts w:eastAsia="Times New Roman" w:cs="Arial"/>
                <w:szCs w:val="22"/>
              </w:rPr>
              <w:t>All three examiners who proposed strengths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Ex5</w:t>
            </w:r>
            <w:r>
              <w:rPr>
                <w:rFonts w:eastAsia="Times New Roman" w:cs="Arial"/>
                <w:szCs w:val="22"/>
              </w:rPr>
              <w:t>, a</w:t>
            </w:r>
            <w:r w:rsidR="007B4856">
              <w:rPr>
                <w:rFonts w:eastAsia="Times New Roman" w:cs="Arial"/>
                <w:szCs w:val="22"/>
              </w:rPr>
              <w:t>Ex6</w:t>
            </w:r>
            <w:r>
              <w:rPr>
                <w:rFonts w:eastAsia="Times New Roman" w:cs="Arial"/>
                <w:szCs w:val="22"/>
              </w:rPr>
              <w:t xml:space="preserve">) either questioned the process or proposed OFIs. </w:t>
            </w:r>
          </w:p>
          <w:p w14:paraId="5FCE7A58" w14:textId="77777777" w:rsidR="00A71A91" w:rsidRDefault="000A11B9">
            <w:pPr>
              <w:rPr>
                <w:rFonts w:eastAsia="Times New Roman" w:cs="Arial"/>
                <w:szCs w:val="22"/>
              </w:rPr>
            </w:pPr>
            <w:r>
              <w:rPr>
                <w:rFonts w:eastAsia="Times New Roman" w:cs="Arial"/>
                <w:szCs w:val="22"/>
              </w:rPr>
              <w:t xml:space="preserve">Given the importance of the supply network for the applicant in delivering services to its stakeholders, particularly students, rather than an overall STR I am proposing a multiple OFI as better helping the applicant on its quality journey. </w:t>
            </w:r>
          </w:p>
          <w:p w14:paraId="6273EB04" w14:textId="3FD815F0" w:rsidR="005E22BD" w:rsidRDefault="007B4856">
            <w:pPr>
              <w:rPr>
                <w:rFonts w:eastAsia="Times New Roman" w:cs="Arial"/>
                <w:szCs w:val="22"/>
              </w:rPr>
            </w:pPr>
            <w:r>
              <w:rPr>
                <w:rFonts w:eastAsia="Times New Roman" w:cs="Arial"/>
                <w:szCs w:val="22"/>
              </w:rPr>
              <w:t>Ex4</w:t>
            </w:r>
            <w:r w:rsidR="005D7B5E">
              <w:rPr>
                <w:rFonts w:eastAsia="Times New Roman" w:cs="Arial"/>
                <w:szCs w:val="22"/>
              </w:rPr>
              <w:t>:</w:t>
            </w:r>
            <w:r w:rsidR="000A11B9">
              <w:rPr>
                <w:rFonts w:eastAsia="Times New Roman" w:cs="Arial"/>
                <w:szCs w:val="22"/>
              </w:rPr>
              <w:t xml:space="preserve"> The procurement process allows the applicant to engage with </w:t>
            </w:r>
            <w:r w:rsidR="005D7B5E">
              <w:rPr>
                <w:rFonts w:eastAsia="Times New Roman" w:cs="Arial"/>
                <w:szCs w:val="22"/>
              </w:rPr>
              <w:t>suppliers,</w:t>
            </w:r>
            <w:r w:rsidR="000A11B9">
              <w:rPr>
                <w:rFonts w:eastAsia="Times New Roman" w:cs="Arial"/>
                <w:szCs w:val="22"/>
              </w:rPr>
              <w:t xml:space="preserve"> but it is not clear how the process allows the applicant to enhance performance, support strategic objectives or enhance student and customer satisfaction.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40BDA16" w14:textId="77777777" w:rsidR="005E22BD" w:rsidRDefault="000A11B9">
            <w:pPr>
              <w:rPr>
                <w:rFonts w:eastAsia="Times New Roman" w:cs="Arial"/>
                <w:szCs w:val="22"/>
              </w:rPr>
            </w:pPr>
            <w:r>
              <w:rPr>
                <w:rFonts w:eastAsia="Times New Roman" w:cs="Arial"/>
                <w:szCs w:val="22"/>
              </w:rPr>
              <w:t>c</w:t>
            </w:r>
          </w:p>
        </w:tc>
      </w:tr>
      <w:tr w:rsidR="005E22BD" w14:paraId="413C91A2"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6EE0D63"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5848428" w14:textId="2C587921" w:rsidR="005E22BD" w:rsidRDefault="000A11B9">
            <w:pPr>
              <w:rPr>
                <w:rFonts w:eastAsia="Times New Roman" w:cs="Arial"/>
                <w:szCs w:val="22"/>
              </w:rPr>
            </w:pPr>
            <w:r>
              <w:rPr>
                <w:rFonts w:eastAsia="Times New Roman" w:cs="Arial"/>
                <w:szCs w:val="22"/>
              </w:rPr>
              <w:t xml:space="preserve">It is unclear how the applicant </w:t>
            </w:r>
            <w:r w:rsidR="00A71A91">
              <w:rPr>
                <w:rFonts w:eastAsia="Times New Roman" w:cs="Arial"/>
                <w:szCs w:val="22"/>
              </w:rPr>
              <w:t xml:space="preserve">systematically </w:t>
            </w:r>
            <w:r>
              <w:rPr>
                <w:rFonts w:eastAsia="Times New Roman" w:cs="Arial"/>
                <w:szCs w:val="22"/>
              </w:rPr>
              <w:t>determines its key support processes and their requirements</w:t>
            </w:r>
            <w:r w:rsidR="00AA6953">
              <w:rPr>
                <w:rFonts w:eastAsia="Times New Roman" w:cs="Arial"/>
                <w:szCs w:val="22"/>
              </w:rPr>
              <w:t xml:space="preserve"> and</w:t>
            </w:r>
            <w:r>
              <w:rPr>
                <w:rFonts w:eastAsia="Times New Roman" w:cs="Arial"/>
                <w:szCs w:val="22"/>
              </w:rPr>
              <w:t xml:space="preserve"> determines whether these processes meet key business requirements during daily operations</w:t>
            </w:r>
            <w:r w:rsidR="00AA6953">
              <w:rPr>
                <w:rFonts w:eastAsia="Times New Roman" w:cs="Arial"/>
                <w:szCs w:val="22"/>
              </w:rPr>
              <w:t>; n</w:t>
            </w:r>
            <w:r w:rsidR="00A71A91">
              <w:rPr>
                <w:rFonts w:eastAsia="Times New Roman" w:cs="Arial"/>
                <w:szCs w:val="22"/>
              </w:rPr>
              <w:t>or</w:t>
            </w:r>
            <w:r>
              <w:rPr>
                <w:rFonts w:eastAsia="Times New Roman" w:cs="Arial"/>
                <w:szCs w:val="22"/>
              </w:rPr>
              <w:t xml:space="preserve"> </w:t>
            </w:r>
            <w:r w:rsidR="00AA6953">
              <w:rPr>
                <w:rFonts w:eastAsia="Times New Roman" w:cs="Arial"/>
                <w:szCs w:val="22"/>
              </w:rPr>
              <w:t xml:space="preserve">is </w:t>
            </w:r>
            <w:r>
              <w:rPr>
                <w:rFonts w:eastAsia="Times New Roman" w:cs="Arial"/>
                <w:szCs w:val="22"/>
              </w:rPr>
              <w:t>full deploy</w:t>
            </w:r>
            <w:r w:rsidR="00AA6953">
              <w:rPr>
                <w:rFonts w:eastAsia="Times New Roman" w:cs="Arial"/>
                <w:szCs w:val="22"/>
              </w:rPr>
              <w:t>ment</w:t>
            </w:r>
            <w:r>
              <w:rPr>
                <w:rFonts w:eastAsia="Times New Roman" w:cs="Arial"/>
                <w:szCs w:val="22"/>
              </w:rPr>
              <w:t xml:space="preserve"> to the key assets and locations (P.1a</w:t>
            </w:r>
            <w:r w:rsidR="00A71A91">
              <w:rPr>
                <w:rFonts w:eastAsia="Times New Roman" w:cs="Arial"/>
                <w:szCs w:val="22"/>
              </w:rPr>
              <w:t>[</w:t>
            </w:r>
            <w:r>
              <w:rPr>
                <w:rFonts w:eastAsia="Times New Roman" w:cs="Arial"/>
                <w:szCs w:val="22"/>
              </w:rPr>
              <w:t>4</w:t>
            </w:r>
            <w:r w:rsidR="00A71A91">
              <w:rPr>
                <w:rFonts w:eastAsia="Times New Roman" w:cs="Arial"/>
                <w:szCs w:val="22"/>
              </w:rPr>
              <w:t>]</w:t>
            </w:r>
            <w:r>
              <w:rPr>
                <w:rFonts w:eastAsia="Times New Roman" w:cs="Arial"/>
                <w:szCs w:val="22"/>
              </w:rPr>
              <w:t>) or other support functions (Figure P.1-1a)</w:t>
            </w:r>
            <w:r w:rsidR="00AA6953">
              <w:rPr>
                <w:rFonts w:eastAsia="Times New Roman" w:cs="Arial"/>
                <w:szCs w:val="22"/>
              </w:rPr>
              <w:t xml:space="preserve"> evident</w:t>
            </w:r>
            <w:r>
              <w:rPr>
                <w:rFonts w:eastAsia="Times New Roman" w:cs="Arial"/>
                <w:szCs w:val="22"/>
              </w:rPr>
              <w:t>. Without a systematic approach</w:t>
            </w:r>
            <w:r w:rsidR="00AA6953">
              <w:rPr>
                <w:rFonts w:eastAsia="Times New Roman" w:cs="Arial"/>
                <w:szCs w:val="22"/>
              </w:rPr>
              <w:t xml:space="preserve"> and full deployment</w:t>
            </w:r>
            <w:r>
              <w:rPr>
                <w:rFonts w:eastAsia="Times New Roman" w:cs="Arial"/>
                <w:szCs w:val="22"/>
              </w:rPr>
              <w:t>, the applicant may not meet its students</w:t>
            </w:r>
            <w:r w:rsidR="005663C4">
              <w:rPr>
                <w:rFonts w:eastAsia="Times New Roman" w:cs="Arial"/>
                <w:szCs w:val="22"/>
              </w:rPr>
              <w:t>’</w:t>
            </w:r>
            <w:r>
              <w:rPr>
                <w:rFonts w:eastAsia="Times New Roman" w:cs="Arial"/>
                <w:szCs w:val="22"/>
              </w:rPr>
              <w:t xml:space="preserve"> or other customers</w:t>
            </w:r>
            <w:r w:rsidR="005663C4">
              <w:rPr>
                <w:rFonts w:eastAsia="Times New Roman" w:cs="Arial"/>
                <w:szCs w:val="22"/>
              </w:rPr>
              <w:t>’</w:t>
            </w:r>
            <w:r>
              <w:rPr>
                <w:rFonts w:eastAsia="Times New Roman" w:cs="Arial"/>
                <w:szCs w:val="22"/>
              </w:rPr>
              <w:t xml:space="preserve"> requirements or </w:t>
            </w:r>
            <w:r w:rsidR="00A71A91">
              <w:rPr>
                <w:rFonts w:eastAsia="Times New Roman" w:cs="Arial"/>
                <w:szCs w:val="22"/>
              </w:rPr>
              <w:t>maintain its core competency in providing</w:t>
            </w:r>
            <w:r>
              <w:rPr>
                <w:rFonts w:eastAsia="Times New Roman" w:cs="Arial"/>
                <w:szCs w:val="22"/>
              </w:rPr>
              <w:t xml:space="preserve"> exceptional student support services.</w:t>
            </w:r>
          </w:p>
        </w:tc>
        <w:tc>
          <w:tcPr>
            <w:tcW w:w="0" w:type="auto"/>
            <w:tcBorders>
              <w:bottom w:val="single" w:sz="6" w:space="0" w:color="000000"/>
              <w:right w:val="single" w:sz="6" w:space="0" w:color="000000"/>
            </w:tcBorders>
            <w:tcMar>
              <w:top w:w="75" w:type="dxa"/>
              <w:left w:w="75" w:type="dxa"/>
              <w:bottom w:w="75" w:type="dxa"/>
              <w:right w:w="75" w:type="dxa"/>
            </w:tcMar>
            <w:hideMark/>
          </w:tcPr>
          <w:p w14:paraId="7A5DCB25" w14:textId="592BAF71" w:rsidR="00A71A91" w:rsidRDefault="000A11B9">
            <w:pPr>
              <w:rPr>
                <w:rFonts w:eastAsia="Times New Roman" w:cs="Arial"/>
                <w:szCs w:val="22"/>
              </w:rPr>
            </w:pPr>
            <w:r>
              <w:rPr>
                <w:rFonts w:eastAsia="Times New Roman" w:cs="Arial"/>
                <w:szCs w:val="22"/>
              </w:rPr>
              <w:t>R3: Broadened the relevance statement to include other customers</w:t>
            </w:r>
            <w:r w:rsidR="005663C4">
              <w:rPr>
                <w:rFonts w:eastAsia="Times New Roman" w:cs="Arial"/>
                <w:szCs w:val="22"/>
              </w:rPr>
              <w:t>’</w:t>
            </w:r>
            <w:r>
              <w:rPr>
                <w:rFonts w:eastAsia="Times New Roman" w:cs="Arial"/>
                <w:szCs w:val="22"/>
              </w:rPr>
              <w:t xml:space="preserve"> per </w:t>
            </w:r>
            <w:r w:rsidR="007B4856">
              <w:rPr>
                <w:rFonts w:eastAsia="Times New Roman" w:cs="Arial"/>
                <w:szCs w:val="22"/>
              </w:rPr>
              <w:t>Ex5</w:t>
            </w:r>
            <w:r>
              <w:rPr>
                <w:rFonts w:eastAsia="Times New Roman" w:cs="Arial"/>
                <w:szCs w:val="22"/>
              </w:rPr>
              <w:t xml:space="preserve"> suggestion. </w:t>
            </w:r>
          </w:p>
          <w:p w14:paraId="02287E05" w14:textId="77777777" w:rsidR="00AA6953" w:rsidRDefault="000A11B9">
            <w:pPr>
              <w:rPr>
                <w:rFonts w:eastAsia="Times New Roman" w:cs="Arial"/>
                <w:szCs w:val="22"/>
              </w:rPr>
            </w:pPr>
            <w:r>
              <w:rPr>
                <w:rFonts w:eastAsia="Times New Roman" w:cs="Arial"/>
                <w:szCs w:val="22"/>
              </w:rPr>
              <w:t xml:space="preserve">R2: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sidR="00A71A91">
              <w:rPr>
                <w:rFonts w:eastAsia="Times New Roman" w:cs="Arial"/>
                <w:szCs w:val="22"/>
              </w:rPr>
              <w:t>,</w:t>
            </w:r>
            <w:r>
              <w:rPr>
                <w:rFonts w:eastAsia="Times New Roman" w:cs="Arial"/>
                <w:szCs w:val="22"/>
              </w:rPr>
              <w:t xml:space="preserve"> </w:t>
            </w:r>
            <w:r w:rsidR="00A71A91">
              <w:rPr>
                <w:rFonts w:eastAsia="Times New Roman" w:cs="Arial"/>
                <w:szCs w:val="22"/>
              </w:rPr>
              <w:t xml:space="preserve">Ex7 </w:t>
            </w:r>
            <w:r>
              <w:rPr>
                <w:rFonts w:eastAsia="Times New Roman" w:cs="Arial"/>
                <w:szCs w:val="22"/>
              </w:rPr>
              <w:t>cited unclear how support processes are determined or how day</w:t>
            </w:r>
            <w:r w:rsidR="00AA6953">
              <w:rPr>
                <w:rFonts w:eastAsia="Times New Roman" w:cs="Arial"/>
                <w:szCs w:val="22"/>
              </w:rPr>
              <w:t>-</w:t>
            </w:r>
            <w:r>
              <w:rPr>
                <w:rFonts w:eastAsia="Times New Roman" w:cs="Arial"/>
                <w:szCs w:val="22"/>
              </w:rPr>
              <w:t>to</w:t>
            </w:r>
            <w:r w:rsidR="00AA6953">
              <w:rPr>
                <w:rFonts w:eastAsia="Times New Roman" w:cs="Arial"/>
                <w:szCs w:val="22"/>
              </w:rPr>
              <w:t>-</w:t>
            </w:r>
            <w:r>
              <w:rPr>
                <w:rFonts w:eastAsia="Times New Roman" w:cs="Arial"/>
                <w:szCs w:val="22"/>
              </w:rPr>
              <w:t xml:space="preserve">day operations meet organizational requirements. </w:t>
            </w:r>
          </w:p>
          <w:p w14:paraId="7638650D" w14:textId="01CBCA9C" w:rsidR="00A71A91" w:rsidRDefault="007B4856">
            <w:pPr>
              <w:rPr>
                <w:rFonts w:eastAsia="Times New Roman" w:cs="Arial"/>
                <w:szCs w:val="22"/>
              </w:rPr>
            </w:pPr>
            <w:r>
              <w:rPr>
                <w:rFonts w:eastAsia="Times New Roman" w:cs="Arial"/>
                <w:szCs w:val="22"/>
              </w:rPr>
              <w:t>Ex5</w:t>
            </w:r>
            <w:r w:rsidR="000A11B9">
              <w:rPr>
                <w:rFonts w:eastAsia="Times New Roman" w:cs="Arial"/>
                <w:szCs w:val="22"/>
              </w:rPr>
              <w:t xml:space="preserve"> questions deployment to key assets and locations across the </w:t>
            </w:r>
            <w:r w:rsidR="00C74F71">
              <w:rPr>
                <w:rFonts w:eastAsia="Times New Roman" w:cs="Arial"/>
                <w:szCs w:val="22"/>
              </w:rPr>
              <w:t>applicant</w:t>
            </w:r>
            <w:r w:rsidR="000A11B9">
              <w:rPr>
                <w:rFonts w:eastAsia="Times New Roman" w:cs="Arial"/>
                <w:szCs w:val="22"/>
              </w:rPr>
              <w:t xml:space="preserve"> including labs and research lab as wells as athletics and other support functions as addressed in P</w:t>
            </w:r>
            <w:r w:rsidR="00A71A91">
              <w:rPr>
                <w:rFonts w:eastAsia="Times New Roman" w:cs="Arial"/>
                <w:szCs w:val="22"/>
              </w:rPr>
              <w:t>.</w:t>
            </w:r>
            <w:r w:rsidR="000A11B9">
              <w:rPr>
                <w:rFonts w:eastAsia="Times New Roman" w:cs="Arial"/>
                <w:szCs w:val="22"/>
              </w:rPr>
              <w:t>1a</w:t>
            </w:r>
            <w:r w:rsidR="00A71A91">
              <w:rPr>
                <w:rFonts w:eastAsia="Times New Roman" w:cs="Arial"/>
                <w:szCs w:val="22"/>
              </w:rPr>
              <w:t>(</w:t>
            </w:r>
            <w:r w:rsidR="000A11B9">
              <w:rPr>
                <w:rFonts w:eastAsia="Times New Roman" w:cs="Arial"/>
                <w:szCs w:val="22"/>
              </w:rPr>
              <w:t>4</w:t>
            </w:r>
            <w:r w:rsidR="00A71A91">
              <w:rPr>
                <w:rFonts w:eastAsia="Times New Roman" w:cs="Arial"/>
                <w:szCs w:val="22"/>
              </w:rPr>
              <w:t>)</w:t>
            </w:r>
            <w:r w:rsidR="000A11B9">
              <w:rPr>
                <w:rFonts w:eastAsia="Times New Roman" w:cs="Arial"/>
                <w:szCs w:val="22"/>
              </w:rPr>
              <w:t xml:space="preserve"> and Fig</w:t>
            </w:r>
            <w:r w:rsidR="00A71A91">
              <w:rPr>
                <w:rFonts w:eastAsia="Times New Roman" w:cs="Arial"/>
                <w:szCs w:val="22"/>
              </w:rPr>
              <w:t>ure</w:t>
            </w:r>
            <w:r w:rsidR="000A11B9">
              <w:rPr>
                <w:rFonts w:eastAsia="Times New Roman" w:cs="Arial"/>
                <w:szCs w:val="22"/>
              </w:rPr>
              <w:t xml:space="preserve"> </w:t>
            </w:r>
            <w:r w:rsidR="00A71A91">
              <w:rPr>
                <w:rFonts w:eastAsia="Times New Roman" w:cs="Arial"/>
                <w:szCs w:val="22"/>
              </w:rPr>
              <w:t>P.</w:t>
            </w:r>
            <w:r w:rsidR="000A11B9">
              <w:rPr>
                <w:rFonts w:eastAsia="Times New Roman" w:cs="Arial"/>
                <w:szCs w:val="22"/>
              </w:rPr>
              <w:t xml:space="preserve">1-1a (administrative and support services such as tutoring, SL, internships, financial aid). </w:t>
            </w:r>
          </w:p>
          <w:p w14:paraId="67CEA94D" w14:textId="36BFC6BF" w:rsidR="005E22BD" w:rsidRDefault="000A11B9">
            <w:pPr>
              <w:rPr>
                <w:rFonts w:eastAsia="Times New Roman" w:cs="Arial"/>
                <w:szCs w:val="22"/>
              </w:rPr>
            </w:pPr>
            <w:r>
              <w:rPr>
                <w:rFonts w:eastAsia="Times New Roman" w:cs="Arial"/>
                <w:szCs w:val="22"/>
              </w:rPr>
              <w:t>Based on R1 feedback, moved to third position based on importance of this comment versus other with regard to key factors.</w:t>
            </w:r>
          </w:p>
        </w:tc>
        <w:tc>
          <w:tcPr>
            <w:tcW w:w="0" w:type="auto"/>
            <w:tcBorders>
              <w:bottom w:val="single" w:sz="6" w:space="0" w:color="000000"/>
              <w:right w:val="single" w:sz="6" w:space="0" w:color="000000"/>
            </w:tcBorders>
            <w:tcMar>
              <w:top w:w="75" w:type="dxa"/>
              <w:left w:w="75" w:type="dxa"/>
              <w:bottom w:w="75" w:type="dxa"/>
              <w:right w:w="75" w:type="dxa"/>
            </w:tcMar>
            <w:hideMark/>
          </w:tcPr>
          <w:p w14:paraId="7E41E6B4" w14:textId="77777777" w:rsidR="005E22BD" w:rsidRDefault="000A11B9">
            <w:pPr>
              <w:rPr>
                <w:rFonts w:eastAsia="Times New Roman" w:cs="Arial"/>
                <w:szCs w:val="22"/>
              </w:rPr>
            </w:pPr>
            <w:r>
              <w:rPr>
                <w:rFonts w:eastAsia="Times New Roman" w:cs="Arial"/>
                <w:szCs w:val="22"/>
              </w:rPr>
              <w:t>b(2)</w:t>
            </w:r>
          </w:p>
        </w:tc>
      </w:tr>
    </w:tbl>
    <w:p w14:paraId="4BABD2A3" w14:textId="77777777" w:rsidR="005E22BD" w:rsidRDefault="000A11B9">
      <w:pPr>
        <w:pStyle w:val="Heading4"/>
        <w:divId w:val="905190427"/>
        <w:rPr>
          <w:rFonts w:eastAsia="Times New Roman" w:cs="Arial"/>
        </w:rPr>
      </w:pPr>
      <w:r>
        <w:rPr>
          <w:rFonts w:eastAsia="Times New Roman" w:cs="Arial"/>
        </w:rPr>
        <w:lastRenderedPageBreak/>
        <w:t>Notes</w:t>
      </w:r>
    </w:p>
    <w:tbl>
      <w:tblPr>
        <w:tblStyle w:val="TableGrid"/>
        <w:tblW w:w="0" w:type="auto"/>
        <w:tblInd w:w="355" w:type="dxa"/>
        <w:tblLook w:val="04A0" w:firstRow="1" w:lastRow="0" w:firstColumn="1" w:lastColumn="0" w:noHBand="0" w:noVBand="1"/>
      </w:tblPr>
      <w:tblGrid>
        <w:gridCol w:w="10170"/>
      </w:tblGrid>
      <w:tr w:rsidR="00080296" w14:paraId="36DA5EF3" w14:textId="77777777" w:rsidTr="00080296">
        <w:tc>
          <w:tcPr>
            <w:tcW w:w="10170" w:type="dxa"/>
          </w:tcPr>
          <w:p w14:paraId="1A79345C" w14:textId="3098F93D" w:rsidR="00080296" w:rsidRDefault="00080296" w:rsidP="00080296">
            <w:pPr>
              <w:rPr>
                <w:rFonts w:eastAsia="Times New Roman" w:cs="Arial"/>
                <w:szCs w:val="22"/>
              </w:rPr>
            </w:pPr>
            <w:r>
              <w:rPr>
                <w:rFonts w:eastAsia="Times New Roman" w:cs="Arial"/>
                <w:szCs w:val="22"/>
              </w:rPr>
              <w:t>In R2 there was consensus around OFIs for b(2) (3 examiners) and c (6 examiners). In IR, 6 examiners identified a(2) as an OFI but the draft comment wasn</w:t>
            </w:r>
            <w:r w:rsidR="005663C4">
              <w:rPr>
                <w:rFonts w:eastAsia="Times New Roman" w:cs="Arial"/>
                <w:szCs w:val="22"/>
              </w:rPr>
              <w:t>’</w:t>
            </w:r>
            <w:r>
              <w:rPr>
                <w:rFonts w:eastAsia="Times New Roman" w:cs="Arial"/>
                <w:szCs w:val="22"/>
              </w:rPr>
              <w:t>t clearly Criteria-based. Therefore, a(1) comment is retained and a(2) portion is narrowed to the multiple question on key requirements for key work processes; proposing a combined a(1,2) OFI as suggested by Ex5.</w:t>
            </w:r>
            <w:r w:rsidR="005E3D0E">
              <w:rPr>
                <w:rFonts w:eastAsia="Times New Roman" w:cs="Arial"/>
                <w:szCs w:val="22"/>
              </w:rPr>
              <w:t xml:space="preserve"> </w:t>
            </w:r>
          </w:p>
        </w:tc>
      </w:tr>
    </w:tbl>
    <w:p w14:paraId="70CB06A1"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170"/>
      </w:tblGrid>
      <w:tr w:rsidR="00080296" w14:paraId="6E091D43" w14:textId="77777777" w:rsidTr="00080296">
        <w:tc>
          <w:tcPr>
            <w:tcW w:w="10170" w:type="dxa"/>
          </w:tcPr>
          <w:p w14:paraId="6104CA38" w14:textId="77777777" w:rsidR="00080296" w:rsidRDefault="00080296" w:rsidP="00080296">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55</w:t>
            </w:r>
          </w:p>
          <w:p w14:paraId="0FCEA090" w14:textId="77777777" w:rsidR="00080296" w:rsidRDefault="00080296" w:rsidP="00080296">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04F25C1A" w14:textId="2440F0C7" w:rsidR="00080296" w:rsidRDefault="00080296" w:rsidP="00080296">
            <w:pPr>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 xml:space="preserve">R3: Proposing the middle of </w:t>
            </w:r>
            <w:r>
              <w:rPr>
                <w:rStyle w:val="Strong"/>
                <w:rFonts w:eastAsia="Times New Roman" w:cs="Arial"/>
                <w:b w:val="0"/>
                <w:bCs w:val="0"/>
                <w:szCs w:val="22"/>
              </w:rPr>
              <w:t>50–65</w:t>
            </w:r>
            <w:r w:rsidRPr="00FD460C">
              <w:rPr>
                <w:rStyle w:val="Strong"/>
                <w:rFonts w:eastAsia="Times New Roman" w:cs="Arial"/>
                <w:b w:val="0"/>
                <w:bCs w:val="0"/>
                <w:szCs w:val="22"/>
              </w:rPr>
              <w:t>% with a score of 55. It isn</w:t>
            </w:r>
            <w:r w:rsidR="005663C4">
              <w:rPr>
                <w:rStyle w:val="Strong"/>
                <w:rFonts w:eastAsia="Times New Roman" w:cs="Arial"/>
                <w:b w:val="0"/>
                <w:bCs w:val="0"/>
                <w:szCs w:val="22"/>
              </w:rPr>
              <w:t>’</w:t>
            </w:r>
            <w:r w:rsidRPr="00FD460C">
              <w:rPr>
                <w:rStyle w:val="Strong"/>
                <w:rFonts w:eastAsia="Times New Roman" w:cs="Arial"/>
                <w:b w:val="0"/>
                <w:bCs w:val="0"/>
                <w:szCs w:val="22"/>
              </w:rPr>
              <w:t xml:space="preserve">t in </w:t>
            </w:r>
            <w:r>
              <w:rPr>
                <w:rStyle w:val="Strong"/>
                <w:rFonts w:eastAsia="Times New Roman" w:cs="Arial"/>
                <w:b w:val="0"/>
                <w:bCs w:val="0"/>
                <w:szCs w:val="22"/>
              </w:rPr>
              <w:t>70–85</w:t>
            </w:r>
            <w:r w:rsidRPr="00FD460C">
              <w:rPr>
                <w:rStyle w:val="Strong"/>
                <w:rFonts w:eastAsia="Times New Roman" w:cs="Arial"/>
                <w:b w:val="0"/>
                <w:bCs w:val="0"/>
                <w:szCs w:val="22"/>
              </w:rPr>
              <w:t xml:space="preserve">% because we saw areas where there were some deployment issues and integration issues. </w:t>
            </w:r>
          </w:p>
          <w:p w14:paraId="072D4051" w14:textId="6A61BA0A" w:rsidR="00080296" w:rsidRDefault="00080296" w:rsidP="00080296">
            <w:pPr>
              <w:rPr>
                <w:rFonts w:eastAsia="Times New Roman" w:cs="Arial"/>
                <w:b/>
                <w:bCs/>
                <w:szCs w:val="22"/>
              </w:rPr>
            </w:pPr>
            <w:r w:rsidRPr="00FD460C">
              <w:rPr>
                <w:rStyle w:val="Strong"/>
                <w:rFonts w:eastAsia="Times New Roman" w:cs="Arial"/>
                <w:b w:val="0"/>
                <w:bCs w:val="0"/>
                <w:szCs w:val="22"/>
              </w:rPr>
              <w:t>It isn</w:t>
            </w:r>
            <w:r w:rsidR="005663C4">
              <w:rPr>
                <w:rStyle w:val="Strong"/>
                <w:rFonts w:eastAsia="Times New Roman" w:cs="Arial"/>
                <w:b w:val="0"/>
                <w:bCs w:val="0"/>
                <w:szCs w:val="22"/>
              </w:rPr>
              <w:t>’</w:t>
            </w:r>
            <w:r w:rsidRPr="00FD460C">
              <w:rPr>
                <w:rStyle w:val="Strong"/>
                <w:rFonts w:eastAsia="Times New Roman" w:cs="Arial"/>
                <w:b w:val="0"/>
                <w:bCs w:val="0"/>
                <w:szCs w:val="22"/>
              </w:rPr>
              <w:t xml:space="preserve">t in the </w:t>
            </w:r>
            <w:r>
              <w:rPr>
                <w:rStyle w:val="Strong"/>
                <w:rFonts w:eastAsia="Times New Roman" w:cs="Arial"/>
                <w:b w:val="0"/>
                <w:bCs w:val="0"/>
                <w:szCs w:val="22"/>
              </w:rPr>
              <w:t>30–45</w:t>
            </w:r>
            <w:r w:rsidRPr="00FD460C">
              <w:rPr>
                <w:rStyle w:val="Strong"/>
                <w:rFonts w:eastAsia="Times New Roman" w:cs="Arial"/>
                <w:b w:val="0"/>
                <w:bCs w:val="0"/>
                <w:szCs w:val="22"/>
              </w:rPr>
              <w:t xml:space="preserve">% range </w:t>
            </w:r>
            <w:r w:rsidR="00C3241D" w:rsidRPr="00C3241D">
              <w:rPr>
                <w:rStyle w:val="Strong"/>
                <w:rFonts w:eastAsia="Times New Roman" w:cs="Arial"/>
                <w:b w:val="0"/>
                <w:bCs w:val="0"/>
                <w:szCs w:val="22"/>
              </w:rPr>
              <w:t>i</w:t>
            </w:r>
            <w:r w:rsidR="00C3241D" w:rsidRPr="00C3241D">
              <w:rPr>
                <w:rStyle w:val="Strong"/>
                <w:rFonts w:cs="Arial"/>
                <w:b w:val="0"/>
                <w:bCs w:val="0"/>
                <w:szCs w:val="22"/>
              </w:rPr>
              <w:t>n part</w:t>
            </w:r>
            <w:r w:rsidR="00C3241D">
              <w:rPr>
                <w:rStyle w:val="Strong"/>
                <w:rFonts w:cs="Arial"/>
                <w:szCs w:val="22"/>
              </w:rPr>
              <w:t xml:space="preserve"> </w:t>
            </w:r>
            <w:r w:rsidRPr="00FD460C">
              <w:rPr>
                <w:rStyle w:val="Strong"/>
                <w:rFonts w:eastAsia="Times New Roman" w:cs="Arial"/>
                <w:b w:val="0"/>
                <w:bCs w:val="0"/>
                <w:szCs w:val="22"/>
              </w:rPr>
              <w:t xml:space="preserve">because the applicant has gone beyond addressing the basic question and most deployment goes beyond early stages. By embedding PDCA into key work processes, the applicant addresses Learning beyond the </w:t>
            </w:r>
            <w:r>
              <w:rPr>
                <w:rStyle w:val="Strong"/>
                <w:rFonts w:eastAsia="Times New Roman" w:cs="Arial"/>
                <w:b w:val="0"/>
                <w:bCs w:val="0"/>
                <w:szCs w:val="22"/>
              </w:rPr>
              <w:t>30–45</w:t>
            </w:r>
            <w:r w:rsidRPr="00FD460C">
              <w:rPr>
                <w:rStyle w:val="Strong"/>
                <w:rFonts w:eastAsia="Times New Roman" w:cs="Arial"/>
                <w:b w:val="0"/>
                <w:bCs w:val="0"/>
                <w:szCs w:val="22"/>
              </w:rPr>
              <w:t>% level. Many OFIs at the multiple or multiple of multiple levels, but a(1,2) at the overall/multiple therefore proposing 55.</w:t>
            </w:r>
            <w:r w:rsidRPr="00FD460C">
              <w:rPr>
                <w:rFonts w:eastAsia="Times New Roman" w:cs="Arial"/>
                <w:b/>
                <w:bCs/>
                <w:szCs w:val="22"/>
              </w:rPr>
              <w:t xml:space="preserve"> </w:t>
            </w:r>
          </w:p>
        </w:tc>
      </w:tr>
    </w:tbl>
    <w:p w14:paraId="692B8CF7" w14:textId="77777777" w:rsidR="00050D3F" w:rsidRDefault="00050D3F">
      <w:pPr>
        <w:spacing w:after="0"/>
        <w:rPr>
          <w:rFonts w:cs="Arial"/>
          <w:szCs w:val="22"/>
        </w:rPr>
      </w:pPr>
      <w:r>
        <w:rPr>
          <w:rFonts w:cs="Arial"/>
          <w:szCs w:val="22"/>
        </w:rPr>
        <w:br w:type="page"/>
      </w:r>
    </w:p>
    <w:p w14:paraId="00285D70"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6.2</w:t>
      </w:r>
    </w:p>
    <w:p w14:paraId="27954C82" w14:textId="77777777" w:rsidR="005E22BD" w:rsidRDefault="000A11B9">
      <w:pPr>
        <w:pStyle w:val="Heading2"/>
        <w:divId w:val="905190427"/>
        <w:rPr>
          <w:rFonts w:eastAsia="Times New Roman" w:cs="Arial"/>
        </w:rPr>
      </w:pPr>
      <w:r>
        <w:rPr>
          <w:rFonts w:eastAsia="Times New Roman" w:cs="Arial"/>
        </w:rPr>
        <w:t>Operational Effectiveness</w:t>
      </w:r>
    </w:p>
    <w:p w14:paraId="25A4E142" w14:textId="77777777" w:rsidR="005E22BD" w:rsidRDefault="000A11B9">
      <w:pPr>
        <w:pStyle w:val="Heading3"/>
        <w:divId w:val="905190427"/>
        <w:rPr>
          <w:rFonts w:eastAsia="Times New Roman" w:cs="Arial"/>
        </w:rPr>
      </w:pPr>
      <w:r>
        <w:rPr>
          <w:rFonts w:eastAsia="Times New Roman" w:cs="Arial"/>
        </w:rPr>
        <w:t>Relevant Key Factors</w:t>
      </w:r>
    </w:p>
    <w:p w14:paraId="41627486" w14:textId="1B9432A8" w:rsidR="005E22BD" w:rsidRDefault="00153A64">
      <w:pPr>
        <w:numPr>
          <w:ilvl w:val="0"/>
          <w:numId w:val="16"/>
        </w:numPr>
        <w:spacing w:before="100" w:beforeAutospacing="1" w:after="100" w:afterAutospacing="1"/>
        <w:divId w:val="905190427"/>
        <w:rPr>
          <w:rFonts w:eastAsia="Times New Roman" w:cs="Arial"/>
          <w:szCs w:val="22"/>
        </w:rPr>
      </w:pPr>
      <w:r>
        <w:rPr>
          <w:rFonts w:eastAsia="Times New Roman" w:cs="Arial"/>
          <w:szCs w:val="22"/>
        </w:rPr>
        <w:t>Tenured/tenure-track faculty</w:t>
      </w:r>
      <w:r w:rsidR="000A11B9">
        <w:rPr>
          <w:rFonts w:eastAsia="Times New Roman" w:cs="Arial"/>
          <w:szCs w:val="22"/>
        </w:rPr>
        <w:t xml:space="preserve"> (250); </w:t>
      </w:r>
      <w:r>
        <w:rPr>
          <w:rFonts w:eastAsia="Times New Roman" w:cs="Arial"/>
          <w:szCs w:val="22"/>
        </w:rPr>
        <w:t>adjunct and non-tenure-track,</w:t>
      </w:r>
      <w:r w:rsidR="000A11B9">
        <w:rPr>
          <w:rFonts w:eastAsia="Times New Roman" w:cs="Arial"/>
          <w:szCs w:val="22"/>
        </w:rPr>
        <w:t xml:space="preserve"> FT &amp; PT (200); </w:t>
      </w:r>
      <w:r>
        <w:rPr>
          <w:rFonts w:eastAsia="Times New Roman" w:cs="Arial"/>
          <w:szCs w:val="22"/>
        </w:rPr>
        <w:t xml:space="preserve">management (60); professional support (250); support (400); </w:t>
      </w:r>
      <w:r w:rsidR="00235345">
        <w:rPr>
          <w:rFonts w:eastAsia="Times New Roman" w:cs="Arial"/>
          <w:szCs w:val="22"/>
        </w:rPr>
        <w:t>temp.</w:t>
      </w:r>
      <w:r>
        <w:rPr>
          <w:rFonts w:eastAsia="Times New Roman" w:cs="Arial"/>
          <w:szCs w:val="22"/>
        </w:rPr>
        <w:t xml:space="preserve"> (</w:t>
      </w:r>
      <w:r w:rsidR="000A11B9">
        <w:rPr>
          <w:rFonts w:eastAsia="Times New Roman" w:cs="Arial"/>
          <w:szCs w:val="22"/>
        </w:rPr>
        <w:t>50)</w:t>
      </w:r>
      <w:r w:rsidR="00DC52AF">
        <w:rPr>
          <w:rFonts w:eastAsia="Times New Roman" w:cs="Arial"/>
          <w:szCs w:val="22"/>
        </w:rPr>
        <w:t>.</w:t>
      </w:r>
    </w:p>
    <w:p w14:paraId="791D0075" w14:textId="509CD6CC" w:rsidR="001F46D7" w:rsidRDefault="001F46D7" w:rsidP="001F46D7">
      <w:pPr>
        <w:numPr>
          <w:ilvl w:val="0"/>
          <w:numId w:val="16"/>
        </w:numPr>
        <w:spacing w:before="100" w:beforeAutospacing="1" w:after="100" w:afterAutospacing="1"/>
        <w:divId w:val="905190427"/>
        <w:rPr>
          <w:rFonts w:eastAsia="Times New Roman" w:cs="Arial"/>
          <w:szCs w:val="22"/>
        </w:rPr>
      </w:pPr>
      <w:r>
        <w:rPr>
          <w:rFonts w:eastAsia="Times New Roman" w:cs="Arial"/>
          <w:szCs w:val="22"/>
        </w:rPr>
        <w:t>Career-seeking students—degree completion info, academic support services. Transfer—transfer articulation, degree completion info, academic challenges. Non-degree-seeking—workforce skills, adult learner needs. Dual Credit—college credit courses, collaboration with high school schedule</w:t>
      </w:r>
      <w:r w:rsidR="00DC52AF">
        <w:rPr>
          <w:rFonts w:eastAsia="Times New Roman" w:cs="Arial"/>
          <w:szCs w:val="22"/>
        </w:rPr>
        <w:t>.</w:t>
      </w:r>
    </w:p>
    <w:p w14:paraId="68A78927" w14:textId="2BE93EEE" w:rsidR="005E22BD" w:rsidRDefault="00DB6E5E">
      <w:pPr>
        <w:numPr>
          <w:ilvl w:val="0"/>
          <w:numId w:val="16"/>
        </w:numPr>
        <w:spacing w:before="100" w:beforeAutospacing="1" w:after="100" w:afterAutospacing="1"/>
        <w:divId w:val="905190427"/>
        <w:rPr>
          <w:rFonts w:eastAsia="Times New Roman" w:cs="Arial"/>
          <w:szCs w:val="22"/>
        </w:rPr>
      </w:pPr>
      <w:r>
        <w:rPr>
          <w:rFonts w:eastAsia="Times New Roman" w:cs="Arial"/>
          <w:szCs w:val="22"/>
        </w:rPr>
        <w:t>Transfer schools/sister colleges</w:t>
      </w:r>
      <w:r w:rsidR="000A11B9">
        <w:rPr>
          <w:rFonts w:eastAsia="Times New Roman" w:cs="Arial"/>
          <w:szCs w:val="22"/>
        </w:rPr>
        <w:t xml:space="preserve">, </w:t>
      </w:r>
      <w:r>
        <w:rPr>
          <w:rFonts w:eastAsia="Times New Roman" w:cs="Arial"/>
          <w:szCs w:val="22"/>
        </w:rPr>
        <w:t xml:space="preserve">feeder high schools, foundation, donors, alumni association, alumni, </w:t>
      </w:r>
      <w:r w:rsidR="001F46D7">
        <w:rPr>
          <w:rFonts w:eastAsia="Times New Roman" w:cs="Arial"/>
          <w:szCs w:val="22"/>
        </w:rPr>
        <w:t>employers/advisory committees</w:t>
      </w:r>
      <w:r>
        <w:rPr>
          <w:rFonts w:eastAsia="Times New Roman" w:cs="Arial"/>
          <w:szCs w:val="22"/>
        </w:rPr>
        <w:t>, technology partners, local</w:t>
      </w:r>
      <w:r w:rsidR="000A11B9">
        <w:rPr>
          <w:rFonts w:eastAsia="Times New Roman" w:cs="Arial"/>
          <w:szCs w:val="22"/>
        </w:rPr>
        <w:t xml:space="preserve"> community including chamber of commerce</w:t>
      </w:r>
      <w:r w:rsidR="00DC52AF">
        <w:rPr>
          <w:rFonts w:eastAsia="Times New Roman" w:cs="Arial"/>
          <w:szCs w:val="22"/>
        </w:rPr>
        <w:t>.</w:t>
      </w:r>
    </w:p>
    <w:p w14:paraId="7E4598B9" w14:textId="2E1FFCBD" w:rsidR="005E22BD" w:rsidRDefault="00DB6E5E">
      <w:pPr>
        <w:numPr>
          <w:ilvl w:val="0"/>
          <w:numId w:val="16"/>
        </w:numPr>
        <w:spacing w:before="100" w:beforeAutospacing="1" w:after="100" w:afterAutospacing="1"/>
        <w:divId w:val="905190427"/>
        <w:rPr>
          <w:rFonts w:eastAsia="Times New Roman" w:cs="Arial"/>
          <w:szCs w:val="22"/>
        </w:rPr>
      </w:pPr>
      <w:r>
        <w:rPr>
          <w:rFonts w:eastAsia="Times New Roman" w:cs="Arial"/>
          <w:szCs w:val="22"/>
        </w:rPr>
        <w:t xml:space="preserve">Technology providers, laboratory support providers, service providers </w:t>
      </w:r>
      <w:r w:rsidR="000A11B9">
        <w:rPr>
          <w:rFonts w:eastAsia="Times New Roman" w:cs="Arial"/>
          <w:szCs w:val="22"/>
        </w:rPr>
        <w:t>(bookstore, dining), administrative support</w:t>
      </w:r>
      <w:r w:rsidR="00DC52AF">
        <w:rPr>
          <w:rFonts w:eastAsia="Times New Roman" w:cs="Arial"/>
          <w:szCs w:val="22"/>
        </w:rPr>
        <w:t>.</w:t>
      </w:r>
    </w:p>
    <w:p w14:paraId="4F00DF33" w14:textId="44293B5E" w:rsidR="005E22BD" w:rsidRDefault="000A11B9">
      <w:pPr>
        <w:numPr>
          <w:ilvl w:val="0"/>
          <w:numId w:val="16"/>
        </w:numPr>
        <w:spacing w:before="100" w:beforeAutospacing="1" w:after="100" w:afterAutospacing="1"/>
        <w:divId w:val="905190427"/>
        <w:rPr>
          <w:rFonts w:eastAsia="Times New Roman" w:cs="Arial"/>
          <w:szCs w:val="22"/>
        </w:rPr>
      </w:pPr>
      <w:r>
        <w:rPr>
          <w:rFonts w:eastAsia="Times New Roman" w:cs="Arial"/>
          <w:szCs w:val="22"/>
        </w:rPr>
        <w:t xml:space="preserve">Decreased state funding, </w:t>
      </w:r>
      <w:r w:rsidR="00AA6953">
        <w:rPr>
          <w:rFonts w:eastAsia="Times New Roman" w:cs="Arial"/>
          <w:szCs w:val="22"/>
        </w:rPr>
        <w:t xml:space="preserve">influx </w:t>
      </w:r>
      <w:r>
        <w:rPr>
          <w:rFonts w:eastAsia="Times New Roman" w:cs="Arial"/>
          <w:szCs w:val="22"/>
        </w:rPr>
        <w:t xml:space="preserve">of </w:t>
      </w:r>
      <w:r w:rsidR="00DB6E5E">
        <w:rPr>
          <w:rFonts w:eastAsia="Times New Roman" w:cs="Arial"/>
          <w:szCs w:val="22"/>
        </w:rPr>
        <w:t>dual-credit</w:t>
      </w:r>
      <w:r>
        <w:rPr>
          <w:rFonts w:eastAsia="Times New Roman" w:cs="Arial"/>
          <w:szCs w:val="22"/>
        </w:rPr>
        <w:t xml:space="preserve"> high school students, increased competition for students, demands </w:t>
      </w:r>
      <w:r w:rsidR="00DB6E5E">
        <w:rPr>
          <w:rFonts w:eastAsia="Times New Roman" w:cs="Arial"/>
          <w:szCs w:val="22"/>
        </w:rPr>
        <w:t>to close achievement gap</w:t>
      </w:r>
      <w:r>
        <w:rPr>
          <w:rFonts w:eastAsia="Times New Roman" w:cs="Arial"/>
          <w:szCs w:val="22"/>
        </w:rPr>
        <w:t xml:space="preserve">, ensuring qualifications of incoming </w:t>
      </w:r>
      <w:r w:rsidR="00DB6E5E">
        <w:rPr>
          <w:rFonts w:eastAsia="Times New Roman" w:cs="Arial"/>
          <w:szCs w:val="22"/>
        </w:rPr>
        <w:t>FT/PT</w:t>
      </w:r>
      <w:r>
        <w:rPr>
          <w:rFonts w:eastAsia="Times New Roman" w:cs="Arial"/>
          <w:szCs w:val="22"/>
        </w:rPr>
        <w:t xml:space="preserve"> faculty</w:t>
      </w:r>
      <w:r w:rsidR="00DC52AF">
        <w:rPr>
          <w:rFonts w:eastAsia="Times New Roman" w:cs="Arial"/>
          <w:szCs w:val="22"/>
        </w:rPr>
        <w:t>.</w:t>
      </w:r>
    </w:p>
    <w:p w14:paraId="6F7F9A3D" w14:textId="7A85B66A" w:rsidR="005E22BD" w:rsidRDefault="000A11B9">
      <w:pPr>
        <w:numPr>
          <w:ilvl w:val="0"/>
          <w:numId w:val="16"/>
        </w:numPr>
        <w:spacing w:before="100" w:beforeAutospacing="1" w:after="100" w:afterAutospacing="1"/>
        <w:divId w:val="905190427"/>
        <w:rPr>
          <w:rFonts w:eastAsia="Times New Roman" w:cs="Arial"/>
          <w:szCs w:val="22"/>
        </w:rPr>
      </w:pPr>
      <w:r>
        <w:rPr>
          <w:rFonts w:eastAsia="Times New Roman" w:cs="Arial"/>
          <w:szCs w:val="22"/>
        </w:rPr>
        <w:t xml:space="preserve">Baldrige-based </w:t>
      </w:r>
      <w:r w:rsidR="00C95E51">
        <w:rPr>
          <w:rFonts w:eastAsia="Times New Roman" w:cs="Arial"/>
          <w:szCs w:val="22"/>
        </w:rPr>
        <w:t>PDCA</w:t>
      </w:r>
      <w:r>
        <w:rPr>
          <w:rFonts w:eastAsia="Times New Roman" w:cs="Arial"/>
          <w:szCs w:val="22"/>
        </w:rPr>
        <w:t xml:space="preserve">. </w:t>
      </w:r>
      <w:r w:rsidR="00DB6E5E">
        <w:rPr>
          <w:rFonts w:eastAsia="Times New Roman" w:cs="Arial"/>
          <w:szCs w:val="22"/>
        </w:rPr>
        <w:t>External requirements (accreditation, accountability, system requirement) inform internal strategy/measurement</w:t>
      </w:r>
      <w:r>
        <w:rPr>
          <w:rFonts w:eastAsia="Times New Roman" w:cs="Arial"/>
          <w:szCs w:val="22"/>
        </w:rPr>
        <w:t xml:space="preserve"> (strategic plan, </w:t>
      </w:r>
      <w:r w:rsidR="00167A6F">
        <w:rPr>
          <w:rFonts w:eastAsia="Times New Roman" w:cs="Arial"/>
          <w:szCs w:val="22"/>
        </w:rPr>
        <w:t>KPIs</w:t>
      </w:r>
      <w:r>
        <w:rPr>
          <w:rFonts w:eastAsia="Times New Roman" w:cs="Arial"/>
          <w:szCs w:val="22"/>
        </w:rPr>
        <w:t xml:space="preserve">), leading to process improvement (program review process, </w:t>
      </w:r>
      <w:r w:rsidR="00DB6E5E">
        <w:rPr>
          <w:rFonts w:eastAsia="Times New Roman" w:cs="Arial"/>
          <w:szCs w:val="22"/>
        </w:rPr>
        <w:t>educational support review process validated by input mechanisms (VOC, workforce drivers/engagement)</w:t>
      </w:r>
      <w:r>
        <w:rPr>
          <w:rFonts w:eastAsia="Times New Roman" w:cs="Arial"/>
          <w:szCs w:val="22"/>
        </w:rPr>
        <w:t>.</w:t>
      </w:r>
    </w:p>
    <w:p w14:paraId="0D4D19E3"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832"/>
        <w:gridCol w:w="3625"/>
        <w:gridCol w:w="1200"/>
      </w:tblGrid>
      <w:tr w:rsidR="005E22BD" w14:paraId="7266CC50"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61E6D987"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7033F57E"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145DE0BB"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70832672"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2680289F"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6CB8FE4A"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0004603" w14:textId="38A7A8FD" w:rsidR="005E22BD" w:rsidRDefault="000A11B9">
            <w:pPr>
              <w:rPr>
                <w:rFonts w:eastAsia="Times New Roman" w:cs="Arial"/>
                <w:szCs w:val="22"/>
              </w:rPr>
            </w:pPr>
            <w:r>
              <w:rPr>
                <w:rFonts w:eastAsia="Times New Roman" w:cs="Arial"/>
                <w:szCs w:val="22"/>
              </w:rPr>
              <w:t>The applicant</w:t>
            </w:r>
            <w:r w:rsidR="00AA6953">
              <w:rPr>
                <w:rFonts w:eastAsia="Times New Roman" w:cs="Arial"/>
                <w:szCs w:val="22"/>
              </w:rPr>
              <w:t xml:space="preserve"> systematically</w:t>
            </w:r>
            <w:r>
              <w:rPr>
                <w:rFonts w:eastAsia="Times New Roman" w:cs="Arial"/>
                <w:szCs w:val="22"/>
              </w:rPr>
              <w:t xml:space="preserve"> protects its systems from and detects cybersecurity events through the </w:t>
            </w:r>
            <w:r w:rsidRPr="00DC52AF">
              <w:rPr>
                <w:rFonts w:eastAsia="Times New Roman" w:cs="Arial"/>
                <w:i/>
                <w:iCs/>
                <w:szCs w:val="22"/>
              </w:rPr>
              <w:t>Baldrige Cybersecurity Excellence Builder</w:t>
            </w:r>
            <w:r>
              <w:rPr>
                <w:rFonts w:eastAsia="Times New Roman" w:cs="Arial"/>
                <w:szCs w:val="22"/>
              </w:rPr>
              <w:t>, the NIST Cybersecurity Framework, and US-CERT</w:t>
            </w:r>
            <w:r w:rsidR="00AA6953">
              <w:rPr>
                <w:rFonts w:eastAsia="Times New Roman" w:cs="Arial"/>
                <w:szCs w:val="22"/>
              </w:rPr>
              <w:t>;</w:t>
            </w:r>
            <w:r>
              <w:rPr>
                <w:rFonts w:eastAsia="Times New Roman" w:cs="Arial"/>
                <w:szCs w:val="22"/>
              </w:rPr>
              <w:t xml:space="preserve"> PDCA processes are used to improve </w:t>
            </w:r>
            <w:r w:rsidR="00AA6953">
              <w:rPr>
                <w:rFonts w:eastAsia="Times New Roman" w:cs="Arial"/>
                <w:szCs w:val="22"/>
              </w:rPr>
              <w:t xml:space="preserve">these </w:t>
            </w:r>
            <w:r>
              <w:rPr>
                <w:rFonts w:eastAsia="Times New Roman" w:cs="Arial"/>
                <w:szCs w:val="22"/>
              </w:rPr>
              <w:t>approaches. By using students to both attack and defend the applicant</w:t>
            </w:r>
            <w:r w:rsidR="005663C4">
              <w:rPr>
                <w:rFonts w:eastAsia="Times New Roman" w:cs="Arial"/>
                <w:szCs w:val="22"/>
              </w:rPr>
              <w:t>’</w:t>
            </w:r>
            <w:r>
              <w:rPr>
                <w:rFonts w:eastAsia="Times New Roman" w:cs="Arial"/>
                <w:szCs w:val="22"/>
              </w:rPr>
              <w:t>s cyber systems</w:t>
            </w:r>
            <w:r w:rsidR="00DC52AF">
              <w:rPr>
                <w:rFonts w:eastAsia="Times New Roman" w:cs="Arial"/>
                <w:szCs w:val="22"/>
              </w:rPr>
              <w:t>,</w:t>
            </w:r>
            <w:r>
              <w:rPr>
                <w:rFonts w:eastAsia="Times New Roman" w:cs="Arial"/>
                <w:szCs w:val="22"/>
              </w:rPr>
              <w:t xml:space="preserve"> the applicant identifie</w:t>
            </w:r>
            <w:r w:rsidR="00DC52AF">
              <w:rPr>
                <w:rFonts w:eastAsia="Times New Roman" w:cs="Arial"/>
                <w:szCs w:val="22"/>
              </w:rPr>
              <w:t>s and acts on</w:t>
            </w:r>
            <w:r>
              <w:rPr>
                <w:rFonts w:eastAsia="Times New Roman" w:cs="Arial"/>
                <w:szCs w:val="22"/>
              </w:rPr>
              <w:t xml:space="preserve"> opportunities for improvement</w:t>
            </w:r>
            <w:r w:rsidR="00DC52AF">
              <w:rPr>
                <w:rFonts w:eastAsia="Times New Roman" w:cs="Arial"/>
                <w:szCs w:val="22"/>
              </w:rPr>
              <w:t>, as well as providing a learning opportunity for students</w:t>
            </w:r>
            <w:r>
              <w:rPr>
                <w:rFonts w:eastAsia="Times New Roman" w:cs="Arial"/>
                <w:szCs w:val="22"/>
              </w:rPr>
              <w:t>.</w:t>
            </w:r>
            <w:r w:rsidR="00DC52AF">
              <w:rPr>
                <w:rFonts w:eastAsia="Times New Roman" w:cs="Arial"/>
                <w:szCs w:val="22"/>
              </w:rPr>
              <w:t xml:space="preserve"> Such improvements</w:t>
            </w:r>
            <w:r>
              <w:rPr>
                <w:rFonts w:eastAsia="Times New Roman" w:cs="Arial"/>
                <w:szCs w:val="22"/>
              </w:rPr>
              <w:t xml:space="preserve"> may help the applicant maintain cybersecurity</w:t>
            </w:r>
            <w:r w:rsidR="00DC52AF">
              <w:rPr>
                <w:rFonts w:eastAsia="Times New Roman" w:cs="Arial"/>
                <w:szCs w:val="22"/>
              </w:rPr>
              <w:t>,</w:t>
            </w:r>
            <w:r>
              <w:rPr>
                <w:rFonts w:eastAsia="Times New Roman" w:cs="Arial"/>
                <w:szCs w:val="22"/>
              </w:rPr>
              <w:t xml:space="preserve"> which has become increasingly important given the reliance on online instruction and use of technology platforms</w:t>
            </w:r>
            <w:r w:rsidR="00713EE5">
              <w:rPr>
                <w:rFonts w:eastAsia="Times New Roman" w:cs="Arial"/>
                <w:szCs w:val="22"/>
              </w:rPr>
              <w:t xml:space="preserve"> during</w:t>
            </w:r>
            <w:r>
              <w:rPr>
                <w:rFonts w:eastAsia="Times New Roman" w:cs="Arial"/>
                <w:szCs w:val="22"/>
              </w:rPr>
              <w:t xml:space="preserve"> the pandemic.</w:t>
            </w:r>
          </w:p>
        </w:tc>
        <w:tc>
          <w:tcPr>
            <w:tcW w:w="0" w:type="auto"/>
            <w:tcBorders>
              <w:bottom w:val="single" w:sz="6" w:space="0" w:color="000000"/>
              <w:right w:val="single" w:sz="6" w:space="0" w:color="000000"/>
            </w:tcBorders>
            <w:tcMar>
              <w:top w:w="75" w:type="dxa"/>
              <w:left w:w="75" w:type="dxa"/>
              <w:bottom w:w="75" w:type="dxa"/>
              <w:right w:w="75" w:type="dxa"/>
            </w:tcMar>
            <w:hideMark/>
          </w:tcPr>
          <w:p w14:paraId="12E6EE32" w14:textId="77777777" w:rsidR="007C339E" w:rsidRDefault="000A11B9">
            <w:pPr>
              <w:rPr>
                <w:rFonts w:eastAsia="Times New Roman" w:cs="Arial"/>
                <w:szCs w:val="22"/>
              </w:rPr>
            </w:pPr>
            <w:r>
              <w:rPr>
                <w:rFonts w:eastAsia="Times New Roman" w:cs="Arial"/>
                <w:szCs w:val="22"/>
              </w:rPr>
              <w:t xml:space="preserve">R3: Used feedback to weave in more </w:t>
            </w:r>
            <w:r w:rsidR="00FD460C">
              <w:rPr>
                <w:rFonts w:eastAsia="Times New Roman" w:cs="Arial"/>
                <w:szCs w:val="22"/>
              </w:rPr>
              <w:t xml:space="preserve">Criteria </w:t>
            </w:r>
            <w:r>
              <w:rPr>
                <w:rFonts w:eastAsia="Times New Roman" w:cs="Arial"/>
                <w:szCs w:val="22"/>
              </w:rPr>
              <w:t xml:space="preserve">language in first sentence. This is focused on the multiple level and does not address security of assets which had been raised in IR as an OFI. </w:t>
            </w:r>
          </w:p>
          <w:p w14:paraId="56C83BC2" w14:textId="0D7C649B" w:rsidR="007C339E" w:rsidRDefault="000A11B9">
            <w:pPr>
              <w:rPr>
                <w:rFonts w:eastAsia="Times New Roman" w:cs="Arial"/>
                <w:szCs w:val="22"/>
              </w:rPr>
            </w:pPr>
            <w:r>
              <w:rPr>
                <w:rFonts w:eastAsia="Times New Roman" w:cs="Arial"/>
                <w:szCs w:val="22"/>
              </w:rPr>
              <w:t xml:space="preserve">R2: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sidR="00DC52AF">
              <w:rPr>
                <w:rFonts w:eastAsia="Times New Roman" w:cs="Arial"/>
                <w:szCs w:val="22"/>
              </w:rPr>
              <w:t>, Ex7</w:t>
            </w:r>
            <w:r>
              <w:rPr>
                <w:rFonts w:eastAsia="Times New Roman" w:cs="Arial"/>
                <w:szCs w:val="22"/>
              </w:rPr>
              <w:t xml:space="preserve">. Overall level strength. Multiple tools in place with some question about how systematic this is and how they fit together. Giving benefit of doubt at overall level but OFI for multiple </w:t>
            </w:r>
            <w:r w:rsidR="005D7B5E">
              <w:rPr>
                <w:rFonts w:eastAsia="Times New Roman" w:cs="Arial"/>
                <w:szCs w:val="22"/>
              </w:rPr>
              <w:t>question</w:t>
            </w:r>
            <w:r>
              <w:rPr>
                <w:rFonts w:eastAsia="Times New Roman" w:cs="Arial"/>
                <w:szCs w:val="22"/>
              </w:rPr>
              <w:t xml:space="preserve">s. </w:t>
            </w:r>
          </w:p>
          <w:p w14:paraId="74949279" w14:textId="6199CECA" w:rsidR="00B24163" w:rsidRDefault="000A11B9">
            <w:pPr>
              <w:rPr>
                <w:rFonts w:eastAsia="Times New Roman" w:cs="Arial"/>
                <w:szCs w:val="22"/>
              </w:rPr>
            </w:pPr>
            <w:r>
              <w:rPr>
                <w:rFonts w:eastAsia="Times New Roman" w:cs="Arial"/>
                <w:szCs w:val="22"/>
              </w:rPr>
              <w:t xml:space="preserve">Focused on </w:t>
            </w:r>
            <w:r w:rsidR="00DC52AF">
              <w:rPr>
                <w:rFonts w:eastAsia="Times New Roman" w:cs="Arial"/>
                <w:szCs w:val="22"/>
              </w:rPr>
              <w:t>learning</w:t>
            </w:r>
            <w:r>
              <w:rPr>
                <w:rFonts w:eastAsia="Times New Roman" w:cs="Arial"/>
                <w:szCs w:val="22"/>
              </w:rPr>
              <w:t xml:space="preserve">. Need help in making sure that the b STR and OFI do not conflict. We may need to narrow them both further because the overall approaches are valid as a strength and the gap is an OFI. </w:t>
            </w:r>
          </w:p>
          <w:p w14:paraId="758A8E92" w14:textId="130AC2E9" w:rsidR="005E22BD" w:rsidRDefault="000A11B9">
            <w:pPr>
              <w:rPr>
                <w:rFonts w:eastAsia="Times New Roman" w:cs="Arial"/>
                <w:szCs w:val="22"/>
              </w:rPr>
            </w:pPr>
            <w:r>
              <w:rPr>
                <w:rFonts w:eastAsia="Times New Roman" w:cs="Arial"/>
                <w:szCs w:val="22"/>
              </w:rPr>
              <w:t>Moved up after R1 feedback given importance of cybersecurity relative to other strengths in the applicant</w:t>
            </w:r>
            <w:r w:rsidR="005663C4">
              <w:rPr>
                <w:rFonts w:eastAsia="Times New Roman" w:cs="Arial"/>
                <w:szCs w:val="22"/>
              </w:rPr>
              <w:t>’</w:t>
            </w:r>
            <w:r>
              <w:rPr>
                <w:rFonts w:eastAsia="Times New Roman" w:cs="Arial"/>
                <w:szCs w:val="22"/>
              </w:rPr>
              <w:t xml:space="preserve">s ability to operate. </w:t>
            </w:r>
          </w:p>
        </w:tc>
        <w:tc>
          <w:tcPr>
            <w:tcW w:w="0" w:type="auto"/>
            <w:tcBorders>
              <w:bottom w:val="single" w:sz="6" w:space="0" w:color="000000"/>
              <w:right w:val="single" w:sz="6" w:space="0" w:color="000000"/>
            </w:tcBorders>
            <w:tcMar>
              <w:top w:w="75" w:type="dxa"/>
              <w:left w:w="75" w:type="dxa"/>
              <w:bottom w:w="75" w:type="dxa"/>
              <w:right w:w="75" w:type="dxa"/>
            </w:tcMar>
            <w:hideMark/>
          </w:tcPr>
          <w:p w14:paraId="5F8C5AB1" w14:textId="77777777" w:rsidR="005E22BD" w:rsidRDefault="000A11B9">
            <w:pPr>
              <w:rPr>
                <w:rFonts w:eastAsia="Times New Roman" w:cs="Arial"/>
                <w:szCs w:val="22"/>
              </w:rPr>
            </w:pPr>
            <w:r>
              <w:rPr>
                <w:rFonts w:eastAsia="Times New Roman" w:cs="Arial"/>
                <w:szCs w:val="22"/>
              </w:rPr>
              <w:t>b</w:t>
            </w:r>
          </w:p>
        </w:tc>
      </w:tr>
      <w:tr w:rsidR="005E22BD" w14:paraId="5F8D9843"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DA319F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5277657" w14:textId="31867787" w:rsidR="005E22BD" w:rsidRDefault="000A11B9">
            <w:pPr>
              <w:rPr>
                <w:rFonts w:eastAsia="Times New Roman" w:cs="Arial"/>
                <w:szCs w:val="22"/>
              </w:rPr>
            </w:pPr>
            <w:r>
              <w:rPr>
                <w:rFonts w:eastAsia="Times New Roman" w:cs="Arial"/>
                <w:szCs w:val="22"/>
              </w:rPr>
              <w:t xml:space="preserve">The applicant </w:t>
            </w:r>
            <w:r w:rsidR="00A85A5C">
              <w:rPr>
                <w:rFonts w:eastAsia="Times New Roman" w:cs="Arial"/>
                <w:szCs w:val="22"/>
              </w:rPr>
              <w:t xml:space="preserve">systematically </w:t>
            </w:r>
            <w:r>
              <w:rPr>
                <w:rFonts w:eastAsia="Times New Roman" w:cs="Arial"/>
                <w:szCs w:val="22"/>
              </w:rPr>
              <w:t>provides a safe operating environment for its workforce, students, and others in the workplace through its Emergency and Safety Process (Figure 6.2-1). The applicant regularly performs safety audits and inspections, provides for multi-platform reporting of safety issues, and</w:t>
            </w:r>
            <w:r w:rsidR="00A85A5C">
              <w:rPr>
                <w:rFonts w:eastAsia="Times New Roman" w:cs="Arial"/>
                <w:szCs w:val="22"/>
              </w:rPr>
              <w:t xml:space="preserve"> </w:t>
            </w:r>
            <w:r w:rsidR="00FA06DA">
              <w:rPr>
                <w:rFonts w:eastAsia="Times New Roman" w:cs="Arial"/>
                <w:szCs w:val="22"/>
              </w:rPr>
              <w:t xml:space="preserve">it </w:t>
            </w:r>
            <w:r w:rsidR="00A85A5C">
              <w:rPr>
                <w:rFonts w:eastAsia="Times New Roman" w:cs="Arial"/>
                <w:szCs w:val="22"/>
              </w:rPr>
              <w:t>customizes</w:t>
            </w:r>
            <w:r>
              <w:rPr>
                <w:rFonts w:eastAsia="Times New Roman" w:cs="Arial"/>
                <w:szCs w:val="22"/>
              </w:rPr>
              <w:t xml:space="preserve"> safety training for all faculty and staff </w:t>
            </w:r>
            <w:r w:rsidR="00FA06DA">
              <w:rPr>
                <w:rFonts w:eastAsia="Times New Roman" w:cs="Arial"/>
                <w:szCs w:val="22"/>
              </w:rPr>
              <w:t xml:space="preserve">members </w:t>
            </w:r>
            <w:r>
              <w:rPr>
                <w:rFonts w:eastAsia="Times New Roman" w:cs="Arial"/>
                <w:szCs w:val="22"/>
              </w:rPr>
              <w:t xml:space="preserve">for their respective roles.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7B6C6E6" w14:textId="77777777" w:rsidR="00713EE5" w:rsidRDefault="007B4856">
            <w:pPr>
              <w:rPr>
                <w:rFonts w:eastAsia="Times New Roman" w:cs="Arial"/>
                <w:szCs w:val="22"/>
              </w:rPr>
            </w:pPr>
            <w:r>
              <w:rPr>
                <w:rFonts w:eastAsia="Times New Roman" w:cs="Arial"/>
                <w:szCs w:val="22"/>
              </w:rPr>
              <w:t>Ex1</w:t>
            </w:r>
            <w:r w:rsidR="000A11B9">
              <w:rPr>
                <w:rFonts w:eastAsia="Times New Roman" w:cs="Arial"/>
                <w:szCs w:val="22"/>
              </w:rPr>
              <w:t xml:space="preserve">, </w:t>
            </w:r>
            <w:r>
              <w:rPr>
                <w:rFonts w:eastAsia="Times New Roman" w:cs="Arial"/>
                <w:szCs w:val="22"/>
              </w:rPr>
              <w:t>Ex3</w:t>
            </w:r>
            <w:r w:rsidR="000A11B9">
              <w:rPr>
                <w:rFonts w:eastAsia="Times New Roman" w:cs="Arial"/>
                <w:szCs w:val="22"/>
              </w:rPr>
              <w:t xml:space="preserve">, </w:t>
            </w:r>
            <w:r>
              <w:rPr>
                <w:rFonts w:eastAsia="Times New Roman" w:cs="Arial"/>
                <w:szCs w:val="22"/>
              </w:rPr>
              <w:t>Ex5</w:t>
            </w:r>
            <w:r w:rsidR="000A11B9">
              <w:rPr>
                <w:rFonts w:eastAsia="Times New Roman" w:cs="Arial"/>
                <w:szCs w:val="22"/>
              </w:rPr>
              <w:t xml:space="preserve">, </w:t>
            </w:r>
            <w:r>
              <w:rPr>
                <w:rFonts w:eastAsia="Times New Roman" w:cs="Arial"/>
                <w:szCs w:val="22"/>
              </w:rPr>
              <w:t>Ex6</w:t>
            </w:r>
            <w:r w:rsidR="000A11B9">
              <w:rPr>
                <w:rFonts w:eastAsia="Times New Roman" w:cs="Arial"/>
                <w:szCs w:val="22"/>
              </w:rPr>
              <w:t xml:space="preserve"> (but with questions). Overall strength. </w:t>
            </w:r>
          </w:p>
          <w:p w14:paraId="25F3B323" w14:textId="5C3FD40C" w:rsidR="005E22BD" w:rsidRDefault="000A11B9">
            <w:pPr>
              <w:rPr>
                <w:rFonts w:eastAsia="Times New Roman" w:cs="Arial"/>
                <w:szCs w:val="22"/>
              </w:rPr>
            </w:pPr>
            <w:r>
              <w:rPr>
                <w:rFonts w:eastAsia="Times New Roman" w:cs="Arial"/>
                <w:szCs w:val="22"/>
              </w:rPr>
              <w:t xml:space="preserve">We were nearly equally split on whether this was a strength or OFI for the applicant. The OFIs focused more on multiples so proposing an overall strength.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12BFCCA" w14:textId="77777777" w:rsidR="005E22BD" w:rsidRDefault="000A11B9">
            <w:pPr>
              <w:rPr>
                <w:rFonts w:eastAsia="Times New Roman" w:cs="Arial"/>
                <w:szCs w:val="22"/>
              </w:rPr>
            </w:pPr>
            <w:r>
              <w:rPr>
                <w:rFonts w:eastAsia="Times New Roman" w:cs="Arial"/>
                <w:szCs w:val="22"/>
              </w:rPr>
              <w:t>c(1)</w:t>
            </w:r>
          </w:p>
        </w:tc>
      </w:tr>
      <w:tr w:rsidR="005E22BD" w14:paraId="29EF3599"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56173C19"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4696B4A" w14:textId="6AD8ABC5"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s stoplight reviews provide an emphasis on budget/cost control and schedules in order to manage process efficiency and effectiveness. As an improvement made through the PDCA process, the applicant integrated the registration and scheduling system with food services and the bookstore, which resulted in cost savings. Th</w:t>
            </w:r>
            <w:r w:rsidR="00A85A5C">
              <w:rPr>
                <w:rFonts w:eastAsia="Times New Roman" w:cs="Arial"/>
                <w:szCs w:val="22"/>
              </w:rPr>
              <w:t>is approach</w:t>
            </w:r>
            <w:r>
              <w:rPr>
                <w:rFonts w:eastAsia="Times New Roman" w:cs="Arial"/>
                <w:szCs w:val="22"/>
              </w:rPr>
              <w:t xml:space="preserve"> may help the applicant manage its strategic challenge of decreased state funding.</w:t>
            </w:r>
          </w:p>
        </w:tc>
        <w:tc>
          <w:tcPr>
            <w:tcW w:w="0" w:type="auto"/>
            <w:tcBorders>
              <w:bottom w:val="single" w:sz="6" w:space="0" w:color="000000"/>
              <w:right w:val="single" w:sz="6" w:space="0" w:color="000000"/>
            </w:tcBorders>
            <w:tcMar>
              <w:top w:w="75" w:type="dxa"/>
              <w:left w:w="75" w:type="dxa"/>
              <w:bottom w:w="75" w:type="dxa"/>
              <w:right w:w="75" w:type="dxa"/>
            </w:tcMar>
            <w:hideMark/>
          </w:tcPr>
          <w:p w14:paraId="6B45D869" w14:textId="77777777" w:rsidR="005E22BD" w:rsidRDefault="000A11B9">
            <w:pPr>
              <w:rPr>
                <w:rFonts w:eastAsia="Times New Roman" w:cs="Arial"/>
                <w:szCs w:val="22"/>
              </w:rPr>
            </w:pPr>
            <w:r>
              <w:rPr>
                <w:rFonts w:eastAsia="Times New Roman" w:cs="Arial"/>
                <w:szCs w:val="22"/>
              </w:rPr>
              <w:t xml:space="preserve">Strength focuses on overall and some multiple </w:t>
            </w:r>
            <w:r w:rsidR="005D7B5E">
              <w:rPr>
                <w:rFonts w:eastAsia="Times New Roman" w:cs="Arial"/>
                <w:szCs w:val="22"/>
              </w:rPr>
              <w:t>question</w:t>
            </w:r>
            <w:r>
              <w:rPr>
                <w:rFonts w:eastAsia="Times New Roman" w:cs="Arial"/>
                <w:szCs w:val="22"/>
              </w:rPr>
              <w:t>s. (</w:t>
            </w:r>
            <w:r w:rsidR="007B4856">
              <w:rPr>
                <w:rFonts w:eastAsia="Times New Roman" w:cs="Arial"/>
                <w:szCs w:val="22"/>
              </w:rPr>
              <w:t>Ex1</w:t>
            </w:r>
            <w:r>
              <w:rPr>
                <w:rFonts w:eastAsia="Times New Roman" w:cs="Arial"/>
                <w:szCs w:val="22"/>
              </w:rPr>
              <w:t>,</w:t>
            </w:r>
            <w:r w:rsidR="00350724">
              <w:rPr>
                <w:rFonts w:eastAsia="Times New Roman" w:cs="Arial"/>
                <w:szCs w:val="22"/>
              </w:rPr>
              <w:t xml:space="preserve"> Ex2,</w:t>
            </w:r>
            <w:r>
              <w:rPr>
                <w:rFonts w:eastAsia="Times New Roman" w:cs="Arial"/>
                <w:szCs w:val="22"/>
              </w:rPr>
              <w:t xml:space="preserve"> </w:t>
            </w:r>
            <w:r w:rsidR="007B4856">
              <w:rPr>
                <w:rFonts w:eastAsia="Times New Roman" w:cs="Arial"/>
                <w:szCs w:val="22"/>
              </w:rPr>
              <w:t>Ex7</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718C2EE0" w14:textId="77777777" w:rsidR="005E22BD" w:rsidRDefault="000A11B9">
            <w:pPr>
              <w:rPr>
                <w:rFonts w:eastAsia="Times New Roman" w:cs="Arial"/>
                <w:szCs w:val="22"/>
              </w:rPr>
            </w:pPr>
            <w:r>
              <w:rPr>
                <w:rFonts w:eastAsia="Times New Roman" w:cs="Arial"/>
                <w:szCs w:val="22"/>
              </w:rPr>
              <w:t>a</w:t>
            </w:r>
          </w:p>
        </w:tc>
      </w:tr>
    </w:tbl>
    <w:p w14:paraId="58E7E98D"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108472CD" w14:textId="77777777" w:rsidTr="00080296">
        <w:tc>
          <w:tcPr>
            <w:tcW w:w="10170" w:type="dxa"/>
          </w:tcPr>
          <w:p w14:paraId="019A1E2E" w14:textId="2AB4721A" w:rsidR="00080296" w:rsidRDefault="00080296">
            <w:pPr>
              <w:rPr>
                <w:rFonts w:eastAsia="Times New Roman" w:cs="Arial"/>
                <w:szCs w:val="22"/>
              </w:rPr>
            </w:pPr>
            <w:r>
              <w:rPr>
                <w:rFonts w:eastAsia="Times New Roman" w:cs="Arial"/>
                <w:szCs w:val="22"/>
              </w:rPr>
              <w:t>Strengths are mostly at the overall level, and there were some questions and benefit of doubt. Must make sure that the b OFI and STR do not conflict.</w:t>
            </w:r>
          </w:p>
        </w:tc>
      </w:tr>
    </w:tbl>
    <w:p w14:paraId="5D7C7AB7"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91"/>
        <w:gridCol w:w="4266"/>
        <w:gridCol w:w="1200"/>
      </w:tblGrid>
      <w:tr w:rsidR="005E22BD" w14:paraId="7457E5F2"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0B7CB22C"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9CC06D8"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332F6389"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C0A5B28"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1434AED4"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6B1D5BA3"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60517D9D" w14:textId="44652B12" w:rsidR="005E22BD" w:rsidRDefault="000A11B9">
            <w:pPr>
              <w:rPr>
                <w:rFonts w:eastAsia="Times New Roman" w:cs="Arial"/>
                <w:szCs w:val="22"/>
              </w:rPr>
            </w:pPr>
            <w:r>
              <w:rPr>
                <w:rFonts w:eastAsia="Times New Roman" w:cs="Arial"/>
                <w:szCs w:val="22"/>
              </w:rPr>
              <w:t>It is not clear how the applicant manages physical and digital data, information, and key operational systems to ensure confidentiality and</w:t>
            </w:r>
            <w:r w:rsidR="00A85A5C">
              <w:rPr>
                <w:rFonts w:eastAsia="Times New Roman" w:cs="Arial"/>
                <w:szCs w:val="22"/>
              </w:rPr>
              <w:t xml:space="preserve"> only</w:t>
            </w:r>
            <w:r>
              <w:rPr>
                <w:rFonts w:eastAsia="Times New Roman" w:cs="Arial"/>
                <w:szCs w:val="22"/>
              </w:rPr>
              <w:t xml:space="preserve"> appropriate physical and digital access by employees, partners, and suppliers. </w:t>
            </w:r>
            <w:r w:rsidR="00713EE5">
              <w:rPr>
                <w:rFonts w:eastAsia="Times New Roman" w:cs="Arial"/>
                <w:szCs w:val="22"/>
              </w:rPr>
              <w:t xml:space="preserve">Ensuring that these stakeholders understand their roles </w:t>
            </w:r>
            <w:r>
              <w:rPr>
                <w:rFonts w:eastAsia="Times New Roman" w:cs="Arial"/>
                <w:szCs w:val="22"/>
              </w:rPr>
              <w:t xml:space="preserve">may help the applicant mitigate </w:t>
            </w:r>
            <w:r w:rsidR="00A85A5C">
              <w:rPr>
                <w:rFonts w:eastAsia="Times New Roman" w:cs="Arial"/>
                <w:szCs w:val="22"/>
              </w:rPr>
              <w:t xml:space="preserve">the </w:t>
            </w:r>
            <w:r>
              <w:rPr>
                <w:rFonts w:eastAsia="Times New Roman" w:cs="Arial"/>
                <w:szCs w:val="22"/>
              </w:rPr>
              <w:t>risk</w:t>
            </w:r>
            <w:r w:rsidR="00A85A5C">
              <w:rPr>
                <w:rFonts w:eastAsia="Times New Roman" w:cs="Arial"/>
                <w:szCs w:val="22"/>
              </w:rPr>
              <w:t xml:space="preserve"> of inappropriate access</w:t>
            </w:r>
            <w:r>
              <w:rPr>
                <w:rFonts w:eastAsia="Times New Roman" w:cs="Arial"/>
                <w:szCs w:val="22"/>
              </w:rPr>
              <w:t xml:space="preserve"> inherent in moving operations online.</w:t>
            </w:r>
          </w:p>
        </w:tc>
        <w:tc>
          <w:tcPr>
            <w:tcW w:w="0" w:type="auto"/>
            <w:tcBorders>
              <w:bottom w:val="single" w:sz="6" w:space="0" w:color="000000"/>
              <w:right w:val="single" w:sz="6" w:space="0" w:color="000000"/>
            </w:tcBorders>
            <w:tcMar>
              <w:top w:w="75" w:type="dxa"/>
              <w:left w:w="75" w:type="dxa"/>
              <w:bottom w:w="75" w:type="dxa"/>
              <w:right w:w="75" w:type="dxa"/>
            </w:tcMar>
            <w:hideMark/>
          </w:tcPr>
          <w:p w14:paraId="65E93480" w14:textId="77777777" w:rsidR="00A85A5C" w:rsidRDefault="000A11B9">
            <w:pPr>
              <w:rPr>
                <w:rFonts w:eastAsia="Times New Roman" w:cs="Arial"/>
                <w:szCs w:val="22"/>
              </w:rPr>
            </w:pPr>
            <w:r>
              <w:rPr>
                <w:rFonts w:eastAsia="Times New Roman" w:cs="Arial"/>
                <w:szCs w:val="22"/>
              </w:rPr>
              <w:t xml:space="preserve">R3: Included partners and suppliers as suggested by </w:t>
            </w:r>
            <w:r w:rsidR="007B4856">
              <w:rPr>
                <w:rFonts w:eastAsia="Times New Roman" w:cs="Arial"/>
                <w:szCs w:val="22"/>
              </w:rPr>
              <w:t>Ex7</w:t>
            </w:r>
            <w:r>
              <w:rPr>
                <w:rFonts w:eastAsia="Times New Roman" w:cs="Arial"/>
                <w:szCs w:val="22"/>
              </w:rPr>
              <w:t xml:space="preserve">. This focuses on "ensure confidentiality and appropriate physical and digital access." While there was some discussion about the mention of cybersecurity potentially conflicting with the b </w:t>
            </w:r>
            <w:r w:rsidR="00A85A5C">
              <w:rPr>
                <w:rFonts w:eastAsia="Times New Roman" w:cs="Arial"/>
                <w:szCs w:val="22"/>
              </w:rPr>
              <w:t>strength</w:t>
            </w:r>
            <w:r>
              <w:rPr>
                <w:rFonts w:eastAsia="Times New Roman" w:cs="Arial"/>
                <w:szCs w:val="22"/>
              </w:rPr>
              <w:t xml:space="preserve">, that comment focuses on the last bullet of the multiple. We eliminated "cybersecurity" from this comment to avoid potentially conflicting </w:t>
            </w:r>
            <w:r w:rsidR="005D7B5E">
              <w:rPr>
                <w:rFonts w:eastAsia="Times New Roman" w:cs="Arial"/>
                <w:szCs w:val="22"/>
              </w:rPr>
              <w:t>comments,</w:t>
            </w:r>
            <w:r>
              <w:rPr>
                <w:rFonts w:eastAsia="Times New Roman" w:cs="Arial"/>
                <w:szCs w:val="22"/>
              </w:rPr>
              <w:t xml:space="preserve"> but the two comment</w:t>
            </w:r>
            <w:r w:rsidR="005D7B5E">
              <w:rPr>
                <w:rFonts w:eastAsia="Times New Roman" w:cs="Arial"/>
                <w:szCs w:val="22"/>
              </w:rPr>
              <w:t>s</w:t>
            </w:r>
            <w:r>
              <w:rPr>
                <w:rFonts w:eastAsia="Times New Roman" w:cs="Arial"/>
                <w:szCs w:val="22"/>
              </w:rPr>
              <w:t xml:space="preserve"> focus on different aspects of the item. </w:t>
            </w:r>
          </w:p>
          <w:p w14:paraId="38A00C82" w14:textId="479979FA" w:rsidR="00B24163" w:rsidRDefault="000A11B9">
            <w:pPr>
              <w:rPr>
                <w:rFonts w:eastAsia="Times New Roman" w:cs="Arial"/>
                <w:szCs w:val="22"/>
              </w:rPr>
            </w:pPr>
            <w:r>
              <w:rPr>
                <w:rFonts w:eastAsia="Times New Roman" w:cs="Arial"/>
                <w:szCs w:val="22"/>
              </w:rPr>
              <w:t xml:space="preserve">For discussion: </w:t>
            </w:r>
            <w:r w:rsidR="007B4856">
              <w:rPr>
                <w:rFonts w:eastAsia="Times New Roman" w:cs="Arial"/>
                <w:szCs w:val="22"/>
              </w:rPr>
              <w:t>Ex7</w:t>
            </w:r>
            <w:r>
              <w:rPr>
                <w:rFonts w:eastAsia="Times New Roman" w:cs="Arial"/>
                <w:szCs w:val="22"/>
              </w:rPr>
              <w:t xml:space="preserve"> raises whether the Cybersecurity Excellence Builder and US-CERT include training processes for confidentiality. </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Ex2</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w:t>
            </w:r>
          </w:p>
          <w:p w14:paraId="52F4F8BE" w14:textId="77777777" w:rsidR="00B24163" w:rsidRDefault="000A11B9">
            <w:pPr>
              <w:rPr>
                <w:rFonts w:eastAsia="Times New Roman" w:cs="Arial"/>
                <w:szCs w:val="22"/>
              </w:rPr>
            </w:pPr>
            <w:r>
              <w:rPr>
                <w:rFonts w:eastAsia="Times New Roman" w:cs="Arial"/>
                <w:szCs w:val="22"/>
              </w:rPr>
              <w:t xml:space="preserve">R1 feedback streamlined comment to lessen the STROFI nature of the original draft. </w:t>
            </w:r>
          </w:p>
          <w:p w14:paraId="314CE48D" w14:textId="783219FE" w:rsidR="005E22BD" w:rsidRDefault="007B4856">
            <w:pPr>
              <w:rPr>
                <w:rFonts w:eastAsia="Times New Roman" w:cs="Arial"/>
                <w:szCs w:val="22"/>
              </w:rPr>
            </w:pPr>
            <w:r>
              <w:rPr>
                <w:rFonts w:eastAsia="Times New Roman" w:cs="Arial"/>
                <w:szCs w:val="22"/>
              </w:rPr>
              <w:lastRenderedPageBreak/>
              <w:t>Ex6</w:t>
            </w:r>
            <w:r w:rsidR="000A11B9">
              <w:rPr>
                <w:rFonts w:eastAsia="Times New Roman" w:cs="Arial"/>
                <w:szCs w:val="22"/>
              </w:rPr>
              <w:t>: They didn</w:t>
            </w:r>
            <w:r w:rsidR="005663C4">
              <w:rPr>
                <w:rFonts w:eastAsia="Times New Roman" w:cs="Arial"/>
                <w:szCs w:val="22"/>
              </w:rPr>
              <w:t>’</w:t>
            </w:r>
            <w:r w:rsidR="000A11B9">
              <w:rPr>
                <w:rFonts w:eastAsia="Times New Roman" w:cs="Arial"/>
                <w:szCs w:val="22"/>
              </w:rPr>
              <w:t xml:space="preserve">t address how they secured assets other than cyber assets. Focuses on multiple </w:t>
            </w:r>
            <w:r w:rsidR="005D7B5E">
              <w:rPr>
                <w:rFonts w:eastAsia="Times New Roman" w:cs="Arial"/>
                <w:szCs w:val="22"/>
              </w:rPr>
              <w:t>question</w:t>
            </w:r>
            <w:r w:rsidR="000A11B9">
              <w:rPr>
                <w:rFonts w:eastAsia="Times New Roman" w:cs="Arial"/>
                <w:szCs w:val="22"/>
              </w:rPr>
              <w:t>s.</w:t>
            </w:r>
          </w:p>
        </w:tc>
        <w:tc>
          <w:tcPr>
            <w:tcW w:w="0" w:type="auto"/>
            <w:tcBorders>
              <w:bottom w:val="single" w:sz="6" w:space="0" w:color="000000"/>
              <w:right w:val="single" w:sz="6" w:space="0" w:color="000000"/>
            </w:tcBorders>
            <w:tcMar>
              <w:top w:w="75" w:type="dxa"/>
              <w:left w:w="75" w:type="dxa"/>
              <w:bottom w:w="75" w:type="dxa"/>
              <w:right w:w="75" w:type="dxa"/>
            </w:tcMar>
            <w:hideMark/>
          </w:tcPr>
          <w:p w14:paraId="6DE8BA01" w14:textId="77777777" w:rsidR="005E22BD" w:rsidRDefault="000A11B9">
            <w:pPr>
              <w:rPr>
                <w:rFonts w:eastAsia="Times New Roman" w:cs="Arial"/>
                <w:szCs w:val="22"/>
              </w:rPr>
            </w:pPr>
            <w:r>
              <w:rPr>
                <w:rFonts w:eastAsia="Times New Roman" w:cs="Arial"/>
                <w:szCs w:val="22"/>
              </w:rPr>
              <w:lastRenderedPageBreak/>
              <w:t>b</w:t>
            </w:r>
          </w:p>
        </w:tc>
      </w:tr>
      <w:tr w:rsidR="005E22BD" w14:paraId="4FF62CC6"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423B53C"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8EC9DCF" w14:textId="45E2DCAC" w:rsidR="005E22BD" w:rsidRDefault="000A11B9">
            <w:pPr>
              <w:rPr>
                <w:rFonts w:eastAsia="Times New Roman" w:cs="Arial"/>
                <w:szCs w:val="22"/>
              </w:rPr>
            </w:pPr>
            <w:r>
              <w:rPr>
                <w:rFonts w:eastAsia="Times New Roman" w:cs="Arial"/>
                <w:szCs w:val="22"/>
              </w:rPr>
              <w:t>It is not clear how the applicant</w:t>
            </w:r>
            <w:r w:rsidR="005663C4">
              <w:rPr>
                <w:rFonts w:eastAsia="Times New Roman" w:cs="Arial"/>
                <w:szCs w:val="22"/>
              </w:rPr>
              <w:t>’</w:t>
            </w:r>
            <w:r>
              <w:rPr>
                <w:rFonts w:eastAsia="Times New Roman" w:cs="Arial"/>
                <w:szCs w:val="22"/>
              </w:rPr>
              <w:t>s emergency process allows it to anticipate disasters, emergencies, and other disruptions</w:t>
            </w:r>
            <w:r w:rsidR="0034241D">
              <w:rPr>
                <w:rFonts w:eastAsia="Times New Roman" w:cs="Arial"/>
                <w:szCs w:val="22"/>
              </w:rPr>
              <w:t>, or how the process is deployed to</w:t>
            </w:r>
            <w:r>
              <w:rPr>
                <w:rFonts w:eastAsia="Times New Roman" w:cs="Arial"/>
                <w:szCs w:val="22"/>
              </w:rPr>
              <w:t xml:space="preserve"> </w:t>
            </w:r>
            <w:r w:rsidR="00713EE5">
              <w:rPr>
                <w:rFonts w:eastAsia="Times New Roman" w:cs="Arial"/>
                <w:szCs w:val="22"/>
              </w:rPr>
              <w:t>suppliers, other people in the workplace,</w:t>
            </w:r>
            <w:r>
              <w:rPr>
                <w:rFonts w:eastAsia="Times New Roman" w:cs="Arial"/>
                <w:szCs w:val="22"/>
              </w:rPr>
              <w:t xml:space="preserve"> and locations</w:t>
            </w:r>
            <w:r w:rsidR="0034241D">
              <w:rPr>
                <w:rFonts w:eastAsia="Times New Roman" w:cs="Arial"/>
                <w:szCs w:val="22"/>
              </w:rPr>
              <w:t xml:space="preserve"> such as the bookstore, athletics, art galleries</w:t>
            </w:r>
            <w:r w:rsidR="00713EE5">
              <w:rPr>
                <w:rFonts w:eastAsia="Times New Roman" w:cs="Arial"/>
                <w:szCs w:val="22"/>
              </w:rPr>
              <w:t>,</w:t>
            </w:r>
            <w:r w:rsidR="0034241D">
              <w:rPr>
                <w:rFonts w:eastAsia="Times New Roman" w:cs="Arial"/>
                <w:szCs w:val="22"/>
              </w:rPr>
              <w:t xml:space="preserve"> or dining areas</w:t>
            </w:r>
            <w:r>
              <w:rPr>
                <w:rFonts w:eastAsia="Times New Roman" w:cs="Arial"/>
                <w:szCs w:val="22"/>
              </w:rPr>
              <w:t xml:space="preserve">. </w:t>
            </w:r>
            <w:r w:rsidR="0034241D">
              <w:rPr>
                <w:rFonts w:eastAsia="Times New Roman" w:cs="Arial"/>
                <w:szCs w:val="22"/>
              </w:rPr>
              <w:t xml:space="preserve">For example, when the pandemic struck, plans were put into place as needed rather than according to a continuity-of-operations plan. Without </w:t>
            </w:r>
            <w:r>
              <w:rPr>
                <w:rFonts w:eastAsia="Times New Roman" w:cs="Arial"/>
                <w:szCs w:val="22"/>
              </w:rPr>
              <w:t xml:space="preserve">a </w:t>
            </w:r>
            <w:r w:rsidR="005D7B5E">
              <w:rPr>
                <w:rFonts w:eastAsia="Times New Roman" w:cs="Arial"/>
                <w:szCs w:val="22"/>
              </w:rPr>
              <w:t>fully deployed</w:t>
            </w:r>
            <w:r>
              <w:rPr>
                <w:rFonts w:eastAsia="Times New Roman" w:cs="Arial"/>
                <w:szCs w:val="22"/>
              </w:rPr>
              <w:t xml:space="preserve"> process </w:t>
            </w:r>
            <w:r w:rsidR="0034241D">
              <w:rPr>
                <w:rFonts w:eastAsia="Times New Roman" w:cs="Arial"/>
                <w:szCs w:val="22"/>
              </w:rPr>
              <w:t xml:space="preserve">that includes the ability to anticipate disruptions, </w:t>
            </w:r>
            <w:r>
              <w:rPr>
                <w:rFonts w:eastAsia="Times New Roman" w:cs="Arial"/>
                <w:szCs w:val="22"/>
              </w:rPr>
              <w:t>the applicant</w:t>
            </w:r>
            <w:r w:rsidR="005663C4">
              <w:rPr>
                <w:rFonts w:eastAsia="Times New Roman" w:cs="Arial"/>
                <w:szCs w:val="22"/>
              </w:rPr>
              <w:t>’</w:t>
            </w:r>
            <w:r>
              <w:rPr>
                <w:rFonts w:eastAsia="Times New Roman" w:cs="Arial"/>
                <w:szCs w:val="22"/>
              </w:rPr>
              <w:t xml:space="preserve">s business continuity </w:t>
            </w:r>
            <w:r w:rsidR="0034241D">
              <w:rPr>
                <w:rFonts w:eastAsia="Times New Roman" w:cs="Arial"/>
                <w:szCs w:val="22"/>
              </w:rPr>
              <w:t>may be at risk</w:t>
            </w:r>
            <w:r>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B1948C4" w14:textId="77777777" w:rsidR="00A85A5C" w:rsidRDefault="007B4856">
            <w:pPr>
              <w:rPr>
                <w:rFonts w:eastAsia="Times New Roman" w:cs="Arial"/>
                <w:szCs w:val="22"/>
              </w:rPr>
            </w:pPr>
            <w:r>
              <w:rPr>
                <w:rFonts w:eastAsia="Times New Roman" w:cs="Arial"/>
                <w:szCs w:val="22"/>
              </w:rPr>
              <w:t>Ex1</w:t>
            </w:r>
            <w:r w:rsidR="000A11B9">
              <w:rPr>
                <w:rFonts w:eastAsia="Times New Roman" w:cs="Arial"/>
                <w:szCs w:val="22"/>
              </w:rPr>
              <w:t xml:space="preserve">, </w:t>
            </w:r>
            <w:r>
              <w:rPr>
                <w:rFonts w:eastAsia="Times New Roman" w:cs="Arial"/>
                <w:szCs w:val="22"/>
              </w:rPr>
              <w:t>Ex2</w:t>
            </w:r>
            <w:r w:rsidR="000A11B9">
              <w:rPr>
                <w:rFonts w:eastAsia="Times New Roman" w:cs="Arial"/>
                <w:szCs w:val="22"/>
              </w:rPr>
              <w:t xml:space="preserve">, </w:t>
            </w:r>
            <w:r>
              <w:rPr>
                <w:rFonts w:eastAsia="Times New Roman" w:cs="Arial"/>
                <w:szCs w:val="22"/>
              </w:rPr>
              <w:t>Ex4</w:t>
            </w:r>
            <w:r w:rsidR="000A11B9">
              <w:rPr>
                <w:rFonts w:eastAsia="Times New Roman" w:cs="Arial"/>
                <w:szCs w:val="22"/>
              </w:rPr>
              <w:t xml:space="preserve">, </w:t>
            </w:r>
            <w:r>
              <w:rPr>
                <w:rFonts w:eastAsia="Times New Roman" w:cs="Arial"/>
                <w:szCs w:val="22"/>
              </w:rPr>
              <w:t>Ex5</w:t>
            </w:r>
            <w:r w:rsidR="00350724">
              <w:rPr>
                <w:rFonts w:eastAsia="Times New Roman" w:cs="Arial"/>
                <w:szCs w:val="22"/>
              </w:rPr>
              <w:t>, Ex7</w:t>
            </w:r>
            <w:r w:rsidR="000A11B9">
              <w:rPr>
                <w:rFonts w:eastAsia="Times New Roman" w:cs="Arial"/>
                <w:szCs w:val="22"/>
              </w:rPr>
              <w:t xml:space="preserve"> identified this OFI. How emergency plan helps </w:t>
            </w:r>
            <w:r w:rsidR="00C74F71">
              <w:rPr>
                <w:rFonts w:eastAsia="Times New Roman" w:cs="Arial"/>
                <w:szCs w:val="22"/>
              </w:rPr>
              <w:t>applicant</w:t>
            </w:r>
            <w:r w:rsidR="000A11B9">
              <w:rPr>
                <w:rFonts w:eastAsia="Times New Roman" w:cs="Arial"/>
                <w:szCs w:val="22"/>
              </w:rPr>
              <w:t xml:space="preserve"> anticipate, plans, and recover</w:t>
            </w:r>
            <w:r w:rsidR="00A85A5C">
              <w:rPr>
                <w:rFonts w:eastAsia="Times New Roman" w:cs="Arial"/>
                <w:szCs w:val="22"/>
              </w:rPr>
              <w:t xml:space="preserve"> </w:t>
            </w:r>
            <w:r w:rsidR="000A11B9">
              <w:rPr>
                <w:rFonts w:eastAsia="Times New Roman" w:cs="Arial"/>
                <w:szCs w:val="22"/>
              </w:rPr>
              <w:t>...</w:t>
            </w:r>
            <w:r w:rsidR="00A85A5C">
              <w:rPr>
                <w:rFonts w:eastAsia="Times New Roman" w:cs="Arial"/>
                <w:szCs w:val="22"/>
              </w:rPr>
              <w:t xml:space="preserve"> </w:t>
            </w:r>
            <w:r w:rsidR="000A11B9">
              <w:rPr>
                <w:rFonts w:eastAsia="Times New Roman" w:cs="Arial"/>
                <w:szCs w:val="22"/>
              </w:rPr>
              <w:t xml:space="preserve">saw reactive response to the pandemic. </w:t>
            </w:r>
          </w:p>
          <w:p w14:paraId="2988D5E4" w14:textId="77777777" w:rsidR="00A85A5C" w:rsidRDefault="007B4856">
            <w:pPr>
              <w:rPr>
                <w:rFonts w:eastAsia="Times New Roman" w:cs="Arial"/>
                <w:szCs w:val="22"/>
              </w:rPr>
            </w:pPr>
            <w:r>
              <w:rPr>
                <w:rFonts w:eastAsia="Times New Roman" w:cs="Arial"/>
                <w:szCs w:val="22"/>
              </w:rPr>
              <w:t>Ex5</w:t>
            </w:r>
            <w:r w:rsidR="000A11B9">
              <w:rPr>
                <w:rFonts w:eastAsia="Times New Roman" w:cs="Arial"/>
                <w:szCs w:val="22"/>
              </w:rPr>
              <w:t xml:space="preserve"> advocates for an overall OFI. </w:t>
            </w:r>
          </w:p>
          <w:p w14:paraId="7F304912" w14:textId="2B389205" w:rsidR="00A85A5C" w:rsidRDefault="007B4856">
            <w:pPr>
              <w:rPr>
                <w:rFonts w:eastAsia="Times New Roman" w:cs="Arial"/>
                <w:szCs w:val="22"/>
              </w:rPr>
            </w:pPr>
            <w:r>
              <w:rPr>
                <w:rFonts w:eastAsia="Times New Roman" w:cs="Arial"/>
                <w:szCs w:val="22"/>
              </w:rPr>
              <w:t>Ex2</w:t>
            </w:r>
            <w:r w:rsidR="000A11B9">
              <w:rPr>
                <w:rFonts w:eastAsia="Times New Roman" w:cs="Arial"/>
                <w:szCs w:val="22"/>
              </w:rPr>
              <w:t xml:space="preserve"> focuses on deployment. </w:t>
            </w:r>
          </w:p>
          <w:p w14:paraId="765BD863" w14:textId="77777777" w:rsidR="00A85A5C" w:rsidRDefault="007B4856">
            <w:pPr>
              <w:rPr>
                <w:rFonts w:eastAsia="Times New Roman" w:cs="Arial"/>
                <w:szCs w:val="22"/>
              </w:rPr>
            </w:pPr>
            <w:r>
              <w:rPr>
                <w:rFonts w:eastAsia="Times New Roman" w:cs="Arial"/>
                <w:szCs w:val="22"/>
              </w:rPr>
              <w:t>Ex7</w:t>
            </w:r>
            <w:r w:rsidR="000A11B9">
              <w:rPr>
                <w:rFonts w:eastAsia="Times New Roman" w:cs="Arial"/>
                <w:szCs w:val="22"/>
              </w:rPr>
              <w:t xml:space="preserve">: For example, when the pandemic struck, there was no systematic process for continuity of operations and plans were put into place as needed. </w:t>
            </w:r>
          </w:p>
          <w:p w14:paraId="7AC4F693" w14:textId="344693FF" w:rsidR="00A85A5C" w:rsidRDefault="007B4856">
            <w:pPr>
              <w:rPr>
                <w:rFonts w:eastAsia="Times New Roman" w:cs="Arial"/>
                <w:szCs w:val="22"/>
              </w:rPr>
            </w:pPr>
            <w:r>
              <w:rPr>
                <w:rFonts w:eastAsia="Times New Roman" w:cs="Arial"/>
                <w:szCs w:val="22"/>
              </w:rPr>
              <w:t>Ex2</w:t>
            </w:r>
            <w:r w:rsidR="000A11B9">
              <w:rPr>
                <w:rFonts w:eastAsia="Times New Roman" w:cs="Arial"/>
                <w:szCs w:val="22"/>
              </w:rPr>
              <w:t xml:space="preserve"> focused on deployment to suppliers. </w:t>
            </w:r>
          </w:p>
          <w:p w14:paraId="186ECDF7" w14:textId="62F9A0A1"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DE0464F" w14:textId="77777777" w:rsidR="005E22BD" w:rsidRDefault="000A11B9">
            <w:pPr>
              <w:rPr>
                <w:rFonts w:eastAsia="Times New Roman" w:cs="Arial"/>
                <w:szCs w:val="22"/>
              </w:rPr>
            </w:pPr>
            <w:r>
              <w:rPr>
                <w:rFonts w:eastAsia="Times New Roman" w:cs="Arial"/>
                <w:szCs w:val="22"/>
              </w:rPr>
              <w:t>c(2)</w:t>
            </w:r>
          </w:p>
        </w:tc>
      </w:tr>
      <w:tr w:rsidR="005E22BD" w14:paraId="30F6125B"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32208D4F"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5D9E053" w14:textId="476A3A10" w:rsidR="005E22BD" w:rsidRDefault="000A11B9">
            <w:pPr>
              <w:rPr>
                <w:rFonts w:eastAsia="Times New Roman" w:cs="Arial"/>
                <w:szCs w:val="22"/>
              </w:rPr>
            </w:pPr>
            <w:r>
              <w:rPr>
                <w:rFonts w:eastAsia="Times New Roman" w:cs="Arial"/>
                <w:szCs w:val="22"/>
              </w:rPr>
              <w:t>It is not clear how the applicant systematically balances the need for cost control and efficiency with students</w:t>
            </w:r>
            <w:r w:rsidR="005663C4">
              <w:rPr>
                <w:rFonts w:eastAsia="Times New Roman" w:cs="Arial"/>
                <w:szCs w:val="22"/>
              </w:rPr>
              <w:t>’</w:t>
            </w:r>
            <w:r>
              <w:rPr>
                <w:rFonts w:eastAsia="Times New Roman" w:cs="Arial"/>
                <w:szCs w:val="22"/>
              </w:rPr>
              <w:t xml:space="preserve"> and customers</w:t>
            </w:r>
            <w:r w:rsidR="005663C4">
              <w:rPr>
                <w:rFonts w:eastAsia="Times New Roman" w:cs="Arial"/>
                <w:szCs w:val="22"/>
              </w:rPr>
              <w:t>’</w:t>
            </w:r>
            <w:r>
              <w:rPr>
                <w:rFonts w:eastAsia="Times New Roman" w:cs="Arial"/>
                <w:szCs w:val="22"/>
              </w:rPr>
              <w:t xml:space="preserve"> needs. For example, the applicant has a strategic challenge of reduced state funding</w:t>
            </w:r>
            <w:r w:rsidR="007A6041">
              <w:rPr>
                <w:rFonts w:eastAsia="Times New Roman" w:cs="Arial"/>
                <w:szCs w:val="22"/>
              </w:rPr>
              <w:t xml:space="preserve"> while also facing t</w:t>
            </w:r>
            <w:r w:rsidR="00713EE5">
              <w:rPr>
                <w:rFonts w:eastAsia="Times New Roman" w:cs="Arial"/>
                <w:szCs w:val="22"/>
              </w:rPr>
              <w:t>he</w:t>
            </w:r>
            <w:r>
              <w:rPr>
                <w:rFonts w:eastAsia="Times New Roman" w:cs="Arial"/>
                <w:szCs w:val="22"/>
              </w:rPr>
              <w:t xml:space="preserve"> increasing need to develop </w:t>
            </w:r>
            <w:r w:rsidR="00DB6E5E">
              <w:rPr>
                <w:rFonts w:eastAsia="Times New Roman" w:cs="Arial"/>
                <w:szCs w:val="22"/>
              </w:rPr>
              <w:t>dual-credit</w:t>
            </w:r>
            <w:r>
              <w:rPr>
                <w:rFonts w:eastAsia="Times New Roman" w:cs="Arial"/>
                <w:szCs w:val="22"/>
              </w:rPr>
              <w:t xml:space="preserve"> options and meet employers</w:t>
            </w:r>
            <w:r w:rsidR="005663C4">
              <w:rPr>
                <w:rFonts w:eastAsia="Times New Roman" w:cs="Arial"/>
                <w:szCs w:val="22"/>
              </w:rPr>
              <w:t>’</w:t>
            </w:r>
            <w:r>
              <w:rPr>
                <w:rFonts w:eastAsia="Times New Roman" w:cs="Arial"/>
                <w:szCs w:val="22"/>
              </w:rPr>
              <w:t xml:space="preserve"> needs. By addressing process efficiency and effectiveness, the applicant may better mitigate the effects of declining state funding and still meet student and stakeholder requirements.</w:t>
            </w:r>
          </w:p>
        </w:tc>
        <w:tc>
          <w:tcPr>
            <w:tcW w:w="0" w:type="auto"/>
            <w:tcBorders>
              <w:bottom w:val="single" w:sz="6" w:space="0" w:color="000000"/>
              <w:right w:val="single" w:sz="6" w:space="0" w:color="000000"/>
            </w:tcBorders>
            <w:tcMar>
              <w:top w:w="75" w:type="dxa"/>
              <w:left w:w="75" w:type="dxa"/>
              <w:bottom w:w="75" w:type="dxa"/>
              <w:right w:w="75" w:type="dxa"/>
            </w:tcMar>
            <w:hideMark/>
          </w:tcPr>
          <w:p w14:paraId="1CE3E76B" w14:textId="77777777" w:rsidR="0034241D" w:rsidRDefault="000A11B9">
            <w:pPr>
              <w:rPr>
                <w:rFonts w:eastAsia="Times New Roman" w:cs="Arial"/>
                <w:szCs w:val="22"/>
              </w:rPr>
            </w:pPr>
            <w:r>
              <w:rPr>
                <w:rFonts w:eastAsia="Times New Roman" w:cs="Arial"/>
                <w:szCs w:val="22"/>
              </w:rPr>
              <w:t xml:space="preserve">Identified by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and </w:t>
            </w:r>
            <w:r w:rsidR="007B4856">
              <w:rPr>
                <w:rFonts w:eastAsia="Times New Roman" w:cs="Arial"/>
                <w:szCs w:val="22"/>
              </w:rPr>
              <w:t>Ex6</w:t>
            </w:r>
            <w:r>
              <w:rPr>
                <w:rFonts w:eastAsia="Times New Roman" w:cs="Arial"/>
                <w:szCs w:val="22"/>
              </w:rPr>
              <w:t>. Multiple</w:t>
            </w:r>
            <w:r w:rsidR="0034241D">
              <w:rPr>
                <w:rFonts w:eastAsia="Times New Roman" w:cs="Arial"/>
                <w:szCs w:val="22"/>
              </w:rPr>
              <w:t>-</w:t>
            </w:r>
            <w:r>
              <w:rPr>
                <w:rFonts w:eastAsia="Times New Roman" w:cs="Arial"/>
                <w:szCs w:val="22"/>
              </w:rPr>
              <w:t>level OFI</w:t>
            </w:r>
            <w:r w:rsidR="0034241D">
              <w:rPr>
                <w:rFonts w:eastAsia="Times New Roman" w:cs="Arial"/>
                <w:szCs w:val="22"/>
              </w:rPr>
              <w:t>,</w:t>
            </w:r>
            <w:r>
              <w:rPr>
                <w:rFonts w:eastAsia="Times New Roman" w:cs="Arial"/>
                <w:szCs w:val="22"/>
              </w:rPr>
              <w:t xml:space="preserve"> whereas the strength for a is overall and different multiple. </w:t>
            </w:r>
          </w:p>
          <w:p w14:paraId="1F72817A" w14:textId="0D8E0E5A" w:rsidR="00B24163" w:rsidRDefault="000A11B9">
            <w:pPr>
              <w:rPr>
                <w:rFonts w:eastAsia="Times New Roman" w:cs="Arial"/>
                <w:szCs w:val="22"/>
              </w:rPr>
            </w:pPr>
            <w:r>
              <w:rPr>
                <w:rFonts w:eastAsia="Times New Roman" w:cs="Arial"/>
                <w:szCs w:val="22"/>
              </w:rPr>
              <w:t>NOTE: need help with the "so what" for the for the counterpart strength because they both cite decreased state funding. Another option is to focus this just on balancing the need for cost control and efficiency with students</w:t>
            </w:r>
            <w:r w:rsidR="005663C4">
              <w:rPr>
                <w:rFonts w:eastAsia="Times New Roman" w:cs="Arial"/>
                <w:szCs w:val="22"/>
              </w:rPr>
              <w:t>’</w:t>
            </w:r>
            <w:r>
              <w:rPr>
                <w:rFonts w:eastAsia="Times New Roman" w:cs="Arial"/>
                <w:szCs w:val="22"/>
              </w:rPr>
              <w:t xml:space="preserve"> and stakeholders</w:t>
            </w:r>
            <w:r w:rsidR="005663C4">
              <w:rPr>
                <w:rFonts w:eastAsia="Times New Roman" w:cs="Arial"/>
                <w:szCs w:val="22"/>
              </w:rPr>
              <w:t>’</w:t>
            </w:r>
            <w:r>
              <w:rPr>
                <w:rFonts w:eastAsia="Times New Roman" w:cs="Arial"/>
                <w:szCs w:val="22"/>
              </w:rPr>
              <w:t xml:space="preserve"> needs which is probably this most important given the applicant</w:t>
            </w:r>
            <w:r w:rsidR="005663C4">
              <w:rPr>
                <w:rFonts w:eastAsia="Times New Roman" w:cs="Arial"/>
                <w:szCs w:val="22"/>
              </w:rPr>
              <w:t>’</w:t>
            </w:r>
            <w:r>
              <w:rPr>
                <w:rFonts w:eastAsia="Times New Roman" w:cs="Arial"/>
                <w:szCs w:val="22"/>
              </w:rPr>
              <w:t xml:space="preserve">s key factors and vision. </w:t>
            </w:r>
          </w:p>
          <w:p w14:paraId="327F94B6" w14:textId="6E31B73B" w:rsidR="005E22BD" w:rsidRDefault="000A11B9">
            <w:pPr>
              <w:rPr>
                <w:rFonts w:eastAsia="Times New Roman" w:cs="Arial"/>
                <w:szCs w:val="22"/>
              </w:rPr>
            </w:pPr>
            <w:r>
              <w:rPr>
                <w:rFonts w:eastAsia="Times New Roman" w:cs="Arial"/>
                <w:szCs w:val="22"/>
              </w:rPr>
              <w:t>R1 feedback suggested focusing on one nugget</w:t>
            </w:r>
            <w:r w:rsidR="0034241D">
              <w:rPr>
                <w:rFonts w:eastAsia="Times New Roman" w:cs="Arial"/>
                <w:szCs w:val="22"/>
              </w:rPr>
              <w:t>,</w:t>
            </w:r>
            <w:r>
              <w:rPr>
                <w:rFonts w:eastAsia="Times New Roman" w:cs="Arial"/>
                <w:szCs w:val="22"/>
              </w:rPr>
              <w:t xml:space="preserve"> so the following was removed from the comment, "It is not clear how the applicant prevents errors and rework or how it minimizes the costs of inspections, tests or audits, including accreditation." While this is true, there is a strategic need for the applicant to balance the declining funding with meeting student and stakeholder requirements.</w:t>
            </w:r>
          </w:p>
        </w:tc>
        <w:tc>
          <w:tcPr>
            <w:tcW w:w="0" w:type="auto"/>
            <w:tcBorders>
              <w:bottom w:val="single" w:sz="6" w:space="0" w:color="000000"/>
              <w:right w:val="single" w:sz="6" w:space="0" w:color="000000"/>
            </w:tcBorders>
            <w:tcMar>
              <w:top w:w="75" w:type="dxa"/>
              <w:left w:w="75" w:type="dxa"/>
              <w:bottom w:w="75" w:type="dxa"/>
              <w:right w:w="75" w:type="dxa"/>
            </w:tcMar>
            <w:hideMark/>
          </w:tcPr>
          <w:p w14:paraId="6378EBAC" w14:textId="77777777" w:rsidR="005E22BD" w:rsidRDefault="000A11B9">
            <w:pPr>
              <w:rPr>
                <w:rFonts w:eastAsia="Times New Roman" w:cs="Arial"/>
                <w:szCs w:val="22"/>
              </w:rPr>
            </w:pPr>
            <w:r>
              <w:rPr>
                <w:rFonts w:eastAsia="Times New Roman" w:cs="Arial"/>
                <w:szCs w:val="22"/>
              </w:rPr>
              <w:t>a</w:t>
            </w:r>
          </w:p>
        </w:tc>
      </w:tr>
    </w:tbl>
    <w:p w14:paraId="6B2B03F9"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0E3B0B81" w14:textId="77777777" w:rsidTr="00080296">
        <w:tc>
          <w:tcPr>
            <w:tcW w:w="10170" w:type="dxa"/>
          </w:tcPr>
          <w:p w14:paraId="3294B6F1" w14:textId="12A65015" w:rsidR="00080296" w:rsidRDefault="00080296" w:rsidP="00080296">
            <w:pPr>
              <w:rPr>
                <w:rFonts w:eastAsia="Times New Roman" w:cs="Arial"/>
                <w:szCs w:val="22"/>
              </w:rPr>
            </w:pPr>
            <w:r>
              <w:rPr>
                <w:rFonts w:eastAsia="Times New Roman" w:cs="Arial"/>
                <w:szCs w:val="22"/>
              </w:rPr>
              <w:t>These are big OFIs as they all could represent vulnerabilities ... especially confidentiality of student data (think of all the nationally newsworthy student data breaches), being reactive in the pandemic, and balancing cost control with meeting students</w:t>
            </w:r>
            <w:r w:rsidR="005663C4">
              <w:rPr>
                <w:rFonts w:eastAsia="Times New Roman" w:cs="Arial"/>
                <w:szCs w:val="22"/>
              </w:rPr>
              <w:t>’</w:t>
            </w:r>
            <w:r>
              <w:rPr>
                <w:rFonts w:eastAsia="Times New Roman" w:cs="Arial"/>
                <w:szCs w:val="22"/>
              </w:rPr>
              <w:t xml:space="preserve"> needs. Focused the OFI for 6.2a on multiples not contained in the STR a. c(2) OFI is at the overall level.</w:t>
            </w:r>
            <w:r w:rsidR="005E3D0E">
              <w:rPr>
                <w:rFonts w:eastAsia="Times New Roman" w:cs="Arial"/>
                <w:szCs w:val="22"/>
              </w:rPr>
              <w:t xml:space="preserve"> </w:t>
            </w:r>
          </w:p>
        </w:tc>
      </w:tr>
    </w:tbl>
    <w:p w14:paraId="1594A3CD" w14:textId="77777777" w:rsidR="005E22BD" w:rsidRDefault="000A11B9">
      <w:pPr>
        <w:pStyle w:val="Heading3"/>
        <w:divId w:val="905190427"/>
        <w:rPr>
          <w:rFonts w:eastAsia="Times New Roman" w:cs="Arial"/>
        </w:rPr>
      </w:pPr>
      <w:r>
        <w:rPr>
          <w:rFonts w:eastAsia="Times New Roman" w:cs="Arial"/>
        </w:rPr>
        <w:lastRenderedPageBreak/>
        <w:t>Scoring</w:t>
      </w:r>
    </w:p>
    <w:tbl>
      <w:tblPr>
        <w:tblStyle w:val="TableGrid"/>
        <w:tblW w:w="0" w:type="auto"/>
        <w:tblInd w:w="355" w:type="dxa"/>
        <w:tblLook w:val="04A0" w:firstRow="1" w:lastRow="0" w:firstColumn="1" w:lastColumn="0" w:noHBand="0" w:noVBand="1"/>
      </w:tblPr>
      <w:tblGrid>
        <w:gridCol w:w="10170"/>
      </w:tblGrid>
      <w:tr w:rsidR="00080296" w14:paraId="338422A9" w14:textId="77777777" w:rsidTr="00080296">
        <w:tc>
          <w:tcPr>
            <w:tcW w:w="10170" w:type="dxa"/>
          </w:tcPr>
          <w:p w14:paraId="6E0A1549" w14:textId="77777777" w:rsidR="00080296" w:rsidRDefault="00080296" w:rsidP="00080296">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50</w:t>
            </w:r>
          </w:p>
          <w:p w14:paraId="13DF7D92" w14:textId="77777777" w:rsidR="00080296" w:rsidRDefault="00080296" w:rsidP="00080296">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0FBF2892" w14:textId="4B87CF53" w:rsidR="00080296" w:rsidRDefault="00080296" w:rsidP="00080296">
            <w:pPr>
              <w:ind w:right="360"/>
              <w:rPr>
                <w:rFonts w:eastAsia="Times New Roman" w:cs="Arial"/>
                <w:b/>
                <w:bCs/>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 xml:space="preserve">Proposing a score of 50% at the lower end of its range. Not proposing higher range </w:t>
            </w:r>
            <w:r>
              <w:rPr>
                <w:rStyle w:val="Strong"/>
                <w:rFonts w:eastAsia="Times New Roman" w:cs="Arial"/>
                <w:b w:val="0"/>
                <w:bCs w:val="0"/>
                <w:szCs w:val="22"/>
              </w:rPr>
              <w:t>(70–85</w:t>
            </w:r>
            <w:r w:rsidRPr="00FD460C">
              <w:rPr>
                <w:rStyle w:val="Strong"/>
                <w:rFonts w:eastAsia="Times New Roman" w:cs="Arial"/>
                <w:b w:val="0"/>
                <w:bCs w:val="0"/>
                <w:szCs w:val="22"/>
              </w:rPr>
              <w:t>%</w:t>
            </w:r>
            <w:r>
              <w:rPr>
                <w:rStyle w:val="Strong"/>
                <w:rFonts w:eastAsia="Times New Roman" w:cs="Arial"/>
                <w:b w:val="0"/>
                <w:bCs w:val="0"/>
                <w:szCs w:val="22"/>
              </w:rPr>
              <w:t>)</w:t>
            </w:r>
            <w:r w:rsidRPr="00FD460C">
              <w:rPr>
                <w:rStyle w:val="Strong"/>
                <w:rFonts w:eastAsia="Times New Roman" w:cs="Arial"/>
                <w:b w:val="0"/>
                <w:bCs w:val="0"/>
                <w:szCs w:val="22"/>
              </w:rPr>
              <w:t xml:space="preserve"> because of deployment gaps, some overall approach gaps, and learning gaps with significant strategic OFIs. Not proposing lower range of </w:t>
            </w:r>
            <w:r>
              <w:rPr>
                <w:rStyle w:val="Strong"/>
                <w:rFonts w:eastAsia="Times New Roman" w:cs="Arial"/>
                <w:b w:val="0"/>
                <w:bCs w:val="0"/>
                <w:szCs w:val="22"/>
              </w:rPr>
              <w:t>30–45</w:t>
            </w:r>
            <w:r w:rsidRPr="00FD460C">
              <w:rPr>
                <w:rStyle w:val="Strong"/>
                <w:rFonts w:eastAsia="Times New Roman" w:cs="Arial"/>
                <w:b w:val="0"/>
                <w:bCs w:val="0"/>
                <w:szCs w:val="22"/>
              </w:rPr>
              <w:t>% because the applicant has gone beyond addressing the basic questions and has provided evidence of refinement through cycles of learning with its PDCA approach.</w:t>
            </w:r>
          </w:p>
        </w:tc>
      </w:tr>
    </w:tbl>
    <w:p w14:paraId="68C79103" w14:textId="25A95314" w:rsidR="00E816F5" w:rsidRDefault="00E816F5" w:rsidP="00351245">
      <w:pPr>
        <w:ind w:right="360"/>
        <w:rPr>
          <w:rFonts w:eastAsia="Times New Roman" w:cs="Arial"/>
          <w:b/>
          <w:bCs/>
          <w:szCs w:val="22"/>
        </w:rPr>
      </w:pPr>
    </w:p>
    <w:p w14:paraId="6BE4FCBB" w14:textId="77777777" w:rsidR="00E816F5" w:rsidRDefault="00E816F5">
      <w:pPr>
        <w:spacing w:after="0"/>
        <w:rPr>
          <w:rFonts w:eastAsia="Times New Roman" w:cs="Arial"/>
          <w:b/>
          <w:bCs/>
          <w:szCs w:val="22"/>
        </w:rPr>
      </w:pPr>
      <w:r>
        <w:rPr>
          <w:rFonts w:eastAsia="Times New Roman" w:cs="Arial"/>
          <w:b/>
          <w:bCs/>
          <w:szCs w:val="22"/>
        </w:rPr>
        <w:br w:type="page"/>
      </w:r>
    </w:p>
    <w:p w14:paraId="2D94C8AE"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7.1</w:t>
      </w:r>
    </w:p>
    <w:p w14:paraId="3FE38D42" w14:textId="77777777" w:rsidR="005E22BD" w:rsidRDefault="000A11B9">
      <w:pPr>
        <w:pStyle w:val="Heading2"/>
        <w:divId w:val="905190427"/>
        <w:rPr>
          <w:rFonts w:eastAsia="Times New Roman" w:cs="Arial"/>
        </w:rPr>
      </w:pPr>
      <w:r>
        <w:rPr>
          <w:rFonts w:eastAsia="Times New Roman" w:cs="Arial"/>
        </w:rPr>
        <w:t>Student Learning and Process Results</w:t>
      </w:r>
    </w:p>
    <w:p w14:paraId="17AEF2D9" w14:textId="77777777" w:rsidR="005E22BD" w:rsidRDefault="000A11B9">
      <w:pPr>
        <w:pStyle w:val="Heading3"/>
        <w:divId w:val="905190427"/>
        <w:rPr>
          <w:rFonts w:eastAsia="Times New Roman" w:cs="Arial"/>
        </w:rPr>
      </w:pPr>
      <w:r>
        <w:rPr>
          <w:rFonts w:eastAsia="Times New Roman" w:cs="Arial"/>
        </w:rPr>
        <w:t>Relevant Key Factors</w:t>
      </w:r>
    </w:p>
    <w:p w14:paraId="2DA72874" w14:textId="44220449" w:rsidR="005E22BD" w:rsidRDefault="000A11B9">
      <w:pPr>
        <w:numPr>
          <w:ilvl w:val="0"/>
          <w:numId w:val="17"/>
        </w:numPr>
        <w:spacing w:before="100" w:beforeAutospacing="1" w:after="100" w:afterAutospacing="1"/>
        <w:divId w:val="905190427"/>
        <w:rPr>
          <w:rFonts w:eastAsia="Times New Roman" w:cs="Arial"/>
          <w:szCs w:val="22"/>
        </w:rPr>
      </w:pPr>
      <w:r>
        <w:rPr>
          <w:rFonts w:eastAsia="Times New Roman" w:cs="Arial"/>
          <w:szCs w:val="22"/>
        </w:rPr>
        <w:t xml:space="preserve">50 associate; </w:t>
      </w:r>
      <w:r w:rsidR="001F46D7">
        <w:rPr>
          <w:rFonts w:eastAsia="Times New Roman" w:cs="Arial"/>
          <w:szCs w:val="22"/>
        </w:rPr>
        <w:t>25 certificates/workforce training badge</w:t>
      </w:r>
      <w:r>
        <w:rPr>
          <w:rFonts w:eastAsia="Times New Roman" w:cs="Arial"/>
          <w:szCs w:val="22"/>
        </w:rPr>
        <w:t xml:space="preserve">; </w:t>
      </w:r>
      <w:r w:rsidR="001F46D7">
        <w:rPr>
          <w:rFonts w:eastAsia="Times New Roman" w:cs="Arial"/>
          <w:szCs w:val="22"/>
        </w:rPr>
        <w:t>workforce development/continuing education</w:t>
      </w:r>
      <w:r w:rsidR="000834C7">
        <w:rPr>
          <w:rFonts w:eastAsia="Times New Roman" w:cs="Arial"/>
          <w:szCs w:val="22"/>
        </w:rPr>
        <w:t>—</w:t>
      </w:r>
      <w:r w:rsidR="001F46D7">
        <w:rPr>
          <w:rFonts w:eastAsia="Times New Roman" w:cs="Arial"/>
          <w:szCs w:val="22"/>
        </w:rPr>
        <w:t>personal development, badges, skill-building courses</w:t>
      </w:r>
      <w:r>
        <w:rPr>
          <w:rFonts w:eastAsia="Times New Roman" w:cs="Arial"/>
          <w:szCs w:val="22"/>
        </w:rPr>
        <w:t xml:space="preserve">. All associate </w:t>
      </w:r>
      <w:r w:rsidR="001F46D7">
        <w:rPr>
          <w:rFonts w:eastAsia="Times New Roman" w:cs="Arial"/>
          <w:szCs w:val="22"/>
        </w:rPr>
        <w:t>programs require internship, apprenticeship, or other applied experience</w:t>
      </w:r>
      <w:r>
        <w:rPr>
          <w:rFonts w:eastAsia="Times New Roman" w:cs="Arial"/>
          <w:szCs w:val="22"/>
        </w:rPr>
        <w:t>.</w:t>
      </w:r>
    </w:p>
    <w:p w14:paraId="00C7B7C5" w14:textId="61E5E616" w:rsidR="005E22BD" w:rsidRDefault="000A11B9">
      <w:pPr>
        <w:numPr>
          <w:ilvl w:val="0"/>
          <w:numId w:val="17"/>
        </w:numPr>
        <w:spacing w:before="100" w:beforeAutospacing="1" w:after="100" w:afterAutospacing="1"/>
        <w:divId w:val="905190427"/>
        <w:rPr>
          <w:rFonts w:eastAsia="Times New Roman" w:cs="Arial"/>
          <w:szCs w:val="22"/>
        </w:rPr>
      </w:pPr>
      <w:r w:rsidRPr="00140A93">
        <w:rPr>
          <w:rFonts w:eastAsia="Times New Roman" w:cs="Arial"/>
          <w:szCs w:val="22"/>
        </w:rPr>
        <w:t>CC1: Provide exceptional student support services</w:t>
      </w:r>
      <w:r w:rsidR="00A41213">
        <w:rPr>
          <w:rFonts w:eastAsia="Times New Roman" w:cs="Arial"/>
          <w:szCs w:val="22"/>
        </w:rPr>
        <w:t>.</w:t>
      </w:r>
    </w:p>
    <w:p w14:paraId="08E1BAF0" w14:textId="3A3836C3" w:rsidR="001F46D7" w:rsidRDefault="00140A93" w:rsidP="001F46D7">
      <w:pPr>
        <w:numPr>
          <w:ilvl w:val="0"/>
          <w:numId w:val="17"/>
        </w:numPr>
        <w:spacing w:before="100" w:beforeAutospacing="1" w:after="100" w:afterAutospacing="1"/>
        <w:divId w:val="905190427"/>
        <w:rPr>
          <w:rFonts w:eastAsia="Times New Roman" w:cs="Arial"/>
          <w:szCs w:val="22"/>
        </w:rPr>
      </w:pPr>
      <w:r>
        <w:rPr>
          <w:rFonts w:eastAsia="Times New Roman" w:cs="Arial"/>
          <w:szCs w:val="22"/>
        </w:rPr>
        <w:t>Recent high school graduates inside/outside service area; non-traditional, transfer, former students—focused recruitment, information about institution, easy access to services. Primary customers: credit students, over 70% reside in 3-county service area.</w:t>
      </w:r>
    </w:p>
    <w:p w14:paraId="56CD4FC5" w14:textId="7E322D08" w:rsidR="005E22BD" w:rsidRDefault="00DB6E5E">
      <w:pPr>
        <w:numPr>
          <w:ilvl w:val="0"/>
          <w:numId w:val="17"/>
        </w:numPr>
        <w:spacing w:before="100" w:beforeAutospacing="1" w:after="100" w:afterAutospacing="1"/>
        <w:divId w:val="905190427"/>
        <w:rPr>
          <w:rFonts w:eastAsia="Times New Roman" w:cs="Arial"/>
          <w:szCs w:val="22"/>
        </w:rPr>
      </w:pPr>
      <w:r>
        <w:rPr>
          <w:rFonts w:eastAsia="Times New Roman" w:cs="Arial"/>
          <w:szCs w:val="22"/>
        </w:rPr>
        <w:t xml:space="preserve">Technology providers, laboratory support providers, service providers </w:t>
      </w:r>
      <w:r w:rsidR="000A11B9">
        <w:rPr>
          <w:rFonts w:eastAsia="Times New Roman" w:cs="Arial"/>
          <w:szCs w:val="22"/>
        </w:rPr>
        <w:t>(bookstore, dining), administrative support</w:t>
      </w:r>
      <w:r w:rsidR="00A41213">
        <w:rPr>
          <w:rFonts w:eastAsia="Times New Roman" w:cs="Arial"/>
          <w:szCs w:val="22"/>
        </w:rPr>
        <w:t>.</w:t>
      </w:r>
    </w:p>
    <w:p w14:paraId="1D7A21F5" w14:textId="79E51FA2" w:rsidR="005E22BD" w:rsidRDefault="00DB6E5E">
      <w:pPr>
        <w:numPr>
          <w:ilvl w:val="0"/>
          <w:numId w:val="17"/>
        </w:numPr>
        <w:spacing w:before="100" w:beforeAutospacing="1" w:after="100" w:afterAutospacing="1"/>
        <w:divId w:val="905190427"/>
        <w:rPr>
          <w:rFonts w:eastAsia="Times New Roman" w:cs="Arial"/>
          <w:szCs w:val="22"/>
        </w:rPr>
      </w:pPr>
      <w:r>
        <w:rPr>
          <w:rFonts w:eastAsia="Times New Roman" w:cs="Arial"/>
          <w:szCs w:val="22"/>
        </w:rPr>
        <w:t>National/regional</w:t>
      </w:r>
      <w:r w:rsidR="000A11B9">
        <w:rPr>
          <w:rFonts w:eastAsia="Times New Roman" w:cs="Arial"/>
          <w:szCs w:val="22"/>
        </w:rPr>
        <w:t xml:space="preserve"> estimates</w:t>
      </w:r>
      <w:r w:rsidR="00153A64">
        <w:rPr>
          <w:rFonts w:eastAsia="Times New Roman" w:cs="Arial"/>
          <w:szCs w:val="22"/>
        </w:rPr>
        <w:t>:</w:t>
      </w:r>
      <w:r w:rsidR="000A11B9">
        <w:rPr>
          <w:rFonts w:eastAsia="Times New Roman" w:cs="Arial"/>
          <w:szCs w:val="22"/>
        </w:rPr>
        <w:t xml:space="preserve"> declines in high school graduates over next decade; </w:t>
      </w:r>
      <w:r w:rsidR="00153A64">
        <w:rPr>
          <w:rFonts w:eastAsia="Times New Roman" w:cs="Arial"/>
          <w:szCs w:val="22"/>
        </w:rPr>
        <w:t xml:space="preserve">lowering </w:t>
      </w:r>
      <w:r>
        <w:rPr>
          <w:rFonts w:eastAsia="Times New Roman" w:cs="Arial"/>
          <w:szCs w:val="22"/>
        </w:rPr>
        <w:t>of admissions standards of some peers/competitors; development of dual-credit academies, articulation agreements, collaboration</w:t>
      </w:r>
      <w:r w:rsidR="000A11B9">
        <w:rPr>
          <w:rFonts w:eastAsia="Times New Roman" w:cs="Arial"/>
          <w:szCs w:val="22"/>
        </w:rPr>
        <w:t xml:space="preserve"> with local employers to increase entry pathways</w:t>
      </w:r>
      <w:r w:rsidR="00A41213">
        <w:rPr>
          <w:rFonts w:eastAsia="Times New Roman" w:cs="Arial"/>
          <w:szCs w:val="22"/>
        </w:rPr>
        <w:t>.</w:t>
      </w:r>
    </w:p>
    <w:p w14:paraId="717566A7" w14:textId="0D3D3757" w:rsidR="005E22BD" w:rsidRDefault="000A11B9">
      <w:pPr>
        <w:numPr>
          <w:ilvl w:val="0"/>
          <w:numId w:val="17"/>
        </w:numPr>
        <w:spacing w:before="100" w:beforeAutospacing="1" w:after="100" w:afterAutospacing="1"/>
        <w:divId w:val="905190427"/>
        <w:rPr>
          <w:rFonts w:eastAsia="Times New Roman" w:cs="Arial"/>
          <w:szCs w:val="22"/>
        </w:rPr>
      </w:pPr>
      <w:r>
        <w:rPr>
          <w:rFonts w:eastAsia="Times New Roman" w:cs="Arial"/>
          <w:szCs w:val="22"/>
        </w:rPr>
        <w:t xml:space="preserve">Decreased state funding, Influx of </w:t>
      </w:r>
      <w:r w:rsidR="00DB6E5E">
        <w:rPr>
          <w:rFonts w:eastAsia="Times New Roman" w:cs="Arial"/>
          <w:szCs w:val="22"/>
        </w:rPr>
        <w:t>dual-credit</w:t>
      </w:r>
      <w:r>
        <w:rPr>
          <w:rFonts w:eastAsia="Times New Roman" w:cs="Arial"/>
          <w:szCs w:val="22"/>
        </w:rPr>
        <w:t xml:space="preserve"> high school students, increased competition for students, demands </w:t>
      </w:r>
      <w:r w:rsidR="00DB6E5E">
        <w:rPr>
          <w:rFonts w:eastAsia="Times New Roman" w:cs="Arial"/>
          <w:szCs w:val="22"/>
        </w:rPr>
        <w:t>to close achievement gap</w:t>
      </w:r>
      <w:r w:rsidR="00A41213">
        <w:rPr>
          <w:rFonts w:eastAsia="Times New Roman" w:cs="Arial"/>
          <w:szCs w:val="22"/>
        </w:rPr>
        <w:t>.</w:t>
      </w:r>
    </w:p>
    <w:p w14:paraId="3FF00CC7"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95"/>
        <w:gridCol w:w="4262"/>
        <w:gridCol w:w="1200"/>
      </w:tblGrid>
      <w:tr w:rsidR="00A13455" w14:paraId="048E7CB6"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77270EB9"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06CC6A5"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580D7019"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169245DA" w14:textId="77777777" w:rsidR="005E22BD" w:rsidRDefault="000A11B9">
            <w:pPr>
              <w:jc w:val="center"/>
              <w:rPr>
                <w:rFonts w:eastAsia="Times New Roman" w:cs="Arial"/>
                <w:b/>
                <w:bCs/>
                <w:szCs w:val="22"/>
              </w:rPr>
            </w:pPr>
            <w:r>
              <w:rPr>
                <w:rFonts w:eastAsia="Times New Roman" w:cs="Arial"/>
                <w:b/>
                <w:bCs/>
                <w:szCs w:val="22"/>
              </w:rPr>
              <w:t>Item Ref.</w:t>
            </w:r>
          </w:p>
        </w:tc>
      </w:tr>
      <w:tr w:rsidR="00A13455" w14:paraId="77A520F5"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695314A7" w14:textId="77777777" w:rsidR="005E22BD" w:rsidRDefault="000A11B9">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334C2FE6" w14:textId="73707F98" w:rsidR="005E22BD" w:rsidRDefault="000A11B9">
            <w:pPr>
              <w:rPr>
                <w:rFonts w:eastAsia="Times New Roman" w:cs="Arial"/>
                <w:szCs w:val="22"/>
              </w:rPr>
            </w:pPr>
            <w:r>
              <w:rPr>
                <w:rFonts w:eastAsia="Times New Roman" w:cs="Arial"/>
                <w:szCs w:val="22"/>
              </w:rPr>
              <w:t xml:space="preserve">Student access and success results demonstrate good levels and favorable </w:t>
            </w:r>
            <w:r w:rsidR="00B24163">
              <w:rPr>
                <w:rFonts w:eastAsia="Times New Roman" w:cs="Arial"/>
                <w:szCs w:val="22"/>
              </w:rPr>
              <w:t xml:space="preserve">performance against </w:t>
            </w:r>
            <w:r>
              <w:rPr>
                <w:rFonts w:eastAsia="Times New Roman" w:cs="Arial"/>
                <w:szCs w:val="22"/>
              </w:rPr>
              <w:t xml:space="preserve">comparisons. Enrollment, </w:t>
            </w:r>
            <w:r w:rsidR="00BA714E">
              <w:rPr>
                <w:rFonts w:eastAsia="Times New Roman" w:cs="Arial"/>
                <w:szCs w:val="22"/>
              </w:rPr>
              <w:t>four-</w:t>
            </w:r>
            <w:r>
              <w:rPr>
                <w:rFonts w:eastAsia="Times New Roman" w:cs="Arial"/>
                <w:szCs w:val="22"/>
              </w:rPr>
              <w:t xml:space="preserve">year graduation rate, credit hours delivered, and number of students transferred (Figures 7.1-1, 7.1-3, 7.1-4, </w:t>
            </w:r>
            <w:r w:rsidR="00A41213">
              <w:rPr>
                <w:rFonts w:eastAsia="Times New Roman" w:cs="Arial"/>
                <w:szCs w:val="22"/>
              </w:rPr>
              <w:t xml:space="preserve">and </w:t>
            </w:r>
            <w:r>
              <w:rPr>
                <w:rFonts w:eastAsia="Times New Roman" w:cs="Arial"/>
                <w:szCs w:val="22"/>
              </w:rPr>
              <w:t>7.1-6)</w:t>
            </w:r>
            <w:r w:rsidR="00A41213">
              <w:rPr>
                <w:rFonts w:eastAsia="Times New Roman" w:cs="Arial"/>
                <w:szCs w:val="22"/>
              </w:rPr>
              <w:t>, among other results,</w:t>
            </w:r>
            <w:r>
              <w:rPr>
                <w:rFonts w:eastAsia="Times New Roman" w:cs="Arial"/>
                <w:szCs w:val="22"/>
              </w:rPr>
              <w:t xml:space="preserve"> </w:t>
            </w:r>
            <w:r w:rsidR="00A41213">
              <w:rPr>
                <w:rFonts w:eastAsia="Times New Roman" w:cs="Arial"/>
                <w:szCs w:val="22"/>
              </w:rPr>
              <w:t xml:space="preserve">were improving </w:t>
            </w:r>
            <w:r>
              <w:rPr>
                <w:rFonts w:eastAsia="Times New Roman" w:cs="Arial"/>
                <w:szCs w:val="22"/>
              </w:rPr>
              <w:t xml:space="preserve">pre-pandemic and </w:t>
            </w:r>
            <w:r w:rsidR="00A41213">
              <w:rPr>
                <w:rFonts w:eastAsia="Times New Roman" w:cs="Arial"/>
                <w:szCs w:val="22"/>
              </w:rPr>
              <w:t xml:space="preserve">showed </w:t>
            </w:r>
            <w:r>
              <w:rPr>
                <w:rFonts w:eastAsia="Times New Roman" w:cs="Arial"/>
                <w:szCs w:val="22"/>
              </w:rPr>
              <w:t>better performance than the IPE</w:t>
            </w:r>
            <w:r w:rsidR="007B4856">
              <w:rPr>
                <w:rFonts w:eastAsia="Times New Roman" w:cs="Arial"/>
                <w:szCs w:val="22"/>
              </w:rPr>
              <w:t>Ex2</w:t>
            </w:r>
            <w:r>
              <w:rPr>
                <w:rFonts w:eastAsia="Times New Roman" w:cs="Arial"/>
                <w:szCs w:val="22"/>
              </w:rPr>
              <w:t xml:space="preserve"> peer group, </w:t>
            </w:r>
            <w:r w:rsidR="00A41213">
              <w:rPr>
                <w:rFonts w:eastAsia="Times New Roman" w:cs="Arial"/>
                <w:szCs w:val="22"/>
              </w:rPr>
              <w:t xml:space="preserve">the </w:t>
            </w:r>
            <w:r>
              <w:rPr>
                <w:rFonts w:eastAsia="Times New Roman" w:cs="Arial"/>
                <w:szCs w:val="22"/>
              </w:rPr>
              <w:t xml:space="preserve">NCCBP top decile, and Baldrige </w:t>
            </w:r>
            <w:r w:rsidR="00A41213">
              <w:rPr>
                <w:rFonts w:eastAsia="Times New Roman" w:cs="Arial"/>
                <w:szCs w:val="22"/>
              </w:rPr>
              <w:t xml:space="preserve">Award recipient </w:t>
            </w:r>
            <w:r>
              <w:rPr>
                <w:rFonts w:eastAsia="Times New Roman" w:cs="Arial"/>
                <w:szCs w:val="22"/>
              </w:rPr>
              <w:t>comparisons. In many instances</w:t>
            </w:r>
            <w:r w:rsidR="00A41213">
              <w:rPr>
                <w:rFonts w:eastAsia="Times New Roman" w:cs="Arial"/>
                <w:szCs w:val="22"/>
              </w:rPr>
              <w:t xml:space="preserve"> (e.g., degrees awarded</w:t>
            </w:r>
            <w:r w:rsidR="007A6041">
              <w:rPr>
                <w:rFonts w:eastAsia="Times New Roman" w:cs="Arial"/>
                <w:szCs w:val="22"/>
              </w:rPr>
              <w:t xml:space="preserve"> and continuing education hours,</w:t>
            </w:r>
            <w:r w:rsidR="00A41213">
              <w:rPr>
                <w:rFonts w:eastAsia="Times New Roman" w:cs="Arial"/>
                <w:szCs w:val="22"/>
              </w:rPr>
              <w:t xml:space="preserve"> Figure</w:t>
            </w:r>
            <w:r w:rsidR="007A6041">
              <w:rPr>
                <w:rFonts w:eastAsia="Times New Roman" w:cs="Arial"/>
                <w:szCs w:val="22"/>
              </w:rPr>
              <w:t>s</w:t>
            </w:r>
            <w:r w:rsidR="00A41213">
              <w:rPr>
                <w:rFonts w:eastAsia="Times New Roman" w:cs="Arial"/>
                <w:szCs w:val="22"/>
              </w:rPr>
              <w:t xml:space="preserve"> 7.1-2</w:t>
            </w:r>
            <w:r w:rsidR="007A6041">
              <w:rPr>
                <w:rFonts w:eastAsia="Times New Roman" w:cs="Arial"/>
                <w:szCs w:val="22"/>
              </w:rPr>
              <w:t xml:space="preserve"> and </w:t>
            </w:r>
            <w:r w:rsidR="00A41213">
              <w:rPr>
                <w:rFonts w:eastAsia="Times New Roman" w:cs="Arial"/>
                <w:szCs w:val="22"/>
              </w:rPr>
              <w:t>7.1-5)</w:t>
            </w:r>
            <w:r>
              <w:rPr>
                <w:rFonts w:eastAsia="Times New Roman" w:cs="Arial"/>
                <w:szCs w:val="22"/>
              </w:rPr>
              <w:t>, the applicant outperform</w:t>
            </w:r>
            <w:r w:rsidR="00BA714E">
              <w:rPr>
                <w:rFonts w:eastAsia="Times New Roman" w:cs="Arial"/>
                <w:szCs w:val="22"/>
              </w:rPr>
              <w:t>s</w:t>
            </w:r>
            <w:r>
              <w:rPr>
                <w:rFonts w:eastAsia="Times New Roman" w:cs="Arial"/>
                <w:szCs w:val="22"/>
              </w:rPr>
              <w:t xml:space="preserve"> comparisons even during the pandemic downturn in performance.</w:t>
            </w:r>
          </w:p>
        </w:tc>
        <w:tc>
          <w:tcPr>
            <w:tcW w:w="0" w:type="auto"/>
            <w:tcBorders>
              <w:bottom w:val="single" w:sz="6" w:space="0" w:color="000000"/>
              <w:right w:val="single" w:sz="6" w:space="0" w:color="000000"/>
            </w:tcBorders>
            <w:tcMar>
              <w:top w:w="75" w:type="dxa"/>
              <w:left w:w="75" w:type="dxa"/>
              <w:bottom w:w="75" w:type="dxa"/>
              <w:right w:w="75" w:type="dxa"/>
            </w:tcMar>
            <w:hideMark/>
          </w:tcPr>
          <w:p w14:paraId="73E3CD8E" w14:textId="77777777" w:rsidR="00A41213" w:rsidRDefault="000A11B9">
            <w:pPr>
              <w:rPr>
                <w:rFonts w:eastAsia="Times New Roman" w:cs="Arial"/>
                <w:szCs w:val="22"/>
              </w:rPr>
            </w:pPr>
            <w:r>
              <w:rPr>
                <w:rFonts w:eastAsia="Times New Roman" w:cs="Arial"/>
                <w:szCs w:val="22"/>
              </w:rPr>
              <w:t>All examiners cited a strength for pre-pandemic performance. Good comparisons and sustained trends are recognized despite downturn in performance. The downturn is from a known cause and there is slight recovery even while still in the midst of the pandemic. Performance continues to best comparators even with lower performance. For all these reasons, a double is warranted.</w:t>
            </w:r>
          </w:p>
          <w:p w14:paraId="0CD64D3F" w14:textId="3C66E66E" w:rsidR="005E22BD" w:rsidRDefault="000A11B9">
            <w:pPr>
              <w:rPr>
                <w:rFonts w:eastAsia="Times New Roman" w:cs="Arial"/>
                <w:szCs w:val="22"/>
              </w:rPr>
            </w:pPr>
            <w:r>
              <w:rPr>
                <w:rFonts w:eastAsia="Times New Roman" w:cs="Arial"/>
                <w:szCs w:val="22"/>
              </w:rPr>
              <w:t xml:space="preserve">R-1 provided more examples of where they continued to outperform comparisons. </w:t>
            </w:r>
          </w:p>
        </w:tc>
        <w:tc>
          <w:tcPr>
            <w:tcW w:w="0" w:type="auto"/>
            <w:tcBorders>
              <w:bottom w:val="single" w:sz="6" w:space="0" w:color="000000"/>
              <w:right w:val="single" w:sz="6" w:space="0" w:color="000000"/>
            </w:tcBorders>
            <w:tcMar>
              <w:top w:w="75" w:type="dxa"/>
              <w:left w:w="75" w:type="dxa"/>
              <w:bottom w:w="75" w:type="dxa"/>
              <w:right w:w="75" w:type="dxa"/>
            </w:tcMar>
            <w:hideMark/>
          </w:tcPr>
          <w:p w14:paraId="145E1054" w14:textId="77777777" w:rsidR="005E22BD" w:rsidRDefault="000A11B9">
            <w:pPr>
              <w:rPr>
                <w:rFonts w:eastAsia="Times New Roman" w:cs="Arial"/>
                <w:szCs w:val="22"/>
              </w:rPr>
            </w:pPr>
            <w:r>
              <w:rPr>
                <w:rFonts w:eastAsia="Times New Roman" w:cs="Arial"/>
                <w:szCs w:val="22"/>
              </w:rPr>
              <w:t>a</w:t>
            </w:r>
          </w:p>
        </w:tc>
      </w:tr>
      <w:tr w:rsidR="00A13455" w14:paraId="59622BA7"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4EE4AEC"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4BCF337" w14:textId="568020D2" w:rsidR="005E22BD" w:rsidRDefault="000A11B9">
            <w:pPr>
              <w:rPr>
                <w:rFonts w:eastAsia="Times New Roman" w:cs="Arial"/>
                <w:szCs w:val="22"/>
              </w:rPr>
            </w:pPr>
            <w:r>
              <w:rPr>
                <w:rFonts w:eastAsia="Times New Roman" w:cs="Arial"/>
                <w:szCs w:val="22"/>
              </w:rPr>
              <w:t xml:space="preserve">Supply-network results demonstrate </w:t>
            </w:r>
            <w:r w:rsidR="00B24163">
              <w:rPr>
                <w:rFonts w:eastAsia="Times New Roman" w:cs="Arial"/>
                <w:szCs w:val="22"/>
              </w:rPr>
              <w:t xml:space="preserve">good </w:t>
            </w:r>
            <w:r>
              <w:rPr>
                <w:rFonts w:eastAsia="Times New Roman" w:cs="Arial"/>
                <w:szCs w:val="22"/>
              </w:rPr>
              <w:t xml:space="preserve">levels and </w:t>
            </w:r>
            <w:r w:rsidR="00B24163">
              <w:rPr>
                <w:rFonts w:eastAsia="Times New Roman" w:cs="Arial"/>
                <w:szCs w:val="22"/>
              </w:rPr>
              <w:t xml:space="preserve">beneficial </w:t>
            </w:r>
            <w:r>
              <w:rPr>
                <w:rFonts w:eastAsia="Times New Roman" w:cs="Arial"/>
                <w:szCs w:val="22"/>
              </w:rPr>
              <w:t>trends</w:t>
            </w:r>
            <w:r w:rsidR="00B24163">
              <w:rPr>
                <w:rFonts w:eastAsia="Times New Roman" w:cs="Arial"/>
                <w:szCs w:val="22"/>
              </w:rPr>
              <w:t xml:space="preserve"> pre-pandemic</w:t>
            </w:r>
            <w:r>
              <w:rPr>
                <w:rFonts w:eastAsia="Times New Roman" w:cs="Arial"/>
                <w:szCs w:val="22"/>
              </w:rPr>
              <w:t xml:space="preserve">. A change in </w:t>
            </w:r>
            <w:r w:rsidR="00A13455">
              <w:rPr>
                <w:rFonts w:eastAsia="Times New Roman" w:cs="Arial"/>
                <w:szCs w:val="22"/>
              </w:rPr>
              <w:t xml:space="preserve">the </w:t>
            </w:r>
            <w:r>
              <w:rPr>
                <w:rFonts w:eastAsia="Times New Roman" w:cs="Arial"/>
                <w:szCs w:val="22"/>
              </w:rPr>
              <w:t xml:space="preserve">procurement system has resulted in a tripling of participation </w:t>
            </w:r>
            <w:r w:rsidR="00A13455">
              <w:rPr>
                <w:rFonts w:eastAsia="Times New Roman" w:cs="Arial"/>
                <w:szCs w:val="22"/>
              </w:rPr>
              <w:t xml:space="preserve">by </w:t>
            </w:r>
            <w:r>
              <w:rPr>
                <w:rFonts w:eastAsia="Times New Roman" w:cs="Arial"/>
                <w:szCs w:val="22"/>
              </w:rPr>
              <w:t>and procurement dollars</w:t>
            </w:r>
            <w:r w:rsidR="00A13455">
              <w:rPr>
                <w:rFonts w:eastAsia="Times New Roman" w:cs="Arial"/>
                <w:szCs w:val="22"/>
              </w:rPr>
              <w:t xml:space="preserve"> from</w:t>
            </w:r>
            <w:r>
              <w:rPr>
                <w:rFonts w:eastAsia="Times New Roman" w:cs="Arial"/>
                <w:szCs w:val="22"/>
              </w:rPr>
              <w:t xml:space="preserve"> small, woman, and minority suppliers (Figure 7.1-20) and a decrease in cycle times (Figure 7.1-23). A shift to online textbooks has decreased the average cost and increased student savings (Figure 7.1-22</w:t>
            </w:r>
            <w:r w:rsidR="005D7B5E">
              <w:rPr>
                <w:rFonts w:eastAsia="Times New Roman" w:cs="Arial"/>
                <w:szCs w:val="22"/>
              </w:rPr>
              <w:t>)</w:t>
            </w:r>
            <w:r w:rsidR="00BA714E">
              <w:rPr>
                <w:rFonts w:eastAsia="Times New Roman" w:cs="Arial"/>
                <w:szCs w:val="22"/>
              </w:rPr>
              <w:t>;</w:t>
            </w:r>
            <w:r>
              <w:rPr>
                <w:rFonts w:eastAsia="Times New Roman" w:cs="Arial"/>
                <w:szCs w:val="22"/>
              </w:rPr>
              <w:t xml:space="preserve"> integrating systems resulted in support savings in </w:t>
            </w:r>
            <w:r>
              <w:rPr>
                <w:rFonts w:eastAsia="Times New Roman" w:cs="Arial"/>
                <w:szCs w:val="22"/>
              </w:rPr>
              <w:lastRenderedPageBreak/>
              <w:t xml:space="preserve">food service and </w:t>
            </w:r>
            <w:r w:rsidR="00A13455">
              <w:rPr>
                <w:rFonts w:eastAsia="Times New Roman" w:cs="Arial"/>
                <w:szCs w:val="22"/>
              </w:rPr>
              <w:t xml:space="preserve">the </w:t>
            </w:r>
            <w:r>
              <w:rPr>
                <w:rFonts w:eastAsia="Times New Roman" w:cs="Arial"/>
                <w:szCs w:val="22"/>
              </w:rPr>
              <w:t xml:space="preserve">bookstore (Figure 7.1-21). </w:t>
            </w:r>
            <w:r w:rsidR="00A13455">
              <w:rPr>
                <w:rFonts w:eastAsia="Times New Roman" w:cs="Arial"/>
                <w:szCs w:val="22"/>
              </w:rPr>
              <w:t xml:space="preserve">These </w:t>
            </w:r>
            <w:r>
              <w:rPr>
                <w:rFonts w:eastAsia="Times New Roman" w:cs="Arial"/>
                <w:szCs w:val="22"/>
              </w:rPr>
              <w:t xml:space="preserve">results </w:t>
            </w:r>
            <w:r w:rsidR="00A13455">
              <w:rPr>
                <w:rFonts w:eastAsia="Times New Roman" w:cs="Arial"/>
                <w:szCs w:val="22"/>
              </w:rPr>
              <w:t>are evidence of the applicant</w:t>
            </w:r>
            <w:r w:rsidR="005663C4">
              <w:rPr>
                <w:rFonts w:eastAsia="Times New Roman" w:cs="Arial"/>
                <w:szCs w:val="22"/>
              </w:rPr>
              <w:t>’</w:t>
            </w:r>
            <w:r w:rsidR="00A13455">
              <w:rPr>
                <w:rFonts w:eastAsia="Times New Roman" w:cs="Arial"/>
                <w:szCs w:val="22"/>
              </w:rPr>
              <w:t xml:space="preserve">s core competency in </w:t>
            </w:r>
            <w:r>
              <w:rPr>
                <w:rFonts w:eastAsia="Times New Roman" w:cs="Arial"/>
                <w:szCs w:val="22"/>
              </w:rPr>
              <w:t>provid</w:t>
            </w:r>
            <w:r w:rsidR="00A13455">
              <w:rPr>
                <w:rFonts w:eastAsia="Times New Roman" w:cs="Arial"/>
                <w:szCs w:val="22"/>
              </w:rPr>
              <w:t>ing</w:t>
            </w:r>
            <w:r>
              <w:rPr>
                <w:rFonts w:eastAsia="Times New Roman" w:cs="Arial"/>
                <w:szCs w:val="22"/>
              </w:rPr>
              <w:t xml:space="preserve"> exceptional student support services, many of which are delivered by suppliers.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306D5BF" w14:textId="0C7809A9" w:rsidR="00A13455" w:rsidRDefault="000A11B9">
            <w:pPr>
              <w:rPr>
                <w:rFonts w:eastAsia="Times New Roman" w:cs="Arial"/>
                <w:szCs w:val="22"/>
              </w:rPr>
            </w:pPr>
            <w:r>
              <w:rPr>
                <w:rFonts w:eastAsia="Times New Roman" w:cs="Arial"/>
                <w:szCs w:val="22"/>
              </w:rPr>
              <w:lastRenderedPageBreak/>
              <w:t>One examiner (</w:t>
            </w:r>
            <w:r w:rsidR="007B4856">
              <w:rPr>
                <w:rFonts w:eastAsia="Times New Roman" w:cs="Arial"/>
                <w:szCs w:val="22"/>
              </w:rPr>
              <w:t>Ex5</w:t>
            </w:r>
            <w:r>
              <w:rPr>
                <w:rFonts w:eastAsia="Times New Roman" w:cs="Arial"/>
                <w:szCs w:val="22"/>
              </w:rPr>
              <w:t>) has as an OFI for other suppliers such as for laboratory, but others (</w:t>
            </w:r>
            <w:r w:rsidR="007B4856">
              <w:rPr>
                <w:rFonts w:eastAsia="Times New Roman" w:cs="Arial"/>
                <w:szCs w:val="22"/>
              </w:rPr>
              <w:t>Ex6</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Ex7</w:t>
            </w:r>
            <w:r>
              <w:rPr>
                <w:rFonts w:eastAsia="Times New Roman" w:cs="Arial"/>
                <w:szCs w:val="22"/>
              </w:rPr>
              <w:t>) have this as strength and the examiner (</w:t>
            </w:r>
            <w:r w:rsidR="007B4856">
              <w:rPr>
                <w:rFonts w:eastAsia="Times New Roman" w:cs="Arial"/>
                <w:szCs w:val="22"/>
              </w:rPr>
              <w:t>Ex5</w:t>
            </w:r>
            <w:r>
              <w:rPr>
                <w:rFonts w:eastAsia="Times New Roman" w:cs="Arial"/>
                <w:szCs w:val="22"/>
              </w:rPr>
              <w:t>) also had this strength. I think good results from improvements warrant a strength as opposed to picking out missing suppliers or missing indicators of supplier performance processes.</w:t>
            </w:r>
          </w:p>
          <w:p w14:paraId="2FCB304A" w14:textId="1E974C60" w:rsidR="005E22BD" w:rsidRDefault="000A11B9">
            <w:pPr>
              <w:rPr>
                <w:rFonts w:eastAsia="Times New Roman" w:cs="Arial"/>
                <w:szCs w:val="22"/>
              </w:rPr>
            </w:pPr>
            <w:r>
              <w:rPr>
                <w:rFonts w:eastAsia="Times New Roman" w:cs="Arial"/>
                <w:szCs w:val="22"/>
              </w:rPr>
              <w:t>R1</w:t>
            </w:r>
            <w:r w:rsidR="00A13455">
              <w:rPr>
                <w:rFonts w:eastAsia="Times New Roman" w:cs="Arial"/>
                <w:szCs w:val="22"/>
              </w:rPr>
              <w:t xml:space="preserve">: </w:t>
            </w:r>
            <w:r>
              <w:rPr>
                <w:rFonts w:eastAsia="Times New Roman" w:cs="Arial"/>
                <w:szCs w:val="22"/>
              </w:rPr>
              <w:t xml:space="preserve">changed </w:t>
            </w:r>
            <w:r w:rsidR="00EF5E9F">
              <w:rPr>
                <w:rFonts w:eastAsia="Times New Roman" w:cs="Arial"/>
                <w:szCs w:val="22"/>
              </w:rPr>
              <w:t>relevance (last sentence)</w:t>
            </w:r>
            <w:r>
              <w:rPr>
                <w:rFonts w:eastAsia="Times New Roman" w:cs="Arial"/>
                <w:szCs w:val="22"/>
              </w:rPr>
              <w:t xml:space="preserve"> to more directly tie </w:t>
            </w:r>
            <w:r w:rsidR="005D7B5E">
              <w:rPr>
                <w:rFonts w:eastAsia="Times New Roman" w:cs="Arial"/>
                <w:szCs w:val="22"/>
              </w:rPr>
              <w:t>into</w:t>
            </w:r>
            <w:r>
              <w:rPr>
                <w:rFonts w:eastAsia="Times New Roman" w:cs="Arial"/>
                <w:szCs w:val="22"/>
              </w:rPr>
              <w:t xml:space="preserve"> students and supply network management per feedback.</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1086046" w14:textId="77777777" w:rsidR="005E22BD" w:rsidRDefault="000A11B9">
            <w:pPr>
              <w:rPr>
                <w:rFonts w:eastAsia="Times New Roman" w:cs="Arial"/>
                <w:szCs w:val="22"/>
              </w:rPr>
            </w:pPr>
            <w:r>
              <w:rPr>
                <w:rFonts w:eastAsia="Times New Roman" w:cs="Arial"/>
                <w:szCs w:val="22"/>
              </w:rPr>
              <w:t>c</w:t>
            </w:r>
          </w:p>
        </w:tc>
      </w:tr>
      <w:tr w:rsidR="00A13455" w14:paraId="7DDB4962"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263197C9"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798C5FF" w14:textId="2BE3D8DA"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 xml:space="preserve">s indicators for innovation performance (Figure 7.1-18) demonstrate good pre-pandemic trends and comparisons. Both </w:t>
            </w:r>
            <w:r w:rsidR="00713EE5">
              <w:rPr>
                <w:rFonts w:eastAsia="Times New Roman" w:cs="Arial"/>
                <w:szCs w:val="22"/>
              </w:rPr>
              <w:t xml:space="preserve">the </w:t>
            </w:r>
            <w:r>
              <w:rPr>
                <w:rFonts w:eastAsia="Times New Roman" w:cs="Arial"/>
                <w:szCs w:val="22"/>
              </w:rPr>
              <w:t>number of innovations submitted and</w:t>
            </w:r>
            <w:r w:rsidR="00713EE5">
              <w:rPr>
                <w:rFonts w:eastAsia="Times New Roman" w:cs="Arial"/>
                <w:szCs w:val="22"/>
              </w:rPr>
              <w:t xml:space="preserve"> the</w:t>
            </w:r>
            <w:r>
              <w:rPr>
                <w:rFonts w:eastAsia="Times New Roman" w:cs="Arial"/>
                <w:szCs w:val="22"/>
              </w:rPr>
              <w:t xml:space="preserve"> percent</w:t>
            </w:r>
            <w:r w:rsidR="00713EE5">
              <w:rPr>
                <w:rFonts w:eastAsia="Times New Roman" w:cs="Arial"/>
                <w:szCs w:val="22"/>
              </w:rPr>
              <w:t>age of</w:t>
            </w:r>
            <w:r>
              <w:rPr>
                <w:rFonts w:eastAsia="Times New Roman" w:cs="Arial"/>
                <w:szCs w:val="22"/>
              </w:rPr>
              <w:t xml:space="preserve"> innovations completed doubled prior to the pandemic and exceeded the DASHER top decile for 2019 and 2020. Continuing to effectively manage innovation processes may help the applicant</w:t>
            </w:r>
            <w:r w:rsidR="00A13455">
              <w:rPr>
                <w:rFonts w:eastAsia="Times New Roman" w:cs="Arial"/>
                <w:szCs w:val="22"/>
              </w:rPr>
              <w:t xml:space="preserve"> manage its strategic challenges around funding, competition, and the achievement gap</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1AF0A886" w14:textId="5C42E181" w:rsidR="005E22BD" w:rsidRDefault="000A11B9">
            <w:pPr>
              <w:rPr>
                <w:rFonts w:eastAsia="Times New Roman" w:cs="Arial"/>
                <w:szCs w:val="22"/>
              </w:rPr>
            </w:pPr>
            <w:r>
              <w:rPr>
                <w:rFonts w:eastAsia="Times New Roman" w:cs="Arial"/>
                <w:szCs w:val="22"/>
              </w:rPr>
              <w:t>Very narrow strength to give credit for innovation process management as it supports the</w:t>
            </w:r>
            <w:r w:rsidR="00A13455">
              <w:rPr>
                <w:rFonts w:eastAsia="Times New Roman" w:cs="Arial"/>
                <w:szCs w:val="22"/>
              </w:rPr>
              <w:t xml:space="preserve"> applicant</w:t>
            </w:r>
            <w:r w:rsidR="005663C4">
              <w:rPr>
                <w:rFonts w:eastAsia="Times New Roman" w:cs="Arial"/>
                <w:szCs w:val="22"/>
              </w:rPr>
              <w:t>’</w:t>
            </w:r>
            <w:r w:rsidR="00A13455">
              <w:rPr>
                <w:rFonts w:eastAsia="Times New Roman" w:cs="Arial"/>
                <w:szCs w:val="22"/>
              </w:rPr>
              <w:t>s ability to manage strategic challenges</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1D7DCAD7" w14:textId="77777777" w:rsidR="005E22BD" w:rsidRDefault="000A11B9">
            <w:pPr>
              <w:rPr>
                <w:rFonts w:eastAsia="Times New Roman" w:cs="Arial"/>
                <w:szCs w:val="22"/>
              </w:rPr>
            </w:pPr>
            <w:r>
              <w:rPr>
                <w:rFonts w:eastAsia="Times New Roman" w:cs="Arial"/>
                <w:szCs w:val="22"/>
              </w:rPr>
              <w:t>b(1)</w:t>
            </w:r>
          </w:p>
        </w:tc>
      </w:tr>
    </w:tbl>
    <w:p w14:paraId="609B260B"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71497082" w14:textId="77777777" w:rsidTr="00080296">
        <w:tc>
          <w:tcPr>
            <w:tcW w:w="10170" w:type="dxa"/>
          </w:tcPr>
          <w:p w14:paraId="69A3651A" w14:textId="77777777" w:rsidR="00080296" w:rsidRDefault="00080296" w:rsidP="00080296">
            <w:pPr>
              <w:rPr>
                <w:rFonts w:eastAsia="Times New Roman" w:cs="Arial"/>
                <w:szCs w:val="22"/>
              </w:rPr>
            </w:pPr>
            <w:r>
              <w:rPr>
                <w:rFonts w:eastAsia="Times New Roman" w:cs="Arial"/>
                <w:szCs w:val="22"/>
              </w:rPr>
              <w:t xml:space="preserve">I am choosing to remain silent on the work process effectiveness strengths. Admission and registration times have decreased due to online systems, but enrollment is also in decline, so have they decreased cycle time because there was a corresponding decrease in customers? The applicant does not segment enrollment results so is the move to online admission and registration proportionately hurting diverse students? The applicant cites the move to online for decrease performance in degrees awarded, graduation, transfer, persistence so is the savings due to online education worth it? </w:t>
            </w:r>
          </w:p>
          <w:p w14:paraId="5340A010" w14:textId="02FB36B3" w:rsidR="00080296" w:rsidRDefault="00080296" w:rsidP="00080296">
            <w:pPr>
              <w:rPr>
                <w:rFonts w:eastAsia="Times New Roman" w:cs="Arial"/>
                <w:szCs w:val="22"/>
              </w:rPr>
            </w:pPr>
            <w:r>
              <w:rPr>
                <w:rFonts w:eastAsia="Times New Roman" w:cs="Arial"/>
                <w:szCs w:val="22"/>
              </w:rPr>
              <w:t>I am giving them instead an OFI that safety drop box inputs are still above 2018 levels even in a pandemic with remote operations. Education plan results show a curious decrease due to pandemic.</w:t>
            </w:r>
          </w:p>
        </w:tc>
      </w:tr>
    </w:tbl>
    <w:p w14:paraId="55355BE5"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01"/>
        <w:gridCol w:w="4256"/>
        <w:gridCol w:w="1200"/>
      </w:tblGrid>
      <w:tr w:rsidR="00801F98" w14:paraId="441082C3"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7B134F75"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2EDC3198"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506751E2"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26BD37C0" w14:textId="77777777" w:rsidR="005E22BD" w:rsidRDefault="000A11B9">
            <w:pPr>
              <w:jc w:val="center"/>
              <w:rPr>
                <w:rFonts w:eastAsia="Times New Roman" w:cs="Arial"/>
                <w:b/>
                <w:bCs/>
                <w:szCs w:val="22"/>
              </w:rPr>
            </w:pPr>
            <w:r>
              <w:rPr>
                <w:rFonts w:eastAsia="Times New Roman" w:cs="Arial"/>
                <w:b/>
                <w:bCs/>
                <w:szCs w:val="22"/>
              </w:rPr>
              <w:t>Item Ref.</w:t>
            </w:r>
          </w:p>
        </w:tc>
      </w:tr>
      <w:tr w:rsidR="00801F98" w14:paraId="0FB91FE1"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8754DA7" w14:textId="77777777" w:rsidR="005E22BD" w:rsidRDefault="000A11B9">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5730DF33" w14:textId="7B165114" w:rsidR="005E22BD" w:rsidRDefault="000A11B9">
            <w:pPr>
              <w:rPr>
                <w:rFonts w:eastAsia="Times New Roman" w:cs="Arial"/>
                <w:szCs w:val="22"/>
              </w:rPr>
            </w:pPr>
            <w:r>
              <w:rPr>
                <w:rFonts w:eastAsia="Times New Roman" w:cs="Arial"/>
                <w:szCs w:val="22"/>
              </w:rPr>
              <w:t>Results for the applicant</w:t>
            </w:r>
            <w:r w:rsidR="005663C4">
              <w:rPr>
                <w:rFonts w:eastAsia="Times New Roman" w:cs="Arial"/>
                <w:szCs w:val="22"/>
              </w:rPr>
              <w:t>’</w:t>
            </w:r>
            <w:r>
              <w:rPr>
                <w:rFonts w:eastAsia="Times New Roman" w:cs="Arial"/>
                <w:szCs w:val="22"/>
              </w:rPr>
              <w:t>s efforts to close the student achievement gap</w:t>
            </w:r>
            <w:r w:rsidR="00801F98">
              <w:rPr>
                <w:rFonts w:eastAsia="Times New Roman" w:cs="Arial"/>
                <w:szCs w:val="22"/>
              </w:rPr>
              <w:t>—such as student learning by different population segments, utilization of services, or interventions to promote equitable access—</w:t>
            </w:r>
            <w:r>
              <w:rPr>
                <w:rFonts w:eastAsia="Times New Roman" w:cs="Arial"/>
                <w:szCs w:val="22"/>
              </w:rPr>
              <w:t xml:space="preserve">are missing. </w:t>
            </w:r>
            <w:r w:rsidR="00801F98">
              <w:rPr>
                <w:rFonts w:eastAsia="Times New Roman" w:cs="Arial"/>
                <w:szCs w:val="22"/>
              </w:rPr>
              <w:t xml:space="preserve">Such results </w:t>
            </w:r>
            <w:r>
              <w:rPr>
                <w:rFonts w:eastAsia="Times New Roman" w:cs="Arial"/>
                <w:szCs w:val="22"/>
              </w:rPr>
              <w:t xml:space="preserve">may help the applicant </w:t>
            </w:r>
            <w:r w:rsidR="00801F98">
              <w:rPr>
                <w:rFonts w:eastAsia="Times New Roman" w:cs="Arial"/>
                <w:szCs w:val="22"/>
              </w:rPr>
              <w:t xml:space="preserve">identify areas of progress or opportunities for improvement in </w:t>
            </w:r>
            <w:r>
              <w:rPr>
                <w:rFonts w:eastAsia="Times New Roman" w:cs="Arial"/>
                <w:szCs w:val="22"/>
              </w:rPr>
              <w:t>address</w:t>
            </w:r>
            <w:r w:rsidR="00801F98">
              <w:rPr>
                <w:rFonts w:eastAsia="Times New Roman" w:cs="Arial"/>
                <w:szCs w:val="22"/>
              </w:rPr>
              <w:t>ing</w:t>
            </w:r>
            <w:r>
              <w:rPr>
                <w:rFonts w:eastAsia="Times New Roman" w:cs="Arial"/>
                <w:szCs w:val="22"/>
              </w:rPr>
              <w:t xml:space="preserve"> its strategic challenge of demands to close the student achievement gap.</w:t>
            </w:r>
          </w:p>
        </w:tc>
        <w:tc>
          <w:tcPr>
            <w:tcW w:w="0" w:type="auto"/>
            <w:tcBorders>
              <w:bottom w:val="single" w:sz="6" w:space="0" w:color="000000"/>
              <w:right w:val="single" w:sz="6" w:space="0" w:color="000000"/>
            </w:tcBorders>
            <w:tcMar>
              <w:top w:w="75" w:type="dxa"/>
              <w:left w:w="75" w:type="dxa"/>
              <w:bottom w:w="75" w:type="dxa"/>
              <w:right w:w="75" w:type="dxa"/>
            </w:tcMar>
            <w:hideMark/>
          </w:tcPr>
          <w:p w14:paraId="7E52C3D5" w14:textId="001F8112" w:rsidR="00801F98" w:rsidRDefault="000A11B9">
            <w:pPr>
              <w:rPr>
                <w:rFonts w:eastAsia="Times New Roman" w:cs="Arial"/>
                <w:szCs w:val="22"/>
              </w:rPr>
            </w:pPr>
            <w:r>
              <w:rPr>
                <w:rFonts w:eastAsia="Times New Roman" w:cs="Arial"/>
                <w:szCs w:val="22"/>
              </w:rPr>
              <w:t>One examiner (</w:t>
            </w:r>
            <w:r w:rsidR="007B4856">
              <w:rPr>
                <w:rFonts w:eastAsia="Times New Roman" w:cs="Arial"/>
                <w:szCs w:val="22"/>
              </w:rPr>
              <w:t>Ex6</w:t>
            </w:r>
            <w:r>
              <w:rPr>
                <w:rFonts w:eastAsia="Times New Roman" w:cs="Arial"/>
                <w:szCs w:val="22"/>
              </w:rPr>
              <w:t xml:space="preserve">) cited not addressing the strategic challenge of closing the achievement gap as an OFI. This OFI points to linkages with </w:t>
            </w:r>
            <w:r w:rsidR="00801F98">
              <w:rPr>
                <w:rFonts w:eastAsia="Times New Roman" w:cs="Arial"/>
                <w:szCs w:val="22"/>
              </w:rPr>
              <w:t xml:space="preserve">categories </w:t>
            </w:r>
            <w:r>
              <w:rPr>
                <w:rFonts w:eastAsia="Times New Roman" w:cs="Arial"/>
                <w:szCs w:val="22"/>
              </w:rPr>
              <w:t>1, 3, and 5 for diversity, equity, and inclusion and is highly relevant given the current social and political climate. This is more than a missing segmentation OFI</w:t>
            </w:r>
            <w:r w:rsidR="00AE3525">
              <w:rPr>
                <w:rFonts w:eastAsia="Times New Roman" w:cs="Arial"/>
                <w:szCs w:val="22"/>
              </w:rPr>
              <w:t>,</w:t>
            </w:r>
            <w:r>
              <w:rPr>
                <w:rFonts w:eastAsia="Times New Roman" w:cs="Arial"/>
                <w:szCs w:val="22"/>
              </w:rPr>
              <w:t xml:space="preserve"> and there are no results for key processes towards closing the gap, which the applicant indicates is a strategic challenge. </w:t>
            </w:r>
          </w:p>
          <w:p w14:paraId="08EF9813" w14:textId="7159C52B" w:rsidR="005D7B5E" w:rsidRDefault="000A11B9">
            <w:pPr>
              <w:rPr>
                <w:rFonts w:eastAsia="Times New Roman" w:cs="Arial"/>
                <w:szCs w:val="22"/>
              </w:rPr>
            </w:pPr>
            <w:r>
              <w:rPr>
                <w:rFonts w:eastAsia="Times New Roman" w:cs="Arial"/>
                <w:szCs w:val="22"/>
              </w:rPr>
              <w:t xml:space="preserve">Rises to the top as it is an unaddressed strategic challenge despite all the work on </w:t>
            </w:r>
            <w:r w:rsidR="00801F98">
              <w:rPr>
                <w:rFonts w:eastAsia="Times New Roman" w:cs="Arial"/>
                <w:szCs w:val="22"/>
              </w:rPr>
              <w:t>workforce diversity, equity, and inclusion</w:t>
            </w:r>
            <w:r>
              <w:rPr>
                <w:rFonts w:eastAsia="Times New Roman" w:cs="Arial"/>
                <w:szCs w:val="22"/>
              </w:rPr>
              <w:t xml:space="preserve"> </w:t>
            </w:r>
            <w:r w:rsidR="005D7B5E">
              <w:rPr>
                <w:rFonts w:eastAsia="Times New Roman" w:cs="Arial"/>
                <w:szCs w:val="22"/>
              </w:rPr>
              <w:lastRenderedPageBreak/>
              <w:t>and</w:t>
            </w:r>
            <w:r>
              <w:rPr>
                <w:rFonts w:eastAsia="Times New Roman" w:cs="Arial"/>
                <w:szCs w:val="22"/>
              </w:rPr>
              <w:t xml:space="preserve"> warrants a double to bring the attention of the applicant to this critical area.</w:t>
            </w:r>
          </w:p>
          <w:p w14:paraId="6AA9BDA2" w14:textId="7FEC6EB8" w:rsidR="005E22BD" w:rsidRDefault="000A11B9">
            <w:pPr>
              <w:rPr>
                <w:rFonts w:eastAsia="Times New Roman" w:cs="Arial"/>
                <w:szCs w:val="22"/>
              </w:rPr>
            </w:pPr>
            <w:r>
              <w:rPr>
                <w:rFonts w:eastAsia="Times New Roman" w:cs="Arial"/>
                <w:szCs w:val="22"/>
              </w:rPr>
              <w:t>R1</w:t>
            </w:r>
            <w:r w:rsidR="00801F98">
              <w:rPr>
                <w:rFonts w:eastAsia="Times New Roman" w:cs="Arial"/>
                <w:szCs w:val="22"/>
              </w:rPr>
              <w:t>:</w:t>
            </w:r>
            <w:r>
              <w:rPr>
                <w:rFonts w:eastAsia="Times New Roman" w:cs="Arial"/>
                <w:szCs w:val="22"/>
              </w:rPr>
              <w:t xml:space="preserve"> changed relevance to more directly tie </w:t>
            </w:r>
            <w:r w:rsidR="005D7B5E">
              <w:rPr>
                <w:rFonts w:eastAsia="Times New Roman" w:cs="Arial"/>
                <w:szCs w:val="22"/>
              </w:rPr>
              <w:t>into</w:t>
            </w:r>
            <w:r>
              <w:rPr>
                <w:rFonts w:eastAsia="Times New Roman" w:cs="Arial"/>
                <w:szCs w:val="22"/>
              </w:rPr>
              <w:t xml:space="preserve"> student learning</w:t>
            </w:r>
            <w:r w:rsidR="00801F98">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0CDCDA8E" w14:textId="77777777" w:rsidR="005E22BD" w:rsidRDefault="000A11B9">
            <w:pPr>
              <w:rPr>
                <w:rFonts w:eastAsia="Times New Roman" w:cs="Arial"/>
                <w:szCs w:val="22"/>
              </w:rPr>
            </w:pPr>
            <w:r>
              <w:rPr>
                <w:rFonts w:eastAsia="Times New Roman" w:cs="Arial"/>
                <w:szCs w:val="22"/>
              </w:rPr>
              <w:lastRenderedPageBreak/>
              <w:t>a</w:t>
            </w:r>
          </w:p>
        </w:tc>
      </w:tr>
      <w:tr w:rsidR="00801F98" w14:paraId="3803CBEC"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C08A73F"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304F1AF" w14:textId="0191B06D" w:rsidR="005E22BD" w:rsidRDefault="00801F98">
            <w:pPr>
              <w:rPr>
                <w:rFonts w:eastAsia="Times New Roman" w:cs="Arial"/>
                <w:szCs w:val="22"/>
              </w:rPr>
            </w:pPr>
            <w:r>
              <w:rPr>
                <w:rFonts w:eastAsia="Times New Roman" w:cs="Arial"/>
                <w:szCs w:val="22"/>
              </w:rPr>
              <w:t xml:space="preserve">The applicant does not provide segmented results for its </w:t>
            </w:r>
            <w:r w:rsidRPr="00801F98">
              <w:rPr>
                <w:rFonts w:eastAsia="Times New Roman" w:cs="Arial"/>
                <w:szCs w:val="22"/>
              </w:rPr>
              <w:t>educational program and service offerings</w:t>
            </w:r>
            <w:r>
              <w:rPr>
                <w:rFonts w:eastAsia="Times New Roman" w:cs="Arial"/>
                <w:szCs w:val="22"/>
              </w:rPr>
              <w:t xml:space="preserve"> (P.1-1).</w:t>
            </w:r>
            <w:r w:rsidR="000A11B9">
              <w:rPr>
                <w:rFonts w:eastAsia="Times New Roman" w:cs="Arial"/>
                <w:szCs w:val="22"/>
              </w:rPr>
              <w:t xml:space="preserve"> </w:t>
            </w:r>
            <w:r>
              <w:rPr>
                <w:rFonts w:eastAsia="Times New Roman" w:cs="Arial"/>
                <w:szCs w:val="22"/>
              </w:rPr>
              <w:t>For example, f</w:t>
            </w:r>
            <w:r w:rsidR="000A11B9">
              <w:rPr>
                <w:rFonts w:eastAsia="Times New Roman" w:cs="Arial"/>
                <w:szCs w:val="22"/>
              </w:rPr>
              <w:t xml:space="preserve">all-to-fall student persistence rates (Figure 7.1-9), graduation rates (Figure 7.1-3, 7.1-3b), and the number of students transferring to four-year institutions (Figure 7.1-6) are not segmented </w:t>
            </w:r>
            <w:r>
              <w:rPr>
                <w:rFonts w:eastAsia="Times New Roman" w:cs="Arial"/>
                <w:szCs w:val="22"/>
              </w:rPr>
              <w:t xml:space="preserve">by </w:t>
            </w:r>
            <w:r w:rsidR="000A11B9">
              <w:rPr>
                <w:rFonts w:eastAsia="Times New Roman" w:cs="Arial"/>
                <w:szCs w:val="22"/>
              </w:rPr>
              <w:t>certificate programs, workforce badges, or career preparation courses. Results for the applicant</w:t>
            </w:r>
            <w:r w:rsidR="005663C4">
              <w:rPr>
                <w:rFonts w:eastAsia="Times New Roman" w:cs="Arial"/>
                <w:szCs w:val="22"/>
              </w:rPr>
              <w:t>’</w:t>
            </w:r>
            <w:r w:rsidR="000A11B9">
              <w:rPr>
                <w:rFonts w:eastAsia="Times New Roman" w:cs="Arial"/>
                <w:szCs w:val="22"/>
              </w:rPr>
              <w:t xml:space="preserve">s various programs may </w:t>
            </w:r>
            <w:r>
              <w:rPr>
                <w:rFonts w:eastAsia="Times New Roman" w:cs="Arial"/>
                <w:szCs w:val="22"/>
              </w:rPr>
              <w:t xml:space="preserve">reveal </w:t>
            </w:r>
            <w:r w:rsidR="000A11B9">
              <w:rPr>
                <w:rFonts w:eastAsia="Times New Roman" w:cs="Arial"/>
                <w:szCs w:val="22"/>
              </w:rPr>
              <w:t>progress toward meeting the requirements of its key market segments.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102B125" w14:textId="4D29EF7B" w:rsidR="00801F98" w:rsidRDefault="00AE3525">
            <w:pPr>
              <w:rPr>
                <w:rFonts w:eastAsia="Times New Roman" w:cs="Arial"/>
                <w:szCs w:val="22"/>
              </w:rPr>
            </w:pPr>
            <w:r>
              <w:rPr>
                <w:rFonts w:eastAsia="Times New Roman" w:cs="Arial"/>
                <w:szCs w:val="22"/>
              </w:rPr>
              <w:t>T</w:t>
            </w:r>
            <w:r w:rsidR="000A11B9">
              <w:rPr>
                <w:rFonts w:eastAsia="Times New Roman" w:cs="Arial"/>
                <w:szCs w:val="22"/>
              </w:rPr>
              <w:t>he applicant does provide results for persistence, graduation, and transfer</w:t>
            </w:r>
            <w:r w:rsidR="000834C7">
              <w:rPr>
                <w:rFonts w:eastAsia="Times New Roman" w:cs="Arial"/>
                <w:szCs w:val="22"/>
              </w:rPr>
              <w:t>—</w:t>
            </w:r>
            <w:r w:rsidR="000A11B9">
              <w:rPr>
                <w:rFonts w:eastAsia="Times New Roman" w:cs="Arial"/>
                <w:szCs w:val="22"/>
              </w:rPr>
              <w:t xml:space="preserve">traditional summative indicators of student learning, but they are not segmented by programs. </w:t>
            </w:r>
          </w:p>
          <w:p w14:paraId="6FB87939" w14:textId="7C13B072" w:rsidR="005D7B5E" w:rsidRDefault="000A11B9">
            <w:pPr>
              <w:rPr>
                <w:rFonts w:eastAsia="Times New Roman" w:cs="Arial"/>
                <w:szCs w:val="22"/>
              </w:rPr>
            </w:pPr>
            <w:r>
              <w:rPr>
                <w:rFonts w:eastAsia="Times New Roman" w:cs="Arial"/>
                <w:szCs w:val="22"/>
              </w:rPr>
              <w:t>There may be an OFI for missing formative assessments of student learning, but the Criteria does not prescribe what type of student learning outcomes results are to be presented</w:t>
            </w:r>
            <w:r w:rsidR="00801F98">
              <w:rPr>
                <w:rFonts w:eastAsia="Times New Roman" w:cs="Arial"/>
                <w:szCs w:val="22"/>
              </w:rPr>
              <w:t>,</w:t>
            </w:r>
            <w:r>
              <w:rPr>
                <w:rFonts w:eastAsia="Times New Roman" w:cs="Arial"/>
                <w:szCs w:val="22"/>
              </w:rPr>
              <w:t xml:space="preserve"> and OFI for how applicant gauges student learning should be in process categories. </w:t>
            </w:r>
          </w:p>
          <w:p w14:paraId="130F77D3" w14:textId="10258FB6" w:rsidR="005E22BD" w:rsidRDefault="000A11B9">
            <w:pPr>
              <w:rPr>
                <w:rFonts w:eastAsia="Times New Roman" w:cs="Arial"/>
                <w:szCs w:val="22"/>
              </w:rPr>
            </w:pPr>
            <w:r>
              <w:rPr>
                <w:rFonts w:eastAsia="Times New Roman" w:cs="Arial"/>
                <w:szCs w:val="22"/>
              </w:rPr>
              <w:t>R1</w:t>
            </w:r>
            <w:r w:rsidR="00801F98">
              <w:rPr>
                <w:rFonts w:eastAsia="Times New Roman" w:cs="Arial"/>
                <w:szCs w:val="22"/>
              </w:rPr>
              <w:t>:</w:t>
            </w:r>
            <w:r>
              <w:rPr>
                <w:rFonts w:eastAsia="Times New Roman" w:cs="Arial"/>
                <w:szCs w:val="22"/>
              </w:rPr>
              <w:t xml:space="preserve"> adjusted for </w:t>
            </w:r>
            <w:r w:rsidR="007B4856">
              <w:rPr>
                <w:rFonts w:eastAsia="Times New Roman" w:cs="Arial"/>
                <w:szCs w:val="22"/>
              </w:rPr>
              <w:t>Ex4</w:t>
            </w:r>
            <w:r>
              <w:rPr>
                <w:rFonts w:eastAsia="Times New Roman" w:cs="Arial"/>
                <w:szCs w:val="22"/>
              </w:rPr>
              <w:t xml:space="preserve"> feedback, keeping positive </w:t>
            </w:r>
            <w:r w:rsidR="005D7B5E">
              <w:rPr>
                <w:rFonts w:eastAsia="Times New Roman" w:cs="Arial"/>
                <w:szCs w:val="22"/>
              </w:rPr>
              <w:t>relevance,</w:t>
            </w:r>
            <w:r>
              <w:rPr>
                <w:rFonts w:eastAsia="Times New Roman" w:cs="Arial"/>
                <w:szCs w:val="22"/>
              </w:rPr>
              <w:t xml:space="preserve"> and citing results figures as hint for improvement for applicant.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3748449" w14:textId="77777777" w:rsidR="005E22BD" w:rsidRDefault="000A11B9">
            <w:pPr>
              <w:rPr>
                <w:rFonts w:eastAsia="Times New Roman" w:cs="Arial"/>
                <w:szCs w:val="22"/>
              </w:rPr>
            </w:pPr>
            <w:r>
              <w:rPr>
                <w:rFonts w:eastAsia="Times New Roman" w:cs="Arial"/>
                <w:szCs w:val="22"/>
              </w:rPr>
              <w:t>a</w:t>
            </w:r>
          </w:p>
        </w:tc>
      </w:tr>
      <w:tr w:rsidR="00801F98" w14:paraId="67740E3D"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04B2E9B1"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EBBCD51" w14:textId="437FF2F0" w:rsidR="005E22BD" w:rsidRDefault="002E2C1A">
            <w:pPr>
              <w:rPr>
                <w:rFonts w:eastAsia="Times New Roman" w:cs="Arial"/>
                <w:szCs w:val="22"/>
              </w:rPr>
            </w:pPr>
            <w:r>
              <w:rPr>
                <w:rFonts w:eastAsia="Times New Roman" w:cs="Arial"/>
                <w:szCs w:val="22"/>
              </w:rPr>
              <w:t>Some of t</w:t>
            </w:r>
            <w:r w:rsidR="000A11B9">
              <w:rPr>
                <w:rFonts w:eastAsia="Times New Roman" w:cs="Arial"/>
                <w:szCs w:val="22"/>
              </w:rPr>
              <w:t>he applicant</w:t>
            </w:r>
            <w:r w:rsidR="005663C4">
              <w:rPr>
                <w:rFonts w:eastAsia="Times New Roman" w:cs="Arial"/>
                <w:szCs w:val="22"/>
              </w:rPr>
              <w:t>’</w:t>
            </w:r>
            <w:r w:rsidR="000A11B9">
              <w:rPr>
                <w:rFonts w:eastAsia="Times New Roman" w:cs="Arial"/>
                <w:szCs w:val="22"/>
              </w:rPr>
              <w:t>s results for work process effectiveness demonstrate poor levels. Even during a pandemic move to remote operations, safety drop</w:t>
            </w:r>
            <w:r w:rsidR="00801F98">
              <w:rPr>
                <w:rFonts w:eastAsia="Times New Roman" w:cs="Arial"/>
                <w:szCs w:val="22"/>
              </w:rPr>
              <w:t xml:space="preserve"> </w:t>
            </w:r>
            <w:r w:rsidR="000A11B9">
              <w:rPr>
                <w:rFonts w:eastAsia="Times New Roman" w:cs="Arial"/>
                <w:szCs w:val="22"/>
              </w:rPr>
              <w:t xml:space="preserve">box inputs remain higher than pre-pandemic levels in 2018 (Figure 7.1-19). </w:t>
            </w:r>
            <w:r w:rsidR="00AE3525">
              <w:rPr>
                <w:rFonts w:eastAsia="Times New Roman" w:cs="Arial"/>
                <w:szCs w:val="22"/>
              </w:rPr>
              <w:t>In addition, t</w:t>
            </w:r>
            <w:r w:rsidR="000A11B9">
              <w:rPr>
                <w:rFonts w:eastAsia="Times New Roman" w:cs="Arial"/>
                <w:szCs w:val="22"/>
              </w:rPr>
              <w:t>he percentage of students with a required education plan has declined by more than 10</w:t>
            </w:r>
            <w:r w:rsidR="00AE3525">
              <w:rPr>
                <w:rFonts w:eastAsia="Times New Roman" w:cs="Arial"/>
                <w:szCs w:val="22"/>
              </w:rPr>
              <w:t xml:space="preserve"> percentage points</w:t>
            </w:r>
            <w:r w:rsidR="000A11B9">
              <w:rPr>
                <w:rFonts w:eastAsia="Times New Roman" w:cs="Arial"/>
                <w:szCs w:val="22"/>
              </w:rPr>
              <w:t xml:space="preserve"> (Figure 7.1-13). </w:t>
            </w:r>
            <w:r w:rsidR="00AE3525">
              <w:rPr>
                <w:rFonts w:eastAsia="Times New Roman" w:cs="Arial"/>
                <w:szCs w:val="22"/>
              </w:rPr>
              <w:t xml:space="preserve">Probing and improving these pandemic-era results may </w:t>
            </w:r>
            <w:r w:rsidR="000A11B9">
              <w:rPr>
                <w:rFonts w:eastAsia="Times New Roman" w:cs="Arial"/>
                <w:szCs w:val="22"/>
              </w:rPr>
              <w:t xml:space="preserve">help the applicant </w:t>
            </w:r>
            <w:r w:rsidR="00AE3525">
              <w:rPr>
                <w:rFonts w:eastAsia="Times New Roman" w:cs="Arial"/>
                <w:szCs w:val="22"/>
              </w:rPr>
              <w:t xml:space="preserve">improve its </w:t>
            </w:r>
            <w:r w:rsidR="000A11B9">
              <w:rPr>
                <w:rFonts w:eastAsia="Times New Roman" w:cs="Arial"/>
                <w:szCs w:val="22"/>
              </w:rPr>
              <w:t>resilience.</w:t>
            </w:r>
          </w:p>
        </w:tc>
        <w:tc>
          <w:tcPr>
            <w:tcW w:w="0" w:type="auto"/>
            <w:tcBorders>
              <w:bottom w:val="single" w:sz="6" w:space="0" w:color="000000"/>
              <w:right w:val="single" w:sz="6" w:space="0" w:color="000000"/>
            </w:tcBorders>
            <w:tcMar>
              <w:top w:w="75" w:type="dxa"/>
              <w:left w:w="75" w:type="dxa"/>
              <w:bottom w:w="75" w:type="dxa"/>
              <w:right w:w="75" w:type="dxa"/>
            </w:tcMar>
            <w:hideMark/>
          </w:tcPr>
          <w:p w14:paraId="009DDEDC" w14:textId="214161DE" w:rsidR="00801F98" w:rsidRDefault="000A11B9">
            <w:pPr>
              <w:rPr>
                <w:rFonts w:eastAsia="Times New Roman" w:cs="Arial"/>
                <w:szCs w:val="22"/>
              </w:rPr>
            </w:pPr>
            <w:r>
              <w:rPr>
                <w:rFonts w:eastAsia="Times New Roman" w:cs="Arial"/>
                <w:szCs w:val="22"/>
              </w:rPr>
              <w:t>High safety drop box inputs when there are fewer people on campus during remote operations would indicate poor effectiveness. The pandemic may have disrupted enrollment</w:t>
            </w:r>
            <w:r w:rsidR="00AE3525">
              <w:rPr>
                <w:rFonts w:eastAsia="Times New Roman" w:cs="Arial"/>
                <w:szCs w:val="22"/>
              </w:rPr>
              <w:t>,</w:t>
            </w:r>
            <w:r>
              <w:rPr>
                <w:rFonts w:eastAsia="Times New Roman" w:cs="Arial"/>
                <w:szCs w:val="22"/>
              </w:rPr>
              <w:t xml:space="preserve"> but of the students who are with the college</w:t>
            </w:r>
            <w:r w:rsidR="00AE3525">
              <w:rPr>
                <w:rFonts w:eastAsia="Times New Roman" w:cs="Arial"/>
                <w:szCs w:val="22"/>
              </w:rPr>
              <w:t>,</w:t>
            </w:r>
            <w:r>
              <w:rPr>
                <w:rFonts w:eastAsia="Times New Roman" w:cs="Arial"/>
                <w:szCs w:val="22"/>
              </w:rPr>
              <w:t xml:space="preserve"> a decline in mandatory education plans would seem to indicate ineffective advising processes.</w:t>
            </w:r>
          </w:p>
          <w:p w14:paraId="13C00E9F" w14:textId="0E4D3560" w:rsidR="00801F98" w:rsidRDefault="000A11B9">
            <w:pPr>
              <w:rPr>
                <w:rFonts w:eastAsia="Times New Roman" w:cs="Arial"/>
                <w:szCs w:val="22"/>
              </w:rPr>
            </w:pPr>
            <w:r>
              <w:rPr>
                <w:rFonts w:eastAsia="Times New Roman" w:cs="Arial"/>
                <w:szCs w:val="22"/>
              </w:rPr>
              <w:t>R1</w:t>
            </w:r>
            <w:r w:rsidR="002E2C1A">
              <w:rPr>
                <w:rFonts w:eastAsia="Times New Roman" w:cs="Arial"/>
                <w:szCs w:val="22"/>
              </w:rPr>
              <w:t>:</w:t>
            </w:r>
            <w:r>
              <w:rPr>
                <w:rFonts w:eastAsia="Times New Roman" w:cs="Arial"/>
                <w:szCs w:val="22"/>
              </w:rPr>
              <w:t xml:space="preserve"> probably needs to be reconstituted as my points weren</w:t>
            </w:r>
            <w:r w:rsidR="005663C4">
              <w:rPr>
                <w:rFonts w:eastAsia="Times New Roman" w:cs="Arial"/>
                <w:szCs w:val="22"/>
              </w:rPr>
              <w:t>’</w:t>
            </w:r>
            <w:r>
              <w:rPr>
                <w:rFonts w:eastAsia="Times New Roman" w:cs="Arial"/>
                <w:szCs w:val="22"/>
              </w:rPr>
              <w:t xml:space="preserve">t understood but going to wait until R-2 comments. I put </w:t>
            </w:r>
            <w:r w:rsidR="007B4856">
              <w:rPr>
                <w:rFonts w:eastAsia="Times New Roman" w:cs="Arial"/>
                <w:szCs w:val="22"/>
              </w:rPr>
              <w:t>Ex6</w:t>
            </w:r>
            <w:r>
              <w:rPr>
                <w:rFonts w:eastAsia="Times New Roman" w:cs="Arial"/>
                <w:szCs w:val="22"/>
              </w:rPr>
              <w:t xml:space="preserve"> OFI about placement in OFI4 for downturn of performance but don</w:t>
            </w:r>
            <w:r w:rsidR="005663C4">
              <w:rPr>
                <w:rFonts w:eastAsia="Times New Roman" w:cs="Arial"/>
                <w:szCs w:val="22"/>
              </w:rPr>
              <w:t>’</w:t>
            </w:r>
            <w:r>
              <w:rPr>
                <w:rFonts w:eastAsia="Times New Roman" w:cs="Arial"/>
                <w:szCs w:val="22"/>
              </w:rPr>
              <w:t xml:space="preserve">t feel its necessarily a process issue per se. </w:t>
            </w:r>
          </w:p>
          <w:p w14:paraId="6E71D782" w14:textId="67CD9A48" w:rsidR="00801F98" w:rsidRDefault="007B4856">
            <w:pPr>
              <w:rPr>
                <w:rFonts w:eastAsia="Times New Roman" w:cs="Arial"/>
                <w:szCs w:val="22"/>
              </w:rPr>
            </w:pPr>
            <w:r>
              <w:rPr>
                <w:rFonts w:eastAsia="Times New Roman" w:cs="Arial"/>
                <w:szCs w:val="22"/>
              </w:rPr>
              <w:t>Ex5</w:t>
            </w:r>
            <w:r w:rsidR="005663C4">
              <w:rPr>
                <w:rFonts w:eastAsia="Times New Roman" w:cs="Arial"/>
                <w:szCs w:val="22"/>
              </w:rPr>
              <w:t>’</w:t>
            </w:r>
            <w:r w:rsidR="000A11B9">
              <w:rPr>
                <w:rFonts w:eastAsia="Times New Roman" w:cs="Arial"/>
                <w:szCs w:val="22"/>
              </w:rPr>
              <w:t>s comment about 7.3</w:t>
            </w:r>
            <w:r w:rsidR="002E2C1A">
              <w:rPr>
                <w:rFonts w:eastAsia="Times New Roman" w:cs="Arial"/>
                <w:szCs w:val="22"/>
              </w:rPr>
              <w:t>-</w:t>
            </w:r>
            <w:r w:rsidR="000A11B9">
              <w:rPr>
                <w:rFonts w:eastAsia="Times New Roman" w:cs="Arial"/>
                <w:szCs w:val="22"/>
              </w:rPr>
              <w:t>7 I</w:t>
            </w:r>
            <w:r w:rsidR="005663C4">
              <w:rPr>
                <w:rFonts w:eastAsia="Times New Roman" w:cs="Arial"/>
                <w:szCs w:val="22"/>
              </w:rPr>
              <w:t>’</w:t>
            </w:r>
            <w:r w:rsidR="000A11B9">
              <w:rPr>
                <w:rFonts w:eastAsia="Times New Roman" w:cs="Arial"/>
                <w:szCs w:val="22"/>
              </w:rPr>
              <w:t xml:space="preserve">m chalking up to </w:t>
            </w:r>
            <w:r w:rsidR="002E2C1A">
              <w:rPr>
                <w:rFonts w:eastAsia="Times New Roman" w:cs="Arial"/>
                <w:szCs w:val="22"/>
              </w:rPr>
              <w:t xml:space="preserve">a </w:t>
            </w:r>
            <w:r w:rsidR="000A11B9">
              <w:rPr>
                <w:rFonts w:eastAsia="Times New Roman" w:cs="Arial"/>
                <w:szCs w:val="22"/>
              </w:rPr>
              <w:t>typo</w:t>
            </w:r>
            <w:r w:rsidR="00801F98">
              <w:rPr>
                <w:rFonts w:eastAsia="Times New Roman" w:cs="Arial"/>
                <w:szCs w:val="22"/>
              </w:rPr>
              <w:t>,</w:t>
            </w:r>
            <w:r w:rsidR="000A11B9">
              <w:rPr>
                <w:rFonts w:eastAsia="Times New Roman" w:cs="Arial"/>
                <w:szCs w:val="22"/>
              </w:rPr>
              <w:t xml:space="preserve"> and </w:t>
            </w:r>
            <w:r>
              <w:rPr>
                <w:rFonts w:eastAsia="Times New Roman" w:cs="Arial"/>
                <w:szCs w:val="22"/>
              </w:rPr>
              <w:t>Ex4</w:t>
            </w:r>
            <w:r w:rsidR="005663C4">
              <w:rPr>
                <w:rFonts w:eastAsia="Times New Roman" w:cs="Arial"/>
                <w:szCs w:val="22"/>
              </w:rPr>
              <w:t>’</w:t>
            </w:r>
            <w:r w:rsidR="00801F98">
              <w:rPr>
                <w:rFonts w:eastAsia="Times New Roman" w:cs="Arial"/>
                <w:szCs w:val="22"/>
              </w:rPr>
              <w:t>s</w:t>
            </w:r>
            <w:r w:rsidR="000A11B9">
              <w:rPr>
                <w:rFonts w:eastAsia="Times New Roman" w:cs="Arial"/>
                <w:szCs w:val="22"/>
              </w:rPr>
              <w:t xml:space="preserve"> IT availability</w:t>
            </w:r>
            <w:r w:rsidR="00801F98">
              <w:rPr>
                <w:rFonts w:eastAsia="Times New Roman" w:cs="Arial"/>
                <w:szCs w:val="22"/>
              </w:rPr>
              <w:t xml:space="preserve"> comment</w:t>
            </w:r>
            <w:r w:rsidR="000A11B9">
              <w:rPr>
                <w:rFonts w:eastAsia="Times New Roman" w:cs="Arial"/>
                <w:szCs w:val="22"/>
              </w:rPr>
              <w:t xml:space="preserve"> seems minor and explained by applicant due to sudden transition. </w:t>
            </w:r>
          </w:p>
          <w:p w14:paraId="65C08819" w14:textId="7C7704B9" w:rsidR="005E22BD" w:rsidRDefault="000A11B9">
            <w:pPr>
              <w:rPr>
                <w:rFonts w:eastAsia="Times New Roman" w:cs="Arial"/>
                <w:szCs w:val="22"/>
              </w:rPr>
            </w:pPr>
            <w:r>
              <w:rPr>
                <w:rFonts w:eastAsia="Times New Roman" w:cs="Arial"/>
                <w:szCs w:val="22"/>
              </w:rPr>
              <w:t>The "good" arrow for 7.1</w:t>
            </w:r>
            <w:r w:rsidR="00801F98">
              <w:rPr>
                <w:rFonts w:eastAsia="Times New Roman" w:cs="Arial"/>
                <w:szCs w:val="22"/>
              </w:rPr>
              <w:t>-</w:t>
            </w:r>
            <w:r>
              <w:rPr>
                <w:rFonts w:eastAsia="Times New Roman" w:cs="Arial"/>
                <w:szCs w:val="22"/>
              </w:rPr>
              <w:t>17 and 7.1</w:t>
            </w:r>
            <w:r w:rsidR="00801F98">
              <w:rPr>
                <w:rFonts w:eastAsia="Times New Roman" w:cs="Arial"/>
                <w:szCs w:val="22"/>
              </w:rPr>
              <w:t>-</w:t>
            </w:r>
            <w:r>
              <w:rPr>
                <w:rFonts w:eastAsia="Times New Roman" w:cs="Arial"/>
                <w:szCs w:val="22"/>
              </w:rPr>
              <w:t>19 clearly do</w:t>
            </w:r>
            <w:r w:rsidR="00801F98">
              <w:rPr>
                <w:rFonts w:eastAsia="Times New Roman" w:cs="Arial"/>
                <w:szCs w:val="22"/>
              </w:rPr>
              <w:t>es</w:t>
            </w:r>
            <w:r>
              <w:rPr>
                <w:rFonts w:eastAsia="Times New Roman" w:cs="Arial"/>
                <w:szCs w:val="22"/>
              </w:rPr>
              <w:t>n</w:t>
            </w:r>
            <w:r w:rsidR="005663C4">
              <w:rPr>
                <w:rFonts w:eastAsia="Times New Roman" w:cs="Arial"/>
                <w:szCs w:val="22"/>
              </w:rPr>
              <w:t>’</w:t>
            </w:r>
            <w:r>
              <w:rPr>
                <w:rFonts w:eastAsia="Times New Roman" w:cs="Arial"/>
                <w:szCs w:val="22"/>
              </w:rPr>
              <w:t>t apply to all the metrics</w:t>
            </w:r>
            <w:r w:rsidR="00801F98">
              <w:rPr>
                <w:rFonts w:eastAsia="Times New Roman" w:cs="Arial"/>
                <w:szCs w:val="22"/>
              </w:rPr>
              <w:t>,</w:t>
            </w:r>
            <w:r>
              <w:rPr>
                <w:rFonts w:eastAsia="Times New Roman" w:cs="Arial"/>
                <w:szCs w:val="22"/>
              </w:rPr>
              <w:t xml:space="preserve"> and my point was </w:t>
            </w:r>
            <w:r w:rsidR="005D7B5E">
              <w:rPr>
                <w:rFonts w:eastAsia="Times New Roman" w:cs="Arial"/>
                <w:szCs w:val="22"/>
              </w:rPr>
              <w:t xml:space="preserve">that </w:t>
            </w:r>
            <w:r>
              <w:rPr>
                <w:rFonts w:eastAsia="Times New Roman" w:cs="Arial"/>
                <w:szCs w:val="22"/>
              </w:rPr>
              <w:t>it</w:t>
            </w:r>
            <w:r w:rsidR="005663C4">
              <w:rPr>
                <w:rFonts w:eastAsia="Times New Roman" w:cs="Arial"/>
                <w:szCs w:val="22"/>
              </w:rPr>
              <w:t>’</w:t>
            </w:r>
            <w:r>
              <w:rPr>
                <w:rFonts w:eastAsia="Times New Roman" w:cs="Arial"/>
                <w:szCs w:val="22"/>
              </w:rPr>
              <w:t>s puzzling you</w:t>
            </w:r>
            <w:r w:rsidR="005663C4">
              <w:rPr>
                <w:rFonts w:eastAsia="Times New Roman" w:cs="Arial"/>
                <w:szCs w:val="22"/>
              </w:rPr>
              <w:t>’</w:t>
            </w:r>
            <w:r>
              <w:rPr>
                <w:rFonts w:eastAsia="Times New Roman" w:cs="Arial"/>
                <w:szCs w:val="22"/>
              </w:rPr>
              <w:t>d have increase</w:t>
            </w:r>
            <w:r w:rsidR="005D7B5E">
              <w:rPr>
                <w:rFonts w:eastAsia="Times New Roman" w:cs="Arial"/>
                <w:szCs w:val="22"/>
              </w:rPr>
              <w:t>d</w:t>
            </w:r>
            <w:r>
              <w:rPr>
                <w:rFonts w:eastAsia="Times New Roman" w:cs="Arial"/>
                <w:szCs w:val="22"/>
              </w:rPr>
              <w:t xml:space="preserve"> safety inputs and emergency drills when hardly anybody is on campus.</w:t>
            </w:r>
          </w:p>
        </w:tc>
        <w:tc>
          <w:tcPr>
            <w:tcW w:w="0" w:type="auto"/>
            <w:tcBorders>
              <w:bottom w:val="single" w:sz="6" w:space="0" w:color="000000"/>
              <w:right w:val="single" w:sz="6" w:space="0" w:color="000000"/>
            </w:tcBorders>
            <w:tcMar>
              <w:top w:w="75" w:type="dxa"/>
              <w:left w:w="75" w:type="dxa"/>
              <w:bottom w:w="75" w:type="dxa"/>
              <w:right w:w="75" w:type="dxa"/>
            </w:tcMar>
            <w:hideMark/>
          </w:tcPr>
          <w:p w14:paraId="26320199" w14:textId="77777777" w:rsidR="005E22BD" w:rsidRDefault="000A11B9">
            <w:pPr>
              <w:rPr>
                <w:rFonts w:eastAsia="Times New Roman" w:cs="Arial"/>
                <w:szCs w:val="22"/>
              </w:rPr>
            </w:pPr>
            <w:r>
              <w:rPr>
                <w:rFonts w:eastAsia="Times New Roman" w:cs="Arial"/>
                <w:szCs w:val="22"/>
              </w:rPr>
              <w:t>b</w:t>
            </w:r>
          </w:p>
        </w:tc>
      </w:tr>
    </w:tbl>
    <w:p w14:paraId="6A533B2F"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080296" w14:paraId="2BD445BB" w14:textId="77777777" w:rsidTr="007E0DEE">
        <w:tc>
          <w:tcPr>
            <w:tcW w:w="10170" w:type="dxa"/>
          </w:tcPr>
          <w:p w14:paraId="1408ACA7" w14:textId="17EE7667" w:rsidR="00080296" w:rsidRDefault="00080296">
            <w:pPr>
              <w:rPr>
                <w:rFonts w:eastAsia="Times New Roman" w:cs="Arial"/>
                <w:szCs w:val="22"/>
              </w:rPr>
            </w:pPr>
            <w:r>
              <w:rPr>
                <w:rFonts w:eastAsia="Times New Roman" w:cs="Arial"/>
                <w:szCs w:val="22"/>
              </w:rPr>
              <w:t>If we eliminate the (a) OFI surrounding pandemic-related performance, I see the score being 55 or higher, but if we keep the OFI4(a) whether as is or adjusting to call out only lower performance pre- or post-pandemic, I think the score goes lower to 50.</w:t>
            </w:r>
          </w:p>
        </w:tc>
      </w:tr>
    </w:tbl>
    <w:p w14:paraId="5CAD95B0" w14:textId="77777777" w:rsidR="005E22BD" w:rsidRDefault="000A11B9">
      <w:pPr>
        <w:pStyle w:val="Heading3"/>
        <w:divId w:val="905190427"/>
        <w:rPr>
          <w:rFonts w:eastAsia="Times New Roman" w:cs="Arial"/>
        </w:rPr>
      </w:pPr>
      <w:r>
        <w:rPr>
          <w:rFonts w:eastAsia="Times New Roman" w:cs="Arial"/>
        </w:rPr>
        <w:lastRenderedPageBreak/>
        <w:t>Scoring</w:t>
      </w:r>
    </w:p>
    <w:tbl>
      <w:tblPr>
        <w:tblStyle w:val="TableGrid"/>
        <w:tblW w:w="0" w:type="auto"/>
        <w:tblInd w:w="355" w:type="dxa"/>
        <w:tblLook w:val="04A0" w:firstRow="1" w:lastRow="0" w:firstColumn="1" w:lastColumn="0" w:noHBand="0" w:noVBand="1"/>
      </w:tblPr>
      <w:tblGrid>
        <w:gridCol w:w="10170"/>
      </w:tblGrid>
      <w:tr w:rsidR="007E0DEE" w14:paraId="49F81669" w14:textId="77777777" w:rsidTr="007E0DEE">
        <w:tc>
          <w:tcPr>
            <w:tcW w:w="10170" w:type="dxa"/>
          </w:tcPr>
          <w:p w14:paraId="6EB99B2F"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55</w:t>
            </w:r>
          </w:p>
          <w:p w14:paraId="61835268"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05FD5533" w14:textId="1565621B" w:rsidR="007E0DEE" w:rsidRDefault="007E0DEE" w:rsidP="007E0DEE">
            <w:pPr>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The applicant addresses the overall question</w:t>
            </w:r>
            <w:r>
              <w:rPr>
                <w:rStyle w:val="Strong"/>
                <w:rFonts w:eastAsia="Times New Roman" w:cs="Arial"/>
                <w:b w:val="0"/>
                <w:bCs w:val="0"/>
                <w:szCs w:val="22"/>
              </w:rPr>
              <w:t>s</w:t>
            </w:r>
            <w:r w:rsidRPr="00FD460C">
              <w:rPr>
                <w:rStyle w:val="Strong"/>
                <w:rFonts w:eastAsia="Times New Roman" w:cs="Arial"/>
                <w:b w:val="0"/>
                <w:bCs w:val="0"/>
                <w:szCs w:val="22"/>
              </w:rPr>
              <w:t>, and pre-pandemic performance demonstrate</w:t>
            </w:r>
            <w:r>
              <w:rPr>
                <w:rStyle w:val="Strong"/>
                <w:rFonts w:eastAsia="Times New Roman" w:cs="Arial"/>
                <w:b w:val="0"/>
                <w:bCs w:val="0"/>
                <w:szCs w:val="22"/>
              </w:rPr>
              <w:t>s</w:t>
            </w:r>
            <w:r w:rsidRPr="00FD460C">
              <w:rPr>
                <w:rStyle w:val="Strong"/>
                <w:rFonts w:eastAsia="Times New Roman" w:cs="Arial"/>
                <w:b w:val="0"/>
                <w:bCs w:val="0"/>
                <w:szCs w:val="22"/>
              </w:rPr>
              <w:t xml:space="preserve"> good levels in most areas</w:t>
            </w:r>
            <w:r>
              <w:rPr>
                <w:rStyle w:val="Strong"/>
                <w:rFonts w:eastAsia="Times New Roman" w:cs="Arial"/>
                <w:b w:val="0"/>
                <w:bCs w:val="0"/>
                <w:szCs w:val="22"/>
              </w:rPr>
              <w:t>,</w:t>
            </w:r>
            <w:r w:rsidRPr="00FD460C">
              <w:rPr>
                <w:rStyle w:val="Strong"/>
                <w:rFonts w:eastAsia="Times New Roman" w:cs="Arial"/>
                <w:b w:val="0"/>
                <w:bCs w:val="0"/>
                <w:szCs w:val="22"/>
              </w:rPr>
              <w:t xml:space="preserve"> so </w:t>
            </w:r>
            <w:r>
              <w:rPr>
                <w:rStyle w:val="Strong"/>
                <w:rFonts w:eastAsia="Times New Roman" w:cs="Arial"/>
                <w:b w:val="0"/>
                <w:bCs w:val="0"/>
                <w:szCs w:val="22"/>
              </w:rPr>
              <w:t>th</w:t>
            </w:r>
            <w:r w:rsidRPr="00FD460C">
              <w:rPr>
                <w:rStyle w:val="Strong"/>
                <w:rFonts w:eastAsia="Times New Roman" w:cs="Arial"/>
                <w:b w:val="0"/>
                <w:bCs w:val="0"/>
                <w:szCs w:val="22"/>
              </w:rPr>
              <w:t xml:space="preserve">e </w:t>
            </w:r>
            <w:r>
              <w:rPr>
                <w:rStyle w:val="Strong"/>
                <w:rFonts w:eastAsia="Times New Roman" w:cs="Arial"/>
                <w:b w:val="0"/>
                <w:bCs w:val="0"/>
                <w:szCs w:val="22"/>
              </w:rPr>
              <w:t xml:space="preserve">applicant is </w:t>
            </w:r>
            <w:r w:rsidRPr="00FD460C">
              <w:rPr>
                <w:rStyle w:val="Strong"/>
                <w:rFonts w:eastAsia="Times New Roman" w:cs="Arial"/>
                <w:b w:val="0"/>
                <w:bCs w:val="0"/>
                <w:szCs w:val="22"/>
              </w:rPr>
              <w:t>beyond the basic</w:t>
            </w:r>
            <w:r>
              <w:rPr>
                <w:rStyle w:val="Strong"/>
                <w:rFonts w:eastAsia="Times New Roman" w:cs="Arial"/>
                <w:b w:val="0"/>
                <w:bCs w:val="0"/>
                <w:szCs w:val="22"/>
              </w:rPr>
              <w:t>. But there</w:t>
            </w:r>
            <w:r w:rsidR="005663C4">
              <w:rPr>
                <w:rStyle w:val="Strong"/>
                <w:rFonts w:eastAsia="Times New Roman" w:cs="Arial"/>
                <w:b w:val="0"/>
                <w:bCs w:val="0"/>
                <w:szCs w:val="22"/>
              </w:rPr>
              <w:t>’</w:t>
            </w:r>
            <w:r>
              <w:rPr>
                <w:rStyle w:val="Strong"/>
                <w:rFonts w:eastAsia="Times New Roman" w:cs="Arial"/>
                <w:b w:val="0"/>
                <w:bCs w:val="0"/>
                <w:szCs w:val="22"/>
              </w:rPr>
              <w:t>s</w:t>
            </w:r>
            <w:r w:rsidRPr="00FD460C">
              <w:rPr>
                <w:rStyle w:val="Strong"/>
                <w:rFonts w:eastAsia="Times New Roman" w:cs="Arial"/>
                <w:b w:val="0"/>
                <w:bCs w:val="0"/>
                <w:szCs w:val="22"/>
              </w:rPr>
              <w:t xml:space="preserve"> very little to no segmentation for student learning and very little for performance of services, which keeps the</w:t>
            </w:r>
            <w:r>
              <w:rPr>
                <w:rStyle w:val="Strong"/>
                <w:rFonts w:eastAsia="Times New Roman" w:cs="Arial"/>
                <w:b w:val="0"/>
                <w:bCs w:val="0"/>
                <w:szCs w:val="22"/>
              </w:rPr>
              <w:t xml:space="preserve"> responses</w:t>
            </w:r>
            <w:r w:rsidRPr="00FD460C">
              <w:rPr>
                <w:rStyle w:val="Strong"/>
                <w:rFonts w:eastAsia="Times New Roman" w:cs="Arial"/>
                <w:b w:val="0"/>
                <w:bCs w:val="0"/>
                <w:szCs w:val="22"/>
              </w:rPr>
              <w:t xml:space="preserve"> out of the multiples. </w:t>
            </w:r>
          </w:p>
          <w:p w14:paraId="62BA2AD7" w14:textId="1D296752" w:rsidR="007E0DEE" w:rsidRDefault="007E0DEE" w:rsidP="007E0DEE">
            <w:pPr>
              <w:rPr>
                <w:rStyle w:val="Strong"/>
                <w:rFonts w:eastAsia="Times New Roman" w:cs="Arial"/>
                <w:b w:val="0"/>
                <w:bCs w:val="0"/>
                <w:szCs w:val="22"/>
              </w:rPr>
            </w:pPr>
            <w:r w:rsidRPr="00FD460C">
              <w:rPr>
                <w:rStyle w:val="Strong"/>
                <w:rFonts w:eastAsia="Times New Roman" w:cs="Arial"/>
                <w:b w:val="0"/>
                <w:bCs w:val="0"/>
                <w:szCs w:val="22"/>
              </w:rPr>
              <w:t>Pre-pandemic beneficial trends were sustained over time</w:t>
            </w:r>
            <w:r>
              <w:rPr>
                <w:rStyle w:val="Strong"/>
                <w:rFonts w:eastAsia="Times New Roman" w:cs="Arial"/>
                <w:b w:val="0"/>
                <w:bCs w:val="0"/>
                <w:szCs w:val="22"/>
              </w:rPr>
              <w:t>,</w:t>
            </w:r>
            <w:r w:rsidRPr="00FD460C">
              <w:rPr>
                <w:rStyle w:val="Strong"/>
                <w:rFonts w:eastAsia="Times New Roman" w:cs="Arial"/>
                <w:b w:val="0"/>
                <w:bCs w:val="0"/>
                <w:szCs w:val="22"/>
              </w:rPr>
              <w:t xml:space="preserve"> so this might </w:t>
            </w:r>
            <w:r w:rsidR="00222EE7" w:rsidRPr="00222EE7">
              <w:rPr>
                <w:rStyle w:val="Strong"/>
                <w:rFonts w:eastAsia="Times New Roman" w:cs="Arial"/>
                <w:b w:val="0"/>
                <w:bCs w:val="0"/>
                <w:szCs w:val="22"/>
              </w:rPr>
              <w:t>h</w:t>
            </w:r>
            <w:r w:rsidR="00222EE7" w:rsidRPr="00222EE7">
              <w:rPr>
                <w:rStyle w:val="Strong"/>
                <w:rFonts w:cs="Arial"/>
                <w:b w:val="0"/>
                <w:bCs w:val="0"/>
                <w:szCs w:val="22"/>
              </w:rPr>
              <w:t>elp</w:t>
            </w:r>
            <w:r w:rsidR="00222EE7">
              <w:rPr>
                <w:rStyle w:val="Strong"/>
                <w:rFonts w:cs="Arial"/>
                <w:szCs w:val="22"/>
              </w:rPr>
              <w:t xml:space="preserve"> </w:t>
            </w:r>
            <w:r w:rsidRPr="00FD460C">
              <w:rPr>
                <w:rStyle w:val="Strong"/>
                <w:rFonts w:eastAsia="Times New Roman" w:cs="Arial"/>
                <w:b w:val="0"/>
                <w:bCs w:val="0"/>
                <w:szCs w:val="22"/>
              </w:rPr>
              <w:t>put the</w:t>
            </w:r>
            <w:r>
              <w:rPr>
                <w:rStyle w:val="Strong"/>
                <w:rFonts w:eastAsia="Times New Roman" w:cs="Arial"/>
                <w:b w:val="0"/>
                <w:bCs w:val="0"/>
                <w:szCs w:val="22"/>
              </w:rPr>
              <w:t xml:space="preserve"> score</w:t>
            </w:r>
            <w:r w:rsidRPr="00FD460C">
              <w:rPr>
                <w:rStyle w:val="Strong"/>
                <w:rFonts w:eastAsia="Times New Roman" w:cs="Arial"/>
                <w:b w:val="0"/>
                <w:bCs w:val="0"/>
                <w:szCs w:val="22"/>
              </w:rPr>
              <w:t xml:space="preserve"> into the next range. Many results show comparisons and those comparisons show areas of leadership, even with current pandemic performance so this is relatively high. Organizational performance results are reported for a few areas of importance, making determination of performance, trends, and comparisons less clear. </w:t>
            </w:r>
          </w:p>
          <w:p w14:paraId="1B0A657B" w14:textId="77777777" w:rsidR="007E0DEE" w:rsidRDefault="007E0DEE" w:rsidP="007E0DEE">
            <w:pPr>
              <w:rPr>
                <w:rStyle w:val="Strong"/>
                <w:rFonts w:eastAsia="Times New Roman" w:cs="Arial"/>
                <w:b w:val="0"/>
                <w:bCs w:val="0"/>
                <w:szCs w:val="22"/>
              </w:rPr>
            </w:pPr>
            <w:r w:rsidRPr="00FD460C">
              <w:rPr>
                <w:rStyle w:val="Strong"/>
                <w:rFonts w:eastAsia="Times New Roman" w:cs="Arial"/>
                <w:b w:val="0"/>
                <w:bCs w:val="0"/>
                <w:szCs w:val="22"/>
              </w:rPr>
              <w:t>So holistically, the applicant has provided enough to determine good organization</w:t>
            </w:r>
            <w:r>
              <w:rPr>
                <w:rStyle w:val="Strong"/>
                <w:rFonts w:eastAsia="Times New Roman" w:cs="Arial"/>
                <w:b w:val="0"/>
                <w:bCs w:val="0"/>
                <w:szCs w:val="22"/>
              </w:rPr>
              <w:t>al</w:t>
            </w:r>
            <w:r w:rsidRPr="00FD460C">
              <w:rPr>
                <w:rStyle w:val="Strong"/>
                <w:rFonts w:eastAsia="Times New Roman" w:cs="Arial"/>
                <w:b w:val="0"/>
                <w:bCs w:val="0"/>
                <w:szCs w:val="22"/>
              </w:rPr>
              <w:t xml:space="preserve"> performance with beneficial trends, but segmented performance is lacking to be able to accurately determine comparative performance for areas of importance</w:t>
            </w:r>
            <w:r>
              <w:rPr>
                <w:rStyle w:val="Strong"/>
                <w:rFonts w:eastAsia="Times New Roman" w:cs="Arial"/>
                <w:b w:val="0"/>
                <w:bCs w:val="0"/>
                <w:szCs w:val="22"/>
              </w:rPr>
              <w:t>.</w:t>
            </w:r>
          </w:p>
          <w:p w14:paraId="25DDD318" w14:textId="58D4EA4C" w:rsidR="007E0DEE" w:rsidRDefault="007E0DEE" w:rsidP="007E0DEE">
            <w:pPr>
              <w:ind w:right="360"/>
              <w:rPr>
                <w:rFonts w:eastAsia="Times New Roman" w:cs="Arial"/>
                <w:b/>
                <w:bCs/>
                <w:szCs w:val="22"/>
              </w:rPr>
            </w:pPr>
            <w:r w:rsidRPr="00FD460C">
              <w:rPr>
                <w:rStyle w:val="Strong"/>
                <w:rFonts w:eastAsia="Times New Roman" w:cs="Arial"/>
                <w:b w:val="0"/>
                <w:bCs w:val="0"/>
                <w:szCs w:val="22"/>
              </w:rPr>
              <w:t>Keeping score at 55</w:t>
            </w:r>
            <w:r>
              <w:rPr>
                <w:rStyle w:val="Strong"/>
                <w:rFonts w:eastAsia="Times New Roman" w:cs="Arial"/>
                <w:b w:val="0"/>
                <w:bCs w:val="0"/>
                <w:szCs w:val="22"/>
              </w:rPr>
              <w:t>.</w:t>
            </w:r>
          </w:p>
        </w:tc>
      </w:tr>
    </w:tbl>
    <w:p w14:paraId="0A5479A7" w14:textId="55E661FD" w:rsidR="00E816F5" w:rsidRDefault="00E816F5">
      <w:pPr>
        <w:rPr>
          <w:rFonts w:eastAsia="Times New Roman" w:cs="Arial"/>
          <w:b/>
          <w:bCs/>
          <w:szCs w:val="22"/>
        </w:rPr>
      </w:pPr>
    </w:p>
    <w:p w14:paraId="0249F8A9" w14:textId="77777777" w:rsidR="00E816F5" w:rsidRDefault="00E816F5">
      <w:pPr>
        <w:spacing w:after="0"/>
        <w:rPr>
          <w:rFonts w:eastAsia="Times New Roman" w:cs="Arial"/>
          <w:b/>
          <w:bCs/>
          <w:szCs w:val="22"/>
        </w:rPr>
      </w:pPr>
      <w:r>
        <w:rPr>
          <w:rFonts w:eastAsia="Times New Roman" w:cs="Arial"/>
          <w:b/>
          <w:bCs/>
          <w:szCs w:val="22"/>
        </w:rPr>
        <w:br w:type="page"/>
      </w:r>
    </w:p>
    <w:p w14:paraId="4FE02913"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7.2</w:t>
      </w:r>
    </w:p>
    <w:p w14:paraId="65948D06" w14:textId="77777777" w:rsidR="005E22BD" w:rsidRDefault="000A11B9">
      <w:pPr>
        <w:pStyle w:val="Heading2"/>
        <w:divId w:val="905190427"/>
        <w:rPr>
          <w:rFonts w:eastAsia="Times New Roman" w:cs="Arial"/>
        </w:rPr>
      </w:pPr>
      <w:r>
        <w:rPr>
          <w:rFonts w:eastAsia="Times New Roman" w:cs="Arial"/>
        </w:rPr>
        <w:t>Customer Results</w:t>
      </w:r>
    </w:p>
    <w:p w14:paraId="0EF31831" w14:textId="77777777" w:rsidR="005E22BD" w:rsidRDefault="000A11B9">
      <w:pPr>
        <w:pStyle w:val="Heading3"/>
        <w:divId w:val="905190427"/>
        <w:rPr>
          <w:rFonts w:eastAsia="Times New Roman" w:cs="Arial"/>
        </w:rPr>
      </w:pPr>
      <w:r>
        <w:rPr>
          <w:rFonts w:eastAsia="Times New Roman" w:cs="Arial"/>
        </w:rPr>
        <w:t>Relevant Key Factors</w:t>
      </w:r>
    </w:p>
    <w:p w14:paraId="1EF3D0B1" w14:textId="39A0879B" w:rsidR="005E22BD" w:rsidRDefault="000A11B9">
      <w:pPr>
        <w:numPr>
          <w:ilvl w:val="0"/>
          <w:numId w:val="18"/>
        </w:numPr>
        <w:spacing w:before="100" w:beforeAutospacing="1" w:after="100" w:afterAutospacing="1"/>
        <w:divId w:val="905190427"/>
        <w:rPr>
          <w:rFonts w:eastAsia="Times New Roman" w:cs="Arial"/>
          <w:szCs w:val="22"/>
        </w:rPr>
      </w:pPr>
      <w:r>
        <w:rPr>
          <w:rFonts w:eastAsia="Times New Roman" w:cs="Arial"/>
          <w:szCs w:val="22"/>
        </w:rPr>
        <w:t xml:space="preserve">50 associate; </w:t>
      </w:r>
      <w:r w:rsidR="001F46D7">
        <w:rPr>
          <w:rFonts w:eastAsia="Times New Roman" w:cs="Arial"/>
          <w:szCs w:val="22"/>
        </w:rPr>
        <w:t>25 certificates/workforce training badge</w:t>
      </w:r>
      <w:r>
        <w:rPr>
          <w:rFonts w:eastAsia="Times New Roman" w:cs="Arial"/>
          <w:szCs w:val="22"/>
        </w:rPr>
        <w:t xml:space="preserve">; </w:t>
      </w:r>
      <w:r w:rsidR="001F46D7">
        <w:rPr>
          <w:rFonts w:eastAsia="Times New Roman" w:cs="Arial"/>
          <w:szCs w:val="22"/>
        </w:rPr>
        <w:t>workforce development/continuing education</w:t>
      </w:r>
      <w:r w:rsidR="000834C7">
        <w:rPr>
          <w:rFonts w:eastAsia="Times New Roman" w:cs="Arial"/>
          <w:szCs w:val="22"/>
        </w:rPr>
        <w:t>—</w:t>
      </w:r>
      <w:r w:rsidR="001F46D7">
        <w:rPr>
          <w:rFonts w:eastAsia="Times New Roman" w:cs="Arial"/>
          <w:szCs w:val="22"/>
        </w:rPr>
        <w:t>personal development, badges, skill-building courses</w:t>
      </w:r>
      <w:r>
        <w:rPr>
          <w:rFonts w:eastAsia="Times New Roman" w:cs="Arial"/>
          <w:szCs w:val="22"/>
        </w:rPr>
        <w:t xml:space="preserve">. </w:t>
      </w:r>
    </w:p>
    <w:p w14:paraId="0A99D552" w14:textId="77777777" w:rsidR="005E22BD" w:rsidRDefault="001F46D7">
      <w:pPr>
        <w:numPr>
          <w:ilvl w:val="0"/>
          <w:numId w:val="18"/>
        </w:numPr>
        <w:spacing w:before="100" w:beforeAutospacing="1" w:after="100" w:afterAutospacing="1"/>
        <w:divId w:val="905190427"/>
        <w:rPr>
          <w:rFonts w:eastAsia="Times New Roman" w:cs="Arial"/>
          <w:szCs w:val="22"/>
        </w:rPr>
      </w:pPr>
      <w:r>
        <w:rPr>
          <w:rFonts w:eastAsia="Times New Roman" w:cs="Arial"/>
          <w:szCs w:val="22"/>
        </w:rPr>
        <w:t>10,000 students/year, 75% courses</w:t>
      </w:r>
      <w:r w:rsidR="000A11B9">
        <w:rPr>
          <w:rFonts w:eastAsia="Times New Roman" w:cs="Arial"/>
          <w:szCs w:val="22"/>
        </w:rPr>
        <w:t xml:space="preserve"> face-to-face; </w:t>
      </w:r>
      <w:r>
        <w:rPr>
          <w:rFonts w:eastAsia="Times New Roman" w:cs="Arial"/>
          <w:szCs w:val="22"/>
        </w:rPr>
        <w:t>25% online/alternate location</w:t>
      </w:r>
      <w:r w:rsidR="000A11B9">
        <w:rPr>
          <w:rFonts w:eastAsia="Times New Roman" w:cs="Arial"/>
          <w:szCs w:val="22"/>
        </w:rPr>
        <w:t xml:space="preserve">. </w:t>
      </w:r>
      <w:r w:rsidR="00153A64">
        <w:rPr>
          <w:rFonts w:eastAsia="Times New Roman" w:cs="Arial"/>
          <w:szCs w:val="22"/>
        </w:rPr>
        <w:t>Weekend</w:t>
      </w:r>
      <w:r w:rsidR="000A11B9">
        <w:rPr>
          <w:rFonts w:eastAsia="Times New Roman" w:cs="Arial"/>
          <w:szCs w:val="22"/>
        </w:rPr>
        <w:t xml:space="preserve">, compressed, evening courses, </w:t>
      </w:r>
      <w:r>
        <w:rPr>
          <w:rFonts w:eastAsia="Times New Roman" w:cs="Arial"/>
          <w:szCs w:val="22"/>
        </w:rPr>
        <w:t>dual-credit academies, prior learning credit</w:t>
      </w:r>
      <w:r w:rsidR="000A11B9">
        <w:rPr>
          <w:rFonts w:eastAsia="Times New Roman" w:cs="Arial"/>
          <w:szCs w:val="22"/>
        </w:rPr>
        <w:t>.</w:t>
      </w:r>
    </w:p>
    <w:p w14:paraId="4A99550C" w14:textId="39A9835F" w:rsidR="005E22BD" w:rsidRDefault="000A11B9">
      <w:pPr>
        <w:numPr>
          <w:ilvl w:val="0"/>
          <w:numId w:val="18"/>
        </w:numPr>
        <w:spacing w:before="100" w:beforeAutospacing="1" w:after="100" w:afterAutospacing="1"/>
        <w:divId w:val="905190427"/>
        <w:rPr>
          <w:rFonts w:eastAsia="Times New Roman" w:cs="Arial"/>
          <w:szCs w:val="22"/>
        </w:rPr>
      </w:pPr>
      <w:r>
        <w:rPr>
          <w:rFonts w:eastAsia="Times New Roman" w:cs="Arial"/>
          <w:szCs w:val="22"/>
        </w:rPr>
        <w:t>Vision</w:t>
      </w:r>
      <w:r w:rsidR="000834C7">
        <w:rPr>
          <w:rFonts w:eastAsia="Times New Roman" w:cs="Arial"/>
          <w:szCs w:val="22"/>
        </w:rPr>
        <w:t>—</w:t>
      </w:r>
      <w:r w:rsidRPr="00222507">
        <w:rPr>
          <w:rFonts w:eastAsia="Times New Roman" w:cs="Arial"/>
          <w:szCs w:val="22"/>
        </w:rPr>
        <w:t>Will be the best in the nation</w:t>
      </w:r>
      <w:r>
        <w:rPr>
          <w:rFonts w:eastAsia="Times New Roman" w:cs="Arial"/>
          <w:szCs w:val="22"/>
        </w:rPr>
        <w:t xml:space="preserve"> in providing students with accessibility, affordability, career-readiness, and social responsibility. </w:t>
      </w:r>
      <w:r w:rsidRPr="009A0B0A">
        <w:rPr>
          <w:rFonts w:eastAsia="Times New Roman" w:cs="Arial"/>
          <w:szCs w:val="22"/>
        </w:rPr>
        <w:t>Values</w:t>
      </w:r>
      <w:r w:rsidR="000834C7" w:rsidRPr="009A0B0A">
        <w:rPr>
          <w:rFonts w:eastAsia="Times New Roman" w:cs="Arial"/>
          <w:szCs w:val="22"/>
        </w:rPr>
        <w:t>—</w:t>
      </w:r>
      <w:r w:rsidRPr="009A0B0A">
        <w:rPr>
          <w:rFonts w:eastAsia="Times New Roman" w:cs="Arial"/>
          <w:szCs w:val="22"/>
        </w:rPr>
        <w:t>Students First</w:t>
      </w:r>
      <w:r w:rsidR="009A0B0A" w:rsidRPr="00E0245C">
        <w:rPr>
          <w:rFonts w:eastAsia="Times New Roman" w:cs="Arial"/>
          <w:szCs w:val="22"/>
        </w:rPr>
        <w:t>.</w:t>
      </w:r>
    </w:p>
    <w:p w14:paraId="77609847" w14:textId="1FF8FEE8" w:rsidR="005E22BD" w:rsidRDefault="000A11B9">
      <w:pPr>
        <w:numPr>
          <w:ilvl w:val="0"/>
          <w:numId w:val="18"/>
        </w:numPr>
        <w:spacing w:before="100" w:beforeAutospacing="1" w:after="100" w:afterAutospacing="1"/>
        <w:divId w:val="905190427"/>
        <w:rPr>
          <w:rFonts w:eastAsia="Times New Roman" w:cs="Arial"/>
          <w:szCs w:val="22"/>
        </w:rPr>
      </w:pPr>
      <w:r>
        <w:rPr>
          <w:rFonts w:eastAsia="Times New Roman" w:cs="Arial"/>
          <w:szCs w:val="22"/>
        </w:rPr>
        <w:t xml:space="preserve">CC2: </w:t>
      </w:r>
      <w:r w:rsidR="00153A64">
        <w:rPr>
          <w:rFonts w:eastAsia="Times New Roman" w:cs="Arial"/>
          <w:szCs w:val="22"/>
        </w:rPr>
        <w:t>Partner with local community</w:t>
      </w:r>
      <w:r>
        <w:rPr>
          <w:rFonts w:eastAsia="Times New Roman" w:cs="Arial"/>
          <w:szCs w:val="22"/>
        </w:rPr>
        <w:t xml:space="preserve"> </w:t>
      </w:r>
      <w:r w:rsidR="00153A64">
        <w:rPr>
          <w:rFonts w:eastAsia="Times New Roman" w:cs="Arial"/>
          <w:szCs w:val="22"/>
        </w:rPr>
        <w:t>to achieve excellence/graduate job readiness</w:t>
      </w:r>
      <w:r w:rsidR="009A0B0A">
        <w:rPr>
          <w:rFonts w:eastAsia="Times New Roman" w:cs="Arial"/>
          <w:szCs w:val="22"/>
        </w:rPr>
        <w:t>.</w:t>
      </w:r>
    </w:p>
    <w:p w14:paraId="4FBEE3B6" w14:textId="7AA7CF67" w:rsidR="005E22BD" w:rsidRDefault="001F46D7">
      <w:pPr>
        <w:numPr>
          <w:ilvl w:val="0"/>
          <w:numId w:val="18"/>
        </w:numPr>
        <w:spacing w:before="100" w:beforeAutospacing="1" w:after="100" w:afterAutospacing="1"/>
        <w:divId w:val="905190427"/>
        <w:rPr>
          <w:rFonts w:eastAsia="Times New Roman" w:cs="Arial"/>
          <w:szCs w:val="22"/>
        </w:rPr>
      </w:pPr>
      <w:r>
        <w:rPr>
          <w:rFonts w:eastAsia="Times New Roman" w:cs="Arial"/>
          <w:szCs w:val="22"/>
        </w:rPr>
        <w:t>Recent high school graduates inside/outside service area</w:t>
      </w:r>
      <w:r w:rsidR="000A11B9">
        <w:rPr>
          <w:rFonts w:eastAsia="Times New Roman" w:cs="Arial"/>
          <w:szCs w:val="22"/>
        </w:rPr>
        <w:t xml:space="preserve">; </w:t>
      </w:r>
      <w:r>
        <w:rPr>
          <w:rFonts w:eastAsia="Times New Roman" w:cs="Arial"/>
          <w:szCs w:val="22"/>
        </w:rPr>
        <w:t>nontraditional, transfer, former students—</w:t>
      </w:r>
      <w:r w:rsidR="000A11B9">
        <w:rPr>
          <w:rFonts w:eastAsia="Times New Roman" w:cs="Arial"/>
          <w:szCs w:val="22"/>
        </w:rPr>
        <w:t>focused recruitment, information about institution, easy access to services</w:t>
      </w:r>
      <w:r w:rsidR="009A0B0A">
        <w:rPr>
          <w:rFonts w:eastAsia="Times New Roman" w:cs="Arial"/>
          <w:szCs w:val="22"/>
        </w:rPr>
        <w:t>.</w:t>
      </w:r>
    </w:p>
    <w:p w14:paraId="6932AA23" w14:textId="12CC8DA5" w:rsidR="001F46D7" w:rsidRDefault="001F46D7" w:rsidP="001F46D7">
      <w:pPr>
        <w:numPr>
          <w:ilvl w:val="0"/>
          <w:numId w:val="18"/>
        </w:numPr>
        <w:spacing w:before="100" w:beforeAutospacing="1" w:after="100" w:afterAutospacing="1"/>
        <w:divId w:val="905190427"/>
        <w:rPr>
          <w:rFonts w:eastAsia="Times New Roman" w:cs="Arial"/>
          <w:szCs w:val="22"/>
        </w:rPr>
      </w:pPr>
      <w:r>
        <w:rPr>
          <w:rFonts w:eastAsia="Times New Roman" w:cs="Arial"/>
          <w:szCs w:val="22"/>
        </w:rPr>
        <w:t>Career-seeking students—degree completion info, academic support services. Transfer—transfer articulation, degree completion info, academic challenges. Non-degree-seeking—workforce skills, adult learner needs. Dual Credit—college credit courses, collaboration with high school schedule</w:t>
      </w:r>
      <w:r w:rsidR="009A0B0A">
        <w:rPr>
          <w:rFonts w:eastAsia="Times New Roman" w:cs="Arial"/>
          <w:szCs w:val="22"/>
        </w:rPr>
        <w:t>.</w:t>
      </w:r>
    </w:p>
    <w:p w14:paraId="57B5E591" w14:textId="75A8A23D" w:rsidR="005E22BD" w:rsidRDefault="00153A64">
      <w:pPr>
        <w:numPr>
          <w:ilvl w:val="0"/>
          <w:numId w:val="18"/>
        </w:numPr>
        <w:spacing w:before="100" w:beforeAutospacing="1" w:after="100" w:afterAutospacing="1"/>
        <w:divId w:val="905190427"/>
        <w:rPr>
          <w:rFonts w:eastAsia="Times New Roman" w:cs="Arial"/>
          <w:szCs w:val="22"/>
        </w:rPr>
      </w:pPr>
      <w:r>
        <w:rPr>
          <w:rFonts w:eastAsia="Times New Roman" w:cs="Arial"/>
          <w:szCs w:val="22"/>
        </w:rPr>
        <w:t>Peers, competitors, national averages, best-in-class</w:t>
      </w:r>
      <w:r w:rsidR="000834C7">
        <w:rPr>
          <w:rFonts w:eastAsia="Times New Roman" w:cs="Arial"/>
          <w:szCs w:val="22"/>
        </w:rPr>
        <w:t>—</w:t>
      </w:r>
      <w:r w:rsidR="000A11B9">
        <w:rPr>
          <w:rFonts w:eastAsia="Times New Roman" w:cs="Arial"/>
          <w:szCs w:val="22"/>
        </w:rPr>
        <w:t>IPE</w:t>
      </w:r>
      <w:r w:rsidR="007B4856">
        <w:rPr>
          <w:rFonts w:eastAsia="Times New Roman" w:cs="Arial"/>
          <w:szCs w:val="22"/>
        </w:rPr>
        <w:t>Ex2</w:t>
      </w:r>
      <w:r w:rsidR="000A11B9">
        <w:rPr>
          <w:rFonts w:eastAsia="Times New Roman" w:cs="Arial"/>
          <w:szCs w:val="22"/>
        </w:rPr>
        <w:t xml:space="preserve">, CCSSE, CollUnivPA-HR; Nome Zevil DASHER; </w:t>
      </w:r>
      <w:r w:rsidR="00D84B86">
        <w:rPr>
          <w:rFonts w:eastAsia="Times New Roman" w:cs="Arial"/>
          <w:szCs w:val="22"/>
        </w:rPr>
        <w:t xml:space="preserve">other </w:t>
      </w:r>
      <w:r w:rsidR="000A11B9">
        <w:rPr>
          <w:rFonts w:eastAsia="Times New Roman" w:cs="Arial"/>
          <w:szCs w:val="22"/>
        </w:rPr>
        <w:t>Baldrige winners; NCCBP, Cost and Productivity Project, NSC</w:t>
      </w:r>
      <w:r w:rsidR="009A0B0A">
        <w:rPr>
          <w:rFonts w:eastAsia="Times New Roman" w:cs="Arial"/>
          <w:szCs w:val="22"/>
        </w:rPr>
        <w:t>.</w:t>
      </w:r>
    </w:p>
    <w:p w14:paraId="7834D83E"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14"/>
        <w:gridCol w:w="4243"/>
        <w:gridCol w:w="1200"/>
      </w:tblGrid>
      <w:tr w:rsidR="005E22BD" w14:paraId="5ED916D1"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1E58CA4C"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F557E2E"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1DD689DF"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4A73FDB6"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2C498584"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94D38C0" w14:textId="77777777" w:rsidR="005E22BD" w:rsidRDefault="000A11B9">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3286FC03" w14:textId="505CA424" w:rsidR="005E22BD" w:rsidRDefault="000A11B9">
            <w:pPr>
              <w:rPr>
                <w:rFonts w:eastAsia="Times New Roman" w:cs="Arial"/>
                <w:szCs w:val="22"/>
              </w:rPr>
            </w:pPr>
            <w:r>
              <w:rPr>
                <w:rFonts w:eastAsia="Times New Roman" w:cs="Arial"/>
                <w:szCs w:val="22"/>
              </w:rPr>
              <w:t xml:space="preserve">In support of the </w:t>
            </w:r>
            <w:r w:rsidR="00C67335">
              <w:rPr>
                <w:rFonts w:eastAsia="Times New Roman" w:cs="Arial"/>
                <w:szCs w:val="22"/>
              </w:rPr>
              <w:t>S</w:t>
            </w:r>
            <w:r>
              <w:rPr>
                <w:rFonts w:eastAsia="Times New Roman" w:cs="Arial"/>
                <w:szCs w:val="22"/>
              </w:rPr>
              <w:t xml:space="preserve">tudents </w:t>
            </w:r>
            <w:r w:rsidR="00C67335">
              <w:rPr>
                <w:rFonts w:eastAsia="Times New Roman" w:cs="Arial"/>
                <w:szCs w:val="22"/>
              </w:rPr>
              <w:t>F</w:t>
            </w:r>
            <w:r>
              <w:rPr>
                <w:rFonts w:eastAsia="Times New Roman" w:cs="Arial"/>
                <w:szCs w:val="22"/>
              </w:rPr>
              <w:t xml:space="preserve">irst value, </w:t>
            </w:r>
            <w:r w:rsidR="009A0B0A">
              <w:rPr>
                <w:rFonts w:eastAsia="Times New Roman" w:cs="Arial"/>
                <w:szCs w:val="22"/>
              </w:rPr>
              <w:t xml:space="preserve">student satisfaction </w:t>
            </w:r>
            <w:r>
              <w:rPr>
                <w:rFonts w:eastAsia="Times New Roman" w:cs="Arial"/>
                <w:szCs w:val="22"/>
              </w:rPr>
              <w:t xml:space="preserve">results show </w:t>
            </w:r>
            <w:r w:rsidR="00B24163">
              <w:rPr>
                <w:rFonts w:eastAsia="Times New Roman" w:cs="Arial"/>
                <w:szCs w:val="22"/>
              </w:rPr>
              <w:t>beneficial</w:t>
            </w:r>
            <w:r>
              <w:rPr>
                <w:rFonts w:eastAsia="Times New Roman" w:cs="Arial"/>
                <w:szCs w:val="22"/>
              </w:rPr>
              <w:t xml:space="preserve"> trends and </w:t>
            </w:r>
            <w:r w:rsidR="00B24163">
              <w:rPr>
                <w:rFonts w:eastAsia="Times New Roman" w:cs="Arial"/>
                <w:szCs w:val="22"/>
              </w:rPr>
              <w:t xml:space="preserve">good performance against </w:t>
            </w:r>
            <w:r>
              <w:rPr>
                <w:rFonts w:eastAsia="Times New Roman" w:cs="Arial"/>
                <w:szCs w:val="22"/>
              </w:rPr>
              <w:t xml:space="preserve">comparisons. RBM Overall Satisfaction (Figure 7.2-1) levels continuously improved and outperformed peer institutions in 2014, 2016, 2018, and 2020, and </w:t>
            </w:r>
            <w:r w:rsidR="00D84B86">
              <w:rPr>
                <w:rFonts w:eastAsia="Times New Roman" w:cs="Arial"/>
                <w:szCs w:val="22"/>
              </w:rPr>
              <w:t>we</w:t>
            </w:r>
            <w:r>
              <w:rPr>
                <w:rFonts w:eastAsia="Times New Roman" w:cs="Arial"/>
                <w:szCs w:val="22"/>
              </w:rPr>
              <w:t xml:space="preserve">re equal to the Baldrige </w:t>
            </w:r>
            <w:r w:rsidR="009A0B0A">
              <w:rPr>
                <w:rFonts w:eastAsia="Times New Roman" w:cs="Arial"/>
                <w:szCs w:val="22"/>
              </w:rPr>
              <w:t xml:space="preserve">Award </w:t>
            </w:r>
            <w:r>
              <w:rPr>
                <w:rFonts w:eastAsia="Times New Roman" w:cs="Arial"/>
                <w:szCs w:val="22"/>
              </w:rPr>
              <w:t>recipient</w:t>
            </w:r>
            <w:r w:rsidR="005663C4">
              <w:rPr>
                <w:rFonts w:eastAsia="Times New Roman" w:cs="Arial"/>
                <w:szCs w:val="22"/>
              </w:rPr>
              <w:t>’</w:t>
            </w:r>
            <w:r w:rsidR="00D84B86">
              <w:rPr>
                <w:rFonts w:eastAsia="Times New Roman" w:cs="Arial"/>
                <w:szCs w:val="22"/>
              </w:rPr>
              <w:t>s</w:t>
            </w:r>
            <w:r w:rsidR="009A0B0A">
              <w:rPr>
                <w:rFonts w:eastAsia="Times New Roman" w:cs="Arial"/>
                <w:szCs w:val="22"/>
              </w:rPr>
              <w:t xml:space="preserve"> levels</w:t>
            </w:r>
            <w:r>
              <w:rPr>
                <w:rFonts w:eastAsia="Times New Roman" w:cs="Arial"/>
                <w:szCs w:val="22"/>
              </w:rPr>
              <w:t xml:space="preserve"> in 2020. </w:t>
            </w:r>
            <w:r w:rsidR="009A0B0A">
              <w:rPr>
                <w:rFonts w:eastAsia="Times New Roman" w:cs="Arial"/>
                <w:szCs w:val="22"/>
              </w:rPr>
              <w:t xml:space="preserve">For </w:t>
            </w:r>
            <w:r>
              <w:rPr>
                <w:rFonts w:eastAsia="Times New Roman" w:cs="Arial"/>
                <w:szCs w:val="22"/>
              </w:rPr>
              <w:t>RBM College Met Expectations (Figure 7.2-2)</w:t>
            </w:r>
            <w:r w:rsidR="009A0B0A">
              <w:rPr>
                <w:rFonts w:eastAsia="Times New Roman" w:cs="Arial"/>
                <w:szCs w:val="22"/>
              </w:rPr>
              <w:t>, the applicant</w:t>
            </w:r>
            <w:r>
              <w:rPr>
                <w:rFonts w:eastAsia="Times New Roman" w:cs="Arial"/>
                <w:szCs w:val="22"/>
              </w:rPr>
              <w:t xml:space="preserve"> outperformed peers and was at the RBM top decile in 2020. </w:t>
            </w:r>
            <w:r w:rsidR="009A0B0A">
              <w:rPr>
                <w:rFonts w:eastAsia="Times New Roman" w:cs="Arial"/>
                <w:szCs w:val="22"/>
              </w:rPr>
              <w:t>In addition, r</w:t>
            </w:r>
            <w:r>
              <w:rPr>
                <w:rFonts w:eastAsia="Times New Roman" w:cs="Arial"/>
                <w:szCs w:val="22"/>
              </w:rPr>
              <w:t>esults for Satisfaction with Student Focus (Figure 7.2-4) improved steadily from 2014 to 2019 for four key measures</w:t>
            </w:r>
            <w:r w:rsidR="009A0B0A">
              <w:rPr>
                <w:rFonts w:eastAsia="Times New Roman" w:cs="Arial"/>
                <w:szCs w:val="22"/>
              </w:rPr>
              <w:t xml:space="preserve">, and </w:t>
            </w:r>
            <w:r>
              <w:rPr>
                <w:rFonts w:eastAsia="Times New Roman" w:cs="Arial"/>
                <w:szCs w:val="22"/>
              </w:rPr>
              <w:t>Customer Satisfaction with Student Services (Figure 7.2-14) increased from 2017 to 2020 for four student segments.</w:t>
            </w:r>
          </w:p>
        </w:tc>
        <w:tc>
          <w:tcPr>
            <w:tcW w:w="0" w:type="auto"/>
            <w:tcBorders>
              <w:bottom w:val="single" w:sz="6" w:space="0" w:color="000000"/>
              <w:right w:val="single" w:sz="6" w:space="0" w:color="000000"/>
            </w:tcBorders>
            <w:tcMar>
              <w:top w:w="75" w:type="dxa"/>
              <w:left w:w="75" w:type="dxa"/>
              <w:bottom w:w="75" w:type="dxa"/>
              <w:right w:w="75" w:type="dxa"/>
            </w:tcMar>
            <w:hideMark/>
          </w:tcPr>
          <w:p w14:paraId="7F7EC5E5" w14:textId="69B6767E" w:rsidR="005E22BD" w:rsidRDefault="000A11B9">
            <w:pPr>
              <w:rPr>
                <w:rFonts w:eastAsia="Times New Roman" w:cs="Arial"/>
                <w:szCs w:val="22"/>
              </w:rPr>
            </w:pPr>
            <w:r>
              <w:rPr>
                <w:rFonts w:eastAsia="Times New Roman" w:cs="Arial"/>
                <w:szCs w:val="22"/>
              </w:rPr>
              <w:t xml:space="preserve">R2: New a(1) strength comment combining previous first and third a(1) comments per advice of three examiners </w:t>
            </w:r>
            <w:r w:rsidR="009A0B0A">
              <w:rPr>
                <w:rFonts w:eastAsia="Times New Roman" w:cs="Arial"/>
                <w:szCs w:val="22"/>
              </w:rPr>
              <w:t>(</w:t>
            </w:r>
            <w:r w:rsidR="007B4856">
              <w:rPr>
                <w:rFonts w:eastAsia="Times New Roman" w:cs="Arial"/>
                <w:szCs w:val="22"/>
              </w:rPr>
              <w:t>Ex4</w:t>
            </w:r>
            <w:r>
              <w:rPr>
                <w:rFonts w:eastAsia="Times New Roman" w:cs="Arial"/>
                <w:szCs w:val="22"/>
              </w:rPr>
              <w:t xml:space="preserve">, </w:t>
            </w:r>
            <w:r w:rsidR="009A0B0A">
              <w:rPr>
                <w:rFonts w:eastAsia="Times New Roman" w:cs="Arial"/>
                <w:szCs w:val="22"/>
              </w:rPr>
              <w:t xml:space="preserve">Ex5, </w:t>
            </w:r>
            <w:r w:rsidR="007B4856">
              <w:rPr>
                <w:rFonts w:eastAsia="Times New Roman" w:cs="Arial"/>
                <w:szCs w:val="22"/>
              </w:rPr>
              <w:t>Ex7</w:t>
            </w:r>
            <w:r w:rsidR="009A0B0A">
              <w:rPr>
                <w:rFonts w:eastAsia="Times New Roman" w:cs="Arial"/>
                <w:szCs w:val="22"/>
              </w:rPr>
              <w:t>)</w:t>
            </w:r>
            <w:r>
              <w:rPr>
                <w:rFonts w:eastAsia="Times New Roman" w:cs="Arial"/>
                <w:szCs w:val="22"/>
              </w:rPr>
              <w:t>. Examiners suggested that this should be a double strength.</w:t>
            </w:r>
          </w:p>
        </w:tc>
        <w:tc>
          <w:tcPr>
            <w:tcW w:w="0" w:type="auto"/>
            <w:tcBorders>
              <w:bottom w:val="single" w:sz="6" w:space="0" w:color="000000"/>
              <w:right w:val="single" w:sz="6" w:space="0" w:color="000000"/>
            </w:tcBorders>
            <w:tcMar>
              <w:top w:w="75" w:type="dxa"/>
              <w:left w:w="75" w:type="dxa"/>
              <w:bottom w:w="75" w:type="dxa"/>
              <w:right w:w="75" w:type="dxa"/>
            </w:tcMar>
            <w:hideMark/>
          </w:tcPr>
          <w:p w14:paraId="3D7AD4FB" w14:textId="77777777" w:rsidR="005E22BD" w:rsidRDefault="000A11B9">
            <w:pPr>
              <w:rPr>
                <w:rFonts w:eastAsia="Times New Roman" w:cs="Arial"/>
                <w:szCs w:val="22"/>
              </w:rPr>
            </w:pPr>
            <w:r>
              <w:rPr>
                <w:rFonts w:eastAsia="Times New Roman" w:cs="Arial"/>
                <w:szCs w:val="22"/>
              </w:rPr>
              <w:t>a(1)</w:t>
            </w:r>
          </w:p>
        </w:tc>
      </w:tr>
      <w:tr w:rsidR="005E22BD" w14:paraId="0FBBD877"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B93D4C0"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1557B48" w14:textId="28AFCD36" w:rsidR="005E22BD" w:rsidRDefault="000A11B9">
            <w:pPr>
              <w:rPr>
                <w:rFonts w:eastAsia="Times New Roman" w:cs="Arial"/>
                <w:szCs w:val="22"/>
              </w:rPr>
            </w:pPr>
            <w:r>
              <w:rPr>
                <w:rFonts w:eastAsia="Times New Roman" w:cs="Arial"/>
                <w:szCs w:val="22"/>
              </w:rPr>
              <w:t xml:space="preserve">The applicant demonstrates beneficial trends and favorable comparisons for some measures of stakeholder and student engagement. For example, results for Stakeholder Engagement (Figure 7.2-24) from 2017 through 2020 show charitable giving trending </w:t>
            </w:r>
            <w:r w:rsidR="00E0245C">
              <w:rPr>
                <w:rFonts w:eastAsia="Times New Roman" w:cs="Arial"/>
                <w:szCs w:val="22"/>
              </w:rPr>
              <w:t xml:space="preserve">beneficially </w:t>
            </w:r>
            <w:r>
              <w:rPr>
                <w:rFonts w:eastAsia="Times New Roman" w:cs="Arial"/>
                <w:szCs w:val="22"/>
              </w:rPr>
              <w:t xml:space="preserve">overall for annual giving, </w:t>
            </w:r>
            <w:r w:rsidR="007A6041">
              <w:rPr>
                <w:rFonts w:eastAsia="Times New Roman" w:cs="Arial"/>
                <w:szCs w:val="22"/>
              </w:rPr>
              <w:t xml:space="preserve">the </w:t>
            </w:r>
            <w:r>
              <w:rPr>
                <w:rFonts w:eastAsia="Times New Roman" w:cs="Arial"/>
                <w:szCs w:val="22"/>
              </w:rPr>
              <w:t xml:space="preserve">STAR scholarship fund, and </w:t>
            </w:r>
            <w:r w:rsidR="00E0245C">
              <w:rPr>
                <w:rFonts w:eastAsia="Times New Roman" w:cs="Arial"/>
                <w:szCs w:val="22"/>
              </w:rPr>
              <w:t xml:space="preserve">the </w:t>
            </w:r>
            <w:r>
              <w:rPr>
                <w:rFonts w:eastAsia="Times New Roman" w:cs="Arial"/>
                <w:szCs w:val="22"/>
              </w:rPr>
              <w:t xml:space="preserve">alumni </w:t>
            </w:r>
            <w:r>
              <w:rPr>
                <w:rFonts w:eastAsia="Times New Roman" w:cs="Arial"/>
                <w:szCs w:val="22"/>
              </w:rPr>
              <w:lastRenderedPageBreak/>
              <w:t xml:space="preserve">association. Customer Engagement Response Times (Figure 7.2-25) </w:t>
            </w:r>
            <w:r w:rsidR="00E0245C">
              <w:rPr>
                <w:rFonts w:eastAsia="Times New Roman" w:cs="Arial"/>
                <w:szCs w:val="22"/>
              </w:rPr>
              <w:t xml:space="preserve">have </w:t>
            </w:r>
            <w:r>
              <w:rPr>
                <w:rFonts w:eastAsia="Times New Roman" w:cs="Arial"/>
                <w:szCs w:val="22"/>
              </w:rPr>
              <w:t xml:space="preserve">generally </w:t>
            </w:r>
            <w:r w:rsidR="00E0245C">
              <w:rPr>
                <w:rFonts w:eastAsia="Times New Roman" w:cs="Arial"/>
                <w:szCs w:val="22"/>
              </w:rPr>
              <w:t>improved</w:t>
            </w:r>
            <w:r w:rsidR="00D84B86">
              <w:rPr>
                <w:rFonts w:eastAsia="Times New Roman" w:cs="Arial"/>
                <w:szCs w:val="22"/>
              </w:rPr>
              <w:t>,</w:t>
            </w:r>
            <w:r>
              <w:rPr>
                <w:rFonts w:eastAsia="Times New Roman" w:cs="Arial"/>
                <w:szCs w:val="22"/>
              </w:rPr>
              <w:t xml:space="preserve"> and response times have been cut in half during the pandemic. </w:t>
            </w:r>
            <w:r w:rsidR="00E0245C">
              <w:rPr>
                <w:rFonts w:eastAsia="Times New Roman" w:cs="Arial"/>
                <w:szCs w:val="22"/>
              </w:rPr>
              <w:t xml:space="preserve">In addition, </w:t>
            </w:r>
            <w:r w:rsidR="007A6041">
              <w:rPr>
                <w:rFonts w:eastAsia="Times New Roman" w:cs="Arial"/>
                <w:szCs w:val="22"/>
              </w:rPr>
              <w:t>Level of S</w:t>
            </w:r>
            <w:r>
              <w:rPr>
                <w:rFonts w:eastAsia="Times New Roman" w:cs="Arial"/>
                <w:szCs w:val="22"/>
              </w:rPr>
              <w:t>tudent Engagement (Figure 7.2-20) exceed</w:t>
            </w:r>
            <w:r w:rsidR="007A6041">
              <w:rPr>
                <w:rFonts w:eastAsia="Times New Roman" w:cs="Arial"/>
                <w:szCs w:val="22"/>
              </w:rPr>
              <w:t>s</w:t>
            </w:r>
            <w:r>
              <w:rPr>
                <w:rFonts w:eastAsia="Times New Roman" w:cs="Arial"/>
                <w:szCs w:val="22"/>
              </w:rPr>
              <w:t xml:space="preserve"> the CCSSE top decile for all four dimensions reported.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E83D050" w14:textId="77777777" w:rsidR="00D84B86" w:rsidRDefault="000A11B9">
            <w:pPr>
              <w:rPr>
                <w:rFonts w:eastAsia="Times New Roman" w:cs="Arial"/>
                <w:szCs w:val="22"/>
              </w:rPr>
            </w:pPr>
            <w:r>
              <w:rPr>
                <w:rFonts w:eastAsia="Times New Roman" w:cs="Arial"/>
                <w:szCs w:val="22"/>
              </w:rPr>
              <w:lastRenderedPageBreak/>
              <w:t xml:space="preserve">Four examiners </w:t>
            </w:r>
            <w:r w:rsidR="009A0B0A">
              <w:rPr>
                <w:rFonts w:eastAsia="Times New Roman" w:cs="Arial"/>
                <w:szCs w:val="22"/>
              </w:rPr>
              <w:t>(</w:t>
            </w:r>
            <w:r w:rsidR="007B4856">
              <w:rPr>
                <w:rFonts w:eastAsia="Times New Roman" w:cs="Arial"/>
                <w:szCs w:val="22"/>
              </w:rPr>
              <w:t>Ex7</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sidR="009A0B0A">
              <w:rPr>
                <w:rFonts w:eastAsia="Times New Roman" w:cs="Arial"/>
                <w:szCs w:val="22"/>
              </w:rPr>
              <w:t>)</w:t>
            </w:r>
            <w:r>
              <w:rPr>
                <w:rFonts w:eastAsia="Times New Roman" w:cs="Arial"/>
                <w:szCs w:val="22"/>
              </w:rPr>
              <w:t xml:space="preserve"> noted a(2) </w:t>
            </w:r>
            <w:r w:rsidR="00E0245C">
              <w:rPr>
                <w:rFonts w:eastAsia="Times New Roman" w:cs="Arial"/>
                <w:szCs w:val="22"/>
              </w:rPr>
              <w:t>strengths</w:t>
            </w:r>
            <w:r>
              <w:rPr>
                <w:rFonts w:eastAsia="Times New Roman" w:cs="Arial"/>
                <w:szCs w:val="22"/>
              </w:rPr>
              <w:t xml:space="preserve">. In 1.1c(2), the applicant says that S-KPIs address student engagement and results; nonetheless, engagement is minimally described in </w:t>
            </w:r>
            <w:r w:rsidR="00E0245C">
              <w:rPr>
                <w:rFonts w:eastAsia="Times New Roman" w:cs="Arial"/>
                <w:szCs w:val="22"/>
              </w:rPr>
              <w:t xml:space="preserve">item </w:t>
            </w:r>
            <w:r>
              <w:rPr>
                <w:rFonts w:eastAsia="Times New Roman" w:cs="Arial"/>
                <w:szCs w:val="22"/>
              </w:rPr>
              <w:t xml:space="preserve">3.2. Dashboard and KPI measures are listed below. I tried to include most in the proposed a(2) S comment. </w:t>
            </w:r>
          </w:p>
          <w:p w14:paraId="7DC76708" w14:textId="77777777" w:rsidR="00D84B86" w:rsidRDefault="000A11B9">
            <w:pPr>
              <w:rPr>
                <w:rFonts w:eastAsia="Times New Roman" w:cs="Arial"/>
                <w:szCs w:val="22"/>
              </w:rPr>
            </w:pPr>
            <w:r>
              <w:rPr>
                <w:rFonts w:eastAsia="Times New Roman" w:cs="Arial"/>
                <w:szCs w:val="22"/>
              </w:rPr>
              <w:lastRenderedPageBreak/>
              <w:t xml:space="preserve">7.2-20 Level of Student Engagement </w:t>
            </w:r>
          </w:p>
          <w:p w14:paraId="77D4ECCD" w14:textId="77777777" w:rsidR="00D84B86" w:rsidRDefault="000A11B9">
            <w:pPr>
              <w:rPr>
                <w:rFonts w:eastAsia="Times New Roman" w:cs="Arial"/>
                <w:szCs w:val="22"/>
              </w:rPr>
            </w:pPr>
            <w:r>
              <w:rPr>
                <w:rFonts w:eastAsia="Times New Roman" w:cs="Arial"/>
                <w:szCs w:val="22"/>
              </w:rPr>
              <w:t>7.2-5 Student Participation and Engagement Plan (Figure 7.22-5 has different title in Results where it is Student Satisfaction with [applicant] Programs</w:t>
            </w:r>
            <w:r w:rsidR="00D84B86">
              <w:rPr>
                <w:rFonts w:eastAsia="Times New Roman" w:cs="Arial"/>
                <w:szCs w:val="22"/>
              </w:rPr>
              <w:t>)</w:t>
            </w:r>
          </w:p>
          <w:p w14:paraId="6DDD419A" w14:textId="77777777" w:rsidR="00D84B86" w:rsidRDefault="000A11B9">
            <w:pPr>
              <w:rPr>
                <w:rFonts w:eastAsia="Times New Roman" w:cs="Arial"/>
                <w:szCs w:val="22"/>
              </w:rPr>
            </w:pPr>
            <w:r>
              <w:rPr>
                <w:rFonts w:eastAsia="Times New Roman" w:cs="Arial"/>
                <w:szCs w:val="22"/>
              </w:rPr>
              <w:t xml:space="preserve">7.2-24 Stakeholder Engagement </w:t>
            </w:r>
          </w:p>
          <w:p w14:paraId="0CE06197" w14:textId="5285B0D2" w:rsidR="00B24163" w:rsidRDefault="000A11B9">
            <w:pPr>
              <w:rPr>
                <w:rFonts w:eastAsia="Times New Roman" w:cs="Arial"/>
                <w:szCs w:val="22"/>
              </w:rPr>
            </w:pPr>
            <w:r>
              <w:rPr>
                <w:rFonts w:eastAsia="Times New Roman" w:cs="Arial"/>
                <w:szCs w:val="22"/>
              </w:rPr>
              <w:t xml:space="preserve">7.2-25 Customer Engagement Response Time </w:t>
            </w:r>
          </w:p>
          <w:p w14:paraId="562AD2D4" w14:textId="73C77996" w:rsidR="00B24163" w:rsidRDefault="000A11B9">
            <w:pPr>
              <w:rPr>
                <w:rFonts w:eastAsia="Times New Roman" w:cs="Arial"/>
                <w:szCs w:val="22"/>
              </w:rPr>
            </w:pPr>
            <w:r>
              <w:rPr>
                <w:rFonts w:eastAsia="Times New Roman" w:cs="Arial"/>
                <w:szCs w:val="22"/>
              </w:rPr>
              <w:t>R1: In response to backup</w:t>
            </w:r>
            <w:r w:rsidR="005663C4">
              <w:rPr>
                <w:rFonts w:eastAsia="Times New Roman" w:cs="Arial"/>
                <w:szCs w:val="22"/>
              </w:rPr>
              <w:t>’</w:t>
            </w:r>
            <w:r>
              <w:rPr>
                <w:rFonts w:eastAsia="Times New Roman" w:cs="Arial"/>
                <w:szCs w:val="22"/>
              </w:rPr>
              <w:t>s good advice, changed "upward" and "downward" language describing trends to "</w:t>
            </w:r>
            <w:r w:rsidR="00E0245C">
              <w:rPr>
                <w:rFonts w:eastAsia="Times New Roman" w:cs="Arial"/>
                <w:szCs w:val="22"/>
              </w:rPr>
              <w:t>beneficially</w:t>
            </w:r>
            <w:r>
              <w:rPr>
                <w:rFonts w:eastAsia="Times New Roman" w:cs="Arial"/>
                <w:szCs w:val="22"/>
              </w:rPr>
              <w:t>" and "</w:t>
            </w:r>
            <w:r w:rsidR="00E0245C">
              <w:rPr>
                <w:rFonts w:eastAsia="Times New Roman" w:cs="Arial"/>
                <w:szCs w:val="22"/>
              </w:rPr>
              <w:t>improved</w:t>
            </w:r>
            <w:r>
              <w:rPr>
                <w:rFonts w:eastAsia="Times New Roman" w:cs="Arial"/>
                <w:szCs w:val="22"/>
              </w:rPr>
              <w:t xml:space="preserve">." </w:t>
            </w:r>
          </w:p>
          <w:p w14:paraId="17672F1C" w14:textId="170C83D9" w:rsidR="005E22BD" w:rsidRDefault="000A11B9">
            <w:pPr>
              <w:rPr>
                <w:rFonts w:eastAsia="Times New Roman" w:cs="Arial"/>
                <w:szCs w:val="22"/>
              </w:rPr>
            </w:pPr>
            <w:r>
              <w:rPr>
                <w:rFonts w:eastAsia="Times New Roman" w:cs="Arial"/>
                <w:szCs w:val="22"/>
              </w:rPr>
              <w:t>R2: Suggestion to change "some" to "many." I left the wording at "some" because evidence is not strong. The reduction in response time during the pandemic (Figure 7.2-25), for example, might be because of lower census/volume. [See Considerations for COVID-era Assessments.]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C86F041" w14:textId="77777777" w:rsidR="005E22BD" w:rsidRDefault="000A11B9">
            <w:pPr>
              <w:rPr>
                <w:rFonts w:eastAsia="Times New Roman" w:cs="Arial"/>
                <w:szCs w:val="22"/>
              </w:rPr>
            </w:pPr>
            <w:r>
              <w:rPr>
                <w:rFonts w:eastAsia="Times New Roman" w:cs="Arial"/>
                <w:szCs w:val="22"/>
              </w:rPr>
              <w:lastRenderedPageBreak/>
              <w:t>a(2)</w:t>
            </w:r>
          </w:p>
        </w:tc>
      </w:tr>
    </w:tbl>
    <w:p w14:paraId="346C019B"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7E0DEE" w14:paraId="44F5389E" w14:textId="77777777" w:rsidTr="007E0DEE">
        <w:tc>
          <w:tcPr>
            <w:tcW w:w="10170" w:type="dxa"/>
          </w:tcPr>
          <w:p w14:paraId="6B5C9DFA" w14:textId="46905625" w:rsidR="007E0DEE" w:rsidRDefault="007E0DEE" w:rsidP="007E0DEE">
            <w:pPr>
              <w:rPr>
                <w:rFonts w:eastAsia="Times New Roman" w:cs="Arial"/>
                <w:szCs w:val="22"/>
              </w:rPr>
            </w:pPr>
            <w:r>
              <w:rPr>
                <w:rFonts w:eastAsia="Times New Roman" w:cs="Arial"/>
                <w:szCs w:val="22"/>
              </w:rPr>
              <w:t>Previous first a(1) strength: “The applicant demonstrates beneficial trends and comparisons for its student satisfaction results, demonstrating progress toward achieving the institution</w:t>
            </w:r>
            <w:r w:rsidR="005663C4">
              <w:rPr>
                <w:rFonts w:eastAsia="Times New Roman" w:cs="Arial"/>
                <w:szCs w:val="22"/>
              </w:rPr>
              <w:t>’</w:t>
            </w:r>
            <w:r>
              <w:rPr>
                <w:rFonts w:eastAsia="Times New Roman" w:cs="Arial"/>
                <w:szCs w:val="22"/>
              </w:rPr>
              <w:t xml:space="preserve">s vision to be best in the nation. For example, for RBM Overall Satisfaction (Figure 7.2-1), levels continuously improve and outperform Peer 2, 3, and 4 institutions in 2014, 2016, 2018, and 2020, equal to level of Baldrige winner in 2020. RBM College Met Expectations (Figure 7.2-2) outperforms all peers and meets RBM top decile in 2020, and beneficial comparative performance for Satisfaction with Academic Services (Figure 7.2-3) in 2020 is equal to or exceeds RBM top decile.” </w:t>
            </w:r>
          </w:p>
          <w:p w14:paraId="5B2578E7" w14:textId="2A459D96" w:rsidR="007E0DEE" w:rsidRDefault="007E0DEE" w:rsidP="007E0DEE">
            <w:pPr>
              <w:rPr>
                <w:rFonts w:eastAsia="Times New Roman" w:cs="Arial"/>
                <w:szCs w:val="22"/>
              </w:rPr>
            </w:pPr>
            <w:r>
              <w:rPr>
                <w:rFonts w:eastAsia="Times New Roman" w:cs="Arial"/>
                <w:szCs w:val="22"/>
              </w:rPr>
              <w:t xml:space="preserve">Previous third a(1) strength: “In support of the value of students first, results demonstrate beneficial trends for student satisfaction related to specific services and segments. For example, results for Satisfaction with Student Focus (Figure 7.2-4) have improved steadily since 2014 for Students First, instructional effectiveness, concern for individual, and service excellence. Scores for Nome Zevil Educational Experience (Figure 7.2-7) have increased from 2012 through 2018. Customer Satisfaction with Student Services (Figure 7.2-14) has increased from 2017 to 2020 for transfer, DC, career, and nondegree student segments.” </w:t>
            </w:r>
          </w:p>
          <w:p w14:paraId="54365F5C" w14:textId="6A2BA5C5" w:rsidR="007E0DEE" w:rsidRDefault="007E0DEE" w:rsidP="007E0DEE">
            <w:pPr>
              <w:rPr>
                <w:rFonts w:eastAsia="Times New Roman" w:cs="Arial"/>
                <w:szCs w:val="22"/>
              </w:rPr>
            </w:pPr>
            <w:r>
              <w:rPr>
                <w:rFonts w:eastAsia="Times New Roman" w:cs="Arial"/>
                <w:szCs w:val="22"/>
              </w:rPr>
              <w:t>R2: First and third a(1) strength comments combined into the first, doubled a(1) strength comment per the advice of three examiners (Ex4, Ex7, Ex5).</w:t>
            </w:r>
            <w:r w:rsidR="005E3D0E">
              <w:rPr>
                <w:rFonts w:eastAsia="Times New Roman" w:cs="Arial"/>
                <w:szCs w:val="22"/>
              </w:rPr>
              <w:t xml:space="preserve"> </w:t>
            </w:r>
          </w:p>
        </w:tc>
      </w:tr>
    </w:tbl>
    <w:p w14:paraId="767EB2AC"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3792"/>
        <w:gridCol w:w="4665"/>
        <w:gridCol w:w="1200"/>
      </w:tblGrid>
      <w:tr w:rsidR="005E22BD" w14:paraId="45869C39"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75996991"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1973CDE6"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0AAEAB87"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69F70BA5"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3D07661D"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58240408"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8BB9220" w14:textId="1920B418" w:rsidR="005E22BD" w:rsidRDefault="000A11B9">
            <w:pPr>
              <w:rPr>
                <w:rFonts w:eastAsia="Times New Roman" w:cs="Arial"/>
                <w:szCs w:val="22"/>
              </w:rPr>
            </w:pPr>
            <w:r>
              <w:rPr>
                <w:rFonts w:eastAsia="Times New Roman" w:cs="Arial"/>
                <w:szCs w:val="22"/>
              </w:rPr>
              <w:t>Results for most</w:t>
            </w:r>
            <w:r w:rsidR="00E0245C">
              <w:rPr>
                <w:rFonts w:eastAsia="Times New Roman" w:cs="Arial"/>
                <w:szCs w:val="22"/>
              </w:rPr>
              <w:t xml:space="preserve"> measures of student satisfaction, dissatisfaction, and engagement</w:t>
            </w:r>
            <w:r>
              <w:rPr>
                <w:rFonts w:eastAsia="Times New Roman" w:cs="Arial"/>
                <w:szCs w:val="22"/>
              </w:rPr>
              <w:t xml:space="preserve"> lack segmentation </w:t>
            </w:r>
            <w:r w:rsidR="00E0245C">
              <w:rPr>
                <w:rFonts w:eastAsia="Times New Roman" w:cs="Arial"/>
                <w:szCs w:val="22"/>
              </w:rPr>
              <w:t xml:space="preserve">by </w:t>
            </w:r>
            <w:r w:rsidR="000B7A66">
              <w:rPr>
                <w:rFonts w:eastAsia="Times New Roman" w:cs="Arial"/>
                <w:szCs w:val="22"/>
              </w:rPr>
              <w:t xml:space="preserve">key </w:t>
            </w:r>
            <w:r>
              <w:rPr>
                <w:rFonts w:eastAsia="Times New Roman" w:cs="Arial"/>
                <w:szCs w:val="22"/>
              </w:rPr>
              <w:t xml:space="preserve">student groups (Figure P.1-5). </w:t>
            </w:r>
            <w:r w:rsidR="000B7A66">
              <w:rPr>
                <w:rFonts w:eastAsia="Times New Roman" w:cs="Arial"/>
                <w:szCs w:val="22"/>
              </w:rPr>
              <w:t xml:space="preserve">Examples are </w:t>
            </w:r>
            <w:r>
              <w:rPr>
                <w:rFonts w:eastAsia="Times New Roman" w:cs="Arial"/>
                <w:szCs w:val="22"/>
              </w:rPr>
              <w:t>Figure</w:t>
            </w:r>
            <w:r w:rsidR="000B7A66">
              <w:rPr>
                <w:rFonts w:eastAsia="Times New Roman" w:cs="Arial"/>
                <w:szCs w:val="22"/>
              </w:rPr>
              <w:t>s</w:t>
            </w:r>
            <w:r>
              <w:rPr>
                <w:rFonts w:eastAsia="Times New Roman" w:cs="Arial"/>
                <w:szCs w:val="22"/>
              </w:rPr>
              <w:t xml:space="preserve"> 7.2-1</w:t>
            </w:r>
            <w:r w:rsidR="000B7A66">
              <w:rPr>
                <w:rFonts w:eastAsia="Times New Roman" w:cs="Arial"/>
                <w:szCs w:val="22"/>
              </w:rPr>
              <w:t xml:space="preserve"> through 7.2-3 as well as Figures 7.5, 7.8, and </w:t>
            </w:r>
            <w:r w:rsidR="000B7A66">
              <w:rPr>
                <w:rFonts w:eastAsia="Times New Roman" w:cs="Arial"/>
                <w:szCs w:val="22"/>
              </w:rPr>
              <w:lastRenderedPageBreak/>
              <w:t>7.9 for satisfaction; Figure 7.2-19 for dissatisfaction; and Figures 7.2-20 and 7.2-23 for engagement</w:t>
            </w:r>
            <w:r>
              <w:rPr>
                <w:rFonts w:eastAsia="Times New Roman" w:cs="Arial"/>
                <w:szCs w:val="22"/>
              </w:rPr>
              <w:t xml:space="preserve">. </w:t>
            </w:r>
            <w:r w:rsidR="00E0245C">
              <w:rPr>
                <w:rFonts w:eastAsia="Times New Roman" w:cs="Arial"/>
                <w:szCs w:val="22"/>
              </w:rPr>
              <w:t>Such segmentation may help the applicant uncover opportunities for improving the satisfaction and engagement of key student groups.</w:t>
            </w:r>
          </w:p>
        </w:tc>
        <w:tc>
          <w:tcPr>
            <w:tcW w:w="0" w:type="auto"/>
            <w:tcBorders>
              <w:bottom w:val="single" w:sz="6" w:space="0" w:color="000000"/>
              <w:right w:val="single" w:sz="6" w:space="0" w:color="000000"/>
            </w:tcBorders>
            <w:tcMar>
              <w:top w:w="75" w:type="dxa"/>
              <w:left w:w="75" w:type="dxa"/>
              <w:bottom w:w="75" w:type="dxa"/>
              <w:right w:w="75" w:type="dxa"/>
            </w:tcMar>
            <w:hideMark/>
          </w:tcPr>
          <w:p w14:paraId="748A9AFD" w14:textId="77777777" w:rsidR="00E0245C" w:rsidRDefault="000A11B9">
            <w:pPr>
              <w:rPr>
                <w:rFonts w:eastAsia="Times New Roman" w:cs="Arial"/>
                <w:szCs w:val="22"/>
              </w:rPr>
            </w:pPr>
            <w:r>
              <w:rPr>
                <w:rFonts w:eastAsia="Times New Roman" w:cs="Arial"/>
                <w:szCs w:val="22"/>
              </w:rPr>
              <w:lastRenderedPageBreak/>
              <w:t xml:space="preserve">Four examiners </w:t>
            </w:r>
            <w:r w:rsidR="009A0B0A">
              <w:rPr>
                <w:rFonts w:eastAsia="Times New Roman" w:cs="Arial"/>
                <w:szCs w:val="22"/>
              </w:rPr>
              <w:t>(</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w:t>
            </w:r>
            <w:r w:rsidR="007B4856">
              <w:rPr>
                <w:rFonts w:eastAsia="Times New Roman" w:cs="Arial"/>
                <w:szCs w:val="22"/>
              </w:rPr>
              <w:t>Ex7</w:t>
            </w:r>
            <w:r w:rsidR="009A0B0A">
              <w:rPr>
                <w:rFonts w:eastAsia="Times New Roman" w:cs="Arial"/>
                <w:szCs w:val="22"/>
              </w:rPr>
              <w:t>)</w:t>
            </w:r>
            <w:r>
              <w:rPr>
                <w:rFonts w:eastAsia="Times New Roman" w:cs="Arial"/>
                <w:szCs w:val="22"/>
              </w:rPr>
              <w:t xml:space="preserve"> noted lack of segmentation for customer-focused performance outcomes. </w:t>
            </w:r>
          </w:p>
          <w:p w14:paraId="3300B93D" w14:textId="16988748" w:rsidR="007C339E" w:rsidRDefault="000A11B9">
            <w:pPr>
              <w:rPr>
                <w:rFonts w:eastAsia="Times New Roman" w:cs="Arial"/>
                <w:szCs w:val="22"/>
              </w:rPr>
            </w:pPr>
            <w:r>
              <w:rPr>
                <w:rFonts w:eastAsia="Times New Roman" w:cs="Arial"/>
                <w:szCs w:val="22"/>
              </w:rPr>
              <w:t xml:space="preserve">QUESTION FOR BACKUP: Shall we shift the emphasis from student groups, especially, to customer groups, generally, and include </w:t>
            </w:r>
            <w:r>
              <w:rPr>
                <w:rFonts w:eastAsia="Times New Roman" w:cs="Arial"/>
                <w:szCs w:val="22"/>
              </w:rPr>
              <w:lastRenderedPageBreak/>
              <w:t xml:space="preserve">examples of results for lack of segmentation of other customers? </w:t>
            </w:r>
          </w:p>
          <w:p w14:paraId="4EE1D30E" w14:textId="6469341A" w:rsidR="005E22BD" w:rsidRDefault="000A11B9">
            <w:pPr>
              <w:rPr>
                <w:rFonts w:eastAsia="Times New Roman" w:cs="Arial"/>
                <w:szCs w:val="22"/>
              </w:rPr>
            </w:pPr>
            <w:r>
              <w:rPr>
                <w:rFonts w:eastAsia="Times New Roman" w:cs="Arial"/>
                <w:szCs w:val="22"/>
              </w:rPr>
              <w:t>R2: Segmentation may be rising to level of a key theme (OFI); therefore, this OFI remains to support the emerging key theme. Added Dissatisfaction (Figure 7.2-19).</w:t>
            </w:r>
          </w:p>
        </w:tc>
        <w:tc>
          <w:tcPr>
            <w:tcW w:w="0" w:type="auto"/>
            <w:tcBorders>
              <w:bottom w:val="single" w:sz="6" w:space="0" w:color="000000"/>
              <w:right w:val="single" w:sz="6" w:space="0" w:color="000000"/>
            </w:tcBorders>
            <w:tcMar>
              <w:top w:w="75" w:type="dxa"/>
              <w:left w:w="75" w:type="dxa"/>
              <w:bottom w:w="75" w:type="dxa"/>
              <w:right w:w="75" w:type="dxa"/>
            </w:tcMar>
            <w:hideMark/>
          </w:tcPr>
          <w:p w14:paraId="486A9C9F" w14:textId="78B26F1D" w:rsidR="005E22BD" w:rsidRDefault="000A11B9">
            <w:pPr>
              <w:rPr>
                <w:rFonts w:eastAsia="Times New Roman" w:cs="Arial"/>
                <w:szCs w:val="22"/>
              </w:rPr>
            </w:pPr>
            <w:r>
              <w:rPr>
                <w:rFonts w:eastAsia="Times New Roman" w:cs="Arial"/>
                <w:szCs w:val="22"/>
              </w:rPr>
              <w:lastRenderedPageBreak/>
              <w:t>a</w:t>
            </w:r>
          </w:p>
        </w:tc>
      </w:tr>
      <w:tr w:rsidR="005E22BD" w14:paraId="7E5B85E5"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FE54505"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995AC87" w14:textId="0618A881" w:rsidR="005E22BD" w:rsidRDefault="000A11B9">
            <w:pPr>
              <w:rPr>
                <w:rFonts w:eastAsia="Times New Roman" w:cs="Arial"/>
                <w:szCs w:val="22"/>
              </w:rPr>
            </w:pPr>
            <w:r>
              <w:rPr>
                <w:rFonts w:eastAsia="Times New Roman" w:cs="Arial"/>
                <w:szCs w:val="22"/>
              </w:rPr>
              <w:t xml:space="preserve">Some customer results lack comparisons </w:t>
            </w:r>
            <w:r w:rsidR="000B7A66">
              <w:rPr>
                <w:rFonts w:eastAsia="Times New Roman" w:cs="Arial"/>
                <w:szCs w:val="22"/>
              </w:rPr>
              <w:t xml:space="preserve">that may help </w:t>
            </w:r>
            <w:r>
              <w:rPr>
                <w:rFonts w:eastAsia="Times New Roman" w:cs="Arial"/>
                <w:szCs w:val="22"/>
              </w:rPr>
              <w:t xml:space="preserve">the applicant </w:t>
            </w:r>
            <w:r w:rsidR="000B7A66">
              <w:rPr>
                <w:rFonts w:eastAsia="Times New Roman" w:cs="Arial"/>
                <w:szCs w:val="22"/>
              </w:rPr>
              <w:t xml:space="preserve">determine its </w:t>
            </w:r>
            <w:r>
              <w:rPr>
                <w:rFonts w:eastAsia="Times New Roman" w:cs="Arial"/>
                <w:szCs w:val="22"/>
              </w:rPr>
              <w:t xml:space="preserve">progress toward its goal of being best in the nation. For example, results for Financial Aid Student Satisfaction (Figure 7.2-15), Community Satisfaction (Figure 7.2-16), Percent of Student Achieving Goals (Figure 7.2-23), Stakeholder Engagement (Figure 7.2-24), and Customer Engagement Response Times (Figure 7.2-25) lack comparisons.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0EFD827" w14:textId="5943CAC7" w:rsidR="007C339E" w:rsidRDefault="000A11B9">
            <w:pPr>
              <w:rPr>
                <w:rFonts w:eastAsia="Times New Roman" w:cs="Arial"/>
                <w:szCs w:val="22"/>
              </w:rPr>
            </w:pPr>
            <w:r>
              <w:rPr>
                <w:rFonts w:eastAsia="Times New Roman" w:cs="Arial"/>
                <w:szCs w:val="22"/>
              </w:rPr>
              <w:t xml:space="preserve">Lack of comparisons mentioned by two examiners </w:t>
            </w:r>
            <w:r w:rsidR="009A0B0A">
              <w:rPr>
                <w:rFonts w:eastAsia="Times New Roman" w:cs="Arial"/>
                <w:szCs w:val="22"/>
              </w:rPr>
              <w:t>(</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sidR="009A0B0A">
              <w:rPr>
                <w:rFonts w:eastAsia="Times New Roman" w:cs="Arial"/>
                <w:szCs w:val="22"/>
              </w:rPr>
              <w:t>)</w:t>
            </w:r>
            <w:r>
              <w:rPr>
                <w:rFonts w:eastAsia="Times New Roman" w:cs="Arial"/>
                <w:szCs w:val="22"/>
              </w:rPr>
              <w:t xml:space="preserve">. </w:t>
            </w:r>
          </w:p>
          <w:p w14:paraId="7E089D77" w14:textId="7B051774" w:rsidR="005E22BD" w:rsidRDefault="000A11B9">
            <w:pPr>
              <w:rPr>
                <w:rFonts w:eastAsia="Times New Roman" w:cs="Arial"/>
                <w:szCs w:val="22"/>
              </w:rPr>
            </w:pPr>
            <w:r>
              <w:rPr>
                <w:rFonts w:eastAsia="Times New Roman" w:cs="Arial"/>
                <w:szCs w:val="22"/>
              </w:rPr>
              <w:t xml:space="preserve">R2: One examiner </w:t>
            </w:r>
            <w:r w:rsidR="009A0B0A">
              <w:rPr>
                <w:rFonts w:eastAsia="Times New Roman" w:cs="Arial"/>
                <w:szCs w:val="22"/>
              </w:rPr>
              <w:t>(</w:t>
            </w:r>
            <w:r w:rsidR="007B4856">
              <w:rPr>
                <w:rFonts w:eastAsia="Times New Roman" w:cs="Arial"/>
                <w:szCs w:val="22"/>
              </w:rPr>
              <w:t>Ex6</w:t>
            </w:r>
            <w:r w:rsidR="009A0B0A">
              <w:rPr>
                <w:rFonts w:eastAsia="Times New Roman" w:cs="Arial"/>
                <w:szCs w:val="22"/>
              </w:rPr>
              <w:t>)</w:t>
            </w:r>
            <w:r>
              <w:rPr>
                <w:rFonts w:eastAsia="Times New Roman" w:cs="Arial"/>
                <w:szCs w:val="22"/>
              </w:rPr>
              <w:t xml:space="preserve"> suggested demoting this OFI as potentially unactionable. I disagree; comparisons for annual giving, graduation rates, response times, and more, are available</w:t>
            </w:r>
            <w:r w:rsidR="00FD460C">
              <w:rPr>
                <w:rFonts w:eastAsia="Times New Roman" w:cs="Arial"/>
                <w:szCs w:val="22"/>
              </w:rPr>
              <w:t>—</w:t>
            </w:r>
            <w:r>
              <w:rPr>
                <w:rFonts w:eastAsia="Times New Roman" w:cs="Arial"/>
                <w:szCs w:val="22"/>
              </w:rPr>
              <w:t>very likely among sister schools if not elsewhere. Given the applicant</w:t>
            </w:r>
            <w:r w:rsidR="005663C4">
              <w:rPr>
                <w:rFonts w:eastAsia="Times New Roman" w:cs="Arial"/>
                <w:szCs w:val="22"/>
              </w:rPr>
              <w:t>’</w:t>
            </w:r>
            <w:r>
              <w:rPr>
                <w:rFonts w:eastAsia="Times New Roman" w:cs="Arial"/>
                <w:szCs w:val="22"/>
              </w:rPr>
              <w:t>s aspiration to be the best, this OFI might be useful and motivating.</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B8DEA20" w14:textId="77777777" w:rsidR="005E22BD" w:rsidRDefault="000A11B9">
            <w:pPr>
              <w:rPr>
                <w:rFonts w:eastAsia="Times New Roman" w:cs="Arial"/>
                <w:szCs w:val="22"/>
              </w:rPr>
            </w:pPr>
            <w:r>
              <w:rPr>
                <w:rFonts w:eastAsia="Times New Roman" w:cs="Arial"/>
                <w:szCs w:val="22"/>
              </w:rPr>
              <w:t>a</w:t>
            </w:r>
          </w:p>
        </w:tc>
      </w:tr>
      <w:tr w:rsidR="005E22BD" w14:paraId="04BCAC3D"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182C8BD8"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7FFD9570" w14:textId="3850BC0E" w:rsidR="005E22BD" w:rsidRDefault="000A11B9">
            <w:pPr>
              <w:rPr>
                <w:rFonts w:eastAsia="Times New Roman" w:cs="Arial"/>
                <w:szCs w:val="22"/>
              </w:rPr>
            </w:pPr>
            <w:r>
              <w:rPr>
                <w:rFonts w:eastAsia="Times New Roman" w:cs="Arial"/>
                <w:szCs w:val="22"/>
              </w:rPr>
              <w:t xml:space="preserve">Results are missing for </w:t>
            </w:r>
            <w:r w:rsidR="00222507">
              <w:rPr>
                <w:rFonts w:eastAsia="Times New Roman" w:cs="Arial"/>
                <w:szCs w:val="22"/>
              </w:rPr>
              <w:t xml:space="preserve">the satisfaction and engagement of </w:t>
            </w:r>
            <w:r w:rsidR="00D84B86">
              <w:rPr>
                <w:rFonts w:eastAsia="Times New Roman" w:cs="Arial"/>
                <w:szCs w:val="22"/>
              </w:rPr>
              <w:t xml:space="preserve">most of the </w:t>
            </w:r>
            <w:r>
              <w:rPr>
                <w:rFonts w:eastAsia="Times New Roman" w:cs="Arial"/>
                <w:szCs w:val="22"/>
              </w:rPr>
              <w:t>customer</w:t>
            </w:r>
            <w:r w:rsidR="00222507">
              <w:rPr>
                <w:rFonts w:eastAsia="Times New Roman" w:cs="Arial"/>
                <w:szCs w:val="22"/>
              </w:rPr>
              <w:t>s listed in Figure 3.1-1</w:t>
            </w:r>
            <w:r>
              <w:rPr>
                <w:rFonts w:eastAsia="Times New Roman" w:cs="Arial"/>
                <w:szCs w:val="22"/>
              </w:rPr>
              <w:t xml:space="preserve">. For example, no results are provided for engagement of employers and advisory committee members, technology companies, the community including the local </w:t>
            </w:r>
            <w:r w:rsidR="0098404A">
              <w:rPr>
                <w:rFonts w:eastAsia="Times New Roman" w:cs="Arial"/>
                <w:szCs w:val="22"/>
              </w:rPr>
              <w:t>c</w:t>
            </w:r>
            <w:r>
              <w:rPr>
                <w:rFonts w:eastAsia="Times New Roman" w:cs="Arial"/>
                <w:szCs w:val="22"/>
              </w:rPr>
              <w:t xml:space="preserve">hamber of </w:t>
            </w:r>
            <w:r w:rsidR="0098404A">
              <w:rPr>
                <w:rFonts w:eastAsia="Times New Roman" w:cs="Arial"/>
                <w:szCs w:val="22"/>
              </w:rPr>
              <w:t>c</w:t>
            </w:r>
            <w:r>
              <w:rPr>
                <w:rFonts w:eastAsia="Times New Roman" w:cs="Arial"/>
                <w:szCs w:val="22"/>
              </w:rPr>
              <w:t xml:space="preserve">ommerce, and lab support providers. </w:t>
            </w:r>
            <w:r w:rsidR="009A0B0A">
              <w:rPr>
                <w:rFonts w:eastAsia="Times New Roman" w:cs="Arial"/>
                <w:szCs w:val="22"/>
              </w:rPr>
              <w:t xml:space="preserve">Such results may </w:t>
            </w:r>
            <w:r>
              <w:rPr>
                <w:rFonts w:eastAsia="Times New Roman" w:cs="Arial"/>
                <w:szCs w:val="22"/>
              </w:rPr>
              <w:t>help the applicant</w:t>
            </w:r>
            <w:r w:rsidR="009A0B0A">
              <w:rPr>
                <w:rFonts w:eastAsia="Times New Roman" w:cs="Arial"/>
                <w:szCs w:val="22"/>
              </w:rPr>
              <w:t xml:space="preserve"> strengthen</w:t>
            </w:r>
            <w:r>
              <w:rPr>
                <w:rFonts w:eastAsia="Times New Roman" w:cs="Arial"/>
                <w:szCs w:val="22"/>
              </w:rPr>
              <w:t xml:space="preserve"> its core competency of partnering with the local community </w:t>
            </w:r>
            <w:r w:rsidR="00153A64">
              <w:rPr>
                <w:rFonts w:eastAsia="Times New Roman" w:cs="Arial"/>
                <w:szCs w:val="22"/>
              </w:rPr>
              <w:t>to achieve excellence</w:t>
            </w:r>
            <w:r w:rsidR="00D84B86">
              <w:rPr>
                <w:rFonts w:eastAsia="Times New Roman" w:cs="Arial"/>
                <w:szCs w:val="22"/>
              </w:rPr>
              <w:t xml:space="preserve"> and </w:t>
            </w:r>
            <w:r w:rsidR="00153A64">
              <w:rPr>
                <w:rFonts w:eastAsia="Times New Roman" w:cs="Arial"/>
                <w:szCs w:val="22"/>
              </w:rPr>
              <w:t>graduate job readiness</w:t>
            </w:r>
            <w:r>
              <w:rPr>
                <w:rFonts w:eastAsia="Times New Roman" w:cs="Arial"/>
                <w:szCs w:val="22"/>
              </w:rPr>
              <w:t xml:space="preserve">. </w:t>
            </w:r>
          </w:p>
        </w:tc>
        <w:tc>
          <w:tcPr>
            <w:tcW w:w="0" w:type="auto"/>
            <w:tcBorders>
              <w:bottom w:val="single" w:sz="6" w:space="0" w:color="000000"/>
              <w:right w:val="single" w:sz="6" w:space="0" w:color="000000"/>
            </w:tcBorders>
            <w:tcMar>
              <w:top w:w="75" w:type="dxa"/>
              <w:left w:w="75" w:type="dxa"/>
              <w:bottom w:w="75" w:type="dxa"/>
              <w:right w:w="75" w:type="dxa"/>
            </w:tcMar>
            <w:hideMark/>
          </w:tcPr>
          <w:p w14:paraId="0E5D15C4" w14:textId="4CE7D4C5" w:rsidR="00B24163" w:rsidRDefault="000A11B9">
            <w:pPr>
              <w:rPr>
                <w:rFonts w:eastAsia="Times New Roman" w:cs="Arial"/>
                <w:szCs w:val="22"/>
              </w:rPr>
            </w:pPr>
            <w:r>
              <w:rPr>
                <w:rFonts w:eastAsia="Times New Roman" w:cs="Arial"/>
                <w:szCs w:val="22"/>
              </w:rPr>
              <w:t xml:space="preserve">Mentioned by one examiner </w:t>
            </w:r>
            <w:r w:rsidR="009A0B0A">
              <w:rPr>
                <w:rFonts w:eastAsia="Times New Roman" w:cs="Arial"/>
                <w:szCs w:val="22"/>
              </w:rPr>
              <w:t>(</w:t>
            </w:r>
            <w:r w:rsidR="007B4856">
              <w:rPr>
                <w:rFonts w:eastAsia="Times New Roman" w:cs="Arial"/>
                <w:szCs w:val="22"/>
              </w:rPr>
              <w:t>Ex3</w:t>
            </w:r>
            <w:r w:rsidR="009A0B0A">
              <w:rPr>
                <w:rFonts w:eastAsia="Times New Roman" w:cs="Arial"/>
                <w:szCs w:val="22"/>
              </w:rPr>
              <w:t>)</w:t>
            </w:r>
            <w:r>
              <w:rPr>
                <w:rFonts w:eastAsia="Times New Roman" w:cs="Arial"/>
                <w:szCs w:val="22"/>
              </w:rPr>
              <w:t xml:space="preserve">. What about satisfaction and engagement of RBM, clearly a key partner/vendor! </w:t>
            </w:r>
          </w:p>
          <w:p w14:paraId="6397E189" w14:textId="5859CE5B" w:rsidR="00B24163" w:rsidRDefault="000A11B9">
            <w:pPr>
              <w:rPr>
                <w:rFonts w:eastAsia="Times New Roman" w:cs="Arial"/>
                <w:szCs w:val="22"/>
              </w:rPr>
            </w:pPr>
            <w:r>
              <w:rPr>
                <w:rFonts w:eastAsia="Times New Roman" w:cs="Arial"/>
                <w:szCs w:val="22"/>
              </w:rPr>
              <w:t xml:space="preserve">R1: Backup and I discussed her observation that the proposed third </w:t>
            </w:r>
            <w:r w:rsidR="00D84B86">
              <w:rPr>
                <w:rFonts w:eastAsia="Times New Roman" w:cs="Arial"/>
                <w:szCs w:val="22"/>
              </w:rPr>
              <w:t>“</w:t>
            </w:r>
            <w:r>
              <w:rPr>
                <w:rFonts w:eastAsia="Times New Roman" w:cs="Arial"/>
                <w:szCs w:val="22"/>
              </w:rPr>
              <w:t>a</w:t>
            </w:r>
            <w:r w:rsidR="00D84B86">
              <w:rPr>
                <w:rFonts w:eastAsia="Times New Roman" w:cs="Arial"/>
                <w:szCs w:val="22"/>
              </w:rPr>
              <w:t>”</w:t>
            </w:r>
            <w:r>
              <w:rPr>
                <w:rFonts w:eastAsia="Times New Roman" w:cs="Arial"/>
                <w:szCs w:val="22"/>
              </w:rPr>
              <w:t xml:space="preserve"> OFI might be prescriptive because the applicant lists only feeder schools and the local community as key stakeholders (P.1-5); no other customers besides students (career-seeking, transfer, nondegree-seeking, and DC high school students) are listed in P.1-5. In Figure 3.1-1, however, the applicant includes feeder schools transfer schools, employers, local community, service providers, and donors as customers. </w:t>
            </w:r>
          </w:p>
          <w:p w14:paraId="3E5ADDD4" w14:textId="33C9EECA" w:rsidR="005E22BD" w:rsidRDefault="000A11B9">
            <w:pPr>
              <w:rPr>
                <w:rFonts w:eastAsia="Times New Roman" w:cs="Arial"/>
                <w:szCs w:val="22"/>
              </w:rPr>
            </w:pPr>
            <w:r>
              <w:rPr>
                <w:rFonts w:eastAsia="Times New Roman" w:cs="Arial"/>
                <w:szCs w:val="22"/>
              </w:rPr>
              <w:t xml:space="preserve">R2: One examiner </w:t>
            </w:r>
            <w:r w:rsidR="009A0B0A">
              <w:rPr>
                <w:rFonts w:eastAsia="Times New Roman" w:cs="Arial"/>
                <w:szCs w:val="22"/>
              </w:rPr>
              <w:t>(</w:t>
            </w:r>
            <w:r w:rsidR="007B4856">
              <w:rPr>
                <w:rFonts w:eastAsia="Times New Roman" w:cs="Arial"/>
                <w:szCs w:val="22"/>
              </w:rPr>
              <w:t>Ex6</w:t>
            </w:r>
            <w:r w:rsidR="009A0B0A">
              <w:rPr>
                <w:rFonts w:eastAsia="Times New Roman" w:cs="Arial"/>
                <w:szCs w:val="22"/>
              </w:rPr>
              <w:t>)</w:t>
            </w:r>
            <w:r>
              <w:rPr>
                <w:rFonts w:eastAsia="Times New Roman" w:cs="Arial"/>
                <w:szCs w:val="22"/>
              </w:rPr>
              <w:t xml:space="preserve"> suggested deleting, one </w:t>
            </w:r>
            <w:r w:rsidR="009A0B0A">
              <w:rPr>
                <w:rFonts w:eastAsia="Times New Roman" w:cs="Arial"/>
                <w:szCs w:val="22"/>
              </w:rPr>
              <w:t>(</w:t>
            </w:r>
            <w:r w:rsidR="007B4856">
              <w:rPr>
                <w:rFonts w:eastAsia="Times New Roman" w:cs="Arial"/>
                <w:szCs w:val="22"/>
              </w:rPr>
              <w:t>Ex2</w:t>
            </w:r>
            <w:r w:rsidR="009A0B0A">
              <w:rPr>
                <w:rFonts w:eastAsia="Times New Roman" w:cs="Arial"/>
                <w:szCs w:val="22"/>
              </w:rPr>
              <w:t>)</w:t>
            </w:r>
            <w:r>
              <w:rPr>
                <w:rFonts w:eastAsia="Times New Roman" w:cs="Arial"/>
                <w:szCs w:val="22"/>
              </w:rPr>
              <w:t xml:space="preserve"> asked if this </w:t>
            </w:r>
            <w:r w:rsidR="00D84B86">
              <w:rPr>
                <w:rFonts w:eastAsia="Times New Roman" w:cs="Arial"/>
                <w:szCs w:val="22"/>
              </w:rPr>
              <w:t>is</w:t>
            </w:r>
            <w:r>
              <w:rPr>
                <w:rFonts w:eastAsia="Times New Roman" w:cs="Arial"/>
                <w:szCs w:val="22"/>
              </w:rPr>
              <w:t xml:space="preserve"> prescriptive, one </w:t>
            </w:r>
            <w:r w:rsidR="009A0B0A">
              <w:rPr>
                <w:rFonts w:eastAsia="Times New Roman" w:cs="Arial"/>
                <w:szCs w:val="22"/>
              </w:rPr>
              <w:t>(</w:t>
            </w:r>
            <w:r w:rsidR="007B4856">
              <w:rPr>
                <w:rFonts w:eastAsia="Times New Roman" w:cs="Arial"/>
                <w:szCs w:val="22"/>
              </w:rPr>
              <w:t>Ex5</w:t>
            </w:r>
            <w:r w:rsidR="009A0B0A">
              <w:rPr>
                <w:rFonts w:eastAsia="Times New Roman" w:cs="Arial"/>
                <w:szCs w:val="22"/>
              </w:rPr>
              <w:t>)</w:t>
            </w:r>
            <w:r>
              <w:rPr>
                <w:rFonts w:eastAsia="Times New Roman" w:cs="Arial"/>
                <w:szCs w:val="22"/>
              </w:rPr>
              <w:t xml:space="preserve"> suggested "customers" (as defined in Figure 3.1-1) for clarity and alignment with </w:t>
            </w:r>
            <w:r w:rsidR="00FD460C">
              <w:rPr>
                <w:rFonts w:eastAsia="Times New Roman" w:cs="Arial"/>
                <w:szCs w:val="22"/>
              </w:rPr>
              <w:t>Criteria</w:t>
            </w:r>
            <w:r>
              <w:rPr>
                <w:rFonts w:eastAsia="Times New Roman" w:cs="Arial"/>
                <w:szCs w:val="22"/>
              </w:rPr>
              <w:t xml:space="preserve">. Employers and advisory committee members, tech partners, and the local community, including </w:t>
            </w:r>
            <w:r w:rsidR="00D84B86">
              <w:rPr>
                <w:rFonts w:eastAsia="Times New Roman" w:cs="Arial"/>
                <w:szCs w:val="22"/>
              </w:rPr>
              <w:t>chamber</w:t>
            </w:r>
            <w:r>
              <w:rPr>
                <w:rFonts w:eastAsia="Times New Roman" w:cs="Arial"/>
                <w:szCs w:val="22"/>
              </w:rPr>
              <w:t>, are key partners/collaborators whose satisfaction/engagement is essential to the sustainability and growth of progr</w:t>
            </w:r>
            <w:r w:rsidR="005D7B5E">
              <w:rPr>
                <w:rFonts w:eastAsia="Times New Roman" w:cs="Arial"/>
                <w:szCs w:val="22"/>
              </w:rPr>
              <w:t>ams</w:t>
            </w:r>
            <w:r>
              <w:rPr>
                <w:rFonts w:eastAsia="Times New Roman" w:cs="Arial"/>
                <w:szCs w:val="22"/>
              </w:rPr>
              <w:t>/se</w:t>
            </w:r>
            <w:r w:rsidR="005D7B5E">
              <w:rPr>
                <w:rFonts w:eastAsia="Times New Roman" w:cs="Arial"/>
                <w:szCs w:val="22"/>
              </w:rPr>
              <w:t>rvices.</w:t>
            </w:r>
          </w:p>
        </w:tc>
        <w:tc>
          <w:tcPr>
            <w:tcW w:w="0" w:type="auto"/>
            <w:tcBorders>
              <w:bottom w:val="single" w:sz="6" w:space="0" w:color="000000"/>
              <w:right w:val="single" w:sz="6" w:space="0" w:color="000000"/>
            </w:tcBorders>
            <w:tcMar>
              <w:top w:w="75" w:type="dxa"/>
              <w:left w:w="75" w:type="dxa"/>
              <w:bottom w:w="75" w:type="dxa"/>
              <w:right w:w="75" w:type="dxa"/>
            </w:tcMar>
            <w:hideMark/>
          </w:tcPr>
          <w:p w14:paraId="3EFCD679" w14:textId="77777777" w:rsidR="005E22BD" w:rsidRDefault="000A11B9">
            <w:pPr>
              <w:rPr>
                <w:rFonts w:eastAsia="Times New Roman" w:cs="Arial"/>
                <w:szCs w:val="22"/>
              </w:rPr>
            </w:pPr>
            <w:r>
              <w:rPr>
                <w:rFonts w:eastAsia="Times New Roman" w:cs="Arial"/>
                <w:szCs w:val="22"/>
              </w:rPr>
              <w:t>a</w:t>
            </w:r>
          </w:p>
        </w:tc>
      </w:tr>
    </w:tbl>
    <w:p w14:paraId="55285030"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7E0DEE" w14:paraId="723BC7D9" w14:textId="77777777" w:rsidTr="007E0DEE">
        <w:tc>
          <w:tcPr>
            <w:tcW w:w="10170" w:type="dxa"/>
          </w:tcPr>
          <w:p w14:paraId="3DA410B3" w14:textId="47D53ACB" w:rsidR="007E0DEE" w:rsidRDefault="007E0DEE" w:rsidP="007E0DEE">
            <w:pPr>
              <w:rPr>
                <w:rFonts w:eastAsia="Times New Roman" w:cs="Arial"/>
                <w:szCs w:val="22"/>
              </w:rPr>
            </w:pPr>
            <w:r>
              <w:rPr>
                <w:rFonts w:eastAsia="Times New Roman" w:cs="Arial"/>
                <w:szCs w:val="22"/>
              </w:rPr>
              <w:t>R2: Ranking OFIs is challenging. If segmentation is a key theme, it might be useful to list the segmentation OFI among top-ranking comments. Also, segmentation is especially relevant given the applicant</w:t>
            </w:r>
            <w:r w:rsidR="005663C4">
              <w:rPr>
                <w:rFonts w:eastAsia="Times New Roman" w:cs="Arial"/>
                <w:szCs w:val="22"/>
              </w:rPr>
              <w:t>’</w:t>
            </w:r>
            <w:r>
              <w:rPr>
                <w:rFonts w:eastAsia="Times New Roman" w:cs="Arial"/>
                <w:szCs w:val="22"/>
              </w:rPr>
              <w:t xml:space="preserve">s strategic advantage of student success outcomes (SA1) and strategic challenges related </w:t>
            </w:r>
            <w:r>
              <w:rPr>
                <w:rFonts w:eastAsia="Times New Roman" w:cs="Arial"/>
                <w:szCs w:val="22"/>
              </w:rPr>
              <w:lastRenderedPageBreak/>
              <w:t>to student segments and levels (e.g., SC 2, SC3, SC4, SC5). The lack of comparisons is meaningful in relation to the applicant</w:t>
            </w:r>
            <w:r w:rsidR="005663C4">
              <w:rPr>
                <w:rFonts w:eastAsia="Times New Roman" w:cs="Arial"/>
                <w:szCs w:val="22"/>
              </w:rPr>
              <w:t>’</w:t>
            </w:r>
            <w:r>
              <w:rPr>
                <w:rFonts w:eastAsia="Times New Roman" w:cs="Arial"/>
                <w:szCs w:val="22"/>
              </w:rPr>
              <w:t>s vision to become the best in the nation and, therefore, could be the top-ranking OFI. The third OFI addresses community engagement, which is essential to the applicant</w:t>
            </w:r>
            <w:r w:rsidR="005663C4">
              <w:rPr>
                <w:rFonts w:eastAsia="Times New Roman" w:cs="Arial"/>
                <w:szCs w:val="22"/>
              </w:rPr>
              <w:t>’</w:t>
            </w:r>
            <w:r>
              <w:rPr>
                <w:rFonts w:eastAsia="Times New Roman" w:cs="Arial"/>
                <w:szCs w:val="22"/>
              </w:rPr>
              <w:t xml:space="preserve">s sustainability as an institution serving the community. </w:t>
            </w:r>
          </w:p>
          <w:p w14:paraId="22E62590" w14:textId="0A627AE5" w:rsidR="007E0DEE" w:rsidRDefault="007E0DEE" w:rsidP="007E0DEE">
            <w:pPr>
              <w:rPr>
                <w:rFonts w:eastAsia="Times New Roman" w:cs="Arial"/>
                <w:szCs w:val="22"/>
              </w:rPr>
            </w:pPr>
            <w:r>
              <w:rPr>
                <w:rFonts w:eastAsia="Times New Roman" w:cs="Arial"/>
                <w:szCs w:val="22"/>
              </w:rPr>
              <w:t xml:space="preserve">Lowest-ranking a(1) OFI DELETED in R2 due to challenges with examples: “The applicant demonstrates some results that lack beneficial trends such as Overall Satisfaction (Figure 7.2-9), which declined from 2012 through 2018 and was below the Nome Zevil top decile, and Community Perception (Figure 7.2-17), which declined between 2017 and 2020 and lagged the peer comparisons. The declining community perception and satisfaction results indicate that the applicant may not be achieving its value of being community engaged.” </w:t>
            </w:r>
          </w:p>
        </w:tc>
      </w:tr>
    </w:tbl>
    <w:p w14:paraId="3D3387E2" w14:textId="77777777" w:rsidR="005E22BD" w:rsidRDefault="000A11B9">
      <w:pPr>
        <w:pStyle w:val="Heading3"/>
        <w:divId w:val="905190427"/>
        <w:rPr>
          <w:rFonts w:eastAsia="Times New Roman" w:cs="Arial"/>
        </w:rPr>
      </w:pPr>
      <w:r>
        <w:rPr>
          <w:rFonts w:eastAsia="Times New Roman" w:cs="Arial"/>
        </w:rPr>
        <w:lastRenderedPageBreak/>
        <w:t>Scoring</w:t>
      </w:r>
    </w:p>
    <w:tbl>
      <w:tblPr>
        <w:tblStyle w:val="TableGrid"/>
        <w:tblW w:w="0" w:type="auto"/>
        <w:tblInd w:w="355" w:type="dxa"/>
        <w:tblLook w:val="04A0" w:firstRow="1" w:lastRow="0" w:firstColumn="1" w:lastColumn="0" w:noHBand="0" w:noVBand="1"/>
      </w:tblPr>
      <w:tblGrid>
        <w:gridCol w:w="10170"/>
      </w:tblGrid>
      <w:tr w:rsidR="007E0DEE" w14:paraId="395EE3E1" w14:textId="77777777" w:rsidTr="007E0DEE">
        <w:tc>
          <w:tcPr>
            <w:tcW w:w="10170" w:type="dxa"/>
          </w:tcPr>
          <w:p w14:paraId="17FFF13D"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50</w:t>
            </w:r>
          </w:p>
          <w:p w14:paraId="50D65FFD"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4B2D5AE8" w14:textId="04F2259C" w:rsidR="007E0DEE" w:rsidRDefault="007E0DEE" w:rsidP="007E0DEE">
            <w:pPr>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Not below</w:t>
            </w:r>
            <w:r w:rsidR="0098404A" w:rsidRPr="0098404A">
              <w:rPr>
                <w:rStyle w:val="Strong"/>
                <w:rFonts w:eastAsia="Times New Roman" w:cs="Arial"/>
                <w:b w:val="0"/>
                <w:bCs w:val="0"/>
                <w:szCs w:val="22"/>
              </w:rPr>
              <w:t>,</w:t>
            </w:r>
            <w:r w:rsidR="0098404A" w:rsidRPr="0098404A">
              <w:rPr>
                <w:rStyle w:val="Strong"/>
                <w:rFonts w:cs="Arial"/>
                <w:b w:val="0"/>
                <w:bCs w:val="0"/>
                <w:szCs w:val="22"/>
              </w:rPr>
              <w:t xml:space="preserve"> in part, because of</w:t>
            </w:r>
            <w:r w:rsidRPr="0098404A">
              <w:rPr>
                <w:rStyle w:val="Strong"/>
                <w:rFonts w:eastAsia="Times New Roman" w:cs="Arial"/>
                <w:b w:val="0"/>
                <w:bCs w:val="0"/>
                <w:szCs w:val="22"/>
              </w:rPr>
              <w:t xml:space="preserve"> </w:t>
            </w:r>
            <w:r w:rsidR="0098404A" w:rsidRPr="0098404A">
              <w:rPr>
                <w:rStyle w:val="Strong"/>
                <w:rFonts w:eastAsia="Times New Roman" w:cs="Arial"/>
                <w:b w:val="0"/>
                <w:bCs w:val="0"/>
                <w:szCs w:val="22"/>
              </w:rPr>
              <w:t>s</w:t>
            </w:r>
            <w:r w:rsidRPr="0098404A">
              <w:rPr>
                <w:rStyle w:val="Strong"/>
                <w:rFonts w:eastAsia="Times New Roman" w:cs="Arial"/>
                <w:b w:val="0"/>
                <w:bCs w:val="0"/>
                <w:szCs w:val="22"/>
              </w:rPr>
              <w:t>ome</w:t>
            </w:r>
            <w:r w:rsidRPr="00FD460C">
              <w:rPr>
                <w:rStyle w:val="Strong"/>
                <w:rFonts w:eastAsia="Times New Roman" w:cs="Arial"/>
                <w:b w:val="0"/>
                <w:bCs w:val="0"/>
                <w:szCs w:val="22"/>
              </w:rPr>
              <w:t xml:space="preserve"> beneficial trend data (noted in double a[1] strength)</w:t>
            </w:r>
            <w:r>
              <w:rPr>
                <w:rStyle w:val="Strong"/>
                <w:rFonts w:eastAsia="Times New Roman" w:cs="Arial"/>
                <w:b w:val="0"/>
                <w:bCs w:val="0"/>
                <w:szCs w:val="22"/>
              </w:rPr>
              <w:t>.</w:t>
            </w:r>
            <w:r w:rsidRPr="00FD460C">
              <w:rPr>
                <w:rStyle w:val="Strong"/>
                <w:rFonts w:eastAsia="Times New Roman" w:cs="Arial"/>
                <w:b w:val="0"/>
                <w:bCs w:val="0"/>
                <w:szCs w:val="22"/>
              </w:rPr>
              <w:t xml:space="preserve"> Not above: Segmented data are missing according to student and customer groups</w:t>
            </w:r>
            <w:r>
              <w:rPr>
                <w:rStyle w:val="Strong"/>
                <w:rFonts w:eastAsia="Times New Roman" w:cs="Arial"/>
                <w:b w:val="0"/>
                <w:bCs w:val="0"/>
                <w:szCs w:val="22"/>
              </w:rPr>
              <w:t>,</w:t>
            </w:r>
            <w:r w:rsidRPr="00FD460C">
              <w:rPr>
                <w:rStyle w:val="Strong"/>
                <w:rFonts w:eastAsia="Times New Roman" w:cs="Arial"/>
                <w:b w:val="0"/>
                <w:bCs w:val="0"/>
                <w:szCs w:val="22"/>
              </w:rPr>
              <w:t xml:space="preserve"> as </w:t>
            </w:r>
            <w:r>
              <w:rPr>
                <w:rStyle w:val="Strong"/>
                <w:rFonts w:eastAsia="Times New Roman" w:cs="Arial"/>
                <w:b w:val="0"/>
                <w:bCs w:val="0"/>
                <w:szCs w:val="22"/>
              </w:rPr>
              <w:t>are</w:t>
            </w:r>
            <w:r w:rsidRPr="00FD460C">
              <w:rPr>
                <w:rStyle w:val="Strong"/>
                <w:rFonts w:eastAsia="Times New Roman" w:cs="Arial"/>
                <w:b w:val="0"/>
                <w:bCs w:val="0"/>
                <w:szCs w:val="22"/>
              </w:rPr>
              <w:t xml:space="preserve"> comparative data. Initially, proposed score was in the </w:t>
            </w:r>
            <w:r>
              <w:rPr>
                <w:rStyle w:val="Strong"/>
                <w:rFonts w:eastAsia="Times New Roman" w:cs="Arial"/>
                <w:b w:val="0"/>
                <w:bCs w:val="0"/>
                <w:szCs w:val="22"/>
              </w:rPr>
              <w:t>30–45</w:t>
            </w:r>
            <w:r w:rsidRPr="00FD460C">
              <w:rPr>
                <w:rStyle w:val="Strong"/>
                <w:rFonts w:eastAsia="Times New Roman" w:cs="Arial"/>
                <w:b w:val="0"/>
                <w:bCs w:val="0"/>
                <w:szCs w:val="22"/>
              </w:rPr>
              <w:t xml:space="preserve">% range. Moving to the low end of the </w:t>
            </w:r>
            <w:r>
              <w:rPr>
                <w:rStyle w:val="Strong"/>
                <w:rFonts w:eastAsia="Times New Roman" w:cs="Arial"/>
                <w:b w:val="0"/>
                <w:bCs w:val="0"/>
                <w:szCs w:val="22"/>
              </w:rPr>
              <w:t>50–65</w:t>
            </w:r>
            <w:r w:rsidRPr="00FD460C">
              <w:rPr>
                <w:rStyle w:val="Strong"/>
                <w:rFonts w:eastAsia="Times New Roman" w:cs="Arial"/>
                <w:b w:val="0"/>
                <w:bCs w:val="0"/>
                <w:szCs w:val="22"/>
              </w:rPr>
              <w:t>% range is supported by evidence of good performance levels, beneficial trends in areas of importance to the applicant</w:t>
            </w:r>
            <w:r w:rsidR="005663C4">
              <w:rPr>
                <w:rStyle w:val="Strong"/>
                <w:rFonts w:eastAsia="Times New Roman" w:cs="Arial"/>
                <w:b w:val="0"/>
                <w:bCs w:val="0"/>
                <w:szCs w:val="22"/>
              </w:rPr>
              <w:t>’</w:t>
            </w:r>
            <w:r w:rsidRPr="00FD460C">
              <w:rPr>
                <w:rStyle w:val="Strong"/>
                <w:rFonts w:eastAsia="Times New Roman" w:cs="Arial"/>
                <w:b w:val="0"/>
                <w:bCs w:val="0"/>
                <w:szCs w:val="22"/>
              </w:rPr>
              <w:t xml:space="preserve">s mission, comparisons of performance to relevant comparisons/benchmarks, and reporting of performance results for most process requirements. </w:t>
            </w:r>
          </w:p>
          <w:p w14:paraId="7A696BF1" w14:textId="07801DB7" w:rsidR="007E0DEE" w:rsidRDefault="007E0DEE" w:rsidP="007E0DEE">
            <w:pPr>
              <w:rPr>
                <w:rFonts w:eastAsia="Times New Roman" w:cs="Arial"/>
                <w:b/>
                <w:bCs/>
                <w:szCs w:val="22"/>
              </w:rPr>
            </w:pPr>
            <w:r w:rsidRPr="00FD460C">
              <w:rPr>
                <w:rStyle w:val="Strong"/>
                <w:rFonts w:eastAsia="Times New Roman" w:cs="Arial"/>
                <w:b w:val="0"/>
                <w:bCs w:val="0"/>
                <w:szCs w:val="22"/>
              </w:rPr>
              <w:t xml:space="preserve">R2: Increased score to </w:t>
            </w:r>
            <w:r>
              <w:rPr>
                <w:rStyle w:val="Strong"/>
                <w:rFonts w:eastAsia="Times New Roman" w:cs="Arial"/>
                <w:b w:val="0"/>
                <w:bCs w:val="0"/>
                <w:szCs w:val="22"/>
              </w:rPr>
              <w:t>50–65</w:t>
            </w:r>
            <w:r w:rsidRPr="00FD460C">
              <w:rPr>
                <w:rStyle w:val="Strong"/>
                <w:rFonts w:eastAsia="Times New Roman" w:cs="Arial"/>
                <w:b w:val="0"/>
                <w:bCs w:val="0"/>
                <w:szCs w:val="22"/>
              </w:rPr>
              <w:t>% range and score of 50% due to doubled a(1</w:t>
            </w:r>
            <w:r>
              <w:rPr>
                <w:rStyle w:val="Strong"/>
                <w:rFonts w:eastAsia="Times New Roman" w:cs="Arial"/>
                <w:b w:val="0"/>
                <w:bCs w:val="0"/>
                <w:szCs w:val="22"/>
              </w:rPr>
              <w:t>) STR</w:t>
            </w:r>
            <w:r w:rsidRPr="00FD460C">
              <w:rPr>
                <w:rStyle w:val="Strong"/>
                <w:rFonts w:eastAsia="Times New Roman" w:cs="Arial"/>
                <w:b w:val="0"/>
                <w:bCs w:val="0"/>
                <w:szCs w:val="22"/>
              </w:rPr>
              <w:t xml:space="preserve"> and deleted a(1)</w:t>
            </w:r>
            <w:r>
              <w:rPr>
                <w:rStyle w:val="Strong"/>
                <w:rFonts w:eastAsia="Times New Roman" w:cs="Arial"/>
                <w:b w:val="0"/>
                <w:bCs w:val="0"/>
                <w:szCs w:val="22"/>
              </w:rPr>
              <w:t xml:space="preserve"> </w:t>
            </w:r>
            <w:r w:rsidRPr="00FD460C">
              <w:rPr>
                <w:rStyle w:val="Strong"/>
                <w:rFonts w:eastAsia="Times New Roman" w:cs="Arial"/>
                <w:b w:val="0"/>
                <w:bCs w:val="0"/>
                <w:szCs w:val="22"/>
              </w:rPr>
              <w:t xml:space="preserve">OFI. A score higher than 50% is not recommended </w:t>
            </w:r>
            <w:r w:rsidR="0098404A">
              <w:rPr>
                <w:rStyle w:val="Strong"/>
                <w:rFonts w:eastAsia="Times New Roman" w:cs="Arial"/>
                <w:b w:val="0"/>
                <w:bCs w:val="0"/>
                <w:szCs w:val="22"/>
              </w:rPr>
              <w:t xml:space="preserve">in part </w:t>
            </w:r>
            <w:r w:rsidRPr="00FD460C">
              <w:rPr>
                <w:rStyle w:val="Strong"/>
                <w:rFonts w:eastAsia="Times New Roman" w:cs="Arial"/>
                <w:b w:val="0"/>
                <w:bCs w:val="0"/>
                <w:szCs w:val="22"/>
              </w:rPr>
              <w:t>because of the lack of segmentation by key student and customer groups.</w:t>
            </w:r>
            <w:r w:rsidRPr="00FD460C">
              <w:rPr>
                <w:rFonts w:eastAsia="Times New Roman" w:cs="Arial"/>
                <w:b/>
                <w:bCs/>
                <w:szCs w:val="22"/>
              </w:rPr>
              <w:t xml:space="preserve"> </w:t>
            </w:r>
          </w:p>
        </w:tc>
      </w:tr>
    </w:tbl>
    <w:p w14:paraId="0A1120F3" w14:textId="77777777" w:rsidR="00050D3F" w:rsidRDefault="00050D3F">
      <w:pPr>
        <w:spacing w:after="0"/>
        <w:rPr>
          <w:rFonts w:eastAsia="Times New Roman" w:cs="Arial"/>
          <w:b/>
          <w:bCs/>
          <w:szCs w:val="22"/>
        </w:rPr>
      </w:pPr>
      <w:r>
        <w:rPr>
          <w:rFonts w:eastAsia="Times New Roman" w:cs="Arial"/>
          <w:b/>
          <w:bCs/>
          <w:szCs w:val="22"/>
        </w:rPr>
        <w:br w:type="page"/>
      </w:r>
    </w:p>
    <w:p w14:paraId="0A87114A"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7.3</w:t>
      </w:r>
    </w:p>
    <w:p w14:paraId="7AAEFBED" w14:textId="77777777" w:rsidR="005E22BD" w:rsidRDefault="000A11B9">
      <w:pPr>
        <w:pStyle w:val="Heading2"/>
        <w:divId w:val="905190427"/>
        <w:rPr>
          <w:rFonts w:eastAsia="Times New Roman" w:cs="Arial"/>
        </w:rPr>
      </w:pPr>
      <w:r>
        <w:rPr>
          <w:rFonts w:eastAsia="Times New Roman" w:cs="Arial"/>
        </w:rPr>
        <w:t>Workforce Results</w:t>
      </w:r>
    </w:p>
    <w:p w14:paraId="2603AE35" w14:textId="77777777" w:rsidR="005E22BD" w:rsidRDefault="000A11B9">
      <w:pPr>
        <w:pStyle w:val="Heading3"/>
        <w:divId w:val="905190427"/>
        <w:rPr>
          <w:rFonts w:eastAsia="Times New Roman" w:cs="Arial"/>
        </w:rPr>
      </w:pPr>
      <w:r>
        <w:rPr>
          <w:rFonts w:eastAsia="Times New Roman" w:cs="Arial"/>
        </w:rPr>
        <w:t>Relevant Key Factors</w:t>
      </w:r>
    </w:p>
    <w:p w14:paraId="66DDECA2" w14:textId="46787378" w:rsidR="005E22BD" w:rsidRPr="00D84B86" w:rsidRDefault="000A11B9" w:rsidP="00606434">
      <w:pPr>
        <w:numPr>
          <w:ilvl w:val="0"/>
          <w:numId w:val="19"/>
        </w:numPr>
        <w:spacing w:before="100" w:beforeAutospacing="1" w:after="100" w:afterAutospacing="1"/>
        <w:divId w:val="905190427"/>
        <w:rPr>
          <w:rFonts w:eastAsia="Times New Roman" w:cs="Arial"/>
          <w:szCs w:val="22"/>
        </w:rPr>
      </w:pPr>
      <w:r w:rsidRPr="00D84B86">
        <w:rPr>
          <w:rFonts w:eastAsia="Times New Roman" w:cs="Arial"/>
          <w:szCs w:val="22"/>
        </w:rPr>
        <w:t>CC3: Maintain expert, up-to-date workforce</w:t>
      </w:r>
      <w:r w:rsidR="00A828D6" w:rsidRPr="00D84B86">
        <w:rPr>
          <w:rFonts w:eastAsia="Times New Roman" w:cs="Arial"/>
          <w:szCs w:val="22"/>
        </w:rPr>
        <w:t>.</w:t>
      </w:r>
    </w:p>
    <w:p w14:paraId="6ACC005B" w14:textId="7BE53328" w:rsidR="005E22BD" w:rsidRDefault="00153A64">
      <w:pPr>
        <w:numPr>
          <w:ilvl w:val="0"/>
          <w:numId w:val="19"/>
        </w:numPr>
        <w:spacing w:before="100" w:beforeAutospacing="1" w:after="100" w:afterAutospacing="1"/>
        <w:divId w:val="905190427"/>
        <w:rPr>
          <w:rFonts w:eastAsia="Times New Roman" w:cs="Arial"/>
          <w:szCs w:val="22"/>
        </w:rPr>
      </w:pPr>
      <w:r>
        <w:rPr>
          <w:rFonts w:eastAsia="Times New Roman" w:cs="Arial"/>
          <w:szCs w:val="22"/>
        </w:rPr>
        <w:t>Tenured/tenure-track faculty</w:t>
      </w:r>
      <w:r w:rsidR="000A11B9">
        <w:rPr>
          <w:rFonts w:eastAsia="Times New Roman" w:cs="Arial"/>
          <w:szCs w:val="22"/>
        </w:rPr>
        <w:t xml:space="preserve"> (250); </w:t>
      </w:r>
      <w:r>
        <w:rPr>
          <w:rFonts w:eastAsia="Times New Roman" w:cs="Arial"/>
          <w:szCs w:val="22"/>
        </w:rPr>
        <w:t>adjunct/non-tenure-track,</w:t>
      </w:r>
      <w:r w:rsidR="000A11B9">
        <w:rPr>
          <w:rFonts w:eastAsia="Times New Roman" w:cs="Arial"/>
          <w:szCs w:val="22"/>
        </w:rPr>
        <w:t xml:space="preserve"> FT &amp; PT (200); </w:t>
      </w:r>
      <w:r>
        <w:rPr>
          <w:rFonts w:eastAsia="Times New Roman" w:cs="Arial"/>
          <w:szCs w:val="22"/>
        </w:rPr>
        <w:t xml:space="preserve">management (60); professional support (250); support (400); </w:t>
      </w:r>
      <w:r w:rsidR="00235345">
        <w:rPr>
          <w:rFonts w:eastAsia="Times New Roman" w:cs="Arial"/>
          <w:szCs w:val="22"/>
        </w:rPr>
        <w:t>temp.</w:t>
      </w:r>
      <w:r>
        <w:rPr>
          <w:rFonts w:eastAsia="Times New Roman" w:cs="Arial"/>
          <w:szCs w:val="22"/>
        </w:rPr>
        <w:t xml:space="preserve"> (50)</w:t>
      </w:r>
      <w:r w:rsidR="00A828D6">
        <w:rPr>
          <w:rFonts w:eastAsia="Times New Roman" w:cs="Arial"/>
          <w:szCs w:val="22"/>
        </w:rPr>
        <w:t>.</w:t>
      </w:r>
    </w:p>
    <w:p w14:paraId="08D2242B" w14:textId="77777777" w:rsidR="00351245" w:rsidRDefault="00351245" w:rsidP="00351245">
      <w:pPr>
        <w:pStyle w:val="ListParagraph"/>
        <w:numPr>
          <w:ilvl w:val="0"/>
          <w:numId w:val="19"/>
        </w:numPr>
        <w:divId w:val="905190427"/>
      </w:pPr>
      <w:r w:rsidRPr="00351245">
        <w:rPr>
          <w:rFonts w:eastAsia="Times New Roman" w:cs="Arial"/>
          <w:szCs w:val="22"/>
        </w:rPr>
        <w:t>Open communication (supervisor relationships); high-performance work (valued as team member);</w:t>
      </w:r>
      <w:r w:rsidRPr="00BF1B40">
        <w:t xml:space="preserve"> </w:t>
      </w:r>
      <w:r w:rsidRPr="00351245">
        <w:rPr>
          <w:rFonts w:eastAsia="Times New Roman" w:cs="Arial"/>
          <w:szCs w:val="22"/>
        </w:rPr>
        <w:t>focus on continuous improvement/innovation (training/resource availability/relevance);</w:t>
      </w:r>
      <w:r w:rsidRPr="00BF1B40">
        <w:t xml:space="preserve"> </w:t>
      </w:r>
      <w:r w:rsidRPr="00351245">
        <w:rPr>
          <w:rFonts w:eastAsia="Times New Roman" w:cs="Arial"/>
          <w:szCs w:val="22"/>
        </w:rPr>
        <w:t>engaged/empowered workforce (satisfied with sense of contribution to mission);</w:t>
      </w:r>
      <w:r w:rsidRPr="00BF1B40">
        <w:t xml:space="preserve"> </w:t>
      </w:r>
      <w:r w:rsidRPr="00351245">
        <w:rPr>
          <w:rFonts w:eastAsia="Times New Roman" w:cs="Arial"/>
          <w:szCs w:val="22"/>
        </w:rPr>
        <w:t>diverse ideas, cultures, thinking (satisfied with sense mission and college future);</w:t>
      </w:r>
      <w:r w:rsidRPr="00BF1B40">
        <w:t xml:space="preserve"> </w:t>
      </w:r>
      <w:r w:rsidRPr="00351245">
        <w:rPr>
          <w:rFonts w:eastAsia="Times New Roman" w:cs="Arial"/>
          <w:szCs w:val="22"/>
        </w:rPr>
        <w:t>inclusion/equity.</w:t>
      </w:r>
    </w:p>
    <w:p w14:paraId="59CF64F3" w14:textId="292B5804" w:rsidR="005E22BD" w:rsidRDefault="00153A64">
      <w:pPr>
        <w:numPr>
          <w:ilvl w:val="0"/>
          <w:numId w:val="19"/>
        </w:numPr>
        <w:spacing w:before="100" w:beforeAutospacing="1" w:after="100" w:afterAutospacing="1"/>
        <w:divId w:val="905190427"/>
        <w:rPr>
          <w:rFonts w:eastAsia="Times New Roman" w:cs="Arial"/>
          <w:szCs w:val="22"/>
        </w:rPr>
      </w:pPr>
      <w:r w:rsidRPr="00A828D6">
        <w:rPr>
          <w:rFonts w:eastAsia="Times New Roman" w:cs="Arial"/>
          <w:szCs w:val="22"/>
        </w:rPr>
        <w:t>Peers, competitors, national average</w:t>
      </w:r>
      <w:r>
        <w:rPr>
          <w:rFonts w:eastAsia="Times New Roman" w:cs="Arial"/>
          <w:szCs w:val="22"/>
        </w:rPr>
        <w:t>s, best-in-class</w:t>
      </w:r>
      <w:r w:rsidR="000834C7">
        <w:rPr>
          <w:rFonts w:eastAsia="Times New Roman" w:cs="Arial"/>
          <w:szCs w:val="22"/>
        </w:rPr>
        <w:t>—</w:t>
      </w:r>
      <w:r w:rsidR="000A11B9">
        <w:rPr>
          <w:rFonts w:eastAsia="Times New Roman" w:cs="Arial"/>
          <w:szCs w:val="22"/>
        </w:rPr>
        <w:t>IPE</w:t>
      </w:r>
      <w:r w:rsidR="007B4856">
        <w:rPr>
          <w:rFonts w:eastAsia="Times New Roman" w:cs="Arial"/>
          <w:szCs w:val="22"/>
        </w:rPr>
        <w:t>Ex2</w:t>
      </w:r>
      <w:r w:rsidR="000A11B9">
        <w:rPr>
          <w:rFonts w:eastAsia="Times New Roman" w:cs="Arial"/>
          <w:szCs w:val="22"/>
        </w:rPr>
        <w:t>, CCSSE, CollUnivPA-HR; Nome Zevil DASHER; Other Baldrige winners; NCCBP, Cost and Productivity Project, NSC</w:t>
      </w:r>
      <w:r w:rsidR="00A828D6">
        <w:rPr>
          <w:rFonts w:eastAsia="Times New Roman" w:cs="Arial"/>
          <w:szCs w:val="22"/>
        </w:rPr>
        <w:t>.</w:t>
      </w:r>
    </w:p>
    <w:p w14:paraId="0CCBF9A1" w14:textId="39CC9306" w:rsidR="005E22BD" w:rsidRPr="00D84B86" w:rsidRDefault="000A11B9" w:rsidP="00606434">
      <w:pPr>
        <w:numPr>
          <w:ilvl w:val="0"/>
          <w:numId w:val="19"/>
        </w:numPr>
        <w:spacing w:before="100" w:beforeAutospacing="1" w:after="100" w:afterAutospacing="1"/>
        <w:divId w:val="905190427"/>
        <w:rPr>
          <w:rFonts w:eastAsia="Times New Roman" w:cs="Arial"/>
          <w:szCs w:val="22"/>
        </w:rPr>
      </w:pPr>
      <w:r w:rsidRPr="00D84B86">
        <w:rPr>
          <w:rFonts w:eastAsia="Times New Roman" w:cs="Arial"/>
          <w:szCs w:val="22"/>
        </w:rPr>
        <w:t xml:space="preserve">Decreased state funding, </w:t>
      </w:r>
      <w:r w:rsidR="00D84B86" w:rsidRPr="00D84B86">
        <w:rPr>
          <w:rFonts w:eastAsia="Times New Roman" w:cs="Arial"/>
          <w:szCs w:val="22"/>
        </w:rPr>
        <w:t xml:space="preserve">influx </w:t>
      </w:r>
      <w:r w:rsidRPr="00D84B86">
        <w:rPr>
          <w:rFonts w:eastAsia="Times New Roman" w:cs="Arial"/>
          <w:szCs w:val="22"/>
        </w:rPr>
        <w:t xml:space="preserve">of </w:t>
      </w:r>
      <w:r w:rsidR="00DB6E5E" w:rsidRPr="00D84B86">
        <w:rPr>
          <w:rFonts w:eastAsia="Times New Roman" w:cs="Arial"/>
          <w:szCs w:val="22"/>
        </w:rPr>
        <w:t>dual-credit</w:t>
      </w:r>
      <w:r w:rsidRPr="00D84B86">
        <w:rPr>
          <w:rFonts w:eastAsia="Times New Roman" w:cs="Arial"/>
          <w:szCs w:val="22"/>
        </w:rPr>
        <w:t xml:space="preserve"> high school students, increased competition for students, demands </w:t>
      </w:r>
      <w:r w:rsidR="00DB6E5E" w:rsidRPr="00D84B86">
        <w:rPr>
          <w:rFonts w:eastAsia="Times New Roman" w:cs="Arial"/>
          <w:szCs w:val="22"/>
        </w:rPr>
        <w:t>to close achievement gap</w:t>
      </w:r>
      <w:r w:rsidRPr="00D84B86">
        <w:rPr>
          <w:rFonts w:eastAsia="Times New Roman" w:cs="Arial"/>
          <w:szCs w:val="22"/>
        </w:rPr>
        <w:t xml:space="preserve">, ensuring qualifications of incoming </w:t>
      </w:r>
      <w:r w:rsidR="00DB6E5E" w:rsidRPr="00D84B86">
        <w:rPr>
          <w:rFonts w:eastAsia="Times New Roman" w:cs="Arial"/>
          <w:szCs w:val="22"/>
        </w:rPr>
        <w:t>FT/PT</w:t>
      </w:r>
      <w:r w:rsidRPr="00D84B86">
        <w:rPr>
          <w:rFonts w:eastAsia="Times New Roman" w:cs="Arial"/>
          <w:szCs w:val="22"/>
        </w:rPr>
        <w:t xml:space="preserve"> faculty</w:t>
      </w:r>
      <w:r w:rsidR="00A828D6" w:rsidRPr="00D84B86">
        <w:rPr>
          <w:rFonts w:eastAsia="Times New Roman" w:cs="Arial"/>
          <w:szCs w:val="22"/>
        </w:rPr>
        <w:t>.</w:t>
      </w:r>
    </w:p>
    <w:p w14:paraId="083448BE"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721"/>
        <w:gridCol w:w="3736"/>
        <w:gridCol w:w="1200"/>
      </w:tblGrid>
      <w:tr w:rsidR="003529C5" w14:paraId="51081CF4"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58D75DCA"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5935F422"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05E3AFD2"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ADCBB3F" w14:textId="77777777" w:rsidR="005E22BD" w:rsidRDefault="000A11B9">
            <w:pPr>
              <w:jc w:val="center"/>
              <w:rPr>
                <w:rFonts w:eastAsia="Times New Roman" w:cs="Arial"/>
                <w:b/>
                <w:bCs/>
                <w:szCs w:val="22"/>
              </w:rPr>
            </w:pPr>
            <w:r>
              <w:rPr>
                <w:rFonts w:eastAsia="Times New Roman" w:cs="Arial"/>
                <w:b/>
                <w:bCs/>
                <w:szCs w:val="22"/>
              </w:rPr>
              <w:t>Item Ref.</w:t>
            </w:r>
          </w:p>
        </w:tc>
      </w:tr>
      <w:tr w:rsidR="003529C5" w14:paraId="4965A220"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3F4B97E7"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20F5BE6" w14:textId="6861192E" w:rsidR="005E22BD" w:rsidRDefault="000A11B9">
            <w:pPr>
              <w:rPr>
                <w:rFonts w:eastAsia="Times New Roman" w:cs="Arial"/>
                <w:szCs w:val="22"/>
              </w:rPr>
            </w:pPr>
            <w:r>
              <w:rPr>
                <w:rFonts w:eastAsia="Times New Roman" w:cs="Arial"/>
                <w:szCs w:val="22"/>
              </w:rPr>
              <w:t xml:space="preserve">Workforce capacity results show good levels and </w:t>
            </w:r>
            <w:r w:rsidR="00A828D6">
              <w:rPr>
                <w:rFonts w:eastAsia="Times New Roman" w:cs="Arial"/>
                <w:szCs w:val="22"/>
              </w:rPr>
              <w:t xml:space="preserve">good performance relative to </w:t>
            </w:r>
            <w:r>
              <w:rPr>
                <w:rFonts w:eastAsia="Times New Roman" w:cs="Arial"/>
                <w:szCs w:val="22"/>
              </w:rPr>
              <w:t>comparisons.</w:t>
            </w:r>
            <w:r w:rsidR="00A828D6">
              <w:rPr>
                <w:rFonts w:eastAsia="Times New Roman" w:cs="Arial"/>
                <w:szCs w:val="22"/>
              </w:rPr>
              <w:t xml:space="preserve"> For example,</w:t>
            </w:r>
            <w:r>
              <w:rPr>
                <w:rFonts w:eastAsia="Times New Roman" w:cs="Arial"/>
                <w:szCs w:val="22"/>
              </w:rPr>
              <w:t xml:space="preserve"> Vacancy </w:t>
            </w:r>
            <w:r w:rsidR="00A828D6">
              <w:rPr>
                <w:rFonts w:eastAsia="Times New Roman" w:cs="Arial"/>
                <w:szCs w:val="22"/>
              </w:rPr>
              <w:t xml:space="preserve">Rates </w:t>
            </w:r>
            <w:r>
              <w:rPr>
                <w:rFonts w:eastAsia="Times New Roman" w:cs="Arial"/>
                <w:szCs w:val="22"/>
              </w:rPr>
              <w:t>(Figure 7.3-3)</w:t>
            </w:r>
            <w:r w:rsidR="00A828D6">
              <w:rPr>
                <w:rFonts w:eastAsia="Times New Roman" w:cs="Arial"/>
                <w:szCs w:val="22"/>
              </w:rPr>
              <w:t xml:space="preserve"> and Faculty-Student Ratio (Figure 7.3-4)</w:t>
            </w:r>
            <w:r>
              <w:rPr>
                <w:rFonts w:eastAsia="Times New Roman" w:cs="Arial"/>
                <w:szCs w:val="22"/>
              </w:rPr>
              <w:t xml:space="preserve"> </w:t>
            </w:r>
            <w:r w:rsidR="00A828D6">
              <w:rPr>
                <w:rFonts w:eastAsia="Times New Roman" w:cs="Arial"/>
                <w:szCs w:val="22"/>
              </w:rPr>
              <w:t xml:space="preserve">both </w:t>
            </w:r>
            <w:r>
              <w:rPr>
                <w:rFonts w:eastAsia="Times New Roman" w:cs="Arial"/>
                <w:szCs w:val="22"/>
              </w:rPr>
              <w:t>demonstrate consistent good levels and exceed</w:t>
            </w:r>
            <w:r w:rsidR="00A828D6">
              <w:rPr>
                <w:rFonts w:eastAsia="Times New Roman" w:cs="Arial"/>
                <w:szCs w:val="22"/>
              </w:rPr>
              <w:t xml:space="preserve"> the comparisons shown</w:t>
            </w:r>
            <w:r>
              <w:rPr>
                <w:rFonts w:eastAsia="Times New Roman" w:cs="Arial"/>
                <w:szCs w:val="22"/>
              </w:rPr>
              <w:t xml:space="preserve">. </w:t>
            </w:r>
            <w:r w:rsidR="00A828D6">
              <w:rPr>
                <w:rFonts w:eastAsia="Times New Roman" w:cs="Arial"/>
                <w:szCs w:val="22"/>
              </w:rPr>
              <w:t xml:space="preserve">In addition, </w:t>
            </w:r>
            <w:r>
              <w:rPr>
                <w:rFonts w:eastAsia="Times New Roman" w:cs="Arial"/>
                <w:szCs w:val="22"/>
              </w:rPr>
              <w:t xml:space="preserve">Workforce </w:t>
            </w:r>
            <w:r w:rsidR="00A828D6">
              <w:rPr>
                <w:rFonts w:eastAsia="Times New Roman" w:cs="Arial"/>
                <w:szCs w:val="22"/>
              </w:rPr>
              <w:t xml:space="preserve">Attrition </w:t>
            </w:r>
            <w:r>
              <w:rPr>
                <w:rFonts w:eastAsia="Times New Roman" w:cs="Arial"/>
                <w:szCs w:val="22"/>
              </w:rPr>
              <w:t>(Figure 7.3-2) for faculty</w:t>
            </w:r>
            <w:r w:rsidR="00C30185">
              <w:rPr>
                <w:rFonts w:eastAsia="Times New Roman" w:cs="Arial"/>
                <w:szCs w:val="22"/>
              </w:rPr>
              <w:t xml:space="preserve"> </w:t>
            </w:r>
            <w:r w:rsidR="00C30185">
              <w:rPr>
                <w:rFonts w:eastAsia="Times New Roman"/>
              </w:rPr>
              <w:t>members</w:t>
            </w:r>
            <w:r>
              <w:rPr>
                <w:rFonts w:eastAsia="Times New Roman" w:cs="Arial"/>
                <w:szCs w:val="22"/>
              </w:rPr>
              <w:t xml:space="preserve"> and administrators </w:t>
            </w:r>
            <w:r w:rsidR="00A828D6">
              <w:rPr>
                <w:rFonts w:eastAsia="Times New Roman" w:cs="Arial"/>
                <w:szCs w:val="22"/>
              </w:rPr>
              <w:t>has been consistently</w:t>
            </w:r>
            <w:r>
              <w:rPr>
                <w:rFonts w:eastAsia="Times New Roman" w:cs="Arial"/>
                <w:szCs w:val="22"/>
              </w:rPr>
              <w:t xml:space="preserve"> better than that of the top</w:t>
            </w:r>
            <w:r w:rsidR="00A828D6">
              <w:rPr>
                <w:rFonts w:eastAsia="Times New Roman" w:cs="Arial"/>
                <w:szCs w:val="22"/>
              </w:rPr>
              <w:t>-</w:t>
            </w:r>
            <w:r>
              <w:rPr>
                <w:rFonts w:eastAsia="Times New Roman" w:cs="Arial"/>
                <w:szCs w:val="22"/>
              </w:rPr>
              <w:t xml:space="preserve">decile comparators. </w:t>
            </w:r>
            <w:r w:rsidR="00A828D6">
              <w:rPr>
                <w:rFonts w:eastAsia="Times New Roman" w:cs="Arial"/>
                <w:szCs w:val="22"/>
              </w:rPr>
              <w:t xml:space="preserve">Such results </w:t>
            </w:r>
            <w:r>
              <w:rPr>
                <w:rFonts w:eastAsia="Times New Roman" w:cs="Arial"/>
                <w:szCs w:val="22"/>
              </w:rPr>
              <w:t>may help the applicant achieve its strategic objectives during a period of decreased state funding.</w:t>
            </w:r>
          </w:p>
        </w:tc>
        <w:tc>
          <w:tcPr>
            <w:tcW w:w="0" w:type="auto"/>
            <w:tcBorders>
              <w:bottom w:val="single" w:sz="6" w:space="0" w:color="000000"/>
              <w:right w:val="single" w:sz="6" w:space="0" w:color="000000"/>
            </w:tcBorders>
            <w:tcMar>
              <w:top w:w="75" w:type="dxa"/>
              <w:left w:w="75" w:type="dxa"/>
              <w:bottom w:w="75" w:type="dxa"/>
              <w:right w:w="75" w:type="dxa"/>
            </w:tcMar>
            <w:hideMark/>
          </w:tcPr>
          <w:p w14:paraId="32455E5F" w14:textId="0253A497" w:rsidR="005E22BD" w:rsidRDefault="000A11B9">
            <w:pPr>
              <w:rPr>
                <w:rFonts w:eastAsia="Times New Roman" w:cs="Arial"/>
                <w:szCs w:val="22"/>
              </w:rPr>
            </w:pPr>
            <w:r>
              <w:rPr>
                <w:rFonts w:eastAsia="Times New Roman" w:cs="Arial"/>
                <w:szCs w:val="22"/>
              </w:rPr>
              <w:t xml:space="preserve">Vacancy rates show good levels as indicated by exceeding comparison group, same with faculty-student ratio. Attrition rates show uneven trend for </w:t>
            </w:r>
            <w:r w:rsidR="005D7B5E">
              <w:rPr>
                <w:rFonts w:eastAsia="Times New Roman" w:cs="Arial"/>
                <w:szCs w:val="22"/>
              </w:rPr>
              <w:t>staff,</w:t>
            </w:r>
            <w:r>
              <w:rPr>
                <w:rFonts w:eastAsia="Times New Roman" w:cs="Arial"/>
                <w:szCs w:val="22"/>
              </w:rPr>
              <w:t xml:space="preserve"> but levels are relatively stable at above top</w:t>
            </w:r>
            <w:r w:rsidR="00A828D6">
              <w:rPr>
                <w:rFonts w:eastAsia="Times New Roman" w:cs="Arial"/>
                <w:szCs w:val="22"/>
              </w:rPr>
              <w:t>-</w:t>
            </w:r>
            <w:r>
              <w:rPr>
                <w:rFonts w:eastAsia="Times New Roman" w:cs="Arial"/>
                <w:szCs w:val="22"/>
              </w:rPr>
              <w:t>decile performance.</w:t>
            </w:r>
          </w:p>
        </w:tc>
        <w:tc>
          <w:tcPr>
            <w:tcW w:w="0" w:type="auto"/>
            <w:tcBorders>
              <w:bottom w:val="single" w:sz="6" w:space="0" w:color="000000"/>
              <w:right w:val="single" w:sz="6" w:space="0" w:color="000000"/>
            </w:tcBorders>
            <w:tcMar>
              <w:top w:w="75" w:type="dxa"/>
              <w:left w:w="75" w:type="dxa"/>
              <w:bottom w:w="75" w:type="dxa"/>
              <w:right w:w="75" w:type="dxa"/>
            </w:tcMar>
            <w:hideMark/>
          </w:tcPr>
          <w:p w14:paraId="2A4237DB" w14:textId="77777777" w:rsidR="005E22BD" w:rsidRDefault="000A11B9">
            <w:pPr>
              <w:rPr>
                <w:rFonts w:eastAsia="Times New Roman" w:cs="Arial"/>
                <w:szCs w:val="22"/>
              </w:rPr>
            </w:pPr>
            <w:r>
              <w:rPr>
                <w:rFonts w:eastAsia="Times New Roman" w:cs="Arial"/>
                <w:szCs w:val="22"/>
              </w:rPr>
              <w:t>a(1)</w:t>
            </w:r>
          </w:p>
        </w:tc>
      </w:tr>
      <w:tr w:rsidR="003529C5" w14:paraId="573903C4"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B099019"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8E9ED32" w14:textId="2DCA04C3" w:rsidR="005E22BD" w:rsidRDefault="000A11B9">
            <w:pPr>
              <w:rPr>
                <w:rFonts w:eastAsia="Times New Roman" w:cs="Arial"/>
                <w:szCs w:val="22"/>
              </w:rPr>
            </w:pPr>
            <w:r>
              <w:rPr>
                <w:rFonts w:eastAsia="Times New Roman" w:cs="Arial"/>
                <w:szCs w:val="22"/>
              </w:rPr>
              <w:t>The applicant invests more in workforce development than its peers</w:t>
            </w:r>
            <w:r w:rsidR="00C30185">
              <w:rPr>
                <w:rFonts w:eastAsia="Times New Roman" w:cs="Arial"/>
                <w:szCs w:val="22"/>
              </w:rPr>
              <w:t xml:space="preserve"> </w:t>
            </w:r>
            <w:r w:rsidR="00C30185">
              <w:rPr>
                <w:rFonts w:eastAsia="Times New Roman"/>
              </w:rPr>
              <w:t>do</w:t>
            </w:r>
            <w:r w:rsidR="00A828D6">
              <w:rPr>
                <w:rFonts w:eastAsia="Times New Roman" w:cs="Arial"/>
                <w:szCs w:val="22"/>
              </w:rPr>
              <w:t>, which</w:t>
            </w:r>
            <w:r>
              <w:rPr>
                <w:rFonts w:eastAsia="Times New Roman" w:cs="Arial"/>
                <w:szCs w:val="22"/>
              </w:rPr>
              <w:t xml:space="preserve"> garners </w:t>
            </w:r>
            <w:r w:rsidR="00B24163">
              <w:rPr>
                <w:rFonts w:eastAsia="Times New Roman" w:cs="Arial"/>
                <w:szCs w:val="22"/>
              </w:rPr>
              <w:t xml:space="preserve">good </w:t>
            </w:r>
            <w:r>
              <w:rPr>
                <w:rFonts w:eastAsia="Times New Roman" w:cs="Arial"/>
                <w:szCs w:val="22"/>
              </w:rPr>
              <w:t xml:space="preserve">satisfaction ratings for </w:t>
            </w:r>
            <w:r w:rsidR="00A828D6">
              <w:rPr>
                <w:rFonts w:eastAsia="Times New Roman" w:cs="Arial"/>
                <w:szCs w:val="22"/>
              </w:rPr>
              <w:t xml:space="preserve">the </w:t>
            </w:r>
            <w:r>
              <w:rPr>
                <w:rFonts w:eastAsia="Times New Roman" w:cs="Arial"/>
                <w:szCs w:val="22"/>
              </w:rPr>
              <w:t>effectiveness of leadership development programs. Workforce Learning and Development Investment (Figure 7.3-13) exceeds that of</w:t>
            </w:r>
            <w:r w:rsidR="00A828D6">
              <w:rPr>
                <w:rFonts w:eastAsia="Times New Roman" w:cs="Arial"/>
                <w:szCs w:val="22"/>
              </w:rPr>
              <w:t xml:space="preserve"> the</w:t>
            </w:r>
            <w:r>
              <w:rPr>
                <w:rFonts w:eastAsia="Times New Roman" w:cs="Arial"/>
                <w:szCs w:val="22"/>
              </w:rPr>
              <w:t xml:space="preserve"> DASHER comparison for all three workforce segments. </w:t>
            </w:r>
            <w:r w:rsidR="001B5B68">
              <w:rPr>
                <w:rFonts w:eastAsia="Times New Roman" w:cs="Arial"/>
                <w:szCs w:val="22"/>
              </w:rPr>
              <w:t>S</w:t>
            </w:r>
            <w:r>
              <w:rPr>
                <w:rFonts w:eastAsia="Times New Roman" w:cs="Arial"/>
                <w:szCs w:val="22"/>
              </w:rPr>
              <w:t>atisfaction with peer</w:t>
            </w:r>
            <w:r w:rsidR="001B5B68">
              <w:rPr>
                <w:rFonts w:eastAsia="Times New Roman" w:cs="Arial"/>
                <w:szCs w:val="22"/>
              </w:rPr>
              <w:t xml:space="preserve"> </w:t>
            </w:r>
            <w:r>
              <w:rPr>
                <w:rFonts w:eastAsia="Times New Roman" w:cs="Arial"/>
                <w:szCs w:val="22"/>
              </w:rPr>
              <w:t>mentoring</w:t>
            </w:r>
            <w:r w:rsidR="001B5B68">
              <w:rPr>
                <w:rFonts w:eastAsia="Times New Roman" w:cs="Arial"/>
                <w:szCs w:val="22"/>
              </w:rPr>
              <w:t xml:space="preserve"> and participation in leadership development</w:t>
            </w:r>
            <w:r>
              <w:rPr>
                <w:rFonts w:eastAsia="Times New Roman" w:cs="Arial"/>
                <w:szCs w:val="22"/>
              </w:rPr>
              <w:t xml:space="preserve"> (Figure</w:t>
            </w:r>
            <w:r w:rsidR="001B5B68">
              <w:rPr>
                <w:rFonts w:eastAsia="Times New Roman" w:cs="Arial"/>
                <w:szCs w:val="22"/>
              </w:rPr>
              <w:t>s</w:t>
            </w:r>
            <w:r>
              <w:rPr>
                <w:rFonts w:eastAsia="Times New Roman" w:cs="Arial"/>
                <w:szCs w:val="22"/>
              </w:rPr>
              <w:t xml:space="preserve"> 7.3-14</w:t>
            </w:r>
            <w:r w:rsidR="001B5B68">
              <w:rPr>
                <w:rFonts w:eastAsia="Times New Roman" w:cs="Arial"/>
                <w:szCs w:val="22"/>
              </w:rPr>
              <w:t xml:space="preserve"> and 7.3-15</w:t>
            </w:r>
            <w:r>
              <w:rPr>
                <w:rFonts w:eastAsia="Times New Roman" w:cs="Arial"/>
                <w:szCs w:val="22"/>
              </w:rPr>
              <w:t xml:space="preserve">) </w:t>
            </w:r>
            <w:r w:rsidR="001B5B68">
              <w:rPr>
                <w:rFonts w:eastAsia="Times New Roman" w:cs="Arial"/>
                <w:szCs w:val="22"/>
              </w:rPr>
              <w:t xml:space="preserve">also </w:t>
            </w:r>
            <w:r>
              <w:rPr>
                <w:rFonts w:eastAsia="Times New Roman" w:cs="Arial"/>
                <w:szCs w:val="22"/>
              </w:rPr>
              <w:t>demonstrate general</w:t>
            </w:r>
            <w:r w:rsidR="001B5B68">
              <w:rPr>
                <w:rFonts w:eastAsia="Times New Roman" w:cs="Arial"/>
                <w:szCs w:val="22"/>
              </w:rPr>
              <w:t>ly</w:t>
            </w:r>
            <w:r>
              <w:rPr>
                <w:rFonts w:eastAsia="Times New Roman" w:cs="Arial"/>
                <w:szCs w:val="22"/>
              </w:rPr>
              <w:t xml:space="preserve"> beneficial trends. These results evidence progress in </w:t>
            </w:r>
            <w:r w:rsidR="003529C5">
              <w:rPr>
                <w:rFonts w:eastAsia="Times New Roman" w:cs="Arial"/>
                <w:szCs w:val="22"/>
              </w:rPr>
              <w:t xml:space="preserve">responding to the workforce engagement driver of </w:t>
            </w:r>
            <w:r w:rsidR="003529C5" w:rsidRPr="00BF1B40">
              <w:rPr>
                <w:rFonts w:eastAsia="Times New Roman" w:cs="Arial"/>
                <w:szCs w:val="22"/>
              </w:rPr>
              <w:t>training</w:t>
            </w:r>
            <w:r w:rsidR="003529C5">
              <w:rPr>
                <w:rFonts w:eastAsia="Times New Roman" w:cs="Arial"/>
                <w:szCs w:val="22"/>
              </w:rPr>
              <w:t xml:space="preserve"> and </w:t>
            </w:r>
            <w:r w:rsidR="003529C5" w:rsidRPr="00BF1B40">
              <w:rPr>
                <w:rFonts w:eastAsia="Times New Roman" w:cs="Arial"/>
                <w:szCs w:val="22"/>
              </w:rPr>
              <w:t>resource</w:t>
            </w:r>
            <w:r w:rsidR="003529C5">
              <w:rPr>
                <w:rFonts w:eastAsia="Times New Roman" w:cs="Arial"/>
                <w:szCs w:val="22"/>
              </w:rPr>
              <w:t xml:space="preserve"> </w:t>
            </w:r>
            <w:r w:rsidR="003529C5" w:rsidRPr="00BF1B40">
              <w:rPr>
                <w:rFonts w:eastAsia="Times New Roman" w:cs="Arial"/>
                <w:szCs w:val="22"/>
              </w:rPr>
              <w:t>availability</w:t>
            </w:r>
            <w:r w:rsidR="003529C5">
              <w:rPr>
                <w:rFonts w:eastAsia="Times New Roman" w:cs="Arial"/>
                <w:szCs w:val="22"/>
              </w:rPr>
              <w:t xml:space="preserve"> and </w:t>
            </w:r>
            <w:r w:rsidR="003529C5" w:rsidRPr="00BF1B40">
              <w:rPr>
                <w:rFonts w:eastAsia="Times New Roman" w:cs="Arial"/>
                <w:szCs w:val="22"/>
              </w:rPr>
              <w:t>relevance</w:t>
            </w:r>
            <w:r>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CF13A5C" w14:textId="3A256E54" w:rsidR="001B5B68" w:rsidRDefault="000A11B9">
            <w:pPr>
              <w:rPr>
                <w:rFonts w:eastAsia="Times New Roman" w:cs="Arial"/>
                <w:szCs w:val="22"/>
              </w:rPr>
            </w:pPr>
            <w:r>
              <w:rPr>
                <w:rFonts w:eastAsia="Times New Roman" w:cs="Arial"/>
                <w:szCs w:val="22"/>
              </w:rPr>
              <w:t>Although it is impossible to determine a “good” level of development investment by itself, coupled with a benchmark comparison we can determine the levels exceed th</w:t>
            </w:r>
            <w:r w:rsidR="00FA76AE">
              <w:rPr>
                <w:rFonts w:eastAsia="Times New Roman" w:cs="Arial"/>
                <w:szCs w:val="22"/>
              </w:rPr>
              <w:t>o</w:t>
            </w:r>
            <w:r w:rsidR="00FA76AE">
              <w:rPr>
                <w:rFonts w:eastAsia="Times New Roman"/>
              </w:rPr>
              <w:t>se</w:t>
            </w:r>
            <w:r>
              <w:rPr>
                <w:rFonts w:eastAsia="Times New Roman" w:cs="Arial"/>
                <w:szCs w:val="22"/>
              </w:rPr>
              <w:t xml:space="preserve"> of peers but not so far above that it brings into questions about efficiency. </w:t>
            </w:r>
          </w:p>
          <w:p w14:paraId="355BCE9E" w14:textId="49065CEA" w:rsidR="00B24163" w:rsidRDefault="000A11B9">
            <w:pPr>
              <w:rPr>
                <w:rFonts w:eastAsia="Times New Roman" w:cs="Arial"/>
                <w:szCs w:val="22"/>
              </w:rPr>
            </w:pPr>
            <w:r>
              <w:rPr>
                <w:rFonts w:eastAsia="Times New Roman" w:cs="Arial"/>
                <w:szCs w:val="22"/>
              </w:rPr>
              <w:t>Bright Star peer</w:t>
            </w:r>
            <w:r w:rsidR="00FA76AE">
              <w:rPr>
                <w:rFonts w:eastAsia="Times New Roman" w:cs="Arial"/>
                <w:szCs w:val="22"/>
              </w:rPr>
              <w:t xml:space="preserve"> </w:t>
            </w:r>
            <w:r>
              <w:rPr>
                <w:rFonts w:eastAsia="Times New Roman" w:cs="Arial"/>
                <w:szCs w:val="22"/>
              </w:rPr>
              <w:t xml:space="preserve">mentoring and Leadership Development Effectiveness </w:t>
            </w:r>
            <w:r w:rsidR="00FA76AE">
              <w:rPr>
                <w:rFonts w:eastAsia="Times New Roman" w:cs="Arial"/>
                <w:szCs w:val="22"/>
              </w:rPr>
              <w:t>r</w:t>
            </w:r>
            <w:r w:rsidR="00FA76AE">
              <w:rPr>
                <w:rFonts w:eastAsia="Times New Roman"/>
              </w:rPr>
              <w:t xml:space="preserve">esults </w:t>
            </w:r>
            <w:r>
              <w:rPr>
                <w:rFonts w:eastAsia="Times New Roman" w:cs="Arial"/>
                <w:szCs w:val="22"/>
              </w:rPr>
              <w:t>do not have comparisons and would not be expected to have them for such internal measures, but strengths are noted for beneficial trends and levels above 90%.</w:t>
            </w:r>
          </w:p>
          <w:p w14:paraId="613D5008" w14:textId="14275307" w:rsidR="005E22BD" w:rsidRDefault="000A11B9">
            <w:pPr>
              <w:rPr>
                <w:rFonts w:eastAsia="Times New Roman" w:cs="Arial"/>
                <w:szCs w:val="22"/>
              </w:rPr>
            </w:pPr>
            <w:r>
              <w:rPr>
                <w:rFonts w:eastAsia="Times New Roman" w:cs="Arial"/>
                <w:szCs w:val="22"/>
              </w:rPr>
              <w:t>R1</w:t>
            </w:r>
            <w:r w:rsidR="00B24163">
              <w:rPr>
                <w:rFonts w:eastAsia="Times New Roman" w:cs="Arial"/>
                <w:szCs w:val="22"/>
              </w:rPr>
              <w:t xml:space="preserve">: </w:t>
            </w:r>
            <w:r w:rsidR="007B4856">
              <w:rPr>
                <w:rFonts w:eastAsia="Times New Roman" w:cs="Arial"/>
                <w:szCs w:val="22"/>
              </w:rPr>
              <w:t>Ex3</w:t>
            </w:r>
            <w:r>
              <w:rPr>
                <w:rFonts w:eastAsia="Times New Roman" w:cs="Arial"/>
                <w:szCs w:val="22"/>
              </w:rPr>
              <w:t xml:space="preserve"> feedback is fine</w:t>
            </w:r>
            <w:r w:rsidR="000834C7">
              <w:rPr>
                <w:rFonts w:eastAsia="Times New Roman" w:cs="Arial"/>
                <w:szCs w:val="22"/>
              </w:rPr>
              <w:t>—</w:t>
            </w:r>
            <w:r>
              <w:rPr>
                <w:rFonts w:eastAsia="Times New Roman" w:cs="Arial"/>
                <w:szCs w:val="22"/>
              </w:rPr>
              <w:t>just thought I</w:t>
            </w:r>
            <w:r w:rsidR="005663C4">
              <w:rPr>
                <w:rFonts w:eastAsia="Times New Roman" w:cs="Arial"/>
                <w:szCs w:val="22"/>
              </w:rPr>
              <w:t>’</w:t>
            </w:r>
            <w:r>
              <w:rPr>
                <w:rFonts w:eastAsia="Times New Roman" w:cs="Arial"/>
                <w:szCs w:val="22"/>
              </w:rPr>
              <w:t xml:space="preserve">d write it </w:t>
            </w:r>
            <w:r w:rsidR="00FA76AE">
              <w:rPr>
                <w:rFonts w:eastAsia="Times New Roman" w:cs="Arial"/>
                <w:szCs w:val="22"/>
              </w:rPr>
              <w:t>w</w:t>
            </w:r>
            <w:r w:rsidR="00FA76AE">
              <w:rPr>
                <w:rFonts w:eastAsia="Times New Roman"/>
              </w:rPr>
              <w:t xml:space="preserve">ith </w:t>
            </w:r>
            <w:r>
              <w:rPr>
                <w:rFonts w:eastAsia="Times New Roman" w:cs="Arial"/>
                <w:szCs w:val="22"/>
              </w:rPr>
              <w:t>less Baldrigese for variety but</w:t>
            </w:r>
            <w:r w:rsidR="00FA76AE">
              <w:rPr>
                <w:rFonts w:eastAsia="Times New Roman" w:cs="Arial"/>
                <w:szCs w:val="22"/>
              </w:rPr>
              <w:t xml:space="preserve"> </w:t>
            </w:r>
            <w:r w:rsidR="00FA76AE">
              <w:rPr>
                <w:rFonts w:eastAsia="Times New Roman"/>
              </w:rPr>
              <w:t>will</w:t>
            </w:r>
            <w:r>
              <w:rPr>
                <w:rFonts w:eastAsia="Times New Roman" w:cs="Arial"/>
                <w:szCs w:val="22"/>
              </w:rPr>
              <w:t xml:space="preserve"> gladly switch if team prefers.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8343DF1" w14:textId="77777777" w:rsidR="005E22BD" w:rsidRDefault="000A11B9">
            <w:pPr>
              <w:rPr>
                <w:rFonts w:eastAsia="Times New Roman" w:cs="Arial"/>
                <w:szCs w:val="22"/>
              </w:rPr>
            </w:pPr>
            <w:r>
              <w:rPr>
                <w:rFonts w:eastAsia="Times New Roman" w:cs="Arial"/>
                <w:szCs w:val="22"/>
              </w:rPr>
              <w:t>a(4)</w:t>
            </w:r>
          </w:p>
        </w:tc>
      </w:tr>
      <w:tr w:rsidR="003529C5" w14:paraId="75B5B701"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1525F67"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022CD29" w14:textId="03829C2E"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 xml:space="preserve">s results for workplace climate demonstrate good levels and favorable comparisons. Perceived safety results for service and professionalism (Figure 7.3-5) show beneficial trends and exceed </w:t>
            </w:r>
            <w:r w:rsidR="001B5B68">
              <w:rPr>
                <w:rFonts w:eastAsia="Times New Roman" w:cs="Arial"/>
                <w:szCs w:val="22"/>
              </w:rPr>
              <w:t xml:space="preserve">the </w:t>
            </w:r>
            <w:r>
              <w:rPr>
                <w:rFonts w:eastAsia="Times New Roman" w:cs="Arial"/>
                <w:szCs w:val="22"/>
              </w:rPr>
              <w:t>national top decile</w:t>
            </w:r>
            <w:r w:rsidR="000540EF">
              <w:rPr>
                <w:rFonts w:eastAsia="Times New Roman" w:cs="Arial"/>
                <w:szCs w:val="22"/>
              </w:rPr>
              <w:t xml:space="preserve"> in all areas</w:t>
            </w:r>
            <w:r>
              <w:rPr>
                <w:rFonts w:eastAsia="Times New Roman" w:cs="Arial"/>
                <w:szCs w:val="22"/>
              </w:rPr>
              <w:t>. Results</w:t>
            </w:r>
            <w:r w:rsidR="001B5B68">
              <w:rPr>
                <w:rFonts w:eastAsia="Times New Roman" w:cs="Arial"/>
                <w:szCs w:val="22"/>
              </w:rPr>
              <w:t xml:space="preserve"> for</w:t>
            </w:r>
            <w:r>
              <w:rPr>
                <w:rFonts w:eastAsia="Times New Roman" w:cs="Arial"/>
                <w:szCs w:val="22"/>
              </w:rPr>
              <w:t xml:space="preserve"> workers</w:t>
            </w:r>
            <w:r w:rsidR="005663C4">
              <w:rPr>
                <w:rFonts w:eastAsia="Times New Roman" w:cs="Arial"/>
                <w:szCs w:val="22"/>
              </w:rPr>
              <w:t>’</w:t>
            </w:r>
            <w:r>
              <w:rPr>
                <w:rFonts w:eastAsia="Times New Roman" w:cs="Arial"/>
                <w:szCs w:val="22"/>
              </w:rPr>
              <w:t xml:space="preserve"> compensation injuries </w:t>
            </w:r>
            <w:r w:rsidR="001B5B68">
              <w:rPr>
                <w:rFonts w:eastAsia="Times New Roman" w:cs="Arial"/>
                <w:szCs w:val="22"/>
              </w:rPr>
              <w:t xml:space="preserve">compare </w:t>
            </w:r>
            <w:r>
              <w:rPr>
                <w:rFonts w:eastAsia="Times New Roman" w:cs="Arial"/>
                <w:szCs w:val="22"/>
              </w:rPr>
              <w:t>favorabl</w:t>
            </w:r>
            <w:r w:rsidR="001B5B68">
              <w:rPr>
                <w:rFonts w:eastAsia="Times New Roman" w:cs="Arial"/>
                <w:szCs w:val="22"/>
              </w:rPr>
              <w:t>y</w:t>
            </w:r>
            <w:r>
              <w:rPr>
                <w:rFonts w:eastAsia="Times New Roman" w:cs="Arial"/>
                <w:szCs w:val="22"/>
              </w:rPr>
              <w:t xml:space="preserve"> to the National Safety Council average.</w:t>
            </w:r>
            <w:r w:rsidR="003529C5">
              <w:rPr>
                <w:rFonts w:eastAsia="Times New Roman" w:cs="Arial"/>
                <w:szCs w:val="22"/>
              </w:rPr>
              <w:t xml:space="preserve"> These results support the applicant in meeting the workforce engagement factors it has identified</w:t>
            </w: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22255019" w14:textId="5A3167F6" w:rsidR="005D7B5E" w:rsidRDefault="000A11B9">
            <w:pPr>
              <w:rPr>
                <w:rFonts w:eastAsia="Times New Roman" w:cs="Arial"/>
                <w:szCs w:val="22"/>
              </w:rPr>
            </w:pPr>
            <w:r>
              <w:rPr>
                <w:rFonts w:eastAsia="Times New Roman" w:cs="Arial"/>
                <w:szCs w:val="22"/>
              </w:rPr>
              <w:t>Results are good to excellent as indicated by far exceeding national top</w:t>
            </w:r>
            <w:r w:rsidR="001B5B68">
              <w:rPr>
                <w:rFonts w:eastAsia="Times New Roman" w:cs="Arial"/>
                <w:szCs w:val="22"/>
              </w:rPr>
              <w:t>-</w:t>
            </w:r>
            <w:r>
              <w:rPr>
                <w:rFonts w:eastAsia="Times New Roman" w:cs="Arial"/>
                <w:szCs w:val="22"/>
              </w:rPr>
              <w:t xml:space="preserve">decile comparisons. Trends are difficult to pinpoint as the levels are high enough on overall climate that variations on a </w:t>
            </w:r>
            <w:r w:rsidR="005D7B5E">
              <w:rPr>
                <w:rFonts w:eastAsia="Times New Roman" w:cs="Arial"/>
                <w:szCs w:val="22"/>
              </w:rPr>
              <w:t>five-point</w:t>
            </w:r>
            <w:r>
              <w:rPr>
                <w:rFonts w:eastAsia="Times New Roman" w:cs="Arial"/>
                <w:szCs w:val="22"/>
              </w:rPr>
              <w:t xml:space="preserve"> scale at that level are not meaningful.</w:t>
            </w:r>
          </w:p>
          <w:p w14:paraId="0C7E9D63" w14:textId="6650760A" w:rsidR="005E22BD" w:rsidRDefault="000A11B9">
            <w:pPr>
              <w:rPr>
                <w:rFonts w:eastAsia="Times New Roman" w:cs="Arial"/>
                <w:szCs w:val="22"/>
              </w:rPr>
            </w:pPr>
            <w:r>
              <w:rPr>
                <w:rFonts w:eastAsia="Times New Roman" w:cs="Arial"/>
                <w:szCs w:val="22"/>
              </w:rPr>
              <w:t>R1 edits to placement of figure citation per feedback</w:t>
            </w:r>
            <w:r w:rsidR="001B5B68">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70688B52" w14:textId="77777777" w:rsidR="005E22BD" w:rsidRDefault="000A11B9">
            <w:pPr>
              <w:rPr>
                <w:rFonts w:eastAsia="Times New Roman" w:cs="Arial"/>
                <w:szCs w:val="22"/>
              </w:rPr>
            </w:pPr>
            <w:r>
              <w:rPr>
                <w:rFonts w:eastAsia="Times New Roman" w:cs="Arial"/>
                <w:szCs w:val="22"/>
              </w:rPr>
              <w:t>a(2)</w:t>
            </w:r>
          </w:p>
        </w:tc>
      </w:tr>
      <w:tr w:rsidR="003529C5" w14:paraId="1AF409AF"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73AA90F"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0747C7F" w14:textId="06727140"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Pr>
                <w:rFonts w:eastAsia="Times New Roman" w:cs="Arial"/>
                <w:szCs w:val="22"/>
              </w:rPr>
              <w:t xml:space="preserve">s results for </w:t>
            </w:r>
            <w:r w:rsidR="001B5B68">
              <w:rPr>
                <w:rFonts w:eastAsia="Times New Roman" w:cs="Arial"/>
                <w:szCs w:val="22"/>
              </w:rPr>
              <w:t xml:space="preserve">the </w:t>
            </w:r>
            <w:r>
              <w:rPr>
                <w:rFonts w:eastAsia="Times New Roman" w:cs="Arial"/>
                <w:szCs w:val="22"/>
              </w:rPr>
              <w:t>engagement of faculty</w:t>
            </w:r>
            <w:r w:rsidR="00FA76AE">
              <w:rPr>
                <w:rFonts w:eastAsia="Times New Roman" w:cs="Arial"/>
                <w:szCs w:val="22"/>
              </w:rPr>
              <w:t xml:space="preserve"> members</w:t>
            </w:r>
            <w:r>
              <w:rPr>
                <w:rFonts w:eastAsia="Times New Roman" w:cs="Arial"/>
                <w:szCs w:val="22"/>
              </w:rPr>
              <w:t xml:space="preserve"> and administrators demonstrate good levels, </w:t>
            </w:r>
            <w:r w:rsidR="00B24163">
              <w:rPr>
                <w:rFonts w:eastAsia="Times New Roman" w:cs="Arial"/>
                <w:szCs w:val="22"/>
              </w:rPr>
              <w:t xml:space="preserve">beneficial </w:t>
            </w:r>
            <w:r w:rsidR="005D7B5E">
              <w:rPr>
                <w:rFonts w:eastAsia="Times New Roman" w:cs="Arial"/>
                <w:szCs w:val="22"/>
              </w:rPr>
              <w:t>trends,</w:t>
            </w:r>
            <w:r>
              <w:rPr>
                <w:rFonts w:eastAsia="Times New Roman" w:cs="Arial"/>
                <w:szCs w:val="22"/>
              </w:rPr>
              <w:t xml:space="preserve"> and </w:t>
            </w:r>
            <w:r w:rsidR="00B24163">
              <w:rPr>
                <w:rFonts w:eastAsia="Times New Roman" w:cs="Arial"/>
                <w:szCs w:val="22"/>
              </w:rPr>
              <w:t xml:space="preserve">good performance relative to </w:t>
            </w:r>
            <w:r>
              <w:rPr>
                <w:rFonts w:eastAsia="Times New Roman" w:cs="Arial"/>
                <w:szCs w:val="22"/>
              </w:rPr>
              <w:t>comparisons. Performance on the Great Higher Education Employers Survey exceed</w:t>
            </w:r>
            <w:r w:rsidR="00B24163">
              <w:rPr>
                <w:rFonts w:eastAsia="Times New Roman" w:cs="Arial"/>
                <w:szCs w:val="22"/>
              </w:rPr>
              <w:t>s</w:t>
            </w:r>
            <w:r w:rsidR="001B5B68">
              <w:rPr>
                <w:rFonts w:eastAsia="Times New Roman" w:cs="Arial"/>
                <w:szCs w:val="22"/>
              </w:rPr>
              <w:t xml:space="preserve"> the</w:t>
            </w:r>
            <w:r>
              <w:rPr>
                <w:rFonts w:eastAsia="Times New Roman" w:cs="Arial"/>
                <w:szCs w:val="22"/>
              </w:rPr>
              <w:t xml:space="preserve"> </w:t>
            </w:r>
            <w:r w:rsidR="00B24163">
              <w:rPr>
                <w:rFonts w:eastAsia="Times New Roman" w:cs="Arial"/>
                <w:szCs w:val="22"/>
              </w:rPr>
              <w:t>two</w:t>
            </w:r>
            <w:r>
              <w:rPr>
                <w:rFonts w:eastAsia="Times New Roman" w:cs="Arial"/>
                <w:szCs w:val="22"/>
              </w:rPr>
              <w:t xml:space="preserve">-year college top decile for all factors. Overall Workplace Climate (Figure 7.3-6) and Workforce Engagement Factors (Figure 7.3-10) show good relative levels, </w:t>
            </w:r>
            <w:r w:rsidR="005D7B5E">
              <w:rPr>
                <w:rFonts w:eastAsia="Times New Roman" w:cs="Arial"/>
                <w:szCs w:val="22"/>
              </w:rPr>
              <w:t>trends, and</w:t>
            </w:r>
            <w:r>
              <w:rPr>
                <w:rFonts w:eastAsia="Times New Roman" w:cs="Arial"/>
                <w:szCs w:val="22"/>
              </w:rPr>
              <w:t xml:space="preserve"> comparisons</w:t>
            </w:r>
            <w:r w:rsidR="000B50BB">
              <w:rPr>
                <w:rFonts w:eastAsia="Times New Roman" w:cs="Arial"/>
                <w:szCs w:val="22"/>
              </w:rPr>
              <w:t xml:space="preserve"> for faculty members and administrators</w:t>
            </w:r>
            <w:r>
              <w:rPr>
                <w:rFonts w:eastAsia="Times New Roman" w:cs="Arial"/>
                <w:szCs w:val="22"/>
              </w:rPr>
              <w:t xml:space="preserve">. </w:t>
            </w:r>
            <w:r w:rsidR="003529C5">
              <w:rPr>
                <w:rFonts w:eastAsia="Times New Roman" w:cs="Arial"/>
                <w:szCs w:val="22"/>
              </w:rPr>
              <w:t>This g</w:t>
            </w:r>
            <w:r>
              <w:rPr>
                <w:rFonts w:eastAsia="Times New Roman" w:cs="Arial"/>
                <w:szCs w:val="22"/>
              </w:rPr>
              <w:t xml:space="preserve">ood performance </w:t>
            </w:r>
            <w:r w:rsidR="003529C5">
              <w:rPr>
                <w:rFonts w:eastAsia="Times New Roman" w:cs="Arial"/>
                <w:szCs w:val="22"/>
              </w:rPr>
              <w:t>evidences the applicant</w:t>
            </w:r>
            <w:r w:rsidR="005663C4">
              <w:rPr>
                <w:rFonts w:eastAsia="Times New Roman" w:cs="Arial"/>
                <w:szCs w:val="22"/>
              </w:rPr>
              <w:t>’</w:t>
            </w:r>
            <w:r w:rsidR="003529C5">
              <w:rPr>
                <w:rFonts w:eastAsia="Times New Roman" w:cs="Arial"/>
                <w:szCs w:val="22"/>
              </w:rPr>
              <w:t xml:space="preserve">s success in responding to the workforce </w:t>
            </w:r>
            <w:r>
              <w:rPr>
                <w:rFonts w:eastAsia="Times New Roman" w:cs="Arial"/>
                <w:szCs w:val="22"/>
              </w:rPr>
              <w:t>engagement driver of</w:t>
            </w:r>
            <w:r w:rsidR="003529C5">
              <w:rPr>
                <w:rFonts w:eastAsia="Times New Roman" w:cs="Arial"/>
                <w:szCs w:val="22"/>
              </w:rPr>
              <w:t xml:space="preserve"> feeling</w:t>
            </w:r>
            <w:r>
              <w:rPr>
                <w:rFonts w:eastAsia="Times New Roman" w:cs="Arial"/>
                <w:szCs w:val="22"/>
              </w:rPr>
              <w:t xml:space="preserve"> valued as a </w:t>
            </w:r>
            <w:r w:rsidR="003529C5">
              <w:rPr>
                <w:rFonts w:eastAsia="Times New Roman" w:cs="Arial"/>
                <w:szCs w:val="22"/>
              </w:rPr>
              <w:t xml:space="preserve">team </w:t>
            </w:r>
            <w:r>
              <w:rPr>
                <w:rFonts w:eastAsia="Times New Roman" w:cs="Arial"/>
                <w:szCs w:val="22"/>
              </w:rPr>
              <w:t>member.</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FD8B1A9" w14:textId="77777777" w:rsidR="005E22BD" w:rsidRDefault="000A11B9">
            <w:pPr>
              <w:rPr>
                <w:rFonts w:eastAsia="Times New Roman" w:cs="Arial"/>
                <w:szCs w:val="22"/>
              </w:rPr>
            </w:pPr>
            <w:r>
              <w:rPr>
                <w:rFonts w:eastAsia="Times New Roman" w:cs="Arial"/>
                <w:szCs w:val="22"/>
              </w:rPr>
              <w:t>Narrow strength to give credit for good engagement levels but still provide room to call out lagging relative performance for staff engagement.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724699B" w14:textId="77777777" w:rsidR="005E22BD" w:rsidRDefault="000A11B9">
            <w:pPr>
              <w:rPr>
                <w:rFonts w:eastAsia="Times New Roman" w:cs="Arial"/>
                <w:szCs w:val="22"/>
              </w:rPr>
            </w:pPr>
            <w:r>
              <w:rPr>
                <w:rFonts w:eastAsia="Times New Roman" w:cs="Arial"/>
                <w:szCs w:val="22"/>
              </w:rPr>
              <w:t>a(3)</w:t>
            </w:r>
          </w:p>
        </w:tc>
      </w:tr>
    </w:tbl>
    <w:p w14:paraId="1F243A68"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7E0DEE" w14:paraId="399BC627" w14:textId="77777777" w:rsidTr="007E0DEE">
        <w:tc>
          <w:tcPr>
            <w:tcW w:w="10170" w:type="dxa"/>
          </w:tcPr>
          <w:p w14:paraId="33A41A90" w14:textId="76F84A95" w:rsidR="007E0DEE" w:rsidRDefault="007E0DEE" w:rsidP="007E0DEE">
            <w:pPr>
              <w:rPr>
                <w:rFonts w:eastAsia="Times New Roman" w:cs="Arial"/>
                <w:szCs w:val="22"/>
              </w:rPr>
            </w:pPr>
            <w:r>
              <w:rPr>
                <w:rFonts w:eastAsia="Times New Roman" w:cs="Arial"/>
                <w:szCs w:val="22"/>
              </w:rPr>
              <w:t xml:space="preserve">All the strengths seemed comparable to me with none rising above or falling below others in the ordering. </w:t>
            </w:r>
          </w:p>
        </w:tc>
      </w:tr>
    </w:tbl>
    <w:p w14:paraId="229190E4"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34"/>
        <w:gridCol w:w="4223"/>
        <w:gridCol w:w="1200"/>
      </w:tblGrid>
      <w:tr w:rsidR="005E22BD" w14:paraId="237E9679"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45704C80"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033A3E5"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5823300D"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8F754D7"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06F2528B"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A5F55AE"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666D71E" w14:textId="700A0B7F" w:rsidR="005E22BD" w:rsidRDefault="000A11B9">
            <w:pPr>
              <w:rPr>
                <w:rFonts w:eastAsia="Times New Roman" w:cs="Arial"/>
                <w:szCs w:val="22"/>
              </w:rPr>
            </w:pPr>
            <w:r>
              <w:rPr>
                <w:rFonts w:eastAsia="Times New Roman" w:cs="Arial"/>
                <w:szCs w:val="22"/>
              </w:rPr>
              <w:t xml:space="preserve">Some key workforce-related results are missing. For example, workforce capability results do not address academic credentials or appropriate skills. </w:t>
            </w:r>
            <w:r w:rsidR="00794AF2">
              <w:rPr>
                <w:rFonts w:eastAsia="Times New Roman" w:cs="Arial"/>
                <w:szCs w:val="22"/>
              </w:rPr>
              <w:t>In addition, a</w:t>
            </w:r>
            <w:r>
              <w:rPr>
                <w:rFonts w:eastAsia="Times New Roman" w:cs="Arial"/>
                <w:szCs w:val="22"/>
              </w:rPr>
              <w:t>ccessibility results, which may impact inclusion, are missing</w:t>
            </w:r>
            <w:r w:rsidR="00794AF2">
              <w:rPr>
                <w:rFonts w:eastAsia="Times New Roman" w:cs="Arial"/>
                <w:szCs w:val="22"/>
              </w:rPr>
              <w:t>, as are results for p</w:t>
            </w:r>
            <w:r>
              <w:rPr>
                <w:rFonts w:eastAsia="Times New Roman" w:cs="Arial"/>
                <w:szCs w:val="22"/>
              </w:rPr>
              <w:t xml:space="preserve">articipation </w:t>
            </w:r>
            <w:r w:rsidR="00794AF2">
              <w:rPr>
                <w:rFonts w:eastAsia="Times New Roman" w:cs="Arial"/>
                <w:szCs w:val="22"/>
              </w:rPr>
              <w:t xml:space="preserve">in </w:t>
            </w:r>
            <w:r>
              <w:rPr>
                <w:rFonts w:eastAsia="Times New Roman" w:cs="Arial"/>
                <w:szCs w:val="22"/>
              </w:rPr>
              <w:t>and satisfaction with wellness programs, the applicant</w:t>
            </w:r>
            <w:r w:rsidR="005663C4">
              <w:rPr>
                <w:rFonts w:eastAsia="Times New Roman" w:cs="Arial"/>
                <w:szCs w:val="22"/>
              </w:rPr>
              <w:t>’</w:t>
            </w:r>
            <w:r>
              <w:rPr>
                <w:rFonts w:eastAsia="Times New Roman" w:cs="Arial"/>
                <w:szCs w:val="22"/>
              </w:rPr>
              <w:t xml:space="preserve">s indicator of workplace health. </w:t>
            </w:r>
            <w:r w:rsidR="00794AF2">
              <w:rPr>
                <w:rFonts w:eastAsia="Times New Roman" w:cs="Arial"/>
                <w:szCs w:val="22"/>
              </w:rPr>
              <w:t xml:space="preserve">Tracking these </w:t>
            </w:r>
            <w:r>
              <w:rPr>
                <w:rFonts w:eastAsia="Times New Roman" w:cs="Arial"/>
                <w:szCs w:val="22"/>
              </w:rPr>
              <w:t xml:space="preserve">results may assist the applicant in </w:t>
            </w:r>
            <w:r w:rsidR="00794AF2">
              <w:rPr>
                <w:rFonts w:eastAsia="Times New Roman" w:cs="Arial"/>
                <w:szCs w:val="22"/>
              </w:rPr>
              <w:t xml:space="preserve">strengthening </w:t>
            </w:r>
            <w:r>
              <w:rPr>
                <w:rFonts w:eastAsia="Times New Roman" w:cs="Arial"/>
                <w:szCs w:val="22"/>
              </w:rPr>
              <w:t xml:space="preserve">its core competency of maintaining an expert, up-to-date workforce and </w:t>
            </w:r>
            <w:r w:rsidR="00FA76AE">
              <w:rPr>
                <w:rFonts w:eastAsia="Times New Roman" w:cs="Arial"/>
                <w:szCs w:val="22"/>
              </w:rPr>
              <w:t xml:space="preserve">in </w:t>
            </w:r>
            <w:r w:rsidR="00794AF2">
              <w:rPr>
                <w:rFonts w:eastAsia="Times New Roman" w:cs="Arial"/>
                <w:szCs w:val="22"/>
              </w:rPr>
              <w:t>respond</w:t>
            </w:r>
            <w:r w:rsidR="00FA76AE">
              <w:rPr>
                <w:rFonts w:eastAsia="Times New Roman" w:cs="Arial"/>
                <w:szCs w:val="22"/>
              </w:rPr>
              <w:t>ing</w:t>
            </w:r>
            <w:r w:rsidR="00794AF2">
              <w:rPr>
                <w:rFonts w:eastAsia="Times New Roman" w:cs="Arial"/>
                <w:szCs w:val="22"/>
              </w:rPr>
              <w:t xml:space="preserve"> to </w:t>
            </w:r>
            <w:r>
              <w:rPr>
                <w:rFonts w:eastAsia="Times New Roman" w:cs="Arial"/>
                <w:szCs w:val="22"/>
              </w:rPr>
              <w:t>the increased attention on instructor quality.</w:t>
            </w:r>
          </w:p>
        </w:tc>
        <w:tc>
          <w:tcPr>
            <w:tcW w:w="0" w:type="auto"/>
            <w:tcBorders>
              <w:bottom w:val="single" w:sz="6" w:space="0" w:color="000000"/>
              <w:right w:val="single" w:sz="6" w:space="0" w:color="000000"/>
            </w:tcBorders>
            <w:tcMar>
              <w:top w:w="75" w:type="dxa"/>
              <w:left w:w="75" w:type="dxa"/>
              <w:bottom w:w="75" w:type="dxa"/>
              <w:right w:w="75" w:type="dxa"/>
            </w:tcMar>
            <w:hideMark/>
          </w:tcPr>
          <w:p w14:paraId="412283BF" w14:textId="1DCB3B3E" w:rsidR="00B24163" w:rsidRDefault="000A11B9">
            <w:pPr>
              <w:rPr>
                <w:rFonts w:eastAsia="Times New Roman" w:cs="Arial"/>
                <w:szCs w:val="22"/>
              </w:rPr>
            </w:pPr>
            <w:r>
              <w:rPr>
                <w:rFonts w:eastAsia="Times New Roman" w:cs="Arial"/>
                <w:szCs w:val="22"/>
              </w:rPr>
              <w:t xml:space="preserve">The comment is taken from </w:t>
            </w:r>
            <w:r w:rsidR="007B4856">
              <w:rPr>
                <w:rFonts w:eastAsia="Times New Roman" w:cs="Arial"/>
                <w:szCs w:val="22"/>
              </w:rPr>
              <w:t>Ex6</w:t>
            </w:r>
            <w:r>
              <w:rPr>
                <w:rFonts w:eastAsia="Times New Roman" w:cs="Arial"/>
                <w:szCs w:val="22"/>
              </w:rPr>
              <w:t xml:space="preserve"> as a good summary of key missing results. Most examiners had an OFI around capability and</w:t>
            </w:r>
            <w:r w:rsidR="00794AF2">
              <w:rPr>
                <w:rFonts w:eastAsia="Times New Roman" w:cs="Arial"/>
                <w:szCs w:val="22"/>
              </w:rPr>
              <w:t>,</w:t>
            </w:r>
            <w:r>
              <w:rPr>
                <w:rFonts w:eastAsia="Times New Roman" w:cs="Arial"/>
                <w:szCs w:val="22"/>
              </w:rPr>
              <w:t xml:space="preserve"> while applicant presents a table for capability</w:t>
            </w:r>
            <w:r w:rsidR="00794AF2">
              <w:rPr>
                <w:rFonts w:eastAsia="Times New Roman" w:cs="Arial"/>
                <w:szCs w:val="22"/>
              </w:rPr>
              <w:t>,</w:t>
            </w:r>
            <w:r>
              <w:rPr>
                <w:rFonts w:eastAsia="Times New Roman" w:cs="Arial"/>
                <w:szCs w:val="22"/>
              </w:rPr>
              <w:t xml:space="preserve"> it does not address credentials and instructor quality.</w:t>
            </w:r>
          </w:p>
          <w:p w14:paraId="72576ABE" w14:textId="13476D31" w:rsidR="005E22BD" w:rsidRDefault="000A11B9">
            <w:pPr>
              <w:rPr>
                <w:rFonts w:eastAsia="Times New Roman" w:cs="Arial"/>
                <w:szCs w:val="22"/>
              </w:rPr>
            </w:pPr>
            <w:r>
              <w:rPr>
                <w:rFonts w:eastAsia="Times New Roman" w:cs="Arial"/>
                <w:szCs w:val="22"/>
              </w:rPr>
              <w:t>R1</w:t>
            </w:r>
            <w:r w:rsidR="00B24163">
              <w:rPr>
                <w:rFonts w:eastAsia="Times New Roman" w:cs="Arial"/>
                <w:szCs w:val="22"/>
              </w:rPr>
              <w:t xml:space="preserve">: </w:t>
            </w:r>
            <w:r>
              <w:rPr>
                <w:rFonts w:eastAsia="Times New Roman" w:cs="Arial"/>
                <w:szCs w:val="22"/>
              </w:rPr>
              <w:t>Moved to top per feedback</w:t>
            </w:r>
            <w:r w:rsidR="00794AF2">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1EA6FADA" w14:textId="58A01776" w:rsidR="005E22BD" w:rsidRDefault="00FA76AE">
            <w:pPr>
              <w:rPr>
                <w:rFonts w:eastAsia="Times New Roman" w:cs="Arial"/>
                <w:szCs w:val="22"/>
              </w:rPr>
            </w:pPr>
            <w:r>
              <w:rPr>
                <w:rFonts w:eastAsia="Times New Roman" w:cs="Arial"/>
                <w:szCs w:val="22"/>
              </w:rPr>
              <w:t>A</w:t>
            </w:r>
            <w:r w:rsidR="000A11B9">
              <w:rPr>
                <w:rFonts w:eastAsia="Times New Roman" w:cs="Arial"/>
                <w:szCs w:val="22"/>
              </w:rPr>
              <w:t>(1,2,3)</w:t>
            </w:r>
          </w:p>
        </w:tc>
      </w:tr>
      <w:tr w:rsidR="005E22BD" w14:paraId="3CC775F3"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9554DB4"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892B67F" w14:textId="74C07154" w:rsidR="005E22BD" w:rsidRDefault="000A11B9">
            <w:pPr>
              <w:rPr>
                <w:rFonts w:eastAsia="Times New Roman" w:cs="Arial"/>
                <w:szCs w:val="22"/>
              </w:rPr>
            </w:pPr>
            <w:r>
              <w:rPr>
                <w:rFonts w:eastAsia="Times New Roman" w:cs="Arial"/>
                <w:szCs w:val="22"/>
              </w:rPr>
              <w:t>Engagement results for staff</w:t>
            </w:r>
            <w:r w:rsidR="00FA76AE">
              <w:rPr>
                <w:rFonts w:eastAsia="Times New Roman" w:cs="Arial"/>
                <w:szCs w:val="22"/>
              </w:rPr>
              <w:t xml:space="preserve"> members</w:t>
            </w:r>
            <w:r>
              <w:rPr>
                <w:rFonts w:eastAsia="Times New Roman" w:cs="Arial"/>
                <w:szCs w:val="22"/>
              </w:rPr>
              <w:t xml:space="preserve">, the largest segment of the workforce, lag behind </w:t>
            </w:r>
            <w:r w:rsidR="00794AF2">
              <w:rPr>
                <w:rFonts w:eastAsia="Times New Roman" w:cs="Arial"/>
                <w:szCs w:val="22"/>
              </w:rPr>
              <w:t xml:space="preserve">those </w:t>
            </w:r>
            <w:r w:rsidR="000540EF">
              <w:rPr>
                <w:rFonts w:eastAsia="Times New Roman" w:cs="Arial"/>
                <w:szCs w:val="22"/>
              </w:rPr>
              <w:t xml:space="preserve">for </w:t>
            </w:r>
            <w:r>
              <w:rPr>
                <w:rFonts w:eastAsia="Times New Roman" w:cs="Arial"/>
                <w:szCs w:val="22"/>
              </w:rPr>
              <w:t>other</w:t>
            </w:r>
            <w:r w:rsidR="00794AF2">
              <w:rPr>
                <w:rFonts w:eastAsia="Times New Roman" w:cs="Arial"/>
                <w:szCs w:val="22"/>
              </w:rPr>
              <w:t xml:space="preserve"> workforce segments</w:t>
            </w:r>
            <w:r>
              <w:rPr>
                <w:rFonts w:eastAsia="Times New Roman" w:cs="Arial"/>
                <w:szCs w:val="22"/>
              </w:rPr>
              <w:t xml:space="preserve">. This is reflected in </w:t>
            </w:r>
            <w:r w:rsidR="00794AF2">
              <w:rPr>
                <w:rFonts w:eastAsia="Times New Roman" w:cs="Arial"/>
                <w:szCs w:val="22"/>
              </w:rPr>
              <w:t xml:space="preserve">results for all workforce engagement factors (Figures 7.3-9 and 7.3-10), </w:t>
            </w:r>
            <w:r>
              <w:rPr>
                <w:rFonts w:eastAsia="Times New Roman" w:cs="Arial"/>
                <w:szCs w:val="22"/>
              </w:rPr>
              <w:t xml:space="preserve">lower investment </w:t>
            </w:r>
            <w:r w:rsidR="00794AF2">
              <w:rPr>
                <w:rFonts w:eastAsia="Times New Roman" w:cs="Arial"/>
                <w:szCs w:val="22"/>
              </w:rPr>
              <w:t xml:space="preserve">in </w:t>
            </w:r>
            <w:r>
              <w:rPr>
                <w:rFonts w:eastAsia="Times New Roman" w:cs="Arial"/>
                <w:szCs w:val="22"/>
              </w:rPr>
              <w:t>staff learning and development (Figure 7.3-13), lower satisfaction with peer</w:t>
            </w:r>
            <w:r w:rsidR="00794AF2">
              <w:rPr>
                <w:rFonts w:eastAsia="Times New Roman" w:cs="Arial"/>
                <w:szCs w:val="22"/>
              </w:rPr>
              <w:t xml:space="preserve"> </w:t>
            </w:r>
            <w:r>
              <w:rPr>
                <w:rFonts w:eastAsia="Times New Roman" w:cs="Arial"/>
                <w:szCs w:val="22"/>
              </w:rPr>
              <w:t>mentoring (Figure 7.3-14), lower participation in leadership development (Figure 7.3-15)</w:t>
            </w:r>
            <w:r w:rsidR="00794AF2">
              <w:rPr>
                <w:rFonts w:eastAsia="Times New Roman" w:cs="Arial"/>
                <w:szCs w:val="22"/>
              </w:rPr>
              <w:t>,</w:t>
            </w:r>
            <w:r>
              <w:rPr>
                <w:rFonts w:eastAsia="Times New Roman" w:cs="Arial"/>
                <w:szCs w:val="22"/>
              </w:rPr>
              <w:t xml:space="preserve"> and </w:t>
            </w:r>
            <w:r w:rsidR="00794AF2">
              <w:rPr>
                <w:rFonts w:eastAsia="Times New Roman" w:cs="Arial"/>
                <w:szCs w:val="22"/>
              </w:rPr>
              <w:t xml:space="preserve">a mixed </w:t>
            </w:r>
            <w:r>
              <w:rPr>
                <w:rFonts w:eastAsia="Times New Roman" w:cs="Arial"/>
                <w:szCs w:val="22"/>
              </w:rPr>
              <w:t xml:space="preserve">attrition trend. </w:t>
            </w:r>
            <w:r w:rsidR="007A6041">
              <w:rPr>
                <w:rFonts w:eastAsia="Times New Roman" w:cs="Arial"/>
                <w:szCs w:val="22"/>
              </w:rPr>
              <w:t>Improvement in these areas</w:t>
            </w:r>
            <w:r>
              <w:rPr>
                <w:rFonts w:eastAsia="Times New Roman" w:cs="Arial"/>
                <w:szCs w:val="22"/>
              </w:rPr>
              <w:t xml:space="preserve"> may help the applicant meet </w:t>
            </w:r>
            <w:r w:rsidR="00794AF2">
              <w:rPr>
                <w:rFonts w:eastAsia="Times New Roman" w:cs="Arial"/>
                <w:szCs w:val="22"/>
              </w:rPr>
              <w:t>students</w:t>
            </w:r>
            <w:r w:rsidR="005663C4">
              <w:rPr>
                <w:rFonts w:eastAsia="Times New Roman" w:cs="Arial"/>
                <w:szCs w:val="22"/>
              </w:rPr>
              <w:t>’</w:t>
            </w:r>
            <w:r>
              <w:rPr>
                <w:rFonts w:eastAsia="Times New Roman" w:cs="Arial"/>
                <w:szCs w:val="22"/>
              </w:rPr>
              <w:t xml:space="preserve"> needs as it works to increase entry pathways to the college.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D53CE15" w14:textId="2ADB5F4B" w:rsidR="00B24163" w:rsidRDefault="000A11B9">
            <w:pPr>
              <w:rPr>
                <w:rFonts w:eastAsia="Times New Roman" w:cs="Arial"/>
                <w:szCs w:val="22"/>
              </w:rPr>
            </w:pPr>
            <w:r>
              <w:rPr>
                <w:rFonts w:eastAsia="Times New Roman" w:cs="Arial"/>
                <w:szCs w:val="22"/>
              </w:rPr>
              <w:t>Staff results traditionally are lower</w:t>
            </w:r>
            <w:r w:rsidR="00794AF2">
              <w:rPr>
                <w:rFonts w:eastAsia="Times New Roman" w:cs="Arial"/>
                <w:szCs w:val="22"/>
              </w:rPr>
              <w:t>,</w:t>
            </w:r>
            <w:r>
              <w:rPr>
                <w:rFonts w:eastAsia="Times New Roman" w:cs="Arial"/>
                <w:szCs w:val="22"/>
              </w:rPr>
              <w:t xml:space="preserve"> but this is across the board and</w:t>
            </w:r>
            <w:r w:rsidR="00794AF2">
              <w:rPr>
                <w:rFonts w:eastAsia="Times New Roman" w:cs="Arial"/>
                <w:szCs w:val="22"/>
              </w:rPr>
              <w:t>,</w:t>
            </w:r>
            <w:r>
              <w:rPr>
                <w:rFonts w:eastAsia="Times New Roman" w:cs="Arial"/>
                <w:szCs w:val="22"/>
              </w:rPr>
              <w:t xml:space="preserve"> with efforts to recover from the pandemic and an influx of high school enrollment that may need more services, the applicant may need to address this workforce segment sooner rather than later.</w:t>
            </w:r>
          </w:p>
          <w:p w14:paraId="2F702A9C" w14:textId="51C9EDB4"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7D1F81E7" w14:textId="77777777" w:rsidR="005E22BD" w:rsidRDefault="000A11B9">
            <w:pPr>
              <w:rPr>
                <w:rFonts w:eastAsia="Times New Roman" w:cs="Arial"/>
                <w:szCs w:val="22"/>
              </w:rPr>
            </w:pPr>
            <w:r>
              <w:rPr>
                <w:rFonts w:eastAsia="Times New Roman" w:cs="Arial"/>
                <w:szCs w:val="22"/>
              </w:rPr>
              <w:t>a(3)</w:t>
            </w:r>
          </w:p>
        </w:tc>
      </w:tr>
      <w:tr w:rsidR="005E22BD" w14:paraId="38375AE6"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B04CF02"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2865081" w14:textId="144338DA" w:rsidR="005E22BD" w:rsidRDefault="000A11B9">
            <w:pPr>
              <w:rPr>
                <w:rFonts w:eastAsia="Times New Roman" w:cs="Arial"/>
                <w:szCs w:val="22"/>
              </w:rPr>
            </w:pPr>
            <w:r>
              <w:rPr>
                <w:rFonts w:eastAsia="Times New Roman" w:cs="Arial"/>
                <w:szCs w:val="22"/>
              </w:rPr>
              <w:t>The applicant</w:t>
            </w:r>
            <w:r w:rsidR="005663C4">
              <w:rPr>
                <w:rFonts w:eastAsia="Times New Roman" w:cs="Arial"/>
                <w:szCs w:val="22"/>
              </w:rPr>
              <w:t>’</w:t>
            </w:r>
            <w:r w:rsidR="00794AF2">
              <w:rPr>
                <w:rFonts w:eastAsia="Times New Roman" w:cs="Arial"/>
                <w:szCs w:val="22"/>
              </w:rPr>
              <w:t>s</w:t>
            </w:r>
            <w:r>
              <w:rPr>
                <w:rFonts w:eastAsia="Times New Roman" w:cs="Arial"/>
                <w:szCs w:val="22"/>
              </w:rPr>
              <w:t xml:space="preserve"> </w:t>
            </w:r>
            <w:r w:rsidR="00794AF2">
              <w:rPr>
                <w:rFonts w:eastAsia="Times New Roman" w:cs="Arial"/>
                <w:szCs w:val="22"/>
              </w:rPr>
              <w:t>r</w:t>
            </w:r>
            <w:r>
              <w:rPr>
                <w:rFonts w:eastAsia="Times New Roman" w:cs="Arial"/>
                <w:szCs w:val="22"/>
              </w:rPr>
              <w:t xml:space="preserve">esults for workforce capacity and capability, climate, engagement, and development </w:t>
            </w:r>
            <w:r w:rsidR="00794AF2">
              <w:rPr>
                <w:rFonts w:eastAsia="Times New Roman" w:cs="Arial"/>
                <w:szCs w:val="22"/>
              </w:rPr>
              <w:t xml:space="preserve">are not segmented by </w:t>
            </w:r>
            <w:r>
              <w:rPr>
                <w:rFonts w:eastAsia="Times New Roman" w:cs="Arial"/>
                <w:szCs w:val="22"/>
              </w:rPr>
              <w:t>non-tenure</w:t>
            </w:r>
            <w:r w:rsidR="00140A93">
              <w:rPr>
                <w:rFonts w:eastAsia="Times New Roman" w:cs="Arial"/>
                <w:szCs w:val="22"/>
              </w:rPr>
              <w:t>-track</w:t>
            </w:r>
            <w:r w:rsidR="00794AF2">
              <w:rPr>
                <w:rFonts w:eastAsia="Times New Roman" w:cs="Arial"/>
                <w:szCs w:val="22"/>
              </w:rPr>
              <w:t>,</w:t>
            </w:r>
            <w:r>
              <w:rPr>
                <w:rFonts w:eastAsia="Times New Roman" w:cs="Arial"/>
                <w:szCs w:val="22"/>
              </w:rPr>
              <w:t xml:space="preserve"> adjunct</w:t>
            </w:r>
            <w:r w:rsidR="00140A93">
              <w:rPr>
                <w:rFonts w:eastAsia="Times New Roman" w:cs="Arial"/>
                <w:szCs w:val="22"/>
              </w:rPr>
              <w:t>, full-time, and part-time faculty</w:t>
            </w:r>
            <w:r w:rsidR="00FA76AE">
              <w:rPr>
                <w:rFonts w:eastAsia="Times New Roman" w:cs="Arial"/>
                <w:szCs w:val="22"/>
              </w:rPr>
              <w:t xml:space="preserve"> members</w:t>
            </w:r>
            <w:r>
              <w:rPr>
                <w:rFonts w:eastAsia="Times New Roman" w:cs="Arial"/>
                <w:szCs w:val="22"/>
              </w:rPr>
              <w:t xml:space="preserve">, a significant portion of the faculty ranks. </w:t>
            </w:r>
            <w:r w:rsidR="00140A93">
              <w:rPr>
                <w:rFonts w:eastAsia="Times New Roman" w:cs="Arial"/>
                <w:szCs w:val="22"/>
              </w:rPr>
              <w:t xml:space="preserve">Segmented results </w:t>
            </w:r>
            <w:r>
              <w:rPr>
                <w:rFonts w:eastAsia="Times New Roman" w:cs="Arial"/>
                <w:szCs w:val="22"/>
              </w:rPr>
              <w:t xml:space="preserve">may help the applicant </w:t>
            </w:r>
            <w:r w:rsidR="00140A93">
              <w:rPr>
                <w:rFonts w:eastAsia="Times New Roman" w:cs="Arial"/>
                <w:szCs w:val="22"/>
              </w:rPr>
              <w:t xml:space="preserve">ensure that it is </w:t>
            </w:r>
            <w:r>
              <w:rPr>
                <w:rFonts w:eastAsia="Times New Roman" w:cs="Arial"/>
                <w:szCs w:val="22"/>
              </w:rPr>
              <w:t>fulfill</w:t>
            </w:r>
            <w:r w:rsidR="00140A93">
              <w:rPr>
                <w:rFonts w:eastAsia="Times New Roman" w:cs="Arial"/>
                <w:szCs w:val="22"/>
              </w:rPr>
              <w:t>ing the</w:t>
            </w:r>
            <w:r>
              <w:rPr>
                <w:rFonts w:eastAsia="Times New Roman" w:cs="Arial"/>
                <w:szCs w:val="22"/>
              </w:rPr>
              <w:t xml:space="preserve"> engagement drivers for all employees.</w:t>
            </w:r>
          </w:p>
        </w:tc>
        <w:tc>
          <w:tcPr>
            <w:tcW w:w="0" w:type="auto"/>
            <w:tcBorders>
              <w:bottom w:val="single" w:sz="6" w:space="0" w:color="000000"/>
              <w:right w:val="single" w:sz="6" w:space="0" w:color="000000"/>
            </w:tcBorders>
            <w:tcMar>
              <w:top w:w="75" w:type="dxa"/>
              <w:left w:w="75" w:type="dxa"/>
              <w:bottom w:w="75" w:type="dxa"/>
              <w:right w:w="75" w:type="dxa"/>
            </w:tcMar>
            <w:hideMark/>
          </w:tcPr>
          <w:p w14:paraId="4E1D241B" w14:textId="17FF6884" w:rsidR="00B24163" w:rsidRDefault="000A11B9">
            <w:pPr>
              <w:rPr>
                <w:rFonts w:eastAsia="Times New Roman" w:cs="Arial"/>
                <w:szCs w:val="22"/>
              </w:rPr>
            </w:pPr>
            <w:r>
              <w:rPr>
                <w:rFonts w:eastAsia="Times New Roman" w:cs="Arial"/>
                <w:szCs w:val="22"/>
              </w:rPr>
              <w:t xml:space="preserve">Unlike segmentation of workforce capacity by programs, which would require display far more data by the program, the applicant simply needed to add another line for </w:t>
            </w:r>
            <w:r w:rsidR="000540EF">
              <w:rPr>
                <w:rFonts w:eastAsia="Times New Roman" w:cs="Arial"/>
                <w:szCs w:val="22"/>
              </w:rPr>
              <w:t xml:space="preserve">adjuncts </w:t>
            </w:r>
            <w:r>
              <w:rPr>
                <w:rFonts w:eastAsia="Times New Roman" w:cs="Arial"/>
                <w:szCs w:val="22"/>
              </w:rPr>
              <w:t>and non-tenure</w:t>
            </w:r>
            <w:r w:rsidR="00140A93">
              <w:rPr>
                <w:rFonts w:eastAsia="Times New Roman" w:cs="Arial"/>
                <w:szCs w:val="22"/>
              </w:rPr>
              <w:t>-</w:t>
            </w:r>
            <w:r>
              <w:rPr>
                <w:rFonts w:eastAsia="Times New Roman" w:cs="Arial"/>
                <w:szCs w:val="22"/>
              </w:rPr>
              <w:t xml:space="preserve">track faculty, </w:t>
            </w:r>
            <w:r w:rsidR="005D7B5E">
              <w:rPr>
                <w:rFonts w:eastAsia="Times New Roman" w:cs="Arial"/>
                <w:szCs w:val="22"/>
              </w:rPr>
              <w:t>FT,</w:t>
            </w:r>
            <w:r>
              <w:rPr>
                <w:rFonts w:eastAsia="Times New Roman" w:cs="Arial"/>
                <w:szCs w:val="22"/>
              </w:rPr>
              <w:t xml:space="preserve"> and PT. So while segmentation by programs may have warranted </w:t>
            </w:r>
            <w:r w:rsidR="00140A93">
              <w:rPr>
                <w:rFonts w:eastAsia="Times New Roman" w:cs="Arial"/>
                <w:szCs w:val="22"/>
              </w:rPr>
              <w:t>benefit of the doubt</w:t>
            </w:r>
            <w:r>
              <w:rPr>
                <w:rFonts w:eastAsia="Times New Roman" w:cs="Arial"/>
                <w:szCs w:val="22"/>
              </w:rPr>
              <w:t>, leaving off a significant segment of the most important work population</w:t>
            </w:r>
            <w:r w:rsidR="00140A93">
              <w:rPr>
                <w:rFonts w:eastAsia="Times New Roman" w:cs="Arial"/>
                <w:szCs w:val="22"/>
              </w:rPr>
              <w:t>—</w:t>
            </w:r>
            <w:r>
              <w:rPr>
                <w:rFonts w:eastAsia="Times New Roman" w:cs="Arial"/>
                <w:szCs w:val="22"/>
              </w:rPr>
              <w:t>faculty</w:t>
            </w:r>
            <w:r w:rsidR="00FA76AE">
              <w:rPr>
                <w:rFonts w:eastAsia="Times New Roman" w:cs="Arial"/>
                <w:szCs w:val="22"/>
              </w:rPr>
              <w:t xml:space="preserve"> members</w:t>
            </w:r>
            <w:r w:rsidR="00140A93">
              <w:rPr>
                <w:rFonts w:eastAsia="Times New Roman" w:cs="Arial"/>
                <w:szCs w:val="22"/>
              </w:rPr>
              <w:t>—</w:t>
            </w:r>
            <w:r>
              <w:rPr>
                <w:rFonts w:eastAsia="Times New Roman" w:cs="Arial"/>
                <w:szCs w:val="22"/>
              </w:rPr>
              <w:t xml:space="preserve">does not warrant </w:t>
            </w:r>
            <w:r w:rsidR="00140A93">
              <w:rPr>
                <w:rFonts w:eastAsia="Times New Roman" w:cs="Arial"/>
                <w:szCs w:val="22"/>
              </w:rPr>
              <w:t>benefit of the doubt</w:t>
            </w:r>
            <w:r>
              <w:rPr>
                <w:rFonts w:eastAsia="Times New Roman" w:cs="Arial"/>
                <w:szCs w:val="22"/>
              </w:rPr>
              <w:t>.</w:t>
            </w:r>
          </w:p>
          <w:p w14:paraId="45CB10FF" w14:textId="1316007B" w:rsidR="005E22BD" w:rsidRDefault="000A11B9">
            <w:pPr>
              <w:rPr>
                <w:rFonts w:eastAsia="Times New Roman" w:cs="Arial"/>
                <w:szCs w:val="22"/>
              </w:rPr>
            </w:pPr>
            <w:r>
              <w:rPr>
                <w:rFonts w:eastAsia="Times New Roman" w:cs="Arial"/>
                <w:szCs w:val="22"/>
              </w:rPr>
              <w:t>R1</w:t>
            </w:r>
            <w:r w:rsidR="00B24163">
              <w:rPr>
                <w:rFonts w:eastAsia="Times New Roman" w:cs="Arial"/>
                <w:szCs w:val="22"/>
              </w:rPr>
              <w:t xml:space="preserve">: </w:t>
            </w:r>
            <w:r>
              <w:rPr>
                <w:rFonts w:eastAsia="Times New Roman" w:cs="Arial"/>
                <w:szCs w:val="22"/>
              </w:rPr>
              <w:t xml:space="preserve">minor edits per </w:t>
            </w:r>
            <w:r w:rsidR="007B4856">
              <w:rPr>
                <w:rFonts w:eastAsia="Times New Roman" w:cs="Arial"/>
                <w:szCs w:val="22"/>
              </w:rPr>
              <w:t>Ex3</w:t>
            </w:r>
            <w:r>
              <w:rPr>
                <w:rFonts w:eastAsia="Times New Roman" w:cs="Arial"/>
                <w:szCs w:val="22"/>
              </w:rPr>
              <w:t xml:space="preserve"> feedback</w:t>
            </w:r>
          </w:p>
        </w:tc>
        <w:tc>
          <w:tcPr>
            <w:tcW w:w="0" w:type="auto"/>
            <w:tcBorders>
              <w:bottom w:val="single" w:sz="6" w:space="0" w:color="000000"/>
              <w:right w:val="single" w:sz="6" w:space="0" w:color="000000"/>
            </w:tcBorders>
            <w:tcMar>
              <w:top w:w="75" w:type="dxa"/>
              <w:left w:w="75" w:type="dxa"/>
              <w:bottom w:w="75" w:type="dxa"/>
              <w:right w:w="75" w:type="dxa"/>
            </w:tcMar>
            <w:hideMark/>
          </w:tcPr>
          <w:p w14:paraId="1A57DFF4" w14:textId="77777777" w:rsidR="005E22BD" w:rsidRDefault="000A11B9">
            <w:pPr>
              <w:rPr>
                <w:rFonts w:eastAsia="Times New Roman" w:cs="Arial"/>
                <w:szCs w:val="22"/>
              </w:rPr>
            </w:pPr>
            <w:r>
              <w:rPr>
                <w:rFonts w:eastAsia="Times New Roman" w:cs="Arial"/>
                <w:szCs w:val="22"/>
              </w:rPr>
              <w:t>a</w:t>
            </w:r>
          </w:p>
        </w:tc>
      </w:tr>
    </w:tbl>
    <w:p w14:paraId="3EA6F96E"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7E0DEE" w14:paraId="440CA44B" w14:textId="77777777" w:rsidTr="007E0DEE">
        <w:tc>
          <w:tcPr>
            <w:tcW w:w="10170" w:type="dxa"/>
          </w:tcPr>
          <w:p w14:paraId="13B60792" w14:textId="6C071FB1" w:rsidR="007E0DEE" w:rsidRDefault="007E0DEE" w:rsidP="007E0DEE">
            <w:pPr>
              <w:rPr>
                <w:rFonts w:eastAsia="Times New Roman" w:cs="Arial"/>
                <w:szCs w:val="22"/>
              </w:rPr>
            </w:pPr>
            <w:r>
              <w:rPr>
                <w:rFonts w:eastAsia="Times New Roman" w:cs="Arial"/>
                <w:szCs w:val="22"/>
              </w:rPr>
              <w:t xml:space="preserve">Benefit of the doubt that the applicant has segmented results for capacity for programs in 7.3-2 Workforce Attrition, 7.3-3 Vacancy Rates, and 7.3-4 Faculty-Student Ratio. There is a possible OFI here, but for now there are other more critical areas for feedback and overall results are relatively good. Would be an issue to clarify should applicant make it to </w:t>
            </w:r>
            <w:r w:rsidR="00FA76AE">
              <w:rPr>
                <w:rFonts w:eastAsia="Times New Roman" w:cs="Arial"/>
                <w:szCs w:val="22"/>
              </w:rPr>
              <w:t xml:space="preserve">a </w:t>
            </w:r>
            <w:r>
              <w:rPr>
                <w:rFonts w:eastAsia="Times New Roman" w:cs="Arial"/>
                <w:szCs w:val="22"/>
              </w:rPr>
              <w:t>site</w:t>
            </w:r>
            <w:r w:rsidR="00FA76AE">
              <w:rPr>
                <w:rFonts w:eastAsia="Times New Roman" w:cs="Arial"/>
                <w:szCs w:val="22"/>
              </w:rPr>
              <w:t xml:space="preserve"> visit</w:t>
            </w:r>
            <w:r>
              <w:rPr>
                <w:rFonts w:eastAsia="Times New Roman" w:cs="Arial"/>
                <w:szCs w:val="22"/>
              </w:rPr>
              <w:t xml:space="preserve">. </w:t>
            </w:r>
          </w:p>
          <w:p w14:paraId="4FAD3D11" w14:textId="06CEC082" w:rsidR="007E0DEE" w:rsidRDefault="007E0DEE" w:rsidP="007E0DEE">
            <w:pPr>
              <w:rPr>
                <w:rFonts w:eastAsia="Times New Roman" w:cs="Arial"/>
                <w:szCs w:val="22"/>
              </w:rPr>
            </w:pPr>
            <w:r>
              <w:rPr>
                <w:rFonts w:eastAsia="Times New Roman" w:cs="Arial"/>
                <w:szCs w:val="22"/>
              </w:rPr>
              <w:t>Benefit of the doubt that Worker</w:t>
            </w:r>
            <w:r w:rsidR="005663C4">
              <w:rPr>
                <w:rFonts w:eastAsia="Times New Roman" w:cs="Arial"/>
                <w:szCs w:val="22"/>
              </w:rPr>
              <w:t>’</w:t>
            </w:r>
            <w:r>
              <w:rPr>
                <w:rFonts w:eastAsia="Times New Roman" w:cs="Arial"/>
                <w:szCs w:val="22"/>
              </w:rPr>
              <w:t>s Compensation Injuries is a result of charting error; that the applicant does not have thousands of falls, sprains, and burns each year or that “other” injuries don</w:t>
            </w:r>
            <w:r w:rsidR="005663C4">
              <w:rPr>
                <w:rFonts w:eastAsia="Times New Roman" w:cs="Arial"/>
                <w:szCs w:val="22"/>
              </w:rPr>
              <w:t>’</w:t>
            </w:r>
            <w:r>
              <w:rPr>
                <w:rFonts w:eastAsia="Times New Roman" w:cs="Arial"/>
                <w:szCs w:val="22"/>
              </w:rPr>
              <w:t>t number in the five figures. This might be clarified in an applicant call if it is caught early enough, but benefit of the doubt is warranted to reserve comments for more realistic feedback.</w:t>
            </w:r>
          </w:p>
        </w:tc>
      </w:tr>
    </w:tbl>
    <w:p w14:paraId="0B3DC4B8"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170"/>
      </w:tblGrid>
      <w:tr w:rsidR="007E0DEE" w14:paraId="06351C3A" w14:textId="77777777" w:rsidTr="007E0DEE">
        <w:tc>
          <w:tcPr>
            <w:tcW w:w="10170" w:type="dxa"/>
          </w:tcPr>
          <w:p w14:paraId="0BE94D2D"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55</w:t>
            </w:r>
          </w:p>
          <w:p w14:paraId="10426DD3"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5F7BED26" w14:textId="765FDC7A" w:rsidR="007E0DEE" w:rsidRDefault="007E0DEE" w:rsidP="007E0DEE">
            <w:pPr>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The applicant addresses more than the basic</w:t>
            </w:r>
            <w:r w:rsidR="00FA76AE">
              <w:rPr>
                <w:rStyle w:val="Strong"/>
                <w:rFonts w:eastAsia="Times New Roman" w:cs="Arial"/>
                <w:b w:val="0"/>
                <w:bCs w:val="0"/>
                <w:szCs w:val="22"/>
              </w:rPr>
              <w:t xml:space="preserve"> Criteria questions</w:t>
            </w:r>
            <w:r w:rsidRPr="00FD460C">
              <w:rPr>
                <w:rStyle w:val="Strong"/>
                <w:rFonts w:eastAsia="Times New Roman" w:cs="Arial"/>
                <w:b w:val="0"/>
                <w:bCs w:val="0"/>
                <w:szCs w:val="22"/>
              </w:rPr>
              <w:t xml:space="preserve"> and </w:t>
            </w:r>
            <w:r w:rsidR="00FA76AE">
              <w:rPr>
                <w:rStyle w:val="Strong"/>
                <w:rFonts w:eastAsia="Times New Roman" w:cs="Arial"/>
                <w:b w:val="0"/>
                <w:bCs w:val="0"/>
                <w:szCs w:val="22"/>
              </w:rPr>
              <w:t xml:space="preserve">in </w:t>
            </w:r>
            <w:r w:rsidRPr="00FD460C">
              <w:rPr>
                <w:rStyle w:val="Strong"/>
                <w:rFonts w:eastAsia="Times New Roman" w:cs="Arial"/>
                <w:b w:val="0"/>
                <w:bCs w:val="0"/>
                <w:szCs w:val="22"/>
              </w:rPr>
              <w:t xml:space="preserve">some cases goes into the multiples but </w:t>
            </w:r>
            <w:r>
              <w:rPr>
                <w:rStyle w:val="Strong"/>
                <w:rFonts w:eastAsia="Times New Roman" w:cs="Arial"/>
                <w:b w:val="0"/>
                <w:bCs w:val="0"/>
                <w:szCs w:val="22"/>
              </w:rPr>
              <w:t xml:space="preserve">is </w:t>
            </w:r>
            <w:r w:rsidRPr="00FD460C">
              <w:rPr>
                <w:rStyle w:val="Strong"/>
                <w:rFonts w:eastAsia="Times New Roman" w:cs="Arial"/>
                <w:b w:val="0"/>
                <w:bCs w:val="0"/>
                <w:szCs w:val="22"/>
              </w:rPr>
              <w:t xml:space="preserve">missing </w:t>
            </w:r>
            <w:r w:rsidR="00FA76AE">
              <w:rPr>
                <w:rStyle w:val="Strong"/>
                <w:rFonts w:eastAsia="Times New Roman" w:cs="Arial"/>
                <w:b w:val="0"/>
                <w:bCs w:val="0"/>
                <w:szCs w:val="22"/>
              </w:rPr>
              <w:t xml:space="preserve">responses to questions in </w:t>
            </w:r>
            <w:r w:rsidRPr="00FD460C">
              <w:rPr>
                <w:rStyle w:val="Strong"/>
                <w:rFonts w:eastAsia="Times New Roman" w:cs="Arial"/>
                <w:b w:val="0"/>
                <w:bCs w:val="0"/>
                <w:szCs w:val="22"/>
              </w:rPr>
              <w:t xml:space="preserve">key areas for capacity, capability, and climate. There are enough beneficial trends to say </w:t>
            </w:r>
            <w:r>
              <w:rPr>
                <w:rStyle w:val="Strong"/>
                <w:rFonts w:eastAsia="Times New Roman" w:cs="Arial"/>
                <w:b w:val="0"/>
                <w:bCs w:val="0"/>
                <w:szCs w:val="22"/>
              </w:rPr>
              <w:t xml:space="preserve">that they are </w:t>
            </w:r>
            <w:r w:rsidRPr="00FD460C">
              <w:rPr>
                <w:rStyle w:val="Strong"/>
                <w:rFonts w:eastAsia="Times New Roman" w:cs="Arial"/>
                <w:b w:val="0"/>
                <w:bCs w:val="0"/>
                <w:szCs w:val="22"/>
              </w:rPr>
              <w:t xml:space="preserve">evident in areas of importance but not sustained over time in most areas, but </w:t>
            </w:r>
            <w:r>
              <w:rPr>
                <w:rStyle w:val="Strong"/>
                <w:rFonts w:eastAsia="Times New Roman" w:cs="Arial"/>
                <w:b w:val="0"/>
                <w:bCs w:val="0"/>
                <w:szCs w:val="22"/>
              </w:rPr>
              <w:t xml:space="preserve">there is </w:t>
            </w:r>
            <w:r w:rsidRPr="00FD460C">
              <w:rPr>
                <w:rStyle w:val="Strong"/>
                <w:rFonts w:eastAsia="Times New Roman" w:cs="Arial"/>
                <w:b w:val="0"/>
                <w:bCs w:val="0"/>
                <w:szCs w:val="22"/>
              </w:rPr>
              <w:t xml:space="preserve">weakness in </w:t>
            </w:r>
            <w:r w:rsidR="00FA76AE">
              <w:rPr>
                <w:rStyle w:val="Strong"/>
                <w:rFonts w:eastAsia="Times New Roman" w:cs="Arial"/>
                <w:b w:val="0"/>
                <w:bCs w:val="0"/>
                <w:szCs w:val="22"/>
              </w:rPr>
              <w:t xml:space="preserve">the </w:t>
            </w:r>
            <w:r w:rsidRPr="00FD460C">
              <w:rPr>
                <w:rStyle w:val="Strong"/>
                <w:rFonts w:eastAsia="Times New Roman" w:cs="Arial"/>
                <w:b w:val="0"/>
                <w:bCs w:val="0"/>
                <w:szCs w:val="22"/>
              </w:rPr>
              <w:t>staff</w:t>
            </w:r>
            <w:r w:rsidR="00FA76AE">
              <w:rPr>
                <w:rStyle w:val="Strong"/>
                <w:rFonts w:eastAsia="Times New Roman" w:cs="Arial"/>
                <w:b w:val="0"/>
                <w:bCs w:val="0"/>
                <w:szCs w:val="22"/>
              </w:rPr>
              <w:t xml:space="preserve"> segment</w:t>
            </w:r>
            <w:r w:rsidRPr="00FD460C">
              <w:rPr>
                <w:rStyle w:val="Strong"/>
                <w:rFonts w:eastAsia="Times New Roman" w:cs="Arial"/>
                <w:b w:val="0"/>
                <w:bCs w:val="0"/>
                <w:szCs w:val="22"/>
              </w:rPr>
              <w:t xml:space="preserve"> results. Results are reported for many areas but missing </w:t>
            </w:r>
            <w:r>
              <w:rPr>
                <w:rStyle w:val="Strong"/>
                <w:rFonts w:eastAsia="Times New Roman" w:cs="Arial"/>
                <w:b w:val="0"/>
                <w:bCs w:val="0"/>
                <w:szCs w:val="22"/>
              </w:rPr>
              <w:t xml:space="preserve">for </w:t>
            </w:r>
            <w:r w:rsidRPr="00FD460C">
              <w:rPr>
                <w:rStyle w:val="Strong"/>
                <w:rFonts w:eastAsia="Times New Roman" w:cs="Arial"/>
                <w:b w:val="0"/>
                <w:bCs w:val="0"/>
                <w:szCs w:val="22"/>
              </w:rPr>
              <w:t>key areas of adjunct and non-tenure</w:t>
            </w:r>
            <w:r>
              <w:rPr>
                <w:rStyle w:val="Strong"/>
                <w:rFonts w:eastAsia="Times New Roman" w:cs="Arial"/>
                <w:b w:val="0"/>
                <w:bCs w:val="0"/>
                <w:szCs w:val="22"/>
              </w:rPr>
              <w:t>-track</w:t>
            </w:r>
            <w:r w:rsidRPr="00FD460C">
              <w:rPr>
                <w:rStyle w:val="Strong"/>
                <w:rFonts w:eastAsia="Times New Roman" w:cs="Arial"/>
                <w:b w:val="0"/>
                <w:bCs w:val="0"/>
                <w:szCs w:val="22"/>
              </w:rPr>
              <w:t xml:space="preserve"> faculty</w:t>
            </w:r>
            <w:r w:rsidR="00FA76AE">
              <w:rPr>
                <w:rStyle w:val="Strong"/>
                <w:rFonts w:eastAsia="Times New Roman" w:cs="Arial"/>
                <w:b w:val="0"/>
                <w:bCs w:val="0"/>
                <w:szCs w:val="22"/>
              </w:rPr>
              <w:t xml:space="preserve"> members</w:t>
            </w:r>
            <w:r w:rsidRPr="00FD460C">
              <w:rPr>
                <w:rStyle w:val="Strong"/>
                <w:rFonts w:eastAsia="Times New Roman" w:cs="Arial"/>
                <w:b w:val="0"/>
                <w:bCs w:val="0"/>
                <w:szCs w:val="22"/>
              </w:rPr>
              <w:t>; key missing results</w:t>
            </w:r>
            <w:r w:rsidR="00FA76AE">
              <w:rPr>
                <w:rStyle w:val="Strong"/>
                <w:rFonts w:eastAsia="Times New Roman" w:cs="Arial"/>
                <w:b w:val="0"/>
                <w:bCs w:val="0"/>
                <w:szCs w:val="22"/>
              </w:rPr>
              <w:t xml:space="preserve"> also</w:t>
            </w:r>
            <w:r w:rsidRPr="00FD460C">
              <w:rPr>
                <w:rStyle w:val="Strong"/>
                <w:rFonts w:eastAsia="Times New Roman" w:cs="Arial"/>
                <w:b w:val="0"/>
                <w:bCs w:val="0"/>
                <w:szCs w:val="22"/>
              </w:rPr>
              <w:t xml:space="preserve"> </w:t>
            </w:r>
            <w:r w:rsidR="00FA76AE">
              <w:rPr>
                <w:rStyle w:val="Strong"/>
                <w:rFonts w:eastAsia="Times New Roman" w:cs="Arial"/>
                <w:b w:val="0"/>
                <w:bCs w:val="0"/>
                <w:szCs w:val="22"/>
              </w:rPr>
              <w:t xml:space="preserve">help </w:t>
            </w:r>
            <w:r w:rsidRPr="00FD460C">
              <w:rPr>
                <w:rStyle w:val="Strong"/>
                <w:rFonts w:eastAsia="Times New Roman" w:cs="Arial"/>
                <w:b w:val="0"/>
                <w:bCs w:val="0"/>
                <w:szCs w:val="22"/>
              </w:rPr>
              <w:t xml:space="preserve">put this in the </w:t>
            </w:r>
            <w:r>
              <w:rPr>
                <w:rStyle w:val="Strong"/>
                <w:rFonts w:eastAsia="Times New Roman" w:cs="Arial"/>
                <w:b w:val="0"/>
                <w:bCs w:val="0"/>
                <w:szCs w:val="22"/>
              </w:rPr>
              <w:t xml:space="preserve">50–65% range, </w:t>
            </w:r>
            <w:r w:rsidRPr="00FD460C">
              <w:rPr>
                <w:rStyle w:val="Strong"/>
                <w:rFonts w:eastAsia="Times New Roman" w:cs="Arial"/>
                <w:b w:val="0"/>
                <w:bCs w:val="0"/>
                <w:szCs w:val="22"/>
              </w:rPr>
              <w:t xml:space="preserve">with </w:t>
            </w:r>
            <w:r>
              <w:rPr>
                <w:rStyle w:val="Strong"/>
                <w:rFonts w:eastAsia="Times New Roman" w:cs="Arial"/>
                <w:b w:val="0"/>
                <w:bCs w:val="0"/>
                <w:szCs w:val="22"/>
              </w:rPr>
              <w:t>a score of</w:t>
            </w:r>
            <w:r w:rsidRPr="00FD460C">
              <w:rPr>
                <w:rStyle w:val="Strong"/>
                <w:rFonts w:eastAsia="Times New Roman" w:cs="Arial"/>
                <w:b w:val="0"/>
                <w:bCs w:val="0"/>
                <w:szCs w:val="22"/>
              </w:rPr>
              <w:t xml:space="preserve"> 55, give or take 5%.</w:t>
            </w:r>
          </w:p>
          <w:p w14:paraId="3045BF2B" w14:textId="77777777" w:rsidR="007E0DEE" w:rsidRDefault="007E0DEE" w:rsidP="007E0DEE">
            <w:pPr>
              <w:rPr>
                <w:rFonts w:eastAsia="Times New Roman" w:cs="Arial"/>
                <w:b/>
                <w:bCs/>
                <w:szCs w:val="22"/>
              </w:rPr>
            </w:pPr>
            <w:r w:rsidRPr="00FD460C">
              <w:rPr>
                <w:rStyle w:val="Strong"/>
                <w:rFonts w:eastAsia="Times New Roman" w:cs="Arial"/>
                <w:b w:val="0"/>
                <w:bCs w:val="0"/>
                <w:szCs w:val="22"/>
              </w:rPr>
              <w:lastRenderedPageBreak/>
              <w:t>R1</w:t>
            </w:r>
            <w:r>
              <w:rPr>
                <w:rStyle w:val="Strong"/>
                <w:rFonts w:eastAsia="Times New Roman" w:cs="Arial"/>
                <w:b w:val="0"/>
                <w:bCs w:val="0"/>
                <w:szCs w:val="22"/>
              </w:rPr>
              <w:t xml:space="preserve">: </w:t>
            </w:r>
            <w:r w:rsidRPr="00FD460C">
              <w:rPr>
                <w:rStyle w:val="Strong"/>
                <w:rFonts w:eastAsia="Times New Roman" w:cs="Arial"/>
                <w:b w:val="0"/>
                <w:bCs w:val="0"/>
                <w:szCs w:val="22"/>
              </w:rPr>
              <w:t>Holding on score for further team feedback</w:t>
            </w:r>
            <w:r>
              <w:rPr>
                <w:rStyle w:val="Strong"/>
                <w:rFonts w:eastAsia="Times New Roman" w:cs="Arial"/>
                <w:b w:val="0"/>
                <w:bCs w:val="0"/>
                <w:szCs w:val="22"/>
              </w:rPr>
              <w:t>.</w:t>
            </w:r>
            <w:r w:rsidRPr="00FD460C">
              <w:rPr>
                <w:rFonts w:eastAsia="Times New Roman" w:cs="Arial"/>
                <w:b/>
                <w:bCs/>
                <w:szCs w:val="22"/>
              </w:rPr>
              <w:t xml:space="preserve"> </w:t>
            </w:r>
          </w:p>
          <w:p w14:paraId="15A56C36" w14:textId="348A10B8" w:rsidR="007E0DEE" w:rsidRDefault="007E0DEE" w:rsidP="007E0DEE">
            <w:pPr>
              <w:rPr>
                <w:rFonts w:eastAsia="Times New Roman" w:cs="Arial"/>
                <w:b/>
                <w:bCs/>
                <w:szCs w:val="22"/>
              </w:rPr>
            </w:pPr>
            <w:r w:rsidRPr="00B24163">
              <w:rPr>
                <w:rFonts w:eastAsia="Times New Roman" w:cs="Arial"/>
                <w:szCs w:val="22"/>
              </w:rPr>
              <w:t>The team reached consensus on a score of 55.</w:t>
            </w:r>
          </w:p>
        </w:tc>
      </w:tr>
    </w:tbl>
    <w:p w14:paraId="46680E3B" w14:textId="77777777" w:rsidR="00050D3F" w:rsidRDefault="00050D3F">
      <w:pPr>
        <w:spacing w:after="0"/>
        <w:rPr>
          <w:rFonts w:eastAsia="Times New Roman" w:cs="Arial"/>
          <w:b/>
          <w:bCs/>
          <w:szCs w:val="22"/>
        </w:rPr>
      </w:pPr>
      <w:r>
        <w:rPr>
          <w:rFonts w:eastAsia="Times New Roman" w:cs="Arial"/>
          <w:b/>
          <w:bCs/>
          <w:szCs w:val="22"/>
        </w:rPr>
        <w:lastRenderedPageBreak/>
        <w:br w:type="page"/>
      </w:r>
    </w:p>
    <w:p w14:paraId="5AFD82F3"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7.4</w:t>
      </w:r>
    </w:p>
    <w:p w14:paraId="4A959891" w14:textId="77777777" w:rsidR="005E22BD" w:rsidRDefault="000A11B9">
      <w:pPr>
        <w:pStyle w:val="Heading2"/>
        <w:divId w:val="905190427"/>
        <w:rPr>
          <w:rFonts w:eastAsia="Times New Roman" w:cs="Arial"/>
        </w:rPr>
      </w:pPr>
      <w:r>
        <w:rPr>
          <w:rFonts w:eastAsia="Times New Roman" w:cs="Arial"/>
        </w:rPr>
        <w:t>Leadership and Governance Results</w:t>
      </w:r>
    </w:p>
    <w:p w14:paraId="680AC8EB" w14:textId="77777777" w:rsidR="005E22BD" w:rsidRDefault="000A11B9">
      <w:pPr>
        <w:pStyle w:val="Heading3"/>
        <w:divId w:val="905190427"/>
        <w:rPr>
          <w:rFonts w:eastAsia="Times New Roman" w:cs="Arial"/>
        </w:rPr>
      </w:pPr>
      <w:r>
        <w:rPr>
          <w:rFonts w:eastAsia="Times New Roman" w:cs="Arial"/>
        </w:rPr>
        <w:t>Relevant Key Factors</w:t>
      </w:r>
    </w:p>
    <w:p w14:paraId="7C94B9C2" w14:textId="2C9A0EB7" w:rsidR="005E22BD" w:rsidRPr="00351245" w:rsidRDefault="000A11B9" w:rsidP="002B5D3E">
      <w:pPr>
        <w:numPr>
          <w:ilvl w:val="0"/>
          <w:numId w:val="20"/>
        </w:numPr>
        <w:spacing w:before="100" w:beforeAutospacing="1" w:after="100" w:afterAutospacing="1"/>
        <w:divId w:val="905190427"/>
        <w:rPr>
          <w:rFonts w:eastAsia="Times New Roman" w:cs="Arial"/>
          <w:szCs w:val="22"/>
        </w:rPr>
      </w:pPr>
      <w:r w:rsidRPr="00351245">
        <w:rPr>
          <w:rFonts w:eastAsia="Times New Roman" w:cs="Arial"/>
          <w:szCs w:val="22"/>
        </w:rPr>
        <w:t>Vision</w:t>
      </w:r>
      <w:r w:rsidR="000834C7" w:rsidRPr="00351245">
        <w:rPr>
          <w:rFonts w:eastAsia="Times New Roman" w:cs="Arial"/>
          <w:szCs w:val="22"/>
        </w:rPr>
        <w:t>—</w:t>
      </w:r>
      <w:r w:rsidRPr="00351245">
        <w:rPr>
          <w:rFonts w:eastAsia="Times New Roman" w:cs="Arial"/>
          <w:szCs w:val="22"/>
        </w:rPr>
        <w:t>Will be the best in the nation in providing students with accessibility, affordability, career-readiness, and social responsibility. Values</w:t>
      </w:r>
      <w:r w:rsidR="000834C7" w:rsidRPr="00351245">
        <w:rPr>
          <w:rFonts w:eastAsia="Times New Roman" w:cs="Arial"/>
          <w:szCs w:val="22"/>
        </w:rPr>
        <w:t>—</w:t>
      </w:r>
      <w:r w:rsidRPr="00351245">
        <w:rPr>
          <w:rFonts w:eastAsia="Times New Roman" w:cs="Arial"/>
          <w:szCs w:val="22"/>
        </w:rPr>
        <w:t>Students First; Community-Engaged; Collaboration; Partnership Excellence</w:t>
      </w:r>
      <w:r w:rsidR="000540EF">
        <w:rPr>
          <w:rFonts w:eastAsia="Times New Roman" w:cs="Arial"/>
          <w:szCs w:val="22"/>
        </w:rPr>
        <w:t>.</w:t>
      </w:r>
    </w:p>
    <w:p w14:paraId="70A75072" w14:textId="009B1235" w:rsidR="005E22BD" w:rsidRDefault="000A11B9">
      <w:pPr>
        <w:numPr>
          <w:ilvl w:val="0"/>
          <w:numId w:val="20"/>
        </w:numPr>
        <w:spacing w:before="100" w:beforeAutospacing="1" w:after="100" w:afterAutospacing="1"/>
        <w:divId w:val="905190427"/>
        <w:rPr>
          <w:rFonts w:eastAsia="Times New Roman" w:cs="Arial"/>
          <w:szCs w:val="22"/>
        </w:rPr>
      </w:pPr>
      <w:r>
        <w:rPr>
          <w:rFonts w:eastAsia="Times New Roman" w:cs="Arial"/>
          <w:szCs w:val="22"/>
        </w:rPr>
        <w:t xml:space="preserve">CC2: </w:t>
      </w:r>
      <w:r w:rsidR="00153A64">
        <w:rPr>
          <w:rFonts w:eastAsia="Times New Roman" w:cs="Arial"/>
          <w:szCs w:val="22"/>
        </w:rPr>
        <w:t>Partner with local community</w:t>
      </w:r>
      <w:r>
        <w:rPr>
          <w:rFonts w:eastAsia="Times New Roman" w:cs="Arial"/>
          <w:szCs w:val="22"/>
        </w:rPr>
        <w:t xml:space="preserve"> </w:t>
      </w:r>
      <w:r w:rsidR="00153A64">
        <w:rPr>
          <w:rFonts w:eastAsia="Times New Roman" w:cs="Arial"/>
          <w:szCs w:val="22"/>
        </w:rPr>
        <w:t>to achieve excellence/graduate job readiness</w:t>
      </w:r>
      <w:r w:rsidR="002E2C1A">
        <w:rPr>
          <w:rFonts w:eastAsia="Times New Roman" w:cs="Arial"/>
          <w:szCs w:val="22"/>
        </w:rPr>
        <w:t>.</w:t>
      </w:r>
    </w:p>
    <w:p w14:paraId="1F142D66" w14:textId="77777777" w:rsidR="00351245" w:rsidRDefault="00351245" w:rsidP="00351245">
      <w:pPr>
        <w:pStyle w:val="ListParagraph"/>
        <w:numPr>
          <w:ilvl w:val="0"/>
          <w:numId w:val="20"/>
        </w:numPr>
        <w:divId w:val="905190427"/>
      </w:pPr>
      <w:r w:rsidRPr="00351245">
        <w:rPr>
          <w:rFonts w:eastAsia="Times New Roman" w:cs="Arial"/>
          <w:szCs w:val="22"/>
        </w:rPr>
        <w:t>Open communication (supervisor relationships); high-performance work (valued as team member);</w:t>
      </w:r>
      <w:r w:rsidRPr="00BF1B40">
        <w:t xml:space="preserve"> </w:t>
      </w:r>
      <w:r w:rsidRPr="00351245">
        <w:rPr>
          <w:rFonts w:eastAsia="Times New Roman" w:cs="Arial"/>
          <w:szCs w:val="22"/>
        </w:rPr>
        <w:t>focus on continuous improvement/innovation (training/resource availability/relevance);</w:t>
      </w:r>
      <w:r w:rsidRPr="00BF1B40">
        <w:t xml:space="preserve"> </w:t>
      </w:r>
      <w:r w:rsidRPr="00351245">
        <w:rPr>
          <w:rFonts w:eastAsia="Times New Roman" w:cs="Arial"/>
          <w:szCs w:val="22"/>
        </w:rPr>
        <w:t>engaged/empowered workforce (satisfied with sense of contribution to mission);</w:t>
      </w:r>
      <w:r w:rsidRPr="00BF1B40">
        <w:t xml:space="preserve"> </w:t>
      </w:r>
      <w:r w:rsidRPr="00351245">
        <w:rPr>
          <w:rFonts w:eastAsia="Times New Roman" w:cs="Arial"/>
          <w:szCs w:val="22"/>
        </w:rPr>
        <w:t>diverse ideas, cultures, thinking (satisfied with sense mission and college future);</w:t>
      </w:r>
      <w:r w:rsidRPr="00BF1B40">
        <w:t xml:space="preserve"> </w:t>
      </w:r>
      <w:r w:rsidRPr="00351245">
        <w:rPr>
          <w:rFonts w:eastAsia="Times New Roman" w:cs="Arial"/>
          <w:szCs w:val="22"/>
        </w:rPr>
        <w:t>inclusion/equity.</w:t>
      </w:r>
    </w:p>
    <w:p w14:paraId="11D25BDC" w14:textId="78B7F333" w:rsidR="005E22BD" w:rsidRDefault="004C103A">
      <w:pPr>
        <w:numPr>
          <w:ilvl w:val="0"/>
          <w:numId w:val="20"/>
        </w:numPr>
        <w:spacing w:before="100" w:beforeAutospacing="1" w:after="100" w:afterAutospacing="1"/>
        <w:divId w:val="905190427"/>
        <w:rPr>
          <w:rFonts w:eastAsia="Times New Roman" w:cs="Arial"/>
          <w:szCs w:val="22"/>
        </w:rPr>
      </w:pPr>
      <w:r>
        <w:rPr>
          <w:rFonts w:eastAsia="Times New Roman" w:cs="Arial"/>
          <w:szCs w:val="22"/>
        </w:rPr>
        <w:t>State coordinating board (Central Polk Board of Trustees); regional accred. (HLC); specialized accred. (7 academic programs w/discipline-specific); local (Board of County Commissioners); federal regs (DoE, Veterans Affairs, OCR, OSHA).</w:t>
      </w:r>
    </w:p>
    <w:p w14:paraId="4E1ACCC1" w14:textId="681995F0" w:rsidR="005E22BD" w:rsidRDefault="001F46D7">
      <w:pPr>
        <w:numPr>
          <w:ilvl w:val="0"/>
          <w:numId w:val="20"/>
        </w:numPr>
        <w:spacing w:before="100" w:beforeAutospacing="1" w:after="100" w:afterAutospacing="1"/>
        <w:divId w:val="905190427"/>
        <w:rPr>
          <w:rFonts w:eastAsia="Times New Roman" w:cs="Arial"/>
          <w:szCs w:val="22"/>
        </w:rPr>
      </w:pPr>
      <w:r>
        <w:rPr>
          <w:rFonts w:eastAsia="Times New Roman" w:cs="Arial"/>
          <w:szCs w:val="22"/>
        </w:rPr>
        <w:t>Recent high school graduates inside/outside service area</w:t>
      </w:r>
      <w:r w:rsidR="000A11B9">
        <w:rPr>
          <w:rFonts w:eastAsia="Times New Roman" w:cs="Arial"/>
          <w:szCs w:val="22"/>
        </w:rPr>
        <w:t xml:space="preserve">; </w:t>
      </w:r>
      <w:r>
        <w:rPr>
          <w:rFonts w:eastAsia="Times New Roman" w:cs="Arial"/>
          <w:szCs w:val="22"/>
        </w:rPr>
        <w:t>nontraditional, transfer, former students—</w:t>
      </w:r>
      <w:r w:rsidR="000A11B9">
        <w:rPr>
          <w:rFonts w:eastAsia="Times New Roman" w:cs="Arial"/>
          <w:szCs w:val="22"/>
        </w:rPr>
        <w:t>focused recruitment, information about institution, easy access to services</w:t>
      </w:r>
      <w:r w:rsidR="002E2C1A">
        <w:rPr>
          <w:rFonts w:eastAsia="Times New Roman" w:cs="Arial"/>
          <w:szCs w:val="22"/>
        </w:rPr>
        <w:t>.</w:t>
      </w:r>
    </w:p>
    <w:p w14:paraId="752DED0A" w14:textId="77777777" w:rsidR="005E22BD" w:rsidRDefault="00153A64">
      <w:pPr>
        <w:numPr>
          <w:ilvl w:val="0"/>
          <w:numId w:val="20"/>
        </w:numPr>
        <w:spacing w:before="100" w:beforeAutospacing="1" w:after="100" w:afterAutospacing="1"/>
        <w:divId w:val="905190427"/>
        <w:rPr>
          <w:rFonts w:eastAsia="Times New Roman" w:cs="Arial"/>
          <w:szCs w:val="22"/>
        </w:rPr>
      </w:pPr>
      <w:r>
        <w:rPr>
          <w:rFonts w:eastAsia="Times New Roman" w:cs="Arial"/>
          <w:szCs w:val="22"/>
        </w:rPr>
        <w:t>Peers, competitors, national averages, best-in-class</w:t>
      </w:r>
      <w:r w:rsidR="000834C7">
        <w:rPr>
          <w:rFonts w:eastAsia="Times New Roman" w:cs="Arial"/>
          <w:szCs w:val="22"/>
        </w:rPr>
        <w:t>—</w:t>
      </w:r>
      <w:r w:rsidR="000A11B9">
        <w:rPr>
          <w:rFonts w:eastAsia="Times New Roman" w:cs="Arial"/>
          <w:szCs w:val="22"/>
        </w:rPr>
        <w:t>IPE</w:t>
      </w:r>
      <w:r w:rsidR="007B4856">
        <w:rPr>
          <w:rFonts w:eastAsia="Times New Roman" w:cs="Arial"/>
          <w:szCs w:val="22"/>
        </w:rPr>
        <w:t>Ex2</w:t>
      </w:r>
      <w:r w:rsidR="000A11B9">
        <w:rPr>
          <w:rFonts w:eastAsia="Times New Roman" w:cs="Arial"/>
          <w:szCs w:val="22"/>
        </w:rPr>
        <w:t>, CCSSE, CollUnivPA-HR; Nome Zevil DASHER; Other Baldrige winners; NCCBP, Cost and Productivity Project, NSC;</w:t>
      </w:r>
    </w:p>
    <w:p w14:paraId="7DEB8C2B" w14:textId="1BEA3173" w:rsidR="005E22BD" w:rsidRDefault="002E2C1A">
      <w:pPr>
        <w:numPr>
          <w:ilvl w:val="0"/>
          <w:numId w:val="20"/>
        </w:numPr>
        <w:spacing w:before="100" w:beforeAutospacing="1" w:after="100" w:afterAutospacing="1"/>
        <w:divId w:val="905190427"/>
        <w:rPr>
          <w:rFonts w:eastAsia="Times New Roman" w:cs="Arial"/>
          <w:szCs w:val="22"/>
        </w:rPr>
      </w:pPr>
      <w:r>
        <w:rPr>
          <w:rFonts w:eastAsia="Times New Roman" w:cs="Arial"/>
          <w:szCs w:val="22"/>
        </w:rPr>
        <w:t>S</w:t>
      </w:r>
      <w:r w:rsidR="00BF4999">
        <w:rPr>
          <w:rFonts w:eastAsia="Times New Roman" w:cs="Arial"/>
          <w:szCs w:val="22"/>
        </w:rPr>
        <w:t>O</w:t>
      </w:r>
      <w:r>
        <w:rPr>
          <w:rFonts w:eastAsia="Times New Roman" w:cs="Arial"/>
          <w:szCs w:val="22"/>
        </w:rPr>
        <w:t xml:space="preserve">: </w:t>
      </w:r>
      <w:r w:rsidR="000A11B9">
        <w:rPr>
          <w:rFonts w:eastAsia="Times New Roman" w:cs="Arial"/>
          <w:szCs w:val="22"/>
        </w:rPr>
        <w:t>Soc</w:t>
      </w:r>
      <w:r>
        <w:rPr>
          <w:rFonts w:eastAsia="Times New Roman" w:cs="Arial"/>
          <w:szCs w:val="22"/>
        </w:rPr>
        <w:t>ial re</w:t>
      </w:r>
      <w:r w:rsidR="000A11B9">
        <w:rPr>
          <w:rFonts w:eastAsia="Times New Roman" w:cs="Arial"/>
          <w:szCs w:val="22"/>
        </w:rPr>
        <w:t>sponsibility</w:t>
      </w:r>
      <w:r>
        <w:rPr>
          <w:rFonts w:eastAsia="Times New Roman" w:cs="Arial"/>
          <w:szCs w:val="22"/>
        </w:rPr>
        <w:t>.</w:t>
      </w:r>
    </w:p>
    <w:p w14:paraId="506D516B" w14:textId="77777777" w:rsidR="005E22BD" w:rsidRDefault="000A11B9">
      <w:pPr>
        <w:pStyle w:val="Heading3"/>
        <w:divId w:val="90519042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56"/>
        <w:gridCol w:w="4301"/>
        <w:gridCol w:w="1200"/>
      </w:tblGrid>
      <w:tr w:rsidR="005E22BD" w14:paraId="29EB5839"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0CD96332"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ABF292B"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629B0C58"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71356EDF"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28BFB364"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4A45C3F" w14:textId="77777777" w:rsidR="005E22BD" w:rsidRDefault="000A11B9">
            <w:pPr>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hideMark/>
          </w:tcPr>
          <w:p w14:paraId="7073B90C" w14:textId="6DF83C0B" w:rsidR="005E22BD" w:rsidRDefault="000540EF">
            <w:pPr>
              <w:rPr>
                <w:rFonts w:eastAsia="Times New Roman" w:cs="Arial"/>
                <w:szCs w:val="22"/>
              </w:rPr>
            </w:pPr>
            <w:r>
              <w:rPr>
                <w:rFonts w:eastAsia="Times New Roman" w:cs="Arial"/>
                <w:szCs w:val="22"/>
              </w:rPr>
              <w:t>T</w:t>
            </w:r>
            <w:r w:rsidR="000A11B9">
              <w:rPr>
                <w:rFonts w:eastAsia="Times New Roman" w:cs="Arial"/>
                <w:szCs w:val="22"/>
              </w:rPr>
              <w:t>he applicant</w:t>
            </w:r>
            <w:r w:rsidR="005663C4">
              <w:rPr>
                <w:rFonts w:eastAsia="Times New Roman" w:cs="Arial"/>
                <w:szCs w:val="22"/>
              </w:rPr>
              <w:t>’</w:t>
            </w:r>
            <w:r w:rsidR="000A11B9">
              <w:rPr>
                <w:rFonts w:eastAsia="Times New Roman" w:cs="Arial"/>
                <w:szCs w:val="22"/>
              </w:rPr>
              <w:t xml:space="preserve">s key ethics and legal/regulatory </w:t>
            </w:r>
            <w:r w:rsidR="002E2C1A">
              <w:rPr>
                <w:rFonts w:eastAsia="Times New Roman" w:cs="Arial"/>
                <w:szCs w:val="22"/>
              </w:rPr>
              <w:t>r</w:t>
            </w:r>
            <w:r w:rsidR="002E2C1A">
              <w:t>esults</w:t>
            </w:r>
            <w:r>
              <w:rPr>
                <w:rFonts w:eastAsia="Times New Roman" w:cs="Arial"/>
                <w:szCs w:val="22"/>
              </w:rPr>
              <w:t xml:space="preserve"> show good levels, beneficial trends, and good relative performance against comparisons </w:t>
            </w:r>
            <w:r w:rsidR="000A11B9">
              <w:rPr>
                <w:rFonts w:eastAsia="Times New Roman" w:cs="Arial"/>
                <w:szCs w:val="22"/>
              </w:rPr>
              <w:t>(Figures 7.4-4 through 7.4-7</w:t>
            </w:r>
            <w:r w:rsidR="007A6041">
              <w:rPr>
                <w:rFonts w:eastAsia="Times New Roman" w:cs="Arial"/>
                <w:szCs w:val="22"/>
              </w:rPr>
              <w:t xml:space="preserve"> and</w:t>
            </w:r>
            <w:r w:rsidR="000A11B9">
              <w:rPr>
                <w:rFonts w:eastAsia="Times New Roman" w:cs="Arial"/>
                <w:szCs w:val="22"/>
              </w:rPr>
              <w:t xml:space="preserve"> Figure</w:t>
            </w:r>
            <w:r w:rsidR="002E2C1A">
              <w:rPr>
                <w:rFonts w:eastAsia="Times New Roman" w:cs="Arial"/>
                <w:szCs w:val="22"/>
              </w:rPr>
              <w:t>s</w:t>
            </w:r>
            <w:r w:rsidR="000A11B9">
              <w:rPr>
                <w:rFonts w:eastAsia="Times New Roman" w:cs="Arial"/>
                <w:szCs w:val="22"/>
              </w:rPr>
              <w:t xml:space="preserve"> 7.4-9 through 7.4-12). Most compliance and regulatory measures </w:t>
            </w:r>
            <w:r w:rsidR="002E2C1A">
              <w:rPr>
                <w:rFonts w:eastAsia="Times New Roman" w:cs="Arial"/>
                <w:szCs w:val="22"/>
              </w:rPr>
              <w:t>h</w:t>
            </w:r>
            <w:r w:rsidR="002E2C1A">
              <w:t>ave been</w:t>
            </w:r>
            <w:r w:rsidR="000A11B9">
              <w:rPr>
                <w:rFonts w:eastAsia="Times New Roman" w:cs="Arial"/>
                <w:szCs w:val="22"/>
              </w:rPr>
              <w:t xml:space="preserve"> at or near 100% for the </w:t>
            </w:r>
            <w:r w:rsidR="002E2C1A">
              <w:rPr>
                <w:rFonts w:eastAsia="Times New Roman" w:cs="Arial"/>
                <w:szCs w:val="22"/>
              </w:rPr>
              <w:t>m</w:t>
            </w:r>
            <w:r w:rsidR="002E2C1A">
              <w:t xml:space="preserve">ost recent one or two </w:t>
            </w:r>
            <w:r w:rsidR="000A11B9">
              <w:rPr>
                <w:rFonts w:eastAsia="Times New Roman" w:cs="Arial"/>
                <w:szCs w:val="22"/>
              </w:rPr>
              <w:t>years</w:t>
            </w:r>
            <w:r w:rsidR="002E2C1A">
              <w:rPr>
                <w:rFonts w:eastAsia="Times New Roman" w:cs="Arial"/>
                <w:szCs w:val="22"/>
              </w:rPr>
              <w:t xml:space="preserve"> reported</w:t>
            </w:r>
            <w:r w:rsidR="007A6041">
              <w:rPr>
                <w:rFonts w:eastAsia="Times New Roman" w:cs="Arial"/>
                <w:szCs w:val="22"/>
              </w:rPr>
              <w:t>,</w:t>
            </w:r>
            <w:r w:rsidR="000A11B9">
              <w:rPr>
                <w:rFonts w:eastAsia="Times New Roman" w:cs="Arial"/>
                <w:szCs w:val="22"/>
              </w:rPr>
              <w:t xml:space="preserve"> and employee participation in ethics training has outperformed </w:t>
            </w:r>
            <w:r w:rsidR="002E2C1A">
              <w:rPr>
                <w:rFonts w:eastAsia="Times New Roman" w:cs="Arial"/>
                <w:szCs w:val="22"/>
              </w:rPr>
              <w:t>that of the top sister college in the syste</w:t>
            </w:r>
            <w:r w:rsidR="000A11B9">
              <w:rPr>
                <w:rFonts w:eastAsia="Times New Roman" w:cs="Arial"/>
                <w:szCs w:val="22"/>
              </w:rPr>
              <w:t>m for four of the last five years. In addition, stakeholders</w:t>
            </w:r>
            <w:r w:rsidR="005663C4">
              <w:rPr>
                <w:rFonts w:eastAsia="Times New Roman" w:cs="Arial"/>
                <w:szCs w:val="22"/>
              </w:rPr>
              <w:t>’</w:t>
            </w:r>
            <w:r w:rsidR="000A11B9">
              <w:rPr>
                <w:rFonts w:eastAsia="Times New Roman" w:cs="Arial"/>
                <w:szCs w:val="22"/>
              </w:rPr>
              <w:t xml:space="preserve"> trust in the </w:t>
            </w:r>
            <w:r w:rsidR="00D02378">
              <w:rPr>
                <w:rFonts w:eastAsia="Times New Roman" w:cs="Arial"/>
                <w:szCs w:val="22"/>
              </w:rPr>
              <w:t>P</w:t>
            </w:r>
            <w:r w:rsidR="000A11B9">
              <w:rPr>
                <w:rFonts w:eastAsia="Times New Roman" w:cs="Arial"/>
                <w:szCs w:val="22"/>
              </w:rPr>
              <w:t>resident</w:t>
            </w:r>
            <w:r w:rsidR="005663C4">
              <w:rPr>
                <w:rFonts w:eastAsia="Times New Roman" w:cs="Arial"/>
                <w:szCs w:val="22"/>
              </w:rPr>
              <w:t>’</w:t>
            </w:r>
            <w:r w:rsidR="000A11B9">
              <w:rPr>
                <w:rFonts w:eastAsia="Times New Roman" w:cs="Arial"/>
                <w:szCs w:val="22"/>
              </w:rPr>
              <w:t xml:space="preserve">s </w:t>
            </w:r>
            <w:r w:rsidR="00D02378">
              <w:rPr>
                <w:rFonts w:eastAsia="Times New Roman" w:cs="Arial"/>
                <w:szCs w:val="22"/>
              </w:rPr>
              <w:t>T</w:t>
            </w:r>
            <w:r w:rsidR="000A11B9">
              <w:rPr>
                <w:rFonts w:eastAsia="Times New Roman" w:cs="Arial"/>
                <w:szCs w:val="22"/>
              </w:rPr>
              <w:t>eam demonstrates beneficial trends for the past three years and outperforms the top</w:t>
            </w:r>
            <w:r>
              <w:rPr>
                <w:rFonts w:eastAsia="Times New Roman" w:cs="Arial"/>
                <w:szCs w:val="22"/>
              </w:rPr>
              <w:t>-</w:t>
            </w:r>
            <w:r w:rsidR="000A11B9">
              <w:rPr>
                <w:rFonts w:eastAsia="Times New Roman" w:cs="Arial"/>
                <w:szCs w:val="22"/>
              </w:rPr>
              <w:t>decile comparison in FY</w:t>
            </w:r>
            <w:r w:rsidR="002E2C1A">
              <w:rPr>
                <w:rFonts w:eastAsia="Times New Roman" w:cs="Arial"/>
                <w:szCs w:val="22"/>
              </w:rPr>
              <w:t>20</w:t>
            </w:r>
            <w:r w:rsidR="000A11B9">
              <w:rPr>
                <w:rFonts w:eastAsia="Times New Roman" w:cs="Arial"/>
                <w:szCs w:val="22"/>
              </w:rPr>
              <w:t xml:space="preserve">20 for all stakeholder groups (overall, faculty, </w:t>
            </w:r>
            <w:r w:rsidR="005D7B5E">
              <w:rPr>
                <w:rFonts w:eastAsia="Times New Roman" w:cs="Arial"/>
                <w:szCs w:val="22"/>
              </w:rPr>
              <w:t>staff,</w:t>
            </w:r>
            <w:r w:rsidR="000A11B9">
              <w:rPr>
                <w:rFonts w:eastAsia="Times New Roman" w:cs="Arial"/>
                <w:szCs w:val="22"/>
              </w:rPr>
              <w:t xml:space="preserve"> and students).</w:t>
            </w:r>
          </w:p>
        </w:tc>
        <w:tc>
          <w:tcPr>
            <w:tcW w:w="0" w:type="auto"/>
            <w:tcBorders>
              <w:bottom w:val="single" w:sz="6" w:space="0" w:color="000000"/>
              <w:right w:val="single" w:sz="6" w:space="0" w:color="000000"/>
            </w:tcBorders>
            <w:tcMar>
              <w:top w:w="75" w:type="dxa"/>
              <w:left w:w="75" w:type="dxa"/>
              <w:bottom w:w="75" w:type="dxa"/>
              <w:right w:w="75" w:type="dxa"/>
            </w:tcMar>
            <w:hideMark/>
          </w:tcPr>
          <w:p w14:paraId="4955B849" w14:textId="7B087F36" w:rsidR="002E2C1A" w:rsidRDefault="000A11B9">
            <w:pPr>
              <w:rPr>
                <w:rFonts w:eastAsia="Times New Roman" w:cs="Arial"/>
                <w:szCs w:val="22"/>
              </w:rPr>
            </w:pPr>
            <w:r>
              <w:rPr>
                <w:rFonts w:eastAsia="Times New Roman" w:cs="Arial"/>
                <w:szCs w:val="22"/>
              </w:rPr>
              <w:t>6 examiners (</w:t>
            </w:r>
            <w:r w:rsidR="007B4856">
              <w:rPr>
                <w:rFonts w:eastAsia="Times New Roman" w:cs="Arial"/>
                <w:szCs w:val="22"/>
              </w:rPr>
              <w:t>Ex1</w:t>
            </w:r>
            <w:r>
              <w:rPr>
                <w:rFonts w:eastAsia="Times New Roman" w:cs="Arial"/>
                <w:szCs w:val="22"/>
              </w:rPr>
              <w:t>,</w:t>
            </w:r>
            <w:r w:rsidR="00350724">
              <w:rPr>
                <w:rFonts w:eastAsia="Times New Roman" w:cs="Arial"/>
                <w:szCs w:val="22"/>
              </w:rPr>
              <w:t xml:space="preserve"> Ex2,</w:t>
            </w:r>
            <w:r>
              <w:rPr>
                <w:rFonts w:eastAsia="Times New Roman" w:cs="Arial"/>
                <w:szCs w:val="22"/>
              </w:rPr>
              <w:t xml:space="preserve"> </w:t>
            </w:r>
            <w:r w:rsidR="007B4856">
              <w:rPr>
                <w:rFonts w:eastAsia="Times New Roman" w:cs="Arial"/>
                <w:szCs w:val="22"/>
              </w:rPr>
              <w:t>Ex3</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sidR="00350724">
              <w:rPr>
                <w:rFonts w:eastAsia="Times New Roman" w:cs="Arial"/>
                <w:szCs w:val="22"/>
              </w:rPr>
              <w:t>, Ex7</w:t>
            </w:r>
            <w:r>
              <w:rPr>
                <w:rFonts w:eastAsia="Times New Roman" w:cs="Arial"/>
                <w:szCs w:val="22"/>
              </w:rPr>
              <w:t>) had ID</w:t>
            </w:r>
            <w:r w:rsidR="005663C4">
              <w:rPr>
                <w:rFonts w:eastAsia="Times New Roman" w:cs="Arial"/>
                <w:szCs w:val="22"/>
              </w:rPr>
              <w:t>’</w:t>
            </w:r>
            <w:r w:rsidR="002E2C1A">
              <w:rPr>
                <w:rFonts w:eastAsia="Times New Roman" w:cs="Arial"/>
                <w:szCs w:val="22"/>
              </w:rPr>
              <w:t>d</w:t>
            </w:r>
            <w:r>
              <w:rPr>
                <w:rFonts w:eastAsia="Times New Roman" w:cs="Arial"/>
                <w:szCs w:val="22"/>
              </w:rPr>
              <w:t xml:space="preserve"> ethics and legal results as strengths (with some elements of an OFI also in the mix for specifics of levels, missing</w:t>
            </w:r>
            <w:r w:rsidR="002E2C1A">
              <w:rPr>
                <w:rFonts w:eastAsia="Times New Roman" w:cs="Arial"/>
                <w:szCs w:val="22"/>
              </w:rPr>
              <w:t>,</w:t>
            </w:r>
            <w:r>
              <w:rPr>
                <w:rFonts w:eastAsia="Times New Roman" w:cs="Arial"/>
                <w:szCs w:val="22"/>
              </w:rPr>
              <w:t xml:space="preserve"> and segmentation</w:t>
            </w:r>
            <w:r w:rsidR="002E2C1A">
              <w:rPr>
                <w:rFonts w:eastAsia="Times New Roman" w:cs="Arial"/>
                <w:szCs w:val="22"/>
              </w:rPr>
              <w:t>)</w:t>
            </w:r>
            <w:r>
              <w:rPr>
                <w:rFonts w:eastAsia="Times New Roman" w:cs="Arial"/>
                <w:szCs w:val="22"/>
              </w:rPr>
              <w:t xml:space="preserve">. </w:t>
            </w:r>
          </w:p>
          <w:p w14:paraId="09E5D2BB" w14:textId="1005246B" w:rsidR="00CA2B55" w:rsidRDefault="000A11B9">
            <w:pPr>
              <w:rPr>
                <w:rFonts w:eastAsia="Times New Roman" w:cs="Arial"/>
                <w:szCs w:val="22"/>
              </w:rPr>
            </w:pPr>
            <w:r>
              <w:rPr>
                <w:rFonts w:eastAsia="Times New Roman" w:cs="Arial"/>
                <w:szCs w:val="22"/>
              </w:rPr>
              <w:t>Based on an SME</w:t>
            </w:r>
            <w:r w:rsidR="005663C4">
              <w:rPr>
                <w:rFonts w:eastAsia="Times New Roman" w:cs="Arial"/>
                <w:szCs w:val="22"/>
              </w:rPr>
              <w:t>’</w:t>
            </w:r>
            <w:r>
              <w:rPr>
                <w:rFonts w:eastAsia="Times New Roman" w:cs="Arial"/>
                <w:szCs w:val="22"/>
              </w:rPr>
              <w:t xml:space="preserve">s comments that these results are extremely strong, have carried the </w:t>
            </w:r>
            <w:r w:rsidR="002E2C1A">
              <w:rPr>
                <w:rFonts w:eastAsia="Times New Roman" w:cs="Arial"/>
                <w:szCs w:val="22"/>
              </w:rPr>
              <w:t>doubling</w:t>
            </w:r>
            <w:r>
              <w:rPr>
                <w:rFonts w:eastAsia="Times New Roman" w:cs="Arial"/>
                <w:szCs w:val="22"/>
              </w:rPr>
              <w:t xml:space="preserve"> forward. </w:t>
            </w:r>
          </w:p>
          <w:p w14:paraId="5293D11E" w14:textId="77777777" w:rsidR="000540EF" w:rsidRDefault="000A11B9">
            <w:pPr>
              <w:rPr>
                <w:rFonts w:eastAsia="Times New Roman" w:cs="Arial"/>
                <w:szCs w:val="22"/>
              </w:rPr>
            </w:pPr>
            <w:r>
              <w:rPr>
                <w:rFonts w:eastAsia="Times New Roman" w:cs="Arial"/>
                <w:szCs w:val="22"/>
              </w:rPr>
              <w:t>Examples include</w:t>
            </w:r>
            <w:r w:rsidR="00FD460C">
              <w:rPr>
                <w:rFonts w:eastAsia="Times New Roman" w:cs="Arial"/>
                <w:szCs w:val="22"/>
              </w:rPr>
              <w:t>—</w:t>
            </w:r>
            <w:r>
              <w:rPr>
                <w:rFonts w:eastAsia="Times New Roman" w:cs="Arial"/>
                <w:szCs w:val="22"/>
              </w:rPr>
              <w:t>Good levels shown: 7.4-4 On-Time/Accurate Compliance with Required State/Fed Reports</w:t>
            </w:r>
            <w:r w:rsidR="00CA2B55">
              <w:rPr>
                <w:rFonts w:eastAsia="Times New Roman" w:cs="Arial"/>
                <w:szCs w:val="22"/>
              </w:rPr>
              <w:t>.</w:t>
            </w:r>
            <w:r>
              <w:rPr>
                <w:rFonts w:eastAsia="Times New Roman" w:cs="Arial"/>
                <w:szCs w:val="22"/>
              </w:rPr>
              <w:t xml:space="preserve"> </w:t>
            </w:r>
          </w:p>
          <w:p w14:paraId="68E540B6" w14:textId="0238B6C0" w:rsidR="000540EF" w:rsidRDefault="000A11B9">
            <w:pPr>
              <w:rPr>
                <w:rFonts w:eastAsia="Times New Roman" w:cs="Arial"/>
                <w:szCs w:val="22"/>
              </w:rPr>
            </w:pPr>
            <w:r>
              <w:rPr>
                <w:rFonts w:eastAsia="Times New Roman" w:cs="Arial"/>
                <w:szCs w:val="22"/>
              </w:rPr>
              <w:t>7.4-5 Internal Financial Audit Finding Results</w:t>
            </w:r>
            <w:r w:rsidR="00CA2B55">
              <w:rPr>
                <w:rFonts w:eastAsia="Times New Roman" w:cs="Arial"/>
                <w:szCs w:val="22"/>
              </w:rPr>
              <w:t>:</w:t>
            </w:r>
            <w:r>
              <w:rPr>
                <w:rFonts w:eastAsia="Times New Roman" w:cs="Arial"/>
                <w:szCs w:val="22"/>
              </w:rPr>
              <w:t xml:space="preserve"> Consistently good-excellent levels from FY</w:t>
            </w:r>
            <w:r w:rsidR="00D02378">
              <w:rPr>
                <w:rFonts w:eastAsia="Times New Roman" w:cs="Arial"/>
                <w:szCs w:val="22"/>
              </w:rPr>
              <w:t>20</w:t>
            </w:r>
            <w:r>
              <w:rPr>
                <w:rFonts w:eastAsia="Times New Roman" w:cs="Arial"/>
                <w:szCs w:val="22"/>
              </w:rPr>
              <w:t>16 to FY</w:t>
            </w:r>
            <w:r w:rsidR="00D02378">
              <w:rPr>
                <w:rFonts w:eastAsia="Times New Roman" w:cs="Arial"/>
                <w:szCs w:val="22"/>
              </w:rPr>
              <w:t>20</w:t>
            </w:r>
            <w:r>
              <w:rPr>
                <w:rFonts w:eastAsia="Times New Roman" w:cs="Arial"/>
                <w:szCs w:val="22"/>
              </w:rPr>
              <w:t>20</w:t>
            </w:r>
            <w:r w:rsidR="00CA2B55">
              <w:rPr>
                <w:rFonts w:eastAsia="Times New Roman" w:cs="Arial"/>
                <w:szCs w:val="22"/>
              </w:rPr>
              <w:t>.</w:t>
            </w:r>
            <w:r>
              <w:rPr>
                <w:rFonts w:eastAsia="Times New Roman" w:cs="Arial"/>
                <w:szCs w:val="22"/>
              </w:rPr>
              <w:t xml:space="preserve"> </w:t>
            </w:r>
          </w:p>
          <w:p w14:paraId="4C27AE73" w14:textId="2383CE81" w:rsidR="000540EF" w:rsidRDefault="000A11B9">
            <w:pPr>
              <w:rPr>
                <w:rFonts w:eastAsia="Times New Roman" w:cs="Arial"/>
                <w:szCs w:val="22"/>
              </w:rPr>
            </w:pPr>
            <w:r>
              <w:rPr>
                <w:rFonts w:eastAsia="Times New Roman" w:cs="Arial"/>
                <w:szCs w:val="22"/>
              </w:rPr>
              <w:t>7.4-6 Accreditation and Legal Compliance</w:t>
            </w:r>
            <w:r w:rsidR="00CA2B55">
              <w:rPr>
                <w:rFonts w:eastAsia="Times New Roman" w:cs="Arial"/>
                <w:szCs w:val="22"/>
              </w:rPr>
              <w:t>:</w:t>
            </w:r>
            <w:r>
              <w:rPr>
                <w:rFonts w:eastAsia="Times New Roman" w:cs="Arial"/>
                <w:szCs w:val="22"/>
              </w:rPr>
              <w:t xml:space="preserve"> </w:t>
            </w:r>
            <w:r w:rsidR="00CA2B55">
              <w:rPr>
                <w:rFonts w:eastAsia="Times New Roman" w:cs="Arial"/>
                <w:szCs w:val="22"/>
              </w:rPr>
              <w:t>c</w:t>
            </w:r>
            <w:r>
              <w:rPr>
                <w:rFonts w:eastAsia="Times New Roman" w:cs="Arial"/>
                <w:szCs w:val="22"/>
              </w:rPr>
              <w:t>onsistently good-excellent levels in FY</w:t>
            </w:r>
            <w:r w:rsidR="00D02378">
              <w:rPr>
                <w:rFonts w:eastAsia="Times New Roman" w:cs="Arial"/>
                <w:szCs w:val="22"/>
              </w:rPr>
              <w:t>20</w:t>
            </w:r>
            <w:r>
              <w:rPr>
                <w:rFonts w:eastAsia="Times New Roman" w:cs="Arial"/>
                <w:szCs w:val="22"/>
              </w:rPr>
              <w:t>14, FY</w:t>
            </w:r>
            <w:r w:rsidR="00D02378">
              <w:rPr>
                <w:rFonts w:eastAsia="Times New Roman" w:cs="Arial"/>
                <w:szCs w:val="22"/>
              </w:rPr>
              <w:t>20</w:t>
            </w:r>
            <w:r>
              <w:rPr>
                <w:rFonts w:eastAsia="Times New Roman" w:cs="Arial"/>
                <w:szCs w:val="22"/>
              </w:rPr>
              <w:t>17, and FY</w:t>
            </w:r>
            <w:r w:rsidR="00D02378">
              <w:rPr>
                <w:rFonts w:eastAsia="Times New Roman" w:cs="Arial"/>
                <w:szCs w:val="22"/>
              </w:rPr>
              <w:t>20</w:t>
            </w:r>
            <w:r>
              <w:rPr>
                <w:rFonts w:eastAsia="Times New Roman" w:cs="Arial"/>
                <w:szCs w:val="22"/>
              </w:rPr>
              <w:t>20 [accreditation would not be reported according to a FY calendar]</w:t>
            </w:r>
            <w:r w:rsidR="00CA2B55">
              <w:rPr>
                <w:rFonts w:eastAsia="Times New Roman" w:cs="Arial"/>
                <w:szCs w:val="22"/>
              </w:rPr>
              <w:t>.</w:t>
            </w:r>
            <w:r>
              <w:rPr>
                <w:rFonts w:eastAsia="Times New Roman" w:cs="Arial"/>
                <w:szCs w:val="22"/>
              </w:rPr>
              <w:t xml:space="preserve"> </w:t>
            </w:r>
          </w:p>
          <w:p w14:paraId="228EEB3C" w14:textId="3052E2A1" w:rsidR="005E22BD" w:rsidRDefault="000A11B9">
            <w:pPr>
              <w:rPr>
                <w:rFonts w:eastAsia="Times New Roman" w:cs="Arial"/>
                <w:szCs w:val="22"/>
              </w:rPr>
            </w:pPr>
            <w:r>
              <w:rPr>
                <w:rFonts w:eastAsia="Times New Roman" w:cs="Arial"/>
                <w:szCs w:val="22"/>
              </w:rPr>
              <w:t>7.4-7 Compliance with Key Measures and [internal] Requirements</w:t>
            </w:r>
            <w:r w:rsidR="00CA2B55">
              <w:rPr>
                <w:rFonts w:eastAsia="Times New Roman" w:cs="Arial"/>
                <w:szCs w:val="22"/>
              </w:rPr>
              <w:t>: c</w:t>
            </w:r>
            <w:r>
              <w:rPr>
                <w:rFonts w:eastAsia="Times New Roman" w:cs="Arial"/>
                <w:szCs w:val="22"/>
              </w:rPr>
              <w:t>onsistently good-excellent levels from FY</w:t>
            </w:r>
            <w:r w:rsidR="00D02378">
              <w:rPr>
                <w:rFonts w:eastAsia="Times New Roman" w:cs="Arial"/>
                <w:szCs w:val="22"/>
              </w:rPr>
              <w:t>20</w:t>
            </w:r>
            <w:r>
              <w:rPr>
                <w:rFonts w:eastAsia="Times New Roman" w:cs="Arial"/>
                <w:szCs w:val="22"/>
              </w:rPr>
              <w:t>18 to FY</w:t>
            </w:r>
            <w:r w:rsidR="00D02378">
              <w:rPr>
                <w:rFonts w:eastAsia="Times New Roman" w:cs="Arial"/>
                <w:szCs w:val="22"/>
              </w:rPr>
              <w:t>20</w:t>
            </w:r>
            <w:r>
              <w:rPr>
                <w:rFonts w:eastAsia="Times New Roman" w:cs="Arial"/>
                <w:szCs w:val="22"/>
              </w:rPr>
              <w:t>20. Similarly, the</w:t>
            </w:r>
            <w:r w:rsidR="00CA2B55">
              <w:rPr>
                <w:rFonts w:eastAsia="Times New Roman" w:cs="Arial"/>
                <w:szCs w:val="22"/>
              </w:rPr>
              <w:t>s</w:t>
            </w:r>
            <w:r>
              <w:rPr>
                <w:rFonts w:eastAsia="Times New Roman" w:cs="Arial"/>
                <w:szCs w:val="22"/>
              </w:rPr>
              <w:t>e results have been at 97% or higher for all areas reported since FY 2018, with 100% compliance in FY2019 for all but one area.</w:t>
            </w:r>
          </w:p>
        </w:tc>
        <w:tc>
          <w:tcPr>
            <w:tcW w:w="0" w:type="auto"/>
            <w:tcBorders>
              <w:bottom w:val="single" w:sz="6" w:space="0" w:color="000000"/>
              <w:right w:val="single" w:sz="6" w:space="0" w:color="000000"/>
            </w:tcBorders>
            <w:tcMar>
              <w:top w:w="75" w:type="dxa"/>
              <w:left w:w="75" w:type="dxa"/>
              <w:bottom w:w="75" w:type="dxa"/>
              <w:right w:w="75" w:type="dxa"/>
            </w:tcMar>
            <w:hideMark/>
          </w:tcPr>
          <w:p w14:paraId="5FE32999" w14:textId="77777777" w:rsidR="005E22BD" w:rsidRDefault="000A11B9">
            <w:pPr>
              <w:rPr>
                <w:rFonts w:eastAsia="Times New Roman" w:cs="Arial"/>
                <w:szCs w:val="22"/>
              </w:rPr>
            </w:pPr>
            <w:r>
              <w:rPr>
                <w:rFonts w:eastAsia="Times New Roman" w:cs="Arial"/>
                <w:szCs w:val="22"/>
              </w:rPr>
              <w:t>a(3,4)</w:t>
            </w:r>
          </w:p>
        </w:tc>
      </w:tr>
      <w:tr w:rsidR="005E22BD" w14:paraId="43FC334A"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5D51D0E1"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6C72181" w14:textId="3B04AD5A" w:rsidR="005E22BD" w:rsidRDefault="00CA2B55">
            <w:pPr>
              <w:rPr>
                <w:rFonts w:eastAsia="Times New Roman" w:cs="Arial"/>
                <w:szCs w:val="22"/>
              </w:rPr>
            </w:pPr>
            <w:r>
              <w:rPr>
                <w:rFonts w:eastAsia="Times New Roman" w:cs="Arial"/>
                <w:szCs w:val="22"/>
              </w:rPr>
              <w:t>For senior leaders</w:t>
            </w:r>
            <w:r w:rsidR="005663C4">
              <w:rPr>
                <w:rFonts w:eastAsia="Times New Roman" w:cs="Arial"/>
                <w:szCs w:val="22"/>
              </w:rPr>
              <w:t>’</w:t>
            </w:r>
            <w:r>
              <w:rPr>
                <w:rFonts w:eastAsia="Times New Roman" w:cs="Arial"/>
                <w:szCs w:val="22"/>
              </w:rPr>
              <w:t xml:space="preserve"> communication, engagement, and support of organizational values (Figure 7.4-1), the applicant reports good-to-excellent </w:t>
            </w:r>
            <w:r w:rsidR="00D02378">
              <w:rPr>
                <w:rFonts w:eastAsia="Times New Roman" w:cs="Arial"/>
                <w:szCs w:val="22"/>
              </w:rPr>
              <w:t xml:space="preserve">results </w:t>
            </w:r>
            <w:r>
              <w:rPr>
                <w:rFonts w:eastAsia="Times New Roman" w:cs="Arial"/>
                <w:szCs w:val="22"/>
              </w:rPr>
              <w:t>levels, sustained improvement, and good relative performance against comparisons</w:t>
            </w:r>
            <w:r w:rsidR="000540EF">
              <w:rPr>
                <w:rFonts w:eastAsia="Times New Roman" w:cs="Arial"/>
                <w:szCs w:val="22"/>
              </w:rPr>
              <w:t xml:space="preserve"> among several key student and stakeholder groups</w:t>
            </w:r>
            <w:r w:rsidR="000A11B9">
              <w:rPr>
                <w:rFonts w:eastAsia="Times New Roman" w:cs="Arial"/>
                <w:szCs w:val="22"/>
              </w:rPr>
              <w:t xml:space="preserve">. </w:t>
            </w:r>
            <w:r>
              <w:rPr>
                <w:rFonts w:eastAsia="Times New Roman" w:cs="Arial"/>
                <w:szCs w:val="22"/>
              </w:rPr>
              <w:t>For example, l</w:t>
            </w:r>
            <w:r w:rsidR="000A11B9">
              <w:rPr>
                <w:rFonts w:eastAsia="Times New Roman" w:cs="Arial"/>
                <w:szCs w:val="22"/>
              </w:rPr>
              <w:t>eadership scores for reinforcement of each of the applicant</w:t>
            </w:r>
            <w:r w:rsidR="005663C4">
              <w:rPr>
                <w:rFonts w:eastAsia="Times New Roman" w:cs="Arial"/>
                <w:szCs w:val="22"/>
              </w:rPr>
              <w:t>’</w:t>
            </w:r>
            <w:r w:rsidR="000A11B9">
              <w:rPr>
                <w:rFonts w:eastAsia="Times New Roman" w:cs="Arial"/>
                <w:szCs w:val="22"/>
              </w:rPr>
              <w:t>s values demonstrate overall consistent beneficial trends f</w:t>
            </w:r>
            <w:r>
              <w:rPr>
                <w:rFonts w:eastAsia="Times New Roman" w:cs="Arial"/>
                <w:szCs w:val="22"/>
              </w:rPr>
              <w:t>or administrators, faculty</w:t>
            </w:r>
            <w:r w:rsidR="00D02378">
              <w:rPr>
                <w:rFonts w:eastAsia="Times New Roman" w:cs="Arial"/>
                <w:szCs w:val="22"/>
              </w:rPr>
              <w:t xml:space="preserve"> members</w:t>
            </w:r>
            <w:r>
              <w:rPr>
                <w:rFonts w:eastAsia="Times New Roman" w:cs="Arial"/>
                <w:szCs w:val="22"/>
              </w:rPr>
              <w:t>, staff</w:t>
            </w:r>
            <w:r w:rsidR="00D02378">
              <w:rPr>
                <w:rFonts w:eastAsia="Times New Roman" w:cs="Arial"/>
                <w:szCs w:val="22"/>
              </w:rPr>
              <w:t xml:space="preserve"> members,</w:t>
            </w:r>
            <w:r>
              <w:rPr>
                <w:rFonts w:eastAsia="Times New Roman" w:cs="Arial"/>
                <w:szCs w:val="22"/>
              </w:rPr>
              <w:t xml:space="preserve"> and overa</w:t>
            </w:r>
            <w:r w:rsidR="000A11B9">
              <w:rPr>
                <w:rFonts w:eastAsia="Times New Roman" w:cs="Arial"/>
                <w:szCs w:val="22"/>
              </w:rPr>
              <w:t>ll for the past three years (Figure 7.4-2). Results for both measures outperform top</w:t>
            </w:r>
            <w:r>
              <w:rPr>
                <w:rFonts w:eastAsia="Times New Roman" w:cs="Arial"/>
                <w:szCs w:val="22"/>
              </w:rPr>
              <w:t>-</w:t>
            </w:r>
            <w:r w:rsidR="000A11B9">
              <w:rPr>
                <w:rFonts w:eastAsia="Times New Roman" w:cs="Arial"/>
                <w:szCs w:val="22"/>
              </w:rPr>
              <w:t xml:space="preserve">decile comparisons. These results demonstrate that the workforce and key stakeholders perceive </w:t>
            </w:r>
            <w:r>
              <w:rPr>
                <w:rFonts w:eastAsia="Times New Roman" w:cs="Arial"/>
                <w:szCs w:val="22"/>
              </w:rPr>
              <w:t>that senior leaders</w:t>
            </w:r>
            <w:r w:rsidR="000A11B9">
              <w:rPr>
                <w:rFonts w:eastAsia="Times New Roman" w:cs="Arial"/>
                <w:szCs w:val="22"/>
              </w:rPr>
              <w:t xml:space="preserve"> support</w:t>
            </w:r>
            <w:r>
              <w:rPr>
                <w:rFonts w:eastAsia="Times New Roman" w:cs="Arial"/>
                <w:szCs w:val="22"/>
              </w:rPr>
              <w:t xml:space="preserve"> the applicant</w:t>
            </w:r>
            <w:r w:rsidR="005663C4">
              <w:rPr>
                <w:rFonts w:eastAsia="Times New Roman" w:cs="Arial"/>
                <w:szCs w:val="22"/>
              </w:rPr>
              <w:t>’</w:t>
            </w:r>
            <w:r>
              <w:rPr>
                <w:rFonts w:eastAsia="Times New Roman" w:cs="Arial"/>
                <w:szCs w:val="22"/>
              </w:rPr>
              <w:t>s</w:t>
            </w:r>
            <w:r w:rsidR="000A11B9">
              <w:rPr>
                <w:rFonts w:eastAsia="Times New Roman" w:cs="Arial"/>
                <w:szCs w:val="22"/>
              </w:rPr>
              <w:t xml:space="preserve"> values.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D259DF7" w14:textId="77777777" w:rsidR="00CA2B55" w:rsidRDefault="000A11B9">
            <w:pPr>
              <w:rPr>
                <w:rFonts w:eastAsia="Times New Roman" w:cs="Arial"/>
                <w:szCs w:val="22"/>
              </w:rPr>
            </w:pPr>
            <w:r>
              <w:rPr>
                <w:rFonts w:eastAsia="Times New Roman" w:cs="Arial"/>
                <w:szCs w:val="22"/>
              </w:rPr>
              <w:t>5 examiners had many to most of these figures ID as strengths</w:t>
            </w:r>
            <w:r w:rsidR="00CA2B55">
              <w:rPr>
                <w:rFonts w:eastAsia="Times New Roman" w:cs="Arial"/>
                <w:szCs w:val="22"/>
              </w:rPr>
              <w:t>.</w:t>
            </w:r>
          </w:p>
          <w:p w14:paraId="6BDD31C7" w14:textId="77777777" w:rsidR="00CA2B55" w:rsidRDefault="000A11B9">
            <w:pPr>
              <w:rPr>
                <w:rFonts w:eastAsia="Times New Roman" w:cs="Arial"/>
                <w:szCs w:val="22"/>
              </w:rPr>
            </w:pPr>
            <w:r>
              <w:rPr>
                <w:rFonts w:eastAsia="Times New Roman" w:cs="Arial"/>
                <w:szCs w:val="22"/>
              </w:rPr>
              <w:t xml:space="preserve">Examples include: 7.4-1 Satisfaction with Communication from SL Levels at/near Canter top decile for administrators, faculty, staff, partners, and business/industry from 2017 to 2020 </w:t>
            </w:r>
          </w:p>
          <w:p w14:paraId="5EC45EB6" w14:textId="77B5BE31" w:rsidR="00CA2B55" w:rsidRDefault="000A11B9">
            <w:pPr>
              <w:rPr>
                <w:rFonts w:eastAsia="Times New Roman" w:cs="Arial"/>
                <w:szCs w:val="22"/>
              </w:rPr>
            </w:pPr>
            <w:r>
              <w:rPr>
                <w:rFonts w:eastAsia="Times New Roman" w:cs="Arial"/>
                <w:szCs w:val="22"/>
              </w:rPr>
              <w:t>7.4-1a Satisfaction with SL Cultivating Innovation and Intelligent Risk</w:t>
            </w:r>
            <w:r w:rsidR="004C103A">
              <w:rPr>
                <w:rFonts w:eastAsia="Times New Roman" w:cs="Arial"/>
                <w:szCs w:val="22"/>
              </w:rPr>
              <w:t>-</w:t>
            </w:r>
            <w:r>
              <w:rPr>
                <w:rFonts w:eastAsia="Times New Roman" w:cs="Arial"/>
                <w:szCs w:val="22"/>
              </w:rPr>
              <w:t>Taking Levels at/near Canter top decile for administrators, faculty, staff, partners, and business/industry from 2017 to 2020</w:t>
            </w:r>
          </w:p>
          <w:p w14:paraId="5EBAAB7A" w14:textId="3D7B3528" w:rsidR="00CA2B55" w:rsidRDefault="000A11B9">
            <w:pPr>
              <w:rPr>
                <w:rFonts w:eastAsia="Times New Roman" w:cs="Arial"/>
                <w:szCs w:val="22"/>
              </w:rPr>
            </w:pPr>
            <w:r>
              <w:rPr>
                <w:rFonts w:eastAsia="Times New Roman" w:cs="Arial"/>
                <w:szCs w:val="22"/>
              </w:rPr>
              <w:t>7.4-2 CEE Leadership Reinforcement of Values Good levels, generally positive trends, and favorable comparison to CEE top decile for administrators, faculty, and staff from 2018 to 2020 for each of AP</w:t>
            </w:r>
            <w:r w:rsidR="007B4856">
              <w:rPr>
                <w:rFonts w:eastAsia="Times New Roman" w:cs="Arial"/>
                <w:szCs w:val="22"/>
              </w:rPr>
              <w:t>Ex5</w:t>
            </w:r>
            <w:r w:rsidR="005663C4">
              <w:rPr>
                <w:rFonts w:eastAsia="Times New Roman" w:cs="Arial"/>
                <w:szCs w:val="22"/>
              </w:rPr>
              <w:t>’</w:t>
            </w:r>
            <w:r>
              <w:rPr>
                <w:rFonts w:eastAsia="Times New Roman" w:cs="Arial"/>
                <w:szCs w:val="22"/>
              </w:rPr>
              <w:t xml:space="preserve">s values </w:t>
            </w:r>
          </w:p>
          <w:p w14:paraId="405D1C91" w14:textId="007D0A3F" w:rsidR="005E22BD" w:rsidRDefault="000A11B9">
            <w:pPr>
              <w:rPr>
                <w:rFonts w:eastAsia="Times New Roman" w:cs="Arial"/>
                <w:szCs w:val="22"/>
              </w:rPr>
            </w:pPr>
            <w:r>
              <w:rPr>
                <w:rFonts w:eastAsia="Times New Roman" w:cs="Arial"/>
                <w:szCs w:val="22"/>
              </w:rPr>
              <w:t>7.4-3 PT Focus on Action [align with Fig</w:t>
            </w:r>
            <w:r w:rsidR="00CA2B55">
              <w:rPr>
                <w:rFonts w:eastAsia="Times New Roman" w:cs="Arial"/>
                <w:szCs w:val="22"/>
              </w:rPr>
              <w:t>ure</w:t>
            </w:r>
            <w:r>
              <w:rPr>
                <w:rFonts w:eastAsia="Times New Roman" w:cs="Arial"/>
                <w:szCs w:val="22"/>
              </w:rPr>
              <w:t xml:space="preserve"> 1.1-3] Good results and positive trend for workforce perception of SLs</w:t>
            </w:r>
            <w:r w:rsidR="005663C4">
              <w:rPr>
                <w:rFonts w:eastAsia="Times New Roman" w:cs="Arial"/>
                <w:szCs w:val="22"/>
              </w:rPr>
              <w:t>’</w:t>
            </w:r>
            <w:r>
              <w:rPr>
                <w:rFonts w:eastAsia="Times New Roman" w:cs="Arial"/>
                <w:szCs w:val="22"/>
              </w:rPr>
              <w:t xml:space="preserve"> focus on action (related to number of innovation plans that have been funded and successfully implemented, overall organizational performance improvement rate of change, and favorable workforce perception of SLS</w:t>
            </w:r>
            <w:r w:rsidR="005663C4">
              <w:rPr>
                <w:rFonts w:eastAsia="Times New Roman" w:cs="Arial"/>
                <w:szCs w:val="22"/>
              </w:rPr>
              <w:t>’</w:t>
            </w:r>
            <w:r>
              <w:rPr>
                <w:rFonts w:eastAsia="Times New Roman" w:cs="Arial"/>
                <w:szCs w:val="22"/>
              </w:rPr>
              <w:t xml:space="preserve"> focus on action)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F1DC430" w14:textId="77777777" w:rsidR="005E22BD" w:rsidRDefault="000A11B9">
            <w:pPr>
              <w:rPr>
                <w:rFonts w:eastAsia="Times New Roman" w:cs="Arial"/>
                <w:szCs w:val="22"/>
              </w:rPr>
            </w:pPr>
            <w:r>
              <w:rPr>
                <w:rFonts w:eastAsia="Times New Roman" w:cs="Arial"/>
                <w:szCs w:val="22"/>
              </w:rPr>
              <w:t>a(1)</w:t>
            </w:r>
          </w:p>
        </w:tc>
      </w:tr>
      <w:tr w:rsidR="005E22BD" w14:paraId="55B2DCB4"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3D486D28"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E90781E" w14:textId="747F6E24" w:rsidR="005E22BD" w:rsidRDefault="007E3E44">
            <w:pPr>
              <w:rPr>
                <w:rFonts w:eastAsia="Times New Roman" w:cs="Arial"/>
                <w:szCs w:val="22"/>
              </w:rPr>
            </w:pPr>
            <w:r>
              <w:rPr>
                <w:rFonts w:eastAsia="Times New Roman" w:cs="Arial"/>
                <w:szCs w:val="22"/>
              </w:rPr>
              <w:t>Some r</w:t>
            </w:r>
            <w:r w:rsidR="000A11B9">
              <w:rPr>
                <w:rFonts w:eastAsia="Times New Roman" w:cs="Arial"/>
                <w:szCs w:val="22"/>
              </w:rPr>
              <w:t xml:space="preserve">esults for societal well-being and support of key communities demonstrate good levels, </w:t>
            </w:r>
            <w:r>
              <w:rPr>
                <w:rFonts w:eastAsia="Times New Roman" w:cs="Arial"/>
                <w:szCs w:val="22"/>
              </w:rPr>
              <w:t xml:space="preserve">beneficial </w:t>
            </w:r>
            <w:r w:rsidR="000A11B9">
              <w:rPr>
                <w:rFonts w:eastAsia="Times New Roman" w:cs="Arial"/>
                <w:szCs w:val="22"/>
              </w:rPr>
              <w:t xml:space="preserve">trends, and </w:t>
            </w:r>
            <w:r>
              <w:rPr>
                <w:rFonts w:eastAsia="Times New Roman" w:cs="Arial"/>
                <w:szCs w:val="22"/>
              </w:rPr>
              <w:t xml:space="preserve">good relative performance against </w:t>
            </w:r>
            <w:r w:rsidR="000A11B9">
              <w:rPr>
                <w:rFonts w:eastAsia="Times New Roman" w:cs="Arial"/>
                <w:szCs w:val="22"/>
              </w:rPr>
              <w:t xml:space="preserve">comparisons. For example, </w:t>
            </w:r>
            <w:r>
              <w:rPr>
                <w:rFonts w:eastAsia="Times New Roman" w:cs="Arial"/>
                <w:szCs w:val="22"/>
              </w:rPr>
              <w:t>dual-credit</w:t>
            </w:r>
            <w:r w:rsidR="005E3D0E">
              <w:rPr>
                <w:rFonts w:eastAsia="Times New Roman" w:cs="Arial"/>
                <w:szCs w:val="22"/>
              </w:rPr>
              <w:t xml:space="preserve"> </w:t>
            </w:r>
            <w:r w:rsidR="000A11B9">
              <w:rPr>
                <w:rFonts w:eastAsia="Times New Roman" w:cs="Arial"/>
                <w:szCs w:val="22"/>
              </w:rPr>
              <w:t>enrollment has saved students over $1.7 million</w:t>
            </w:r>
            <w:r w:rsidR="008C7F45">
              <w:rPr>
                <w:rFonts w:eastAsia="Times New Roman" w:cs="Arial"/>
                <w:szCs w:val="22"/>
              </w:rPr>
              <w:t>,</w:t>
            </w:r>
            <w:r w:rsidR="000A11B9">
              <w:rPr>
                <w:rFonts w:eastAsia="Times New Roman" w:cs="Arial"/>
                <w:szCs w:val="22"/>
              </w:rPr>
              <w:t xml:space="preserve"> and enrollment of rural students </w:t>
            </w:r>
            <w:r w:rsidR="008C7F45">
              <w:rPr>
                <w:rFonts w:eastAsia="Times New Roman" w:cs="Arial"/>
                <w:szCs w:val="22"/>
              </w:rPr>
              <w:t xml:space="preserve">increased </w:t>
            </w:r>
            <w:r w:rsidR="000A11B9">
              <w:rPr>
                <w:rFonts w:eastAsia="Times New Roman" w:cs="Arial"/>
                <w:szCs w:val="22"/>
              </w:rPr>
              <w:t>to 31% in the latest fall term</w:t>
            </w:r>
            <w:r w:rsidR="008C7F45">
              <w:rPr>
                <w:rFonts w:eastAsia="Times New Roman" w:cs="Arial"/>
                <w:szCs w:val="22"/>
              </w:rPr>
              <w:t>,</w:t>
            </w:r>
            <w:r w:rsidR="000A11B9">
              <w:rPr>
                <w:rFonts w:eastAsia="Times New Roman" w:cs="Arial"/>
                <w:szCs w:val="22"/>
              </w:rPr>
              <w:t xml:space="preserve"> achiev</w:t>
            </w:r>
            <w:r w:rsidR="008C7F45">
              <w:rPr>
                <w:rFonts w:eastAsia="Times New Roman" w:cs="Arial"/>
                <w:szCs w:val="22"/>
              </w:rPr>
              <w:t>ing</w:t>
            </w:r>
            <w:r w:rsidR="000A11B9">
              <w:rPr>
                <w:rFonts w:eastAsia="Times New Roman" w:cs="Arial"/>
                <w:szCs w:val="22"/>
              </w:rPr>
              <w:t xml:space="preserve"> the </w:t>
            </w:r>
            <w:r w:rsidR="008C7F45">
              <w:rPr>
                <w:rFonts w:eastAsia="Times New Roman" w:cs="Arial"/>
                <w:szCs w:val="22"/>
              </w:rPr>
              <w:t>best-in-the-stat</w:t>
            </w:r>
            <w:r w:rsidR="000A11B9">
              <w:rPr>
                <w:rFonts w:eastAsia="Times New Roman" w:cs="Arial"/>
                <w:szCs w:val="22"/>
              </w:rPr>
              <w:t xml:space="preserve">e </w:t>
            </w:r>
            <w:r w:rsidR="008C7F45">
              <w:rPr>
                <w:rFonts w:eastAsia="Times New Roman" w:cs="Arial"/>
                <w:szCs w:val="22"/>
              </w:rPr>
              <w:t xml:space="preserve">level </w:t>
            </w:r>
            <w:r w:rsidR="000A11B9">
              <w:rPr>
                <w:rFonts w:eastAsia="Times New Roman" w:cs="Arial"/>
                <w:szCs w:val="22"/>
              </w:rPr>
              <w:t xml:space="preserve">in </w:t>
            </w:r>
            <w:r w:rsidR="008C7F45">
              <w:rPr>
                <w:rFonts w:eastAsia="Times New Roman" w:cs="Arial"/>
                <w:szCs w:val="22"/>
              </w:rPr>
              <w:t xml:space="preserve">fall </w:t>
            </w:r>
            <w:r w:rsidR="000A11B9">
              <w:rPr>
                <w:rFonts w:eastAsia="Times New Roman" w:cs="Arial"/>
                <w:szCs w:val="22"/>
              </w:rPr>
              <w:t>2019-2020</w:t>
            </w:r>
            <w:r>
              <w:rPr>
                <w:rFonts w:eastAsia="Times New Roman" w:cs="Arial"/>
                <w:szCs w:val="22"/>
              </w:rPr>
              <w:t xml:space="preserve"> (Figure 7.4-13)</w:t>
            </w:r>
            <w:r w:rsidR="000A11B9">
              <w:rPr>
                <w:rFonts w:eastAsia="Times New Roman" w:cs="Arial"/>
                <w:szCs w:val="22"/>
              </w:rPr>
              <w:t xml:space="preserve">. </w:t>
            </w:r>
            <w:r>
              <w:rPr>
                <w:rFonts w:eastAsia="Times New Roman" w:cs="Arial"/>
                <w:szCs w:val="22"/>
              </w:rPr>
              <w:t>Other examples</w:t>
            </w:r>
            <w:r w:rsidR="008C7F45">
              <w:rPr>
                <w:rFonts w:eastAsia="Times New Roman" w:cs="Arial"/>
                <w:szCs w:val="22"/>
              </w:rPr>
              <w:t xml:space="preserve"> of s</w:t>
            </w:r>
            <w:r w:rsidR="000540EF">
              <w:rPr>
                <w:rFonts w:eastAsia="Times New Roman" w:cs="Arial"/>
                <w:szCs w:val="22"/>
              </w:rPr>
              <w:t>u</w:t>
            </w:r>
            <w:r w:rsidR="008C7F45">
              <w:rPr>
                <w:rFonts w:eastAsia="Times New Roman" w:cs="Arial"/>
                <w:szCs w:val="22"/>
              </w:rPr>
              <w:t>ch results</w:t>
            </w:r>
            <w:r>
              <w:rPr>
                <w:rFonts w:eastAsia="Times New Roman" w:cs="Arial"/>
                <w:szCs w:val="22"/>
              </w:rPr>
              <w:t xml:space="preserve"> are </w:t>
            </w:r>
            <w:r w:rsidR="008C7F45">
              <w:rPr>
                <w:rFonts w:eastAsia="Times New Roman" w:cs="Arial"/>
                <w:szCs w:val="22"/>
              </w:rPr>
              <w:t xml:space="preserve">the increased </w:t>
            </w:r>
            <w:r>
              <w:rPr>
                <w:rFonts w:eastAsia="Times New Roman" w:cs="Arial"/>
                <w:szCs w:val="22"/>
              </w:rPr>
              <w:t>percentage of employees giving back and</w:t>
            </w:r>
            <w:r w:rsidR="008C7F45">
              <w:rPr>
                <w:rFonts w:eastAsia="Times New Roman" w:cs="Arial"/>
                <w:szCs w:val="22"/>
              </w:rPr>
              <w:t xml:space="preserve"> a</w:t>
            </w:r>
            <w:r>
              <w:rPr>
                <w:rFonts w:eastAsia="Times New Roman" w:cs="Arial"/>
                <w:szCs w:val="22"/>
              </w:rPr>
              <w:t xml:space="preserve"> reduction in consumption of resources (Figures 7.4-14 and 7.4-15). </w:t>
            </w:r>
            <w:r w:rsidR="000A11B9">
              <w:rPr>
                <w:rFonts w:eastAsia="Times New Roman" w:cs="Arial"/>
                <w:szCs w:val="22"/>
              </w:rPr>
              <w:t xml:space="preserve">These results </w:t>
            </w:r>
            <w:r>
              <w:rPr>
                <w:rFonts w:eastAsia="Times New Roman" w:cs="Arial"/>
                <w:szCs w:val="22"/>
              </w:rPr>
              <w:t>demonstrate the applicant</w:t>
            </w:r>
            <w:r w:rsidR="005663C4">
              <w:rPr>
                <w:rFonts w:eastAsia="Times New Roman" w:cs="Arial"/>
                <w:szCs w:val="22"/>
              </w:rPr>
              <w:t>’</w:t>
            </w:r>
            <w:r>
              <w:rPr>
                <w:rFonts w:eastAsia="Times New Roman" w:cs="Arial"/>
                <w:szCs w:val="22"/>
              </w:rPr>
              <w:t xml:space="preserve">s value of being </w:t>
            </w:r>
            <w:r w:rsidR="000A11B9">
              <w:rPr>
                <w:rFonts w:eastAsia="Times New Roman" w:cs="Arial"/>
                <w:szCs w:val="22"/>
              </w:rPr>
              <w:t>community</w:t>
            </w:r>
            <w:r w:rsidR="00D02378">
              <w:rPr>
                <w:rFonts w:eastAsia="Times New Roman" w:cs="Arial"/>
                <w:szCs w:val="22"/>
              </w:rPr>
              <w:t>-</w:t>
            </w:r>
            <w:r w:rsidR="000A11B9">
              <w:rPr>
                <w:rFonts w:eastAsia="Times New Roman" w:cs="Arial"/>
                <w:szCs w:val="22"/>
              </w:rPr>
              <w:t>engaged.</w:t>
            </w:r>
          </w:p>
        </w:tc>
        <w:tc>
          <w:tcPr>
            <w:tcW w:w="0" w:type="auto"/>
            <w:tcBorders>
              <w:bottom w:val="single" w:sz="6" w:space="0" w:color="000000"/>
              <w:right w:val="single" w:sz="6" w:space="0" w:color="000000"/>
            </w:tcBorders>
            <w:tcMar>
              <w:top w:w="75" w:type="dxa"/>
              <w:left w:w="75" w:type="dxa"/>
              <w:bottom w:w="75" w:type="dxa"/>
              <w:right w:w="75" w:type="dxa"/>
            </w:tcMar>
            <w:hideMark/>
          </w:tcPr>
          <w:p w14:paraId="7F13960C" w14:textId="77777777" w:rsidR="007E3E44" w:rsidRDefault="000A11B9">
            <w:pPr>
              <w:rPr>
                <w:rFonts w:eastAsia="Times New Roman" w:cs="Arial"/>
                <w:szCs w:val="22"/>
              </w:rPr>
            </w:pPr>
            <w:r>
              <w:rPr>
                <w:rFonts w:eastAsia="Times New Roman" w:cs="Arial"/>
                <w:szCs w:val="22"/>
              </w:rPr>
              <w:t>4 examiners (</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Pr>
                <w:rFonts w:eastAsia="Times New Roman" w:cs="Arial"/>
                <w:szCs w:val="22"/>
              </w:rPr>
              <w:t>) provided some elements of a</w:t>
            </w:r>
            <w:r w:rsidR="007E3E44">
              <w:rPr>
                <w:rFonts w:eastAsia="Times New Roman" w:cs="Arial"/>
                <w:szCs w:val="22"/>
              </w:rPr>
              <w:t>(</w:t>
            </w:r>
            <w:r>
              <w:rPr>
                <w:rFonts w:eastAsia="Times New Roman" w:cs="Arial"/>
                <w:szCs w:val="22"/>
              </w:rPr>
              <w:t>5</w:t>
            </w:r>
            <w:r w:rsidR="007E3E44">
              <w:rPr>
                <w:rFonts w:eastAsia="Times New Roman" w:cs="Arial"/>
                <w:szCs w:val="22"/>
              </w:rPr>
              <w:t>)</w:t>
            </w:r>
            <w:r>
              <w:rPr>
                <w:rFonts w:eastAsia="Times New Roman" w:cs="Arial"/>
                <w:szCs w:val="22"/>
              </w:rPr>
              <w:t xml:space="preserve"> as strengths and provided specifics. This a</w:t>
            </w:r>
            <w:r w:rsidR="007E3E44">
              <w:rPr>
                <w:rFonts w:eastAsia="Times New Roman" w:cs="Arial"/>
                <w:szCs w:val="22"/>
              </w:rPr>
              <w:t>(</w:t>
            </w:r>
            <w:r>
              <w:rPr>
                <w:rFonts w:eastAsia="Times New Roman" w:cs="Arial"/>
                <w:szCs w:val="22"/>
              </w:rPr>
              <w:t>5</w:t>
            </w:r>
            <w:r w:rsidR="007E3E44">
              <w:rPr>
                <w:rFonts w:eastAsia="Times New Roman" w:cs="Arial"/>
                <w:szCs w:val="22"/>
              </w:rPr>
              <w:t>)</w:t>
            </w:r>
            <w:r>
              <w:rPr>
                <w:rFonts w:eastAsia="Times New Roman" w:cs="Arial"/>
                <w:szCs w:val="22"/>
              </w:rPr>
              <w:t xml:space="preserve"> will have a companion OFI comment about other aspects that are missing. </w:t>
            </w:r>
          </w:p>
          <w:p w14:paraId="6055FC05" w14:textId="1929DF48" w:rsidR="007E3E44" w:rsidRDefault="000A11B9">
            <w:pPr>
              <w:rPr>
                <w:rFonts w:eastAsia="Times New Roman" w:cs="Arial"/>
                <w:szCs w:val="22"/>
              </w:rPr>
            </w:pPr>
            <w:r>
              <w:rPr>
                <w:rFonts w:eastAsia="Times New Roman" w:cs="Arial"/>
                <w:szCs w:val="22"/>
              </w:rPr>
              <w:t xml:space="preserve">STR evidence includes: </w:t>
            </w:r>
            <w:r w:rsidR="00DB6E5E">
              <w:rPr>
                <w:rFonts w:eastAsia="Times New Roman" w:cs="Arial"/>
                <w:szCs w:val="22"/>
              </w:rPr>
              <w:t>Dual-credit</w:t>
            </w:r>
            <w:r>
              <w:rPr>
                <w:rFonts w:eastAsia="Times New Roman" w:cs="Arial"/>
                <w:szCs w:val="22"/>
              </w:rPr>
              <w:t xml:space="preserve"> enrollment has saved students over $1.7 million dollars and increased enrollment of rural students to 31% in the latest fall term. Employees</w:t>
            </w:r>
            <w:r w:rsidR="005663C4">
              <w:rPr>
                <w:rFonts w:eastAsia="Times New Roman" w:cs="Arial"/>
                <w:szCs w:val="22"/>
              </w:rPr>
              <w:t>’</w:t>
            </w:r>
            <w:r>
              <w:rPr>
                <w:rFonts w:eastAsia="Times New Roman" w:cs="Arial"/>
                <w:szCs w:val="22"/>
              </w:rPr>
              <w:t xml:space="preserve"> participation rate in the giving program has more than doubled in the last five years and has made significant reductions in consumption of resources. </w:t>
            </w:r>
          </w:p>
          <w:p w14:paraId="038F74DB" w14:textId="77777777" w:rsidR="007E3E44" w:rsidRDefault="000A11B9">
            <w:pPr>
              <w:rPr>
                <w:rFonts w:eastAsia="Times New Roman" w:cs="Arial"/>
                <w:szCs w:val="22"/>
              </w:rPr>
            </w:pPr>
            <w:r>
              <w:rPr>
                <w:rFonts w:eastAsia="Times New Roman" w:cs="Arial"/>
                <w:szCs w:val="22"/>
              </w:rPr>
              <w:t xml:space="preserve">Figure 7.4-13 </w:t>
            </w:r>
            <w:r w:rsidR="00DB6E5E">
              <w:rPr>
                <w:rFonts w:eastAsia="Times New Roman" w:cs="Arial"/>
                <w:szCs w:val="22"/>
              </w:rPr>
              <w:t>dual-credit</w:t>
            </w:r>
            <w:r>
              <w:rPr>
                <w:rFonts w:eastAsia="Times New Roman" w:cs="Arial"/>
                <w:szCs w:val="22"/>
              </w:rPr>
              <w:t xml:space="preserve"> enrollment</w:t>
            </w:r>
          </w:p>
          <w:p w14:paraId="1F945905" w14:textId="77777777" w:rsidR="007E3E44" w:rsidRDefault="000A11B9">
            <w:pPr>
              <w:rPr>
                <w:rFonts w:eastAsia="Times New Roman" w:cs="Arial"/>
                <w:szCs w:val="22"/>
              </w:rPr>
            </w:pPr>
            <w:r>
              <w:rPr>
                <w:rFonts w:eastAsia="Times New Roman" w:cs="Arial"/>
                <w:szCs w:val="22"/>
              </w:rPr>
              <w:t xml:space="preserve">Figure 7.4-14 employees giving back </w:t>
            </w:r>
          </w:p>
          <w:p w14:paraId="275CCF8C" w14:textId="2A33C835" w:rsidR="005E22BD" w:rsidRDefault="000A11B9">
            <w:pPr>
              <w:rPr>
                <w:rFonts w:eastAsia="Times New Roman" w:cs="Arial"/>
                <w:szCs w:val="22"/>
              </w:rPr>
            </w:pPr>
            <w:r>
              <w:rPr>
                <w:rFonts w:eastAsia="Times New Roman" w:cs="Arial"/>
                <w:szCs w:val="22"/>
              </w:rPr>
              <w:t xml:space="preserve">Figure 7.4-15 reduction in consumption of resources </w:t>
            </w:r>
          </w:p>
        </w:tc>
        <w:tc>
          <w:tcPr>
            <w:tcW w:w="0" w:type="auto"/>
            <w:tcBorders>
              <w:bottom w:val="single" w:sz="6" w:space="0" w:color="000000"/>
              <w:right w:val="single" w:sz="6" w:space="0" w:color="000000"/>
            </w:tcBorders>
            <w:tcMar>
              <w:top w:w="75" w:type="dxa"/>
              <w:left w:w="75" w:type="dxa"/>
              <w:bottom w:w="75" w:type="dxa"/>
              <w:right w:w="75" w:type="dxa"/>
            </w:tcMar>
            <w:hideMark/>
          </w:tcPr>
          <w:p w14:paraId="2E92EDA0" w14:textId="77777777" w:rsidR="005E22BD" w:rsidRDefault="000A11B9">
            <w:pPr>
              <w:rPr>
                <w:rFonts w:eastAsia="Times New Roman" w:cs="Arial"/>
                <w:szCs w:val="22"/>
              </w:rPr>
            </w:pPr>
            <w:r>
              <w:rPr>
                <w:rFonts w:eastAsia="Times New Roman" w:cs="Arial"/>
                <w:szCs w:val="22"/>
              </w:rPr>
              <w:t>a(5)</w:t>
            </w:r>
          </w:p>
        </w:tc>
      </w:tr>
    </w:tbl>
    <w:p w14:paraId="49C9CD77"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7E0DEE" w14:paraId="2299621E" w14:textId="77777777" w:rsidTr="007E0DEE">
        <w:tc>
          <w:tcPr>
            <w:tcW w:w="10170" w:type="dxa"/>
          </w:tcPr>
          <w:p w14:paraId="104E3023" w14:textId="3B01061E" w:rsidR="007E0DEE" w:rsidRDefault="00BF1B40">
            <w:pPr>
              <w:rPr>
                <w:rFonts w:eastAsia="Times New Roman" w:cs="Arial"/>
                <w:szCs w:val="22"/>
              </w:rPr>
            </w:pPr>
            <w:r>
              <w:rPr>
                <w:rFonts w:eastAsia="Times New Roman" w:cs="Arial"/>
                <w:szCs w:val="22"/>
              </w:rPr>
              <w:t xml:space="preserve"> </w:t>
            </w:r>
          </w:p>
        </w:tc>
      </w:tr>
    </w:tbl>
    <w:p w14:paraId="63B1D86C" w14:textId="77777777" w:rsidR="005E22BD" w:rsidRDefault="000A11B9">
      <w:pPr>
        <w:pStyle w:val="Heading3"/>
        <w:divId w:val="905190427"/>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73"/>
        <w:gridCol w:w="4184"/>
        <w:gridCol w:w="1200"/>
      </w:tblGrid>
      <w:tr w:rsidR="008C7F45" w14:paraId="6FA280A0"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38C89647"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023A02FB"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0690FADA"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2F4425C" w14:textId="77777777" w:rsidR="005E22BD" w:rsidRDefault="000A11B9">
            <w:pPr>
              <w:jc w:val="center"/>
              <w:rPr>
                <w:rFonts w:eastAsia="Times New Roman" w:cs="Arial"/>
                <w:b/>
                <w:bCs/>
                <w:szCs w:val="22"/>
              </w:rPr>
            </w:pPr>
            <w:r>
              <w:rPr>
                <w:rFonts w:eastAsia="Times New Roman" w:cs="Arial"/>
                <w:b/>
                <w:bCs/>
                <w:szCs w:val="22"/>
              </w:rPr>
              <w:t>Item Ref.</w:t>
            </w:r>
          </w:p>
        </w:tc>
      </w:tr>
      <w:tr w:rsidR="008C7F45" w14:paraId="1C37D9AF"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82D7A6F"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13BEC506" w14:textId="545C05DD" w:rsidR="005E22BD" w:rsidRDefault="000A11B9">
            <w:pPr>
              <w:rPr>
                <w:rFonts w:eastAsia="Times New Roman" w:cs="Arial"/>
                <w:szCs w:val="22"/>
              </w:rPr>
            </w:pPr>
            <w:r>
              <w:rPr>
                <w:rFonts w:eastAsia="Times New Roman" w:cs="Arial"/>
                <w:szCs w:val="22"/>
              </w:rPr>
              <w:t>Results are missing for a number of measures</w:t>
            </w:r>
            <w:r w:rsidR="007E3E44">
              <w:rPr>
                <w:rFonts w:eastAsia="Times New Roman" w:cs="Arial"/>
                <w:szCs w:val="22"/>
              </w:rPr>
              <w:t xml:space="preserve"> related to</w:t>
            </w:r>
            <w:r>
              <w:rPr>
                <w:rFonts w:eastAsia="Times New Roman" w:cs="Arial"/>
                <w:szCs w:val="22"/>
              </w:rPr>
              <w:t xml:space="preserve"> the applicant</w:t>
            </w:r>
            <w:r w:rsidR="005663C4">
              <w:rPr>
                <w:rFonts w:eastAsia="Times New Roman" w:cs="Arial"/>
                <w:szCs w:val="22"/>
              </w:rPr>
              <w:t>’</w:t>
            </w:r>
            <w:r>
              <w:rPr>
                <w:rFonts w:eastAsia="Times New Roman" w:cs="Arial"/>
                <w:szCs w:val="22"/>
              </w:rPr>
              <w:t>s leadership</w:t>
            </w:r>
            <w:r w:rsidR="00D02378">
              <w:rPr>
                <w:rFonts w:eastAsia="Times New Roman" w:cs="Arial"/>
                <w:szCs w:val="22"/>
              </w:rPr>
              <w:t>;</w:t>
            </w:r>
            <w:r>
              <w:rPr>
                <w:rFonts w:eastAsia="Times New Roman" w:cs="Arial"/>
                <w:szCs w:val="22"/>
              </w:rPr>
              <w:t xml:space="preserve"> governance</w:t>
            </w:r>
            <w:r w:rsidR="00D02378">
              <w:rPr>
                <w:rFonts w:eastAsia="Times New Roman" w:cs="Arial"/>
                <w:szCs w:val="22"/>
              </w:rPr>
              <w:t>;</w:t>
            </w:r>
            <w:r>
              <w:rPr>
                <w:rFonts w:eastAsia="Times New Roman" w:cs="Arial"/>
                <w:szCs w:val="22"/>
              </w:rPr>
              <w:t xml:space="preserve"> and legal and regulatory, compliance</w:t>
            </w:r>
            <w:r w:rsidR="00D02378">
              <w:rPr>
                <w:rFonts w:eastAsia="Times New Roman" w:cs="Arial"/>
                <w:szCs w:val="22"/>
              </w:rPr>
              <w:t>,</w:t>
            </w:r>
            <w:r>
              <w:rPr>
                <w:rFonts w:eastAsia="Times New Roman" w:cs="Arial"/>
                <w:szCs w:val="22"/>
              </w:rPr>
              <w:t xml:space="preserve"> and accreditation performance. </w:t>
            </w:r>
            <w:r w:rsidR="007E3E44">
              <w:rPr>
                <w:rFonts w:eastAsia="Times New Roman" w:cs="Arial"/>
                <w:szCs w:val="22"/>
              </w:rPr>
              <w:t>For example, no results are reported for senior leaders</w:t>
            </w:r>
            <w:r w:rsidR="005663C4">
              <w:rPr>
                <w:rFonts w:eastAsia="Times New Roman" w:cs="Arial"/>
                <w:szCs w:val="22"/>
              </w:rPr>
              <w:t>’</w:t>
            </w:r>
            <w:r w:rsidR="007E3E44">
              <w:rPr>
                <w:rFonts w:eastAsia="Times New Roman" w:cs="Arial"/>
                <w:szCs w:val="22"/>
              </w:rPr>
              <w:t xml:space="preserve"> </w:t>
            </w:r>
            <w:r>
              <w:rPr>
                <w:rFonts w:eastAsia="Times New Roman" w:cs="Arial"/>
                <w:szCs w:val="22"/>
              </w:rPr>
              <w:t>communication and engagement with students</w:t>
            </w:r>
            <w:r w:rsidR="008C7F45">
              <w:rPr>
                <w:rFonts w:eastAsia="Times New Roman" w:cs="Arial"/>
                <w:szCs w:val="22"/>
              </w:rPr>
              <w:t>,</w:t>
            </w:r>
            <w:r w:rsidR="000540EF">
              <w:rPr>
                <w:rFonts w:eastAsia="Times New Roman" w:cs="Arial"/>
                <w:szCs w:val="22"/>
              </w:rPr>
              <w:t xml:space="preserve"> for</w:t>
            </w:r>
            <w:r>
              <w:rPr>
                <w:rFonts w:eastAsia="Times New Roman" w:cs="Arial"/>
                <w:szCs w:val="22"/>
              </w:rPr>
              <w:t xml:space="preserve"> </w:t>
            </w:r>
            <w:r w:rsidR="008C7F45">
              <w:rPr>
                <w:rFonts w:eastAsia="Times New Roman" w:cs="Arial"/>
                <w:szCs w:val="22"/>
              </w:rPr>
              <w:t xml:space="preserve">the </w:t>
            </w:r>
            <w:r w:rsidR="00D02378">
              <w:rPr>
                <w:rFonts w:eastAsia="Times New Roman" w:cs="Arial"/>
                <w:szCs w:val="22"/>
              </w:rPr>
              <w:t>B</w:t>
            </w:r>
            <w:r>
              <w:rPr>
                <w:rFonts w:eastAsia="Times New Roman" w:cs="Arial"/>
                <w:szCs w:val="22"/>
              </w:rPr>
              <w:t>oard self-assessment</w:t>
            </w:r>
            <w:r w:rsidR="008C7F45">
              <w:rPr>
                <w:rFonts w:eastAsia="Times New Roman" w:cs="Arial"/>
                <w:szCs w:val="22"/>
              </w:rPr>
              <w:t>,</w:t>
            </w:r>
            <w:r>
              <w:rPr>
                <w:rFonts w:eastAsia="Times New Roman" w:cs="Arial"/>
                <w:szCs w:val="22"/>
              </w:rPr>
              <w:t xml:space="preserve"> </w:t>
            </w:r>
            <w:r w:rsidR="000540EF">
              <w:rPr>
                <w:rFonts w:eastAsia="Times New Roman" w:cs="Arial"/>
                <w:szCs w:val="22"/>
              </w:rPr>
              <w:t xml:space="preserve">for </w:t>
            </w:r>
            <w:r>
              <w:rPr>
                <w:rFonts w:eastAsia="Times New Roman" w:cs="Arial"/>
                <w:szCs w:val="22"/>
              </w:rPr>
              <w:t>grievances and complaints</w:t>
            </w:r>
            <w:r w:rsidR="008C7F45">
              <w:rPr>
                <w:rFonts w:eastAsia="Times New Roman" w:cs="Arial"/>
                <w:szCs w:val="22"/>
              </w:rPr>
              <w:t>,</w:t>
            </w:r>
            <w:r>
              <w:rPr>
                <w:rFonts w:eastAsia="Times New Roman" w:cs="Arial"/>
                <w:szCs w:val="22"/>
              </w:rPr>
              <w:t xml:space="preserve"> and</w:t>
            </w:r>
            <w:r w:rsidR="000540EF">
              <w:rPr>
                <w:rFonts w:eastAsia="Times New Roman" w:cs="Arial"/>
                <w:szCs w:val="22"/>
              </w:rPr>
              <w:t xml:space="preserve"> for</w:t>
            </w:r>
            <w:r>
              <w:rPr>
                <w:rFonts w:eastAsia="Times New Roman" w:cs="Arial"/>
                <w:szCs w:val="22"/>
              </w:rPr>
              <w:t xml:space="preserve"> measures addressing risk with educational programs. Tracking </w:t>
            </w:r>
            <w:r w:rsidR="007A6041">
              <w:rPr>
                <w:rFonts w:eastAsia="Times New Roman" w:cs="Arial"/>
                <w:szCs w:val="22"/>
              </w:rPr>
              <w:t>such</w:t>
            </w:r>
            <w:r>
              <w:rPr>
                <w:rFonts w:eastAsia="Times New Roman" w:cs="Arial"/>
                <w:szCs w:val="22"/>
              </w:rPr>
              <w:t xml:space="preserve"> results may enable the applicant to more effectively demonstrate being the best in the nation.</w:t>
            </w:r>
          </w:p>
        </w:tc>
        <w:tc>
          <w:tcPr>
            <w:tcW w:w="0" w:type="auto"/>
            <w:tcBorders>
              <w:bottom w:val="single" w:sz="6" w:space="0" w:color="000000"/>
              <w:right w:val="single" w:sz="6" w:space="0" w:color="000000"/>
            </w:tcBorders>
            <w:tcMar>
              <w:top w:w="75" w:type="dxa"/>
              <w:left w:w="75" w:type="dxa"/>
              <w:bottom w:w="75" w:type="dxa"/>
              <w:right w:w="75" w:type="dxa"/>
            </w:tcMar>
            <w:hideMark/>
          </w:tcPr>
          <w:p w14:paraId="01D1E775" w14:textId="47FF2F5F" w:rsidR="007E3E44" w:rsidRDefault="000A11B9">
            <w:pPr>
              <w:rPr>
                <w:rFonts w:eastAsia="Times New Roman" w:cs="Arial"/>
                <w:szCs w:val="22"/>
              </w:rPr>
            </w:pPr>
            <w:r>
              <w:rPr>
                <w:rFonts w:eastAsia="Times New Roman" w:cs="Arial"/>
                <w:szCs w:val="22"/>
              </w:rPr>
              <w:t>6 examiners (</w:t>
            </w:r>
            <w:r w:rsidR="00350724">
              <w:rPr>
                <w:rFonts w:eastAsia="Times New Roman" w:cs="Arial"/>
                <w:szCs w:val="22"/>
              </w:rPr>
              <w:t xml:space="preserve">Ex1, Ex2, Ex3, Ex4,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Pr>
                <w:rFonts w:eastAsia="Times New Roman" w:cs="Arial"/>
                <w:szCs w:val="22"/>
              </w:rPr>
              <w:t>) called out missing results</w:t>
            </w:r>
            <w:r w:rsidR="007E3E44">
              <w:rPr>
                <w:rFonts w:eastAsia="Times New Roman" w:cs="Arial"/>
                <w:szCs w:val="22"/>
              </w:rPr>
              <w:t>.</w:t>
            </w:r>
            <w:r>
              <w:rPr>
                <w:rFonts w:eastAsia="Times New Roman" w:cs="Arial"/>
                <w:szCs w:val="22"/>
              </w:rPr>
              <w:t xml:space="preserve"> I chose to create 2 OFI</w:t>
            </w:r>
            <w:r w:rsidR="007E3E44">
              <w:rPr>
                <w:rFonts w:eastAsia="Times New Roman" w:cs="Arial"/>
                <w:szCs w:val="22"/>
              </w:rPr>
              <w:t>s, one for</w:t>
            </w:r>
            <w:r w:rsidR="008C7F45">
              <w:rPr>
                <w:rFonts w:eastAsia="Times New Roman" w:cs="Arial"/>
                <w:szCs w:val="22"/>
              </w:rPr>
              <w:t xml:space="preserve"> a(1, 2, 3, 4) and one for a(5)</w:t>
            </w:r>
            <w:r w:rsidR="000540EF">
              <w:rPr>
                <w:rFonts w:eastAsia="Times New Roman" w:cs="Arial"/>
                <w:szCs w:val="22"/>
              </w:rPr>
              <w:t xml:space="preserve"> </w:t>
            </w:r>
            <w:r w:rsidR="007E3E44">
              <w:rPr>
                <w:rFonts w:eastAsia="Times New Roman" w:cs="Arial"/>
                <w:szCs w:val="22"/>
              </w:rPr>
              <w:t>results.</w:t>
            </w:r>
          </w:p>
          <w:p w14:paraId="73CAEA0A" w14:textId="0EFD2AEC" w:rsidR="007E3E44" w:rsidRDefault="007E3E44">
            <w:pPr>
              <w:rPr>
                <w:rFonts w:eastAsia="Times New Roman" w:cs="Arial"/>
                <w:szCs w:val="22"/>
              </w:rPr>
            </w:pPr>
            <w:r>
              <w:rPr>
                <w:rFonts w:eastAsia="Times New Roman" w:cs="Arial"/>
                <w:szCs w:val="22"/>
              </w:rPr>
              <w:t>Doubled</w:t>
            </w:r>
            <w:r w:rsidR="000A11B9">
              <w:rPr>
                <w:rFonts w:eastAsia="Times New Roman" w:cs="Arial"/>
                <w:szCs w:val="22"/>
              </w:rPr>
              <w:t xml:space="preserve"> based on significance. Examples include board self</w:t>
            </w:r>
            <w:r>
              <w:rPr>
                <w:rFonts w:eastAsia="Times New Roman" w:cs="Arial"/>
                <w:szCs w:val="22"/>
              </w:rPr>
              <w:t>-</w:t>
            </w:r>
            <w:r w:rsidR="000A11B9">
              <w:rPr>
                <w:rFonts w:eastAsia="Times New Roman" w:cs="Arial"/>
                <w:szCs w:val="22"/>
              </w:rPr>
              <w:t>assessment</w:t>
            </w:r>
            <w:r>
              <w:rPr>
                <w:rFonts w:eastAsia="Times New Roman" w:cs="Arial"/>
                <w:szCs w:val="22"/>
              </w:rPr>
              <w:t xml:space="preserve"> (</w:t>
            </w:r>
            <w:r w:rsidR="000A11B9">
              <w:rPr>
                <w:rFonts w:eastAsia="Times New Roman" w:cs="Arial"/>
                <w:szCs w:val="22"/>
              </w:rPr>
              <w:t>1.2a2</w:t>
            </w:r>
            <w:r>
              <w:rPr>
                <w:rFonts w:eastAsia="Times New Roman" w:cs="Arial"/>
                <w:szCs w:val="22"/>
              </w:rPr>
              <w:t>)</w:t>
            </w:r>
            <w:r w:rsidR="000A11B9">
              <w:rPr>
                <w:rFonts w:eastAsia="Times New Roman" w:cs="Arial"/>
                <w:szCs w:val="22"/>
              </w:rPr>
              <w:t>; grievances and complaints (1.b1); measures address risk with ed</w:t>
            </w:r>
            <w:r>
              <w:rPr>
                <w:rFonts w:eastAsia="Times New Roman" w:cs="Arial"/>
                <w:szCs w:val="22"/>
              </w:rPr>
              <w:t>.</w:t>
            </w:r>
            <w:r w:rsidR="000A11B9">
              <w:rPr>
                <w:rFonts w:eastAsia="Times New Roman" w:cs="Arial"/>
                <w:szCs w:val="22"/>
              </w:rPr>
              <w:t xml:space="preserve"> programs (student completion, </w:t>
            </w:r>
            <w:r w:rsidR="005D7B5E">
              <w:rPr>
                <w:rFonts w:eastAsia="Times New Roman" w:cs="Arial"/>
                <w:szCs w:val="22"/>
              </w:rPr>
              <w:t>satisfaction,</w:t>
            </w:r>
            <w:r w:rsidR="000A11B9">
              <w:rPr>
                <w:rFonts w:eastAsia="Times New Roman" w:cs="Arial"/>
                <w:szCs w:val="22"/>
              </w:rPr>
              <w:t xml:space="preserve"> and transfer rates by program (see bottom of 1.2b1)</w:t>
            </w:r>
            <w:r>
              <w:rPr>
                <w:rFonts w:eastAsia="Times New Roman" w:cs="Arial"/>
                <w:szCs w:val="22"/>
              </w:rPr>
              <w:t>.</w:t>
            </w:r>
          </w:p>
          <w:p w14:paraId="516B3B33" w14:textId="23C91951" w:rsidR="005E22BD" w:rsidRDefault="000A11B9">
            <w:pPr>
              <w:rPr>
                <w:rFonts w:eastAsia="Times New Roman" w:cs="Arial"/>
                <w:szCs w:val="22"/>
              </w:rPr>
            </w:pPr>
            <w:r>
              <w:rPr>
                <w:rFonts w:eastAsia="Times New Roman" w:cs="Arial"/>
                <w:szCs w:val="22"/>
              </w:rPr>
              <w:t>External audit findings weren</w:t>
            </w:r>
            <w:r w:rsidR="005663C4">
              <w:rPr>
                <w:rFonts w:eastAsia="Times New Roman" w:cs="Arial"/>
                <w:szCs w:val="22"/>
              </w:rPr>
              <w:t>’</w:t>
            </w:r>
            <w:r>
              <w:rPr>
                <w:rFonts w:eastAsia="Times New Roman" w:cs="Arial"/>
                <w:szCs w:val="22"/>
              </w:rPr>
              <w:t>t reported. Missing results based on text provided in cat</w:t>
            </w:r>
            <w:r w:rsidR="007E3E44">
              <w:rPr>
                <w:rFonts w:eastAsia="Times New Roman" w:cs="Arial"/>
                <w:szCs w:val="22"/>
              </w:rPr>
              <w:t>.</w:t>
            </w:r>
            <w:r>
              <w:rPr>
                <w:rFonts w:eastAsia="Times New Roman" w:cs="Arial"/>
                <w:szCs w:val="22"/>
              </w:rPr>
              <w:t xml:space="preserve"> 1.</w:t>
            </w:r>
          </w:p>
          <w:p w14:paraId="189942B6" w14:textId="73133335" w:rsidR="00364753" w:rsidRDefault="00364753">
            <w:pPr>
              <w:rPr>
                <w:rFonts w:eastAsia="Times New Roman" w:cs="Arial"/>
                <w:szCs w:val="22"/>
              </w:rPr>
            </w:pPr>
            <w:r>
              <w:rPr>
                <w:rFonts w:eastAsia="Times New Roman" w:cs="Arial"/>
                <w:szCs w:val="22"/>
              </w:rPr>
              <w:t>Now that there are 2 OFIs for missing results, removed the double.</w:t>
            </w:r>
          </w:p>
        </w:tc>
        <w:tc>
          <w:tcPr>
            <w:tcW w:w="0" w:type="auto"/>
            <w:tcBorders>
              <w:bottom w:val="single" w:sz="6" w:space="0" w:color="000000"/>
              <w:right w:val="single" w:sz="6" w:space="0" w:color="000000"/>
            </w:tcBorders>
            <w:tcMar>
              <w:top w:w="75" w:type="dxa"/>
              <w:left w:w="75" w:type="dxa"/>
              <w:bottom w:w="75" w:type="dxa"/>
              <w:right w:w="75" w:type="dxa"/>
            </w:tcMar>
            <w:hideMark/>
          </w:tcPr>
          <w:p w14:paraId="4AA0F730" w14:textId="77777777" w:rsidR="005E22BD" w:rsidRDefault="000A11B9">
            <w:pPr>
              <w:rPr>
                <w:rFonts w:eastAsia="Times New Roman" w:cs="Arial"/>
                <w:szCs w:val="22"/>
              </w:rPr>
            </w:pPr>
            <w:r>
              <w:rPr>
                <w:rFonts w:eastAsia="Times New Roman" w:cs="Arial"/>
                <w:szCs w:val="22"/>
              </w:rPr>
              <w:t>a(1,2,3,4)</w:t>
            </w:r>
          </w:p>
        </w:tc>
      </w:tr>
      <w:tr w:rsidR="008C7F45" w14:paraId="7D525980"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25A6E1F9"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E37C74E" w14:textId="26D6644D" w:rsidR="005E22BD" w:rsidRDefault="000A11B9">
            <w:pPr>
              <w:rPr>
                <w:rFonts w:eastAsia="Times New Roman" w:cs="Arial"/>
                <w:szCs w:val="22"/>
              </w:rPr>
            </w:pPr>
            <w:r>
              <w:rPr>
                <w:rFonts w:eastAsia="Times New Roman" w:cs="Arial"/>
                <w:szCs w:val="22"/>
              </w:rPr>
              <w:t xml:space="preserve">Performance results are missing for several expected measures </w:t>
            </w:r>
            <w:r w:rsidR="008C7F45">
              <w:rPr>
                <w:rFonts w:eastAsia="Times New Roman" w:cs="Arial"/>
                <w:szCs w:val="22"/>
              </w:rPr>
              <w:t xml:space="preserve">of </w:t>
            </w:r>
            <w:r>
              <w:rPr>
                <w:rFonts w:eastAsia="Times New Roman" w:cs="Arial"/>
                <w:szCs w:val="22"/>
              </w:rPr>
              <w:t xml:space="preserve">societal </w:t>
            </w:r>
            <w:r w:rsidR="005D7B5E">
              <w:rPr>
                <w:rFonts w:eastAsia="Times New Roman" w:cs="Arial"/>
                <w:szCs w:val="22"/>
              </w:rPr>
              <w:t>well-being</w:t>
            </w:r>
            <w:r>
              <w:rPr>
                <w:rFonts w:eastAsia="Times New Roman" w:cs="Arial"/>
                <w:szCs w:val="22"/>
              </w:rPr>
              <w:t xml:space="preserve"> and key community support. These results </w:t>
            </w:r>
            <w:r w:rsidR="008C7F45">
              <w:rPr>
                <w:rFonts w:eastAsia="Times New Roman" w:cs="Arial"/>
                <w:szCs w:val="22"/>
              </w:rPr>
              <w:t xml:space="preserve">relate to </w:t>
            </w:r>
            <w:r>
              <w:rPr>
                <w:rFonts w:eastAsia="Times New Roman" w:cs="Arial"/>
                <w:szCs w:val="22"/>
              </w:rPr>
              <w:t xml:space="preserve">students (graduate placements in programs of need); faculty and student events for community benefit; businesses (certification, advisory groups, and </w:t>
            </w:r>
            <w:r w:rsidR="008C7F45">
              <w:rPr>
                <w:rFonts w:eastAsia="Times New Roman" w:cs="Arial"/>
                <w:szCs w:val="22"/>
              </w:rPr>
              <w:t>dual-credit</w:t>
            </w:r>
            <w:r>
              <w:rPr>
                <w:rFonts w:eastAsia="Times New Roman" w:cs="Arial"/>
                <w:szCs w:val="22"/>
              </w:rPr>
              <w:t xml:space="preserve"> programs); and community learning events. </w:t>
            </w:r>
            <w:r w:rsidR="008C7F45">
              <w:rPr>
                <w:rFonts w:eastAsia="Times New Roman" w:cs="Arial"/>
                <w:szCs w:val="22"/>
              </w:rPr>
              <w:t>In addition, r</w:t>
            </w:r>
            <w:r>
              <w:rPr>
                <w:rFonts w:eastAsia="Times New Roman" w:cs="Arial"/>
                <w:szCs w:val="22"/>
              </w:rPr>
              <w:t>esults are not reported for career</w:t>
            </w:r>
            <w:r w:rsidR="00371E72">
              <w:rPr>
                <w:rFonts w:eastAsia="Times New Roman" w:cs="Arial"/>
                <w:szCs w:val="22"/>
              </w:rPr>
              <w:t xml:space="preserve"> </w:t>
            </w:r>
            <w:r>
              <w:rPr>
                <w:rFonts w:eastAsia="Times New Roman" w:cs="Arial"/>
                <w:szCs w:val="22"/>
              </w:rPr>
              <w:t xml:space="preserve">placement and readiness, </w:t>
            </w:r>
            <w:r w:rsidR="008C7F45">
              <w:rPr>
                <w:rFonts w:eastAsia="Times New Roman" w:cs="Arial"/>
                <w:szCs w:val="22"/>
              </w:rPr>
              <w:t xml:space="preserve">for </w:t>
            </w:r>
            <w:r>
              <w:rPr>
                <w:rFonts w:eastAsia="Times New Roman" w:cs="Arial"/>
                <w:szCs w:val="22"/>
              </w:rPr>
              <w:t>retaining students in higher-income positions,</w:t>
            </w:r>
            <w:r w:rsidR="008C7F45">
              <w:rPr>
                <w:rFonts w:eastAsia="Times New Roman" w:cs="Arial"/>
                <w:szCs w:val="22"/>
              </w:rPr>
              <w:t xml:space="preserve"> or for </w:t>
            </w:r>
            <w:r>
              <w:rPr>
                <w:rFonts w:eastAsia="Times New Roman" w:cs="Arial"/>
                <w:szCs w:val="22"/>
              </w:rPr>
              <w:t xml:space="preserve">keeping students local. Tracking these </w:t>
            </w:r>
            <w:r w:rsidR="00050D3F">
              <w:rPr>
                <w:rFonts w:eastAsia="Times New Roman" w:cs="Arial"/>
                <w:szCs w:val="22"/>
              </w:rPr>
              <w:t>results</w:t>
            </w:r>
            <w:r>
              <w:rPr>
                <w:rFonts w:eastAsia="Times New Roman" w:cs="Arial"/>
                <w:szCs w:val="22"/>
              </w:rPr>
              <w:t xml:space="preserve"> may help the applicant asses its performance relative to the social responsibility aspect of its vision.</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CE5B782" w14:textId="1E0F978A" w:rsidR="005E22BD" w:rsidRDefault="000A11B9">
            <w:pPr>
              <w:rPr>
                <w:rFonts w:eastAsia="Times New Roman" w:cs="Arial"/>
                <w:szCs w:val="22"/>
              </w:rPr>
            </w:pPr>
            <w:r>
              <w:rPr>
                <w:rFonts w:eastAsia="Times New Roman" w:cs="Arial"/>
                <w:szCs w:val="22"/>
              </w:rPr>
              <w:t>Broke up the issue of missing results into 2 comments to give more examples of specific missing areas. This was supported by a number of examples.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3BDA43B" w14:textId="77777777" w:rsidR="005E22BD" w:rsidRDefault="000A11B9">
            <w:pPr>
              <w:rPr>
                <w:rFonts w:eastAsia="Times New Roman" w:cs="Arial"/>
                <w:szCs w:val="22"/>
              </w:rPr>
            </w:pPr>
            <w:r>
              <w:rPr>
                <w:rFonts w:eastAsia="Times New Roman" w:cs="Arial"/>
                <w:szCs w:val="22"/>
              </w:rPr>
              <w:t>a(5)</w:t>
            </w:r>
          </w:p>
        </w:tc>
      </w:tr>
      <w:tr w:rsidR="008C7F45" w14:paraId="04D40F8D"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5B407D2F"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540F4D50" w14:textId="045E01F9" w:rsidR="005E22BD" w:rsidRDefault="008C7F45">
            <w:pPr>
              <w:rPr>
                <w:rFonts w:eastAsia="Times New Roman" w:cs="Arial"/>
                <w:szCs w:val="22"/>
              </w:rPr>
            </w:pPr>
            <w:r>
              <w:rPr>
                <w:rFonts w:eastAsia="Times New Roman" w:cs="Arial"/>
                <w:szCs w:val="22"/>
              </w:rPr>
              <w:t>M</w:t>
            </w:r>
            <w:r w:rsidR="000A11B9">
              <w:rPr>
                <w:rFonts w:eastAsia="Times New Roman" w:cs="Arial"/>
                <w:szCs w:val="22"/>
              </w:rPr>
              <w:t xml:space="preserve">ost of </w:t>
            </w:r>
            <w:r>
              <w:rPr>
                <w:rFonts w:eastAsia="Times New Roman" w:cs="Arial"/>
                <w:szCs w:val="22"/>
              </w:rPr>
              <w:t>the applicant</w:t>
            </w:r>
            <w:r w:rsidR="005663C4">
              <w:rPr>
                <w:rFonts w:eastAsia="Times New Roman" w:cs="Arial"/>
                <w:szCs w:val="22"/>
              </w:rPr>
              <w:t>’</w:t>
            </w:r>
            <w:r>
              <w:rPr>
                <w:rFonts w:eastAsia="Times New Roman" w:cs="Arial"/>
                <w:szCs w:val="22"/>
              </w:rPr>
              <w:t>s</w:t>
            </w:r>
            <w:r w:rsidR="000A11B9">
              <w:rPr>
                <w:rFonts w:eastAsia="Times New Roman" w:cs="Arial"/>
                <w:szCs w:val="22"/>
              </w:rPr>
              <w:t xml:space="preserve"> key leadership, </w:t>
            </w:r>
            <w:r w:rsidR="005D7B5E">
              <w:rPr>
                <w:rFonts w:eastAsia="Times New Roman" w:cs="Arial"/>
                <w:szCs w:val="22"/>
              </w:rPr>
              <w:t>governance,</w:t>
            </w:r>
            <w:r w:rsidR="000A11B9">
              <w:rPr>
                <w:rFonts w:eastAsia="Times New Roman" w:cs="Arial"/>
                <w:szCs w:val="22"/>
              </w:rPr>
              <w:t xml:space="preserve"> and societal well-being results</w:t>
            </w:r>
            <w:r>
              <w:rPr>
                <w:rFonts w:eastAsia="Times New Roman" w:cs="Arial"/>
                <w:szCs w:val="22"/>
              </w:rPr>
              <w:t xml:space="preserve"> are not segmented </w:t>
            </w:r>
            <w:r w:rsidR="00364753">
              <w:rPr>
                <w:rFonts w:eastAsia="Times New Roman" w:cs="Arial"/>
                <w:szCs w:val="22"/>
              </w:rPr>
              <w:t xml:space="preserve">by </w:t>
            </w:r>
            <w:r>
              <w:rPr>
                <w:rFonts w:eastAsia="Times New Roman" w:cs="Arial"/>
                <w:szCs w:val="22"/>
              </w:rPr>
              <w:t>student segments, faculty</w:t>
            </w:r>
            <w:r w:rsidR="00371E72">
              <w:rPr>
                <w:rFonts w:eastAsia="Times New Roman" w:cs="Arial"/>
                <w:szCs w:val="22"/>
              </w:rPr>
              <w:t xml:space="preserve"> segments</w:t>
            </w:r>
            <w:r w:rsidR="00364753">
              <w:rPr>
                <w:rFonts w:eastAsia="Times New Roman" w:cs="Arial"/>
                <w:szCs w:val="22"/>
              </w:rPr>
              <w:t>,</w:t>
            </w:r>
            <w:r>
              <w:rPr>
                <w:rFonts w:eastAsia="Times New Roman" w:cs="Arial"/>
                <w:szCs w:val="22"/>
              </w:rPr>
              <w:t xml:space="preserve"> or programs</w:t>
            </w:r>
            <w:r w:rsidR="000A11B9">
              <w:rPr>
                <w:rFonts w:eastAsia="Times New Roman" w:cs="Arial"/>
                <w:szCs w:val="22"/>
              </w:rPr>
              <w:t>. For example,</w:t>
            </w:r>
            <w:r w:rsidR="00364753">
              <w:rPr>
                <w:rFonts w:eastAsia="Times New Roman" w:cs="Arial"/>
                <w:szCs w:val="22"/>
              </w:rPr>
              <w:t xml:space="preserve"> in Figures 7.4-2, 7.4-3</w:t>
            </w:r>
            <w:r w:rsidR="00D02378">
              <w:rPr>
                <w:rFonts w:eastAsia="Times New Roman" w:cs="Arial"/>
                <w:szCs w:val="22"/>
              </w:rPr>
              <w:t>,</w:t>
            </w:r>
            <w:r w:rsidR="00364753">
              <w:rPr>
                <w:rFonts w:eastAsia="Times New Roman" w:cs="Arial"/>
                <w:szCs w:val="22"/>
              </w:rPr>
              <w:t xml:space="preserve"> and 7.4-10 through 7.4-12,</w:t>
            </w:r>
            <w:r w:rsidR="000A11B9">
              <w:rPr>
                <w:rFonts w:eastAsia="Times New Roman" w:cs="Arial"/>
                <w:szCs w:val="22"/>
              </w:rPr>
              <w:t xml:space="preserve"> </w:t>
            </w:r>
            <w:r w:rsidR="00364753">
              <w:rPr>
                <w:rFonts w:eastAsia="Times New Roman" w:cs="Arial"/>
                <w:szCs w:val="22"/>
              </w:rPr>
              <w:t xml:space="preserve">results for </w:t>
            </w:r>
            <w:r w:rsidR="000A11B9">
              <w:rPr>
                <w:rFonts w:eastAsia="Times New Roman" w:cs="Arial"/>
                <w:szCs w:val="22"/>
              </w:rPr>
              <w:t>career</w:t>
            </w:r>
            <w:r w:rsidR="00364753">
              <w:rPr>
                <w:rFonts w:eastAsia="Times New Roman" w:cs="Arial"/>
                <w:szCs w:val="22"/>
              </w:rPr>
              <w:t>-</w:t>
            </w:r>
            <w:r w:rsidR="000A11B9">
              <w:rPr>
                <w:rFonts w:eastAsia="Times New Roman" w:cs="Arial"/>
                <w:szCs w:val="22"/>
              </w:rPr>
              <w:t>seeking vs</w:t>
            </w:r>
            <w:r w:rsidR="00050D3F">
              <w:rPr>
                <w:rFonts w:eastAsia="Times New Roman" w:cs="Arial"/>
                <w:szCs w:val="22"/>
              </w:rPr>
              <w:t>.</w:t>
            </w:r>
            <w:r w:rsidR="000A11B9">
              <w:rPr>
                <w:rFonts w:eastAsia="Times New Roman" w:cs="Arial"/>
                <w:szCs w:val="22"/>
              </w:rPr>
              <w:t xml:space="preserve"> non-career</w:t>
            </w:r>
            <w:r w:rsidR="00364753">
              <w:rPr>
                <w:rFonts w:eastAsia="Times New Roman" w:cs="Arial"/>
                <w:szCs w:val="22"/>
              </w:rPr>
              <w:t>-</w:t>
            </w:r>
            <w:r w:rsidR="000A11B9">
              <w:rPr>
                <w:rFonts w:eastAsia="Times New Roman" w:cs="Arial"/>
                <w:szCs w:val="22"/>
              </w:rPr>
              <w:t>seeking</w:t>
            </w:r>
            <w:r w:rsidR="00364753">
              <w:rPr>
                <w:rFonts w:eastAsia="Times New Roman" w:cs="Arial"/>
                <w:szCs w:val="22"/>
              </w:rPr>
              <w:t xml:space="preserve"> students</w:t>
            </w:r>
            <w:r w:rsidR="000A11B9">
              <w:rPr>
                <w:rFonts w:eastAsia="Times New Roman" w:cs="Arial"/>
                <w:szCs w:val="22"/>
              </w:rPr>
              <w:t xml:space="preserve"> or </w:t>
            </w:r>
            <w:r w:rsidR="00364753">
              <w:rPr>
                <w:rFonts w:eastAsia="Times New Roman" w:cs="Arial"/>
                <w:szCs w:val="22"/>
              </w:rPr>
              <w:t>for</w:t>
            </w:r>
            <w:r w:rsidR="000A11B9">
              <w:rPr>
                <w:rFonts w:eastAsia="Times New Roman" w:cs="Arial"/>
                <w:szCs w:val="22"/>
              </w:rPr>
              <w:t xml:space="preserve"> part-time v</w:t>
            </w:r>
            <w:r w:rsidR="00050D3F">
              <w:rPr>
                <w:rFonts w:eastAsia="Times New Roman" w:cs="Arial"/>
                <w:szCs w:val="22"/>
              </w:rPr>
              <w:t>s.</w:t>
            </w:r>
            <w:r w:rsidR="000A11B9">
              <w:rPr>
                <w:rFonts w:eastAsia="Times New Roman" w:cs="Arial"/>
                <w:szCs w:val="22"/>
              </w:rPr>
              <w:t xml:space="preserve"> full-time</w:t>
            </w:r>
            <w:r w:rsidR="00364753">
              <w:rPr>
                <w:rFonts w:eastAsia="Times New Roman" w:cs="Arial"/>
                <w:szCs w:val="22"/>
              </w:rPr>
              <w:t xml:space="preserve"> faculty</w:t>
            </w:r>
            <w:r w:rsidR="000A11B9">
              <w:rPr>
                <w:rFonts w:eastAsia="Times New Roman" w:cs="Arial"/>
                <w:szCs w:val="22"/>
              </w:rPr>
              <w:t xml:space="preserve"> segment</w:t>
            </w:r>
            <w:r w:rsidR="00D02378">
              <w:rPr>
                <w:rFonts w:eastAsia="Times New Roman" w:cs="Arial"/>
                <w:szCs w:val="22"/>
              </w:rPr>
              <w:t>s</w:t>
            </w:r>
            <w:r w:rsidR="000A11B9">
              <w:rPr>
                <w:rFonts w:eastAsia="Times New Roman" w:cs="Arial"/>
                <w:szCs w:val="22"/>
              </w:rPr>
              <w:t xml:space="preserve"> </w:t>
            </w:r>
            <w:r w:rsidR="00364753">
              <w:rPr>
                <w:rFonts w:eastAsia="Times New Roman" w:cs="Arial"/>
                <w:szCs w:val="22"/>
              </w:rPr>
              <w:t xml:space="preserve">are not </w:t>
            </w:r>
            <w:r w:rsidR="000A11B9">
              <w:rPr>
                <w:rFonts w:eastAsia="Times New Roman" w:cs="Arial"/>
                <w:szCs w:val="22"/>
              </w:rPr>
              <w:t xml:space="preserve">reported. Tracking results by </w:t>
            </w:r>
            <w:r w:rsidR="00364753">
              <w:rPr>
                <w:rFonts w:eastAsia="Times New Roman" w:cs="Arial"/>
                <w:szCs w:val="22"/>
              </w:rPr>
              <w:t xml:space="preserve">these key </w:t>
            </w:r>
            <w:r w:rsidR="000A11B9">
              <w:rPr>
                <w:rFonts w:eastAsia="Times New Roman" w:cs="Arial"/>
                <w:szCs w:val="22"/>
              </w:rPr>
              <w:t xml:space="preserve">segments may enable leaders to ensure </w:t>
            </w:r>
            <w:r w:rsidR="00D02378">
              <w:rPr>
                <w:rFonts w:eastAsia="Times New Roman" w:cs="Arial"/>
                <w:szCs w:val="22"/>
              </w:rPr>
              <w:t xml:space="preserve">that </w:t>
            </w:r>
            <w:r w:rsidR="000A11B9">
              <w:rPr>
                <w:rFonts w:eastAsia="Times New Roman" w:cs="Arial"/>
                <w:szCs w:val="22"/>
              </w:rPr>
              <w:t>they are effectively meeting each group</w:t>
            </w:r>
            <w:r w:rsidR="005663C4">
              <w:rPr>
                <w:rFonts w:eastAsia="Times New Roman" w:cs="Arial"/>
                <w:szCs w:val="22"/>
              </w:rPr>
              <w:t>’</w:t>
            </w:r>
            <w:r w:rsidR="000A11B9">
              <w:rPr>
                <w:rFonts w:eastAsia="Times New Roman" w:cs="Arial"/>
                <w:szCs w:val="22"/>
              </w:rPr>
              <w:t>s requirements and expectations (Figure P.1-5).</w:t>
            </w:r>
          </w:p>
        </w:tc>
        <w:tc>
          <w:tcPr>
            <w:tcW w:w="0" w:type="auto"/>
            <w:tcBorders>
              <w:bottom w:val="single" w:sz="6" w:space="0" w:color="000000"/>
              <w:right w:val="single" w:sz="6" w:space="0" w:color="000000"/>
            </w:tcBorders>
            <w:tcMar>
              <w:top w:w="75" w:type="dxa"/>
              <w:left w:w="75" w:type="dxa"/>
              <w:bottom w:w="75" w:type="dxa"/>
              <w:right w:w="75" w:type="dxa"/>
            </w:tcMar>
            <w:hideMark/>
          </w:tcPr>
          <w:p w14:paraId="6A15DCB6" w14:textId="59FD4099" w:rsidR="005E22BD" w:rsidRDefault="000A11B9">
            <w:pPr>
              <w:rPr>
                <w:rFonts w:eastAsia="Times New Roman" w:cs="Arial"/>
                <w:szCs w:val="22"/>
              </w:rPr>
            </w:pPr>
            <w:r>
              <w:rPr>
                <w:rFonts w:eastAsia="Times New Roman" w:cs="Arial"/>
                <w:szCs w:val="22"/>
              </w:rPr>
              <w:t>Several examiners specifically called out the lack of segmentation. Student segmentation not reported in</w:t>
            </w:r>
            <w:r w:rsidR="00371E72">
              <w:rPr>
                <w:rFonts w:eastAsia="Times New Roman" w:cs="Arial"/>
                <w:szCs w:val="22"/>
              </w:rPr>
              <w:t xml:space="preserve"> </w:t>
            </w:r>
            <w:r>
              <w:rPr>
                <w:rFonts w:eastAsia="Times New Roman" w:cs="Arial"/>
                <w:szCs w:val="22"/>
              </w:rPr>
              <w:t xml:space="preserve">7.4-1, -1a, -2, and -3 while all other segments were included. </w:t>
            </w:r>
            <w:r w:rsidR="00364753">
              <w:rPr>
                <w:rFonts w:eastAsia="Times New Roman" w:cs="Arial"/>
                <w:szCs w:val="22"/>
              </w:rPr>
              <w:t>And</w:t>
            </w:r>
            <w:r>
              <w:rPr>
                <w:rFonts w:eastAsia="Times New Roman" w:cs="Arial"/>
                <w:szCs w:val="22"/>
              </w:rPr>
              <w:t xml:space="preserve"> no segmentation for </w:t>
            </w:r>
            <w:r w:rsidR="00364753">
              <w:rPr>
                <w:rFonts w:eastAsia="Times New Roman" w:cs="Arial"/>
                <w:szCs w:val="22"/>
              </w:rPr>
              <w:t>part-</w:t>
            </w:r>
            <w:r>
              <w:rPr>
                <w:rFonts w:eastAsia="Times New Roman" w:cs="Arial"/>
                <w:szCs w:val="22"/>
              </w:rPr>
              <w:t>time vs</w:t>
            </w:r>
            <w:r w:rsidR="00371E72">
              <w:rPr>
                <w:rFonts w:eastAsia="Times New Roman" w:cs="Arial"/>
                <w:szCs w:val="22"/>
              </w:rPr>
              <w:t>.</w:t>
            </w:r>
            <w:r>
              <w:rPr>
                <w:rFonts w:eastAsia="Times New Roman" w:cs="Arial"/>
                <w:szCs w:val="22"/>
              </w:rPr>
              <w:t xml:space="preserve"> full</w:t>
            </w:r>
            <w:r w:rsidR="00364753">
              <w:rPr>
                <w:rFonts w:eastAsia="Times New Roman" w:cs="Arial"/>
                <w:szCs w:val="22"/>
              </w:rPr>
              <w:t>-</w:t>
            </w:r>
            <w:r>
              <w:rPr>
                <w:rFonts w:eastAsia="Times New Roman" w:cs="Arial"/>
                <w:szCs w:val="22"/>
              </w:rPr>
              <w:t>time staff/facult</w:t>
            </w:r>
            <w:r w:rsidR="001800FF">
              <w:rPr>
                <w:rFonts w:eastAsia="Times New Roman" w:cs="Arial"/>
                <w:szCs w:val="22"/>
              </w:rPr>
              <w:t>y</w:t>
            </w:r>
            <w:r w:rsidR="00364753">
              <w:rPr>
                <w:rFonts w:eastAsia="Times New Roman" w:cs="Arial"/>
                <w:szCs w:val="22"/>
              </w:rPr>
              <w:t>,</w:t>
            </w:r>
            <w:r>
              <w:rPr>
                <w:rFonts w:eastAsia="Times New Roman" w:cs="Arial"/>
                <w:szCs w:val="22"/>
              </w:rPr>
              <w:t xml:space="preserve"> which is significant based on numbers. No specific program segmentation other than </w:t>
            </w:r>
            <w:r w:rsidR="00364753">
              <w:rPr>
                <w:rFonts w:eastAsia="Times New Roman" w:cs="Arial"/>
                <w:szCs w:val="22"/>
              </w:rPr>
              <w:t>dual-credit is</w:t>
            </w:r>
            <w:r>
              <w:rPr>
                <w:rFonts w:eastAsia="Times New Roman" w:cs="Arial"/>
                <w:szCs w:val="22"/>
              </w:rPr>
              <w:t xml:space="preserve"> shown</w:t>
            </w:r>
            <w:r w:rsidR="00364753">
              <w:rPr>
                <w:rFonts w:eastAsia="Times New Roman" w:cs="Arial"/>
                <w:szCs w:val="22"/>
              </w:rPr>
              <w:t>,</w:t>
            </w:r>
            <w:r>
              <w:rPr>
                <w:rFonts w:eastAsia="Times New Roman" w:cs="Arial"/>
                <w:szCs w:val="22"/>
              </w:rPr>
              <w:t xml:space="preserve"> such as areas including health education or other STEM programs.</w:t>
            </w:r>
          </w:p>
        </w:tc>
        <w:tc>
          <w:tcPr>
            <w:tcW w:w="0" w:type="auto"/>
            <w:tcBorders>
              <w:bottom w:val="single" w:sz="6" w:space="0" w:color="000000"/>
              <w:right w:val="single" w:sz="6" w:space="0" w:color="000000"/>
            </w:tcBorders>
            <w:tcMar>
              <w:top w:w="75" w:type="dxa"/>
              <w:left w:w="75" w:type="dxa"/>
              <w:bottom w:w="75" w:type="dxa"/>
              <w:right w:w="75" w:type="dxa"/>
            </w:tcMar>
            <w:hideMark/>
          </w:tcPr>
          <w:p w14:paraId="63C12C79" w14:textId="7038D8DB" w:rsidR="005E22BD" w:rsidRDefault="000A11B9">
            <w:pPr>
              <w:rPr>
                <w:rFonts w:eastAsia="Times New Roman" w:cs="Arial"/>
                <w:szCs w:val="22"/>
              </w:rPr>
            </w:pPr>
            <w:r>
              <w:rPr>
                <w:rFonts w:eastAsia="Times New Roman" w:cs="Arial"/>
                <w:szCs w:val="22"/>
              </w:rPr>
              <w:t>a</w:t>
            </w:r>
            <w:r w:rsidR="008C7F45">
              <w:rPr>
                <w:rFonts w:eastAsia="Times New Roman" w:cs="Arial"/>
                <w:szCs w:val="22"/>
              </w:rPr>
              <w:t>(1,2,5)</w:t>
            </w:r>
          </w:p>
        </w:tc>
      </w:tr>
    </w:tbl>
    <w:p w14:paraId="566555C9" w14:textId="77777777" w:rsidR="005E22BD" w:rsidRDefault="000A11B9">
      <w:pPr>
        <w:pStyle w:val="Heading4"/>
        <w:divId w:val="905190427"/>
        <w:rPr>
          <w:rFonts w:eastAsia="Times New Roman" w:cs="Arial"/>
        </w:rPr>
      </w:pPr>
      <w:r>
        <w:rPr>
          <w:rFonts w:eastAsia="Times New Roman" w:cs="Arial"/>
        </w:rPr>
        <w:lastRenderedPageBreak/>
        <w:t>Notes</w:t>
      </w:r>
    </w:p>
    <w:tbl>
      <w:tblPr>
        <w:tblStyle w:val="TableGrid"/>
        <w:tblW w:w="0" w:type="auto"/>
        <w:tblInd w:w="355" w:type="dxa"/>
        <w:tblLook w:val="04A0" w:firstRow="1" w:lastRow="0" w:firstColumn="1" w:lastColumn="0" w:noHBand="0" w:noVBand="1"/>
      </w:tblPr>
      <w:tblGrid>
        <w:gridCol w:w="10080"/>
      </w:tblGrid>
      <w:tr w:rsidR="007E0DEE" w14:paraId="2E903EB6" w14:textId="77777777" w:rsidTr="007E0DEE">
        <w:tc>
          <w:tcPr>
            <w:tcW w:w="10080" w:type="dxa"/>
          </w:tcPr>
          <w:p w14:paraId="4556D0AC" w14:textId="0E461A36" w:rsidR="007E0DEE" w:rsidRDefault="007E0DEE" w:rsidP="007E0DEE">
            <w:pPr>
              <w:rPr>
                <w:rFonts w:eastAsia="Times New Roman" w:cs="Arial"/>
                <w:szCs w:val="22"/>
              </w:rPr>
            </w:pPr>
            <w:r>
              <w:rPr>
                <w:rFonts w:eastAsia="Times New Roman" w:cs="Arial"/>
                <w:szCs w:val="22"/>
              </w:rPr>
              <w:t xml:space="preserve">Have separated out the missing results comments from 1 OFI to 2 to help differentiate the issues (based on recommendations); thus removing the double OFI 1 for missing. And refined the segmentation comment. </w:t>
            </w:r>
          </w:p>
        </w:tc>
      </w:tr>
    </w:tbl>
    <w:p w14:paraId="6A8BC2DC"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080"/>
      </w:tblGrid>
      <w:tr w:rsidR="007E0DEE" w14:paraId="06EA4687" w14:textId="77777777" w:rsidTr="007E0DEE">
        <w:tc>
          <w:tcPr>
            <w:tcW w:w="10080" w:type="dxa"/>
          </w:tcPr>
          <w:p w14:paraId="2F6981B5"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65</w:t>
            </w:r>
          </w:p>
          <w:p w14:paraId="7DA1CB93"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430BC9E7" w14:textId="57A9CFA1" w:rsidR="007E0DEE" w:rsidRDefault="007E0DEE" w:rsidP="007E0DEE">
            <w:pPr>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The score is not in the range below as results are reported for all area</w:t>
            </w:r>
            <w:r>
              <w:rPr>
                <w:rStyle w:val="Strong"/>
                <w:rFonts w:eastAsia="Times New Roman" w:cs="Arial"/>
                <w:b w:val="0"/>
                <w:bCs w:val="0"/>
                <w:szCs w:val="22"/>
              </w:rPr>
              <w:t>s,</w:t>
            </w:r>
            <w:r w:rsidRPr="00FD460C">
              <w:rPr>
                <w:rStyle w:val="Strong"/>
                <w:rFonts w:eastAsia="Times New Roman" w:cs="Arial"/>
                <w:b w:val="0"/>
                <w:bCs w:val="0"/>
                <w:szCs w:val="22"/>
              </w:rPr>
              <w:t xml:space="preserve"> beneficial levels and trend data </w:t>
            </w:r>
            <w:r>
              <w:rPr>
                <w:rStyle w:val="Strong"/>
                <w:rFonts w:eastAsia="Times New Roman" w:cs="Arial"/>
                <w:b w:val="0"/>
                <w:bCs w:val="0"/>
                <w:szCs w:val="22"/>
              </w:rPr>
              <w:t>are</w:t>
            </w:r>
            <w:r w:rsidRPr="00FD460C">
              <w:rPr>
                <w:rStyle w:val="Strong"/>
                <w:rFonts w:eastAsia="Times New Roman" w:cs="Arial"/>
                <w:b w:val="0"/>
                <w:bCs w:val="0"/>
                <w:szCs w:val="22"/>
              </w:rPr>
              <w:t xml:space="preserve"> provided for most results at the overall level</w:t>
            </w:r>
            <w:r>
              <w:rPr>
                <w:rStyle w:val="Strong"/>
                <w:rFonts w:eastAsia="Times New Roman" w:cs="Arial"/>
                <w:b w:val="0"/>
                <w:bCs w:val="0"/>
                <w:szCs w:val="22"/>
              </w:rPr>
              <w:t>,</w:t>
            </w:r>
            <w:r w:rsidRPr="00FD460C">
              <w:rPr>
                <w:rStyle w:val="Strong"/>
                <w:rFonts w:eastAsia="Times New Roman" w:cs="Arial"/>
                <w:b w:val="0"/>
                <w:bCs w:val="0"/>
                <w:szCs w:val="22"/>
              </w:rPr>
              <w:t xml:space="preserve"> and some results </w:t>
            </w:r>
            <w:r>
              <w:rPr>
                <w:rStyle w:val="Strong"/>
                <w:rFonts w:eastAsia="Times New Roman" w:cs="Arial"/>
                <w:b w:val="0"/>
                <w:bCs w:val="0"/>
                <w:szCs w:val="22"/>
              </w:rPr>
              <w:t xml:space="preserve">are </w:t>
            </w:r>
            <w:r w:rsidRPr="00FD460C">
              <w:rPr>
                <w:rStyle w:val="Strong"/>
                <w:rFonts w:eastAsia="Times New Roman" w:cs="Arial"/>
                <w:b w:val="0"/>
                <w:bCs w:val="0"/>
                <w:szCs w:val="22"/>
              </w:rPr>
              <w:t xml:space="preserve">reported </w:t>
            </w:r>
            <w:r>
              <w:rPr>
                <w:rStyle w:val="Strong"/>
                <w:rFonts w:eastAsia="Times New Roman" w:cs="Arial"/>
                <w:b w:val="0"/>
                <w:bCs w:val="0"/>
                <w:szCs w:val="22"/>
              </w:rPr>
              <w:t>for</w:t>
            </w:r>
            <w:r w:rsidRPr="00FD460C">
              <w:rPr>
                <w:rStyle w:val="Strong"/>
                <w:rFonts w:eastAsia="Times New Roman" w:cs="Arial"/>
                <w:b w:val="0"/>
                <w:bCs w:val="0"/>
                <w:szCs w:val="22"/>
              </w:rPr>
              <w:t xml:space="preserve"> multiple questions. The score is not in the above range </w:t>
            </w:r>
            <w:r>
              <w:rPr>
                <w:rStyle w:val="Strong"/>
                <w:rFonts w:eastAsia="Times New Roman" w:cs="Arial"/>
                <w:b w:val="0"/>
                <w:bCs w:val="0"/>
                <w:szCs w:val="22"/>
              </w:rPr>
              <w:t xml:space="preserve">because of </w:t>
            </w:r>
            <w:r w:rsidRPr="00FD460C">
              <w:rPr>
                <w:rStyle w:val="Strong"/>
                <w:rFonts w:eastAsia="Times New Roman" w:cs="Arial"/>
                <w:b w:val="0"/>
                <w:bCs w:val="0"/>
                <w:szCs w:val="22"/>
              </w:rPr>
              <w:t xml:space="preserve">missing results and lack of segmentation </w:t>
            </w:r>
            <w:r>
              <w:rPr>
                <w:rStyle w:val="Strong"/>
                <w:rFonts w:eastAsia="Times New Roman" w:cs="Arial"/>
                <w:b w:val="0"/>
                <w:bCs w:val="0"/>
                <w:szCs w:val="22"/>
              </w:rPr>
              <w:t xml:space="preserve">by </w:t>
            </w:r>
            <w:r w:rsidRPr="00FD460C">
              <w:rPr>
                <w:rStyle w:val="Strong"/>
                <w:rFonts w:eastAsia="Times New Roman" w:cs="Arial"/>
                <w:b w:val="0"/>
                <w:bCs w:val="0"/>
                <w:szCs w:val="22"/>
              </w:rPr>
              <w:t xml:space="preserve">key groups/programs noted for several key expected results. </w:t>
            </w:r>
          </w:p>
          <w:p w14:paraId="0FE95EE6" w14:textId="7BCCE057" w:rsidR="007E0DEE" w:rsidRDefault="007E0DEE" w:rsidP="007E0DEE">
            <w:pPr>
              <w:ind w:right="360"/>
              <w:rPr>
                <w:rFonts w:eastAsia="Times New Roman" w:cs="Arial"/>
                <w:b/>
                <w:bCs/>
                <w:szCs w:val="22"/>
              </w:rPr>
            </w:pPr>
            <w:r w:rsidRPr="00FD460C">
              <w:rPr>
                <w:rStyle w:val="Strong"/>
                <w:rFonts w:eastAsia="Times New Roman" w:cs="Arial"/>
                <w:b w:val="0"/>
                <w:bCs w:val="0"/>
                <w:szCs w:val="22"/>
              </w:rPr>
              <w:t xml:space="preserve">Thus, based on the 3 STR, with one </w:t>
            </w:r>
            <w:r>
              <w:rPr>
                <w:rStyle w:val="Strong"/>
                <w:rFonts w:eastAsia="Times New Roman" w:cs="Arial"/>
                <w:b w:val="0"/>
                <w:bCs w:val="0"/>
                <w:szCs w:val="22"/>
              </w:rPr>
              <w:t>double</w:t>
            </w:r>
            <w:r w:rsidRPr="00FD460C">
              <w:rPr>
                <w:rStyle w:val="Strong"/>
                <w:rFonts w:eastAsia="Times New Roman" w:cs="Arial"/>
                <w:b w:val="0"/>
                <w:bCs w:val="0"/>
                <w:szCs w:val="22"/>
              </w:rPr>
              <w:t>d strength for ethics</w:t>
            </w:r>
            <w:r>
              <w:rPr>
                <w:rStyle w:val="Strong"/>
                <w:rFonts w:eastAsia="Times New Roman" w:cs="Arial"/>
                <w:b w:val="0"/>
                <w:bCs w:val="0"/>
                <w:szCs w:val="22"/>
              </w:rPr>
              <w:t>/legal</w:t>
            </w:r>
            <w:r w:rsidRPr="00FD460C">
              <w:rPr>
                <w:rStyle w:val="Strong"/>
                <w:rFonts w:eastAsia="Times New Roman" w:cs="Arial"/>
                <w:b w:val="0"/>
                <w:bCs w:val="0"/>
                <w:szCs w:val="22"/>
              </w:rPr>
              <w:t xml:space="preserve"> results</w:t>
            </w:r>
            <w:r>
              <w:rPr>
                <w:rStyle w:val="Strong"/>
                <w:rFonts w:eastAsia="Times New Roman" w:cs="Arial"/>
                <w:b w:val="0"/>
                <w:bCs w:val="0"/>
                <w:szCs w:val="22"/>
              </w:rPr>
              <w:t>,</w:t>
            </w:r>
            <w:r w:rsidRPr="00FD460C">
              <w:rPr>
                <w:rStyle w:val="Strong"/>
                <w:rFonts w:eastAsia="Times New Roman" w:cs="Arial"/>
                <w:b w:val="0"/>
                <w:bCs w:val="0"/>
                <w:szCs w:val="22"/>
              </w:rPr>
              <w:t xml:space="preserve"> and the 3 OFIs with 2 specifically addressing missing expected key results (at multiple level), the </w:t>
            </w:r>
            <w:r>
              <w:rPr>
                <w:rStyle w:val="Strong"/>
                <w:rFonts w:eastAsia="Times New Roman" w:cs="Arial"/>
                <w:b w:val="0"/>
                <w:bCs w:val="0"/>
                <w:szCs w:val="22"/>
              </w:rPr>
              <w:t>50–65</w:t>
            </w:r>
            <w:r w:rsidRPr="00FD460C">
              <w:rPr>
                <w:rStyle w:val="Strong"/>
                <w:rFonts w:eastAsia="Times New Roman" w:cs="Arial"/>
                <w:b w:val="0"/>
                <w:bCs w:val="0"/>
                <w:szCs w:val="22"/>
              </w:rPr>
              <w:t xml:space="preserve">% range is </w:t>
            </w:r>
            <w:r>
              <w:rPr>
                <w:rStyle w:val="Strong"/>
                <w:rFonts w:eastAsia="Times New Roman" w:cs="Arial"/>
                <w:b w:val="0"/>
                <w:bCs w:val="0"/>
                <w:szCs w:val="22"/>
              </w:rPr>
              <w:t>the most descriptive</w:t>
            </w:r>
            <w:r w:rsidR="00B26EFE">
              <w:rPr>
                <w:rStyle w:val="Strong"/>
                <w:rFonts w:eastAsia="Times New Roman" w:cs="Arial"/>
                <w:b w:val="0"/>
                <w:bCs w:val="0"/>
                <w:szCs w:val="22"/>
              </w:rPr>
              <w:t>,</w:t>
            </w:r>
            <w:r w:rsidRPr="00FD460C">
              <w:rPr>
                <w:rStyle w:val="Strong"/>
                <w:rFonts w:eastAsia="Times New Roman" w:cs="Arial"/>
                <w:b w:val="0"/>
                <w:bCs w:val="0"/>
                <w:szCs w:val="22"/>
              </w:rPr>
              <w:t xml:space="preserve"> and a score of 65 </w:t>
            </w:r>
            <w:r w:rsidRPr="00D02378">
              <w:rPr>
                <w:rStyle w:val="Strong"/>
                <w:rFonts w:eastAsia="Times New Roman" w:cs="Arial"/>
                <w:b w:val="0"/>
                <w:bCs w:val="0"/>
                <w:szCs w:val="22"/>
              </w:rPr>
              <w:t>.</w:t>
            </w:r>
          </w:p>
        </w:tc>
      </w:tr>
    </w:tbl>
    <w:p w14:paraId="49EBB9C7" w14:textId="77777777" w:rsidR="00050D3F" w:rsidRDefault="00050D3F">
      <w:pPr>
        <w:rPr>
          <w:rFonts w:eastAsia="Times New Roman" w:cs="Arial"/>
          <w:b/>
          <w:bCs/>
          <w:szCs w:val="22"/>
        </w:rPr>
      </w:pPr>
    </w:p>
    <w:p w14:paraId="65E0BCC0" w14:textId="77777777" w:rsidR="00050D3F" w:rsidRDefault="00050D3F">
      <w:pPr>
        <w:spacing w:after="0"/>
        <w:rPr>
          <w:rFonts w:eastAsia="Times New Roman" w:cs="Arial"/>
          <w:b/>
          <w:bCs/>
          <w:szCs w:val="22"/>
        </w:rPr>
      </w:pPr>
      <w:r>
        <w:rPr>
          <w:rFonts w:eastAsia="Times New Roman" w:cs="Arial"/>
          <w:b/>
          <w:bCs/>
          <w:szCs w:val="22"/>
        </w:rPr>
        <w:br w:type="page"/>
      </w:r>
    </w:p>
    <w:p w14:paraId="1389EC22" w14:textId="77777777" w:rsidR="005E22BD" w:rsidRDefault="000A11B9">
      <w:pPr>
        <w:pStyle w:val="Heading2"/>
        <w:divId w:val="905190427"/>
        <w:rPr>
          <w:rFonts w:eastAsia="Times New Roman" w:cs="Arial"/>
        </w:rPr>
      </w:pPr>
      <w:r>
        <w:rPr>
          <w:rFonts w:eastAsia="Times New Roman" w:cs="Arial"/>
        </w:rPr>
        <w:lastRenderedPageBreak/>
        <w:t>Item Worksheet</w:t>
      </w:r>
      <w:r w:rsidR="000834C7">
        <w:rPr>
          <w:rFonts w:eastAsia="Times New Roman" w:cs="Arial"/>
        </w:rPr>
        <w:t>—</w:t>
      </w:r>
      <w:r>
        <w:rPr>
          <w:rFonts w:eastAsia="Times New Roman" w:cs="Arial"/>
        </w:rPr>
        <w:t>Item 7.5</w:t>
      </w:r>
    </w:p>
    <w:p w14:paraId="2D3495C4" w14:textId="77777777" w:rsidR="005E22BD" w:rsidRDefault="000A11B9">
      <w:pPr>
        <w:pStyle w:val="Heading2"/>
        <w:divId w:val="905190427"/>
        <w:rPr>
          <w:rFonts w:eastAsia="Times New Roman" w:cs="Arial"/>
        </w:rPr>
      </w:pPr>
      <w:r>
        <w:rPr>
          <w:rFonts w:eastAsia="Times New Roman" w:cs="Arial"/>
        </w:rPr>
        <w:t>Budgetary, Financial, Market, and Strategy Results</w:t>
      </w:r>
    </w:p>
    <w:p w14:paraId="556249A2" w14:textId="77777777" w:rsidR="005E22BD" w:rsidRDefault="000A11B9">
      <w:pPr>
        <w:pStyle w:val="Heading3"/>
        <w:divId w:val="905190427"/>
        <w:rPr>
          <w:rFonts w:eastAsia="Times New Roman" w:cs="Arial"/>
        </w:rPr>
      </w:pPr>
      <w:r>
        <w:rPr>
          <w:rFonts w:eastAsia="Times New Roman" w:cs="Arial"/>
        </w:rPr>
        <w:t>Relevant Key Factors</w:t>
      </w:r>
    </w:p>
    <w:p w14:paraId="36AFA5FE" w14:textId="77777777" w:rsidR="005E22BD" w:rsidRDefault="001F46D7">
      <w:pPr>
        <w:numPr>
          <w:ilvl w:val="0"/>
          <w:numId w:val="21"/>
        </w:numPr>
        <w:spacing w:before="100" w:beforeAutospacing="1" w:after="100" w:afterAutospacing="1"/>
        <w:divId w:val="905190427"/>
        <w:rPr>
          <w:rFonts w:eastAsia="Times New Roman" w:cs="Arial"/>
          <w:szCs w:val="22"/>
        </w:rPr>
      </w:pPr>
      <w:r>
        <w:rPr>
          <w:rFonts w:eastAsia="Times New Roman" w:cs="Arial"/>
          <w:szCs w:val="22"/>
        </w:rPr>
        <w:t>Recent high school graduates inside/outside service area</w:t>
      </w:r>
      <w:r w:rsidR="000A11B9">
        <w:rPr>
          <w:rFonts w:eastAsia="Times New Roman" w:cs="Arial"/>
          <w:szCs w:val="22"/>
        </w:rPr>
        <w:t xml:space="preserve">; </w:t>
      </w:r>
      <w:r>
        <w:rPr>
          <w:rFonts w:eastAsia="Times New Roman" w:cs="Arial"/>
          <w:szCs w:val="22"/>
        </w:rPr>
        <w:t>nontraditional, transfer, former students—</w:t>
      </w:r>
      <w:r w:rsidR="000A11B9">
        <w:rPr>
          <w:rFonts w:eastAsia="Times New Roman" w:cs="Arial"/>
          <w:szCs w:val="22"/>
        </w:rPr>
        <w:t xml:space="preserve">focused recruitment, information about institution, easy access to services. </w:t>
      </w:r>
      <w:r w:rsidR="00153A64">
        <w:rPr>
          <w:rFonts w:eastAsia="Times New Roman" w:cs="Arial"/>
          <w:szCs w:val="22"/>
        </w:rPr>
        <w:t>Primary customers: credit students, over 70% in 3-county service area.</w:t>
      </w:r>
    </w:p>
    <w:p w14:paraId="0B7FC875" w14:textId="24688271" w:rsidR="001F46D7" w:rsidRDefault="001F46D7" w:rsidP="001F46D7">
      <w:pPr>
        <w:numPr>
          <w:ilvl w:val="0"/>
          <w:numId w:val="21"/>
        </w:numPr>
        <w:spacing w:before="100" w:beforeAutospacing="1" w:after="100" w:afterAutospacing="1"/>
        <w:divId w:val="905190427"/>
        <w:rPr>
          <w:rFonts w:eastAsia="Times New Roman" w:cs="Arial"/>
          <w:szCs w:val="22"/>
        </w:rPr>
      </w:pPr>
      <w:r>
        <w:rPr>
          <w:rFonts w:eastAsia="Times New Roman" w:cs="Arial"/>
          <w:szCs w:val="22"/>
        </w:rPr>
        <w:t xml:space="preserve">Career-seeking students. Transfer. Non-degree-seeking. Dual </w:t>
      </w:r>
      <w:r w:rsidR="00371E72">
        <w:rPr>
          <w:rFonts w:eastAsia="Times New Roman" w:cs="Arial"/>
          <w:szCs w:val="22"/>
        </w:rPr>
        <w:t>credit</w:t>
      </w:r>
      <w:r w:rsidR="00B5381C">
        <w:rPr>
          <w:rFonts w:eastAsia="Times New Roman" w:cs="Arial"/>
          <w:szCs w:val="22"/>
        </w:rPr>
        <w:t>.</w:t>
      </w:r>
    </w:p>
    <w:p w14:paraId="4039F969" w14:textId="5860E152" w:rsidR="005E22BD" w:rsidRDefault="00DB6E5E">
      <w:pPr>
        <w:numPr>
          <w:ilvl w:val="0"/>
          <w:numId w:val="21"/>
        </w:numPr>
        <w:spacing w:before="100" w:beforeAutospacing="1" w:after="100" w:afterAutospacing="1"/>
        <w:divId w:val="905190427"/>
        <w:rPr>
          <w:rFonts w:eastAsia="Times New Roman" w:cs="Arial"/>
          <w:szCs w:val="22"/>
        </w:rPr>
      </w:pPr>
      <w:r>
        <w:rPr>
          <w:rFonts w:eastAsia="Times New Roman" w:cs="Arial"/>
          <w:szCs w:val="22"/>
        </w:rPr>
        <w:t>National/regional</w:t>
      </w:r>
      <w:r w:rsidR="000A11B9">
        <w:rPr>
          <w:rFonts w:eastAsia="Times New Roman" w:cs="Arial"/>
          <w:szCs w:val="22"/>
        </w:rPr>
        <w:t xml:space="preserve"> estimates</w:t>
      </w:r>
      <w:r w:rsidR="00153A64">
        <w:rPr>
          <w:rFonts w:eastAsia="Times New Roman" w:cs="Arial"/>
          <w:szCs w:val="22"/>
        </w:rPr>
        <w:t>:</w:t>
      </w:r>
      <w:r w:rsidR="000A11B9">
        <w:rPr>
          <w:rFonts w:eastAsia="Times New Roman" w:cs="Arial"/>
          <w:szCs w:val="22"/>
        </w:rPr>
        <w:t xml:space="preserve"> declines in high school graduates over next decade; </w:t>
      </w:r>
      <w:r>
        <w:rPr>
          <w:rFonts w:eastAsia="Times New Roman" w:cs="Arial"/>
          <w:szCs w:val="22"/>
        </w:rPr>
        <w:t>Lowering of admissions standards of some peers/competitors; development of dual-credit academies, articulation agreements, collaboration</w:t>
      </w:r>
      <w:r w:rsidR="000A11B9">
        <w:rPr>
          <w:rFonts w:eastAsia="Times New Roman" w:cs="Arial"/>
          <w:szCs w:val="22"/>
        </w:rPr>
        <w:t xml:space="preserve"> with local employers to increase entry pathways</w:t>
      </w:r>
      <w:r w:rsidR="00B5381C">
        <w:rPr>
          <w:rFonts w:eastAsia="Times New Roman" w:cs="Arial"/>
          <w:szCs w:val="22"/>
        </w:rPr>
        <w:t>.</w:t>
      </w:r>
    </w:p>
    <w:p w14:paraId="0B2200DF" w14:textId="1091A790" w:rsidR="005E22BD" w:rsidRDefault="00153A64">
      <w:pPr>
        <w:numPr>
          <w:ilvl w:val="0"/>
          <w:numId w:val="21"/>
        </w:numPr>
        <w:spacing w:before="100" w:beforeAutospacing="1" w:after="100" w:afterAutospacing="1"/>
        <w:divId w:val="905190427"/>
        <w:rPr>
          <w:rFonts w:eastAsia="Times New Roman" w:cs="Arial"/>
          <w:szCs w:val="22"/>
        </w:rPr>
      </w:pPr>
      <w:r>
        <w:rPr>
          <w:rFonts w:eastAsia="Times New Roman" w:cs="Arial"/>
          <w:szCs w:val="22"/>
        </w:rPr>
        <w:t>Peers, competitors, national averages, best-in-class</w:t>
      </w:r>
      <w:r w:rsidR="000834C7">
        <w:rPr>
          <w:rFonts w:eastAsia="Times New Roman" w:cs="Arial"/>
          <w:szCs w:val="22"/>
        </w:rPr>
        <w:t>—</w:t>
      </w:r>
      <w:r w:rsidR="000A11B9">
        <w:rPr>
          <w:rFonts w:eastAsia="Times New Roman" w:cs="Arial"/>
          <w:szCs w:val="22"/>
        </w:rPr>
        <w:t>IPE</w:t>
      </w:r>
      <w:r w:rsidR="007B4856">
        <w:rPr>
          <w:rFonts w:eastAsia="Times New Roman" w:cs="Arial"/>
          <w:szCs w:val="22"/>
        </w:rPr>
        <w:t>Ex2</w:t>
      </w:r>
      <w:r w:rsidR="000A11B9">
        <w:rPr>
          <w:rFonts w:eastAsia="Times New Roman" w:cs="Arial"/>
          <w:szCs w:val="22"/>
        </w:rPr>
        <w:t xml:space="preserve">, CCSSE, CollUnivPA-HR; Nome Zevil DASHER; </w:t>
      </w:r>
      <w:r w:rsidR="00371E72">
        <w:rPr>
          <w:rFonts w:eastAsia="Times New Roman" w:cs="Arial"/>
          <w:szCs w:val="22"/>
        </w:rPr>
        <w:t xml:space="preserve">other </w:t>
      </w:r>
      <w:r w:rsidR="000A11B9">
        <w:rPr>
          <w:rFonts w:eastAsia="Times New Roman" w:cs="Arial"/>
          <w:szCs w:val="22"/>
        </w:rPr>
        <w:t>Baldrige winners; NCCBP, Cost and Productivity Project, NSC</w:t>
      </w:r>
      <w:r w:rsidR="00B5381C">
        <w:rPr>
          <w:rFonts w:eastAsia="Times New Roman" w:cs="Arial"/>
          <w:szCs w:val="22"/>
        </w:rPr>
        <w:t>.</w:t>
      </w:r>
    </w:p>
    <w:p w14:paraId="328828AE" w14:textId="7A04D6DF" w:rsidR="005E22BD" w:rsidRDefault="00BF4999">
      <w:pPr>
        <w:numPr>
          <w:ilvl w:val="0"/>
          <w:numId w:val="21"/>
        </w:numPr>
        <w:spacing w:before="100" w:beforeAutospacing="1" w:after="100" w:afterAutospacing="1"/>
        <w:divId w:val="905190427"/>
        <w:rPr>
          <w:rFonts w:eastAsia="Times New Roman" w:cs="Arial"/>
          <w:szCs w:val="22"/>
        </w:rPr>
      </w:pPr>
      <w:r>
        <w:rPr>
          <w:rFonts w:eastAsia="Times New Roman" w:cs="Arial"/>
          <w:szCs w:val="22"/>
        </w:rPr>
        <w:t>A</w:t>
      </w:r>
      <w:r w:rsidR="000A11B9">
        <w:rPr>
          <w:rFonts w:eastAsia="Times New Roman" w:cs="Arial"/>
          <w:szCs w:val="22"/>
        </w:rPr>
        <w:t>ffordability</w:t>
      </w:r>
      <w:r w:rsidR="00B5381C">
        <w:rPr>
          <w:rFonts w:eastAsia="Times New Roman" w:cs="Arial"/>
          <w:szCs w:val="22"/>
        </w:rPr>
        <w:t>.</w:t>
      </w:r>
    </w:p>
    <w:p w14:paraId="2C8D617F" w14:textId="245B2890" w:rsidR="005E22BD" w:rsidRDefault="000A11B9">
      <w:pPr>
        <w:numPr>
          <w:ilvl w:val="0"/>
          <w:numId w:val="21"/>
        </w:numPr>
        <w:spacing w:before="100" w:beforeAutospacing="1" w:after="100" w:afterAutospacing="1"/>
        <w:divId w:val="905190427"/>
        <w:rPr>
          <w:rFonts w:eastAsia="Times New Roman" w:cs="Arial"/>
          <w:szCs w:val="22"/>
        </w:rPr>
      </w:pPr>
      <w:r>
        <w:rPr>
          <w:rFonts w:eastAsia="Times New Roman" w:cs="Arial"/>
          <w:szCs w:val="22"/>
        </w:rPr>
        <w:t xml:space="preserve">Decreased state funding, Influx of </w:t>
      </w:r>
      <w:r w:rsidR="00DB6E5E">
        <w:rPr>
          <w:rFonts w:eastAsia="Times New Roman" w:cs="Arial"/>
          <w:szCs w:val="22"/>
        </w:rPr>
        <w:t>dual-credit</w:t>
      </w:r>
      <w:r>
        <w:rPr>
          <w:rFonts w:eastAsia="Times New Roman" w:cs="Arial"/>
          <w:szCs w:val="22"/>
        </w:rPr>
        <w:t xml:space="preserve"> high school students, increased competition for students</w:t>
      </w:r>
      <w:r w:rsidR="00B5381C">
        <w:rPr>
          <w:rFonts w:eastAsia="Times New Roman" w:cs="Arial"/>
          <w:szCs w:val="22"/>
        </w:rPr>
        <w:t>.</w:t>
      </w:r>
      <w:r w:rsidR="00BF4999">
        <w:rPr>
          <w:rFonts w:eastAsia="Times New Roman" w:cs="Arial"/>
          <w:szCs w:val="22"/>
        </w:rPr>
        <w:t xml:space="preserve"> </w:t>
      </w:r>
    </w:p>
    <w:p w14:paraId="46E20726" w14:textId="60C297D9" w:rsidR="005E22BD" w:rsidRDefault="000A11B9">
      <w:pPr>
        <w:pStyle w:val="Heading3"/>
        <w:divId w:val="905190427"/>
        <w:rPr>
          <w:rFonts w:eastAsia="Times New Roman" w:cs="Arial"/>
        </w:rPr>
      </w:pPr>
      <w:r>
        <w:rPr>
          <w:rFonts w:eastAsia="Times New Roman" w:cs="Arial"/>
        </w:rPr>
        <w:t>Strengths</w:t>
      </w:r>
      <w:r w:rsidR="00BF4999">
        <w:rPr>
          <w:rFonts w:eastAsia="Times New Roman" w:cs="Arial"/>
        </w:rPr>
        <w:t xml:space="preserve"> </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39"/>
        <w:gridCol w:w="4218"/>
        <w:gridCol w:w="1200"/>
      </w:tblGrid>
      <w:tr w:rsidR="005E22BD" w14:paraId="245CDDF2"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6839179E" w14:textId="77777777" w:rsidR="005E22BD" w:rsidRDefault="000A11B9">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714BE7EE" w14:textId="77777777" w:rsidR="005E22BD" w:rsidRDefault="000A11B9">
            <w:pPr>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080D8602"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9DAA79D"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719A3DBB"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19BB5154"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422BB0C6" w14:textId="7E4E42FF" w:rsidR="005E22BD" w:rsidRDefault="000A11B9">
            <w:pPr>
              <w:rPr>
                <w:rFonts w:eastAsia="Times New Roman" w:cs="Arial"/>
                <w:szCs w:val="22"/>
              </w:rPr>
            </w:pPr>
            <w:r>
              <w:rPr>
                <w:rFonts w:eastAsia="Times New Roman" w:cs="Arial"/>
                <w:szCs w:val="22"/>
              </w:rPr>
              <w:t>Some financial performance results demonstrate sustained</w:t>
            </w:r>
            <w:r w:rsidR="00050D3F">
              <w:rPr>
                <w:rFonts w:eastAsia="Times New Roman" w:cs="Arial"/>
                <w:szCs w:val="22"/>
              </w:rPr>
              <w:t xml:space="preserve"> top-decile</w:t>
            </w:r>
            <w:r>
              <w:rPr>
                <w:rFonts w:eastAsia="Times New Roman" w:cs="Arial"/>
                <w:szCs w:val="22"/>
              </w:rPr>
              <w:t xml:space="preserve"> </w:t>
            </w:r>
            <w:r w:rsidR="00050D3F">
              <w:rPr>
                <w:rFonts w:eastAsia="Times New Roman" w:cs="Arial"/>
                <w:szCs w:val="22"/>
              </w:rPr>
              <w:t xml:space="preserve">or top-quartile </w:t>
            </w:r>
            <w:r>
              <w:rPr>
                <w:rFonts w:eastAsia="Times New Roman" w:cs="Arial"/>
                <w:szCs w:val="22"/>
              </w:rPr>
              <w:t>levels. For example, the bond credit report (Figure 7.5-6) is positive, and</w:t>
            </w:r>
            <w:r w:rsidR="00B5381C">
              <w:rPr>
                <w:rFonts w:eastAsia="Times New Roman" w:cs="Arial"/>
                <w:szCs w:val="22"/>
              </w:rPr>
              <w:t xml:space="preserve"> for</w:t>
            </w:r>
            <w:r>
              <w:rPr>
                <w:rFonts w:eastAsia="Times New Roman" w:cs="Arial"/>
                <w:szCs w:val="22"/>
              </w:rPr>
              <w:t xml:space="preserve"> cost containment</w:t>
            </w:r>
            <w:r w:rsidR="00B5381C">
              <w:rPr>
                <w:rFonts w:eastAsia="Times New Roman" w:cs="Arial"/>
                <w:szCs w:val="22"/>
              </w:rPr>
              <w:t>,</w:t>
            </w:r>
            <w:r>
              <w:rPr>
                <w:rFonts w:eastAsia="Times New Roman" w:cs="Arial"/>
                <w:szCs w:val="22"/>
              </w:rPr>
              <w:t xml:space="preserve"> the applicant</w:t>
            </w:r>
            <w:r w:rsidR="005663C4">
              <w:rPr>
                <w:rFonts w:eastAsia="Times New Roman" w:cs="Arial"/>
                <w:szCs w:val="22"/>
              </w:rPr>
              <w:t>’</w:t>
            </w:r>
            <w:r w:rsidR="00B5381C">
              <w:rPr>
                <w:rFonts w:eastAsia="Times New Roman" w:cs="Arial"/>
                <w:szCs w:val="22"/>
              </w:rPr>
              <w:t>s results are equal to or better</w:t>
            </w:r>
            <w:r>
              <w:rPr>
                <w:rFonts w:eastAsia="Times New Roman" w:cs="Arial"/>
                <w:szCs w:val="22"/>
              </w:rPr>
              <w:t xml:space="preserve"> than </w:t>
            </w:r>
            <w:r w:rsidR="00371E72">
              <w:rPr>
                <w:rFonts w:eastAsia="Times New Roman" w:cs="Arial"/>
                <w:szCs w:val="22"/>
              </w:rPr>
              <w:t xml:space="preserve">those of </w:t>
            </w:r>
            <w:r w:rsidR="00B5381C">
              <w:rPr>
                <w:rFonts w:eastAsia="Times New Roman" w:cs="Arial"/>
                <w:szCs w:val="22"/>
              </w:rPr>
              <w:t xml:space="preserve">the </w:t>
            </w:r>
            <w:r>
              <w:rPr>
                <w:rFonts w:eastAsia="Times New Roman" w:cs="Arial"/>
                <w:szCs w:val="22"/>
              </w:rPr>
              <w:t xml:space="preserve">DASHER </w:t>
            </w:r>
            <w:r w:rsidR="00B5381C">
              <w:rPr>
                <w:rFonts w:eastAsia="Times New Roman" w:cs="Arial"/>
                <w:szCs w:val="22"/>
              </w:rPr>
              <w:t>top p</w:t>
            </w:r>
            <w:r>
              <w:rPr>
                <w:rFonts w:eastAsia="Times New Roman" w:cs="Arial"/>
                <w:szCs w:val="22"/>
              </w:rPr>
              <w:t>eer (Figure 7.5-8). The percent</w:t>
            </w:r>
            <w:r w:rsidR="00A3623F">
              <w:rPr>
                <w:rFonts w:eastAsia="Times New Roman" w:cs="Arial"/>
                <w:szCs w:val="22"/>
              </w:rPr>
              <w:t xml:space="preserve">age </w:t>
            </w:r>
            <w:r>
              <w:rPr>
                <w:rFonts w:eastAsia="Times New Roman" w:cs="Arial"/>
                <w:szCs w:val="22"/>
              </w:rPr>
              <w:t xml:space="preserve">of expenditures for instruction and academic support (Figure 7.5-9) outperforms </w:t>
            </w:r>
            <w:r w:rsidR="00B5381C">
              <w:rPr>
                <w:rFonts w:eastAsia="Times New Roman" w:cs="Arial"/>
                <w:szCs w:val="22"/>
              </w:rPr>
              <w:t xml:space="preserve">the </w:t>
            </w:r>
            <w:r>
              <w:rPr>
                <w:rFonts w:eastAsia="Times New Roman" w:cs="Arial"/>
                <w:szCs w:val="22"/>
              </w:rPr>
              <w:t xml:space="preserve">DASHER </w:t>
            </w:r>
            <w:r w:rsidR="00B5381C">
              <w:rPr>
                <w:rFonts w:eastAsia="Times New Roman" w:cs="Arial"/>
                <w:szCs w:val="22"/>
              </w:rPr>
              <w:t>top p</w:t>
            </w:r>
            <w:r>
              <w:rPr>
                <w:rFonts w:eastAsia="Times New Roman" w:cs="Arial"/>
                <w:szCs w:val="22"/>
              </w:rPr>
              <w:t>eer</w:t>
            </w:r>
            <w:r w:rsidR="00B5381C">
              <w:rPr>
                <w:rFonts w:eastAsia="Times New Roman" w:cs="Arial"/>
                <w:szCs w:val="22"/>
              </w:rPr>
              <w:t>,</w:t>
            </w:r>
            <w:r>
              <w:rPr>
                <w:rFonts w:eastAsia="Times New Roman" w:cs="Arial"/>
                <w:szCs w:val="22"/>
              </w:rPr>
              <w:t xml:space="preserve"> while cost per enrollment is lower than all three comparators (Figure 7.5-10). These results may help the applicant maintain its strategic advantage of affordability.</w:t>
            </w:r>
          </w:p>
        </w:tc>
        <w:tc>
          <w:tcPr>
            <w:tcW w:w="0" w:type="auto"/>
            <w:tcBorders>
              <w:bottom w:val="single" w:sz="6" w:space="0" w:color="000000"/>
              <w:right w:val="single" w:sz="6" w:space="0" w:color="000000"/>
            </w:tcBorders>
            <w:tcMar>
              <w:top w:w="75" w:type="dxa"/>
              <w:left w:w="75" w:type="dxa"/>
              <w:bottom w:w="75" w:type="dxa"/>
              <w:right w:w="75" w:type="dxa"/>
            </w:tcMar>
            <w:hideMark/>
          </w:tcPr>
          <w:p w14:paraId="04E289DC" w14:textId="77777777" w:rsidR="00B5381C" w:rsidRDefault="000A11B9">
            <w:pPr>
              <w:rPr>
                <w:rFonts w:eastAsia="Times New Roman" w:cs="Arial"/>
                <w:szCs w:val="22"/>
              </w:rPr>
            </w:pPr>
            <w:r>
              <w:rPr>
                <w:rFonts w:eastAsia="Times New Roman" w:cs="Arial"/>
                <w:szCs w:val="22"/>
              </w:rPr>
              <w:t>Noted by six examiners (</w:t>
            </w:r>
            <w:r w:rsidR="007B4856">
              <w:rPr>
                <w:rFonts w:eastAsia="Times New Roman" w:cs="Arial"/>
                <w:szCs w:val="22"/>
              </w:rPr>
              <w:t>Ex1</w:t>
            </w:r>
            <w:r>
              <w:rPr>
                <w:rFonts w:eastAsia="Times New Roman" w:cs="Arial"/>
                <w:szCs w:val="22"/>
              </w:rPr>
              <w:t>,</w:t>
            </w:r>
            <w:r w:rsidR="00350724">
              <w:rPr>
                <w:rFonts w:eastAsia="Times New Roman" w:cs="Arial"/>
                <w:szCs w:val="22"/>
              </w:rPr>
              <w:t xml:space="preserve"> Ex3, Ex4, Ex5,</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w:t>
            </w:r>
            <w:r w:rsidR="007B4856">
              <w:rPr>
                <w:rFonts w:eastAsia="Times New Roman" w:cs="Arial"/>
                <w:szCs w:val="22"/>
              </w:rPr>
              <w:t>Ex7</w:t>
            </w:r>
            <w:r>
              <w:rPr>
                <w:rFonts w:eastAsia="Times New Roman" w:cs="Arial"/>
                <w:szCs w:val="22"/>
              </w:rPr>
              <w:t>)</w:t>
            </w:r>
            <w:r w:rsidR="00B5381C">
              <w:rPr>
                <w:rFonts w:eastAsia="Times New Roman" w:cs="Arial"/>
                <w:szCs w:val="22"/>
              </w:rPr>
              <w:t>.</w:t>
            </w:r>
            <w:r>
              <w:rPr>
                <w:rFonts w:eastAsia="Times New Roman" w:cs="Arial"/>
                <w:szCs w:val="22"/>
              </w:rPr>
              <w:t xml:space="preserve"> </w:t>
            </w:r>
            <w:r w:rsidR="007B4856">
              <w:rPr>
                <w:rFonts w:eastAsia="Times New Roman" w:cs="Arial"/>
                <w:szCs w:val="22"/>
              </w:rPr>
              <w:t>Ex6</w:t>
            </w:r>
            <w:r>
              <w:rPr>
                <w:rFonts w:eastAsia="Times New Roman" w:cs="Arial"/>
                <w:szCs w:val="22"/>
              </w:rPr>
              <w:t xml:space="preserve"> had a double for some figures</w:t>
            </w:r>
            <w:r w:rsidR="00B5381C">
              <w:rPr>
                <w:rFonts w:eastAsia="Times New Roman" w:cs="Arial"/>
                <w:szCs w:val="22"/>
              </w:rPr>
              <w:t xml:space="preserve"> (</w:t>
            </w:r>
            <w:r>
              <w:rPr>
                <w:rFonts w:eastAsia="Times New Roman" w:cs="Arial"/>
                <w:szCs w:val="22"/>
              </w:rPr>
              <w:t>2b, 6, 9, 10</w:t>
            </w:r>
            <w:r w:rsidR="00B5381C">
              <w:rPr>
                <w:rFonts w:eastAsia="Times New Roman" w:cs="Arial"/>
                <w:szCs w:val="22"/>
              </w:rPr>
              <w:t>).</w:t>
            </w:r>
          </w:p>
          <w:p w14:paraId="6DD2D026" w14:textId="77777777" w:rsidR="00B5381C" w:rsidRDefault="007B4856">
            <w:pPr>
              <w:rPr>
                <w:rFonts w:eastAsia="Times New Roman" w:cs="Arial"/>
                <w:szCs w:val="22"/>
              </w:rPr>
            </w:pPr>
            <w:r>
              <w:rPr>
                <w:rFonts w:eastAsia="Times New Roman" w:cs="Arial"/>
                <w:szCs w:val="22"/>
              </w:rPr>
              <w:t>Ex6</w:t>
            </w:r>
            <w:r w:rsidR="000A11B9">
              <w:rPr>
                <w:rFonts w:eastAsia="Times New Roman" w:cs="Arial"/>
                <w:szCs w:val="22"/>
              </w:rPr>
              <w:t xml:space="preserve"> also had an OFI for 2b, 6. </w:t>
            </w:r>
            <w:r>
              <w:rPr>
                <w:rFonts w:eastAsia="Times New Roman" w:cs="Arial"/>
                <w:szCs w:val="22"/>
              </w:rPr>
              <w:t>Ex7</w:t>
            </w:r>
            <w:r w:rsidR="000A11B9">
              <w:rPr>
                <w:rFonts w:eastAsia="Times New Roman" w:cs="Arial"/>
                <w:szCs w:val="22"/>
              </w:rPr>
              <w:t xml:space="preserve"> had an OFI and </w:t>
            </w:r>
            <w:r>
              <w:rPr>
                <w:rFonts w:eastAsia="Times New Roman" w:cs="Arial"/>
                <w:szCs w:val="22"/>
              </w:rPr>
              <w:t>Ex4</w:t>
            </w:r>
            <w:r w:rsidR="000A11B9">
              <w:rPr>
                <w:rFonts w:eastAsia="Times New Roman" w:cs="Arial"/>
                <w:szCs w:val="22"/>
              </w:rPr>
              <w:t xml:space="preserve"> had a strength for figure 7 Conflicts occurred for Fig</w:t>
            </w:r>
            <w:r w:rsidR="00B5381C">
              <w:rPr>
                <w:rFonts w:eastAsia="Times New Roman" w:cs="Arial"/>
                <w:szCs w:val="22"/>
              </w:rPr>
              <w:t>s.</w:t>
            </w:r>
            <w:r w:rsidR="000A11B9">
              <w:rPr>
                <w:rFonts w:eastAsia="Times New Roman" w:cs="Arial"/>
                <w:szCs w:val="22"/>
              </w:rPr>
              <w:t xml:space="preserve"> 2b, 6,</w:t>
            </w:r>
            <w:r w:rsidR="00B5381C">
              <w:rPr>
                <w:rFonts w:eastAsia="Times New Roman" w:cs="Arial"/>
                <w:szCs w:val="22"/>
              </w:rPr>
              <w:t xml:space="preserve"> </w:t>
            </w:r>
            <w:r w:rsidR="000A11B9">
              <w:rPr>
                <w:rFonts w:eastAsia="Times New Roman" w:cs="Arial"/>
                <w:szCs w:val="22"/>
              </w:rPr>
              <w:t>7, 10 with these being noted as adverse trends due to the pandemic by some examiners.</w:t>
            </w:r>
            <w:r w:rsidR="00350724">
              <w:rPr>
                <w:rFonts w:eastAsia="Times New Roman" w:cs="Arial"/>
                <w:szCs w:val="22"/>
              </w:rPr>
              <w:t xml:space="preserve"> </w:t>
            </w:r>
          </w:p>
          <w:p w14:paraId="48226C67" w14:textId="77777777" w:rsidR="00050D3F" w:rsidRDefault="000A11B9">
            <w:pPr>
              <w:rPr>
                <w:rFonts w:eastAsia="Times New Roman" w:cs="Arial"/>
                <w:szCs w:val="22"/>
              </w:rPr>
            </w:pPr>
            <w:r>
              <w:rPr>
                <w:rFonts w:eastAsia="Times New Roman" w:cs="Arial"/>
                <w:szCs w:val="22"/>
              </w:rPr>
              <w:t>Those figures at or above the top decile include 7.5-3,</w:t>
            </w:r>
            <w:r w:rsidR="00371E72">
              <w:rPr>
                <w:rFonts w:eastAsia="Times New Roman" w:cs="Arial"/>
                <w:szCs w:val="22"/>
              </w:rPr>
              <w:t xml:space="preserve"> </w:t>
            </w:r>
            <w:r>
              <w:rPr>
                <w:rFonts w:eastAsia="Times New Roman" w:cs="Arial"/>
                <w:szCs w:val="22"/>
              </w:rPr>
              <w:t>-6</w:t>
            </w:r>
            <w:r w:rsidR="00371E72">
              <w:rPr>
                <w:rFonts w:eastAsia="Times New Roman" w:cs="Arial"/>
                <w:szCs w:val="22"/>
              </w:rPr>
              <w:t xml:space="preserve"> </w:t>
            </w:r>
            <w:r>
              <w:rPr>
                <w:rFonts w:eastAsia="Times New Roman" w:cs="Arial"/>
                <w:szCs w:val="22"/>
              </w:rPr>
              <w:t>-7</w:t>
            </w:r>
            <w:r w:rsidR="00371E72">
              <w:rPr>
                <w:rFonts w:eastAsia="Times New Roman" w:cs="Arial"/>
                <w:szCs w:val="22"/>
              </w:rPr>
              <w:t xml:space="preserve"> </w:t>
            </w:r>
            <w:r>
              <w:rPr>
                <w:rFonts w:eastAsia="Times New Roman" w:cs="Arial"/>
                <w:szCs w:val="22"/>
              </w:rPr>
              <w:t>-8,</w:t>
            </w:r>
            <w:r w:rsidR="00371E72">
              <w:rPr>
                <w:rFonts w:eastAsia="Times New Roman" w:cs="Arial"/>
                <w:szCs w:val="22"/>
              </w:rPr>
              <w:t xml:space="preserve"> </w:t>
            </w:r>
            <w:r>
              <w:rPr>
                <w:rFonts w:eastAsia="Times New Roman" w:cs="Arial"/>
                <w:szCs w:val="22"/>
              </w:rPr>
              <w:t>-9,</w:t>
            </w:r>
            <w:r w:rsidR="00371E72">
              <w:rPr>
                <w:rFonts w:eastAsia="Times New Roman" w:cs="Arial"/>
                <w:szCs w:val="22"/>
              </w:rPr>
              <w:t xml:space="preserve"> </w:t>
            </w:r>
            <w:r>
              <w:rPr>
                <w:rFonts w:eastAsia="Times New Roman" w:cs="Arial"/>
                <w:szCs w:val="22"/>
              </w:rPr>
              <w:t xml:space="preserve">-10 with </w:t>
            </w:r>
            <w:r w:rsidR="00371E72">
              <w:rPr>
                <w:rFonts w:eastAsia="Times New Roman" w:cs="Arial"/>
                <w:szCs w:val="22"/>
              </w:rPr>
              <w:t>-</w:t>
            </w:r>
            <w:r>
              <w:rPr>
                <w:rFonts w:eastAsia="Times New Roman" w:cs="Arial"/>
                <w:szCs w:val="22"/>
              </w:rPr>
              <w:t xml:space="preserve">8 and </w:t>
            </w:r>
            <w:r w:rsidR="00371E72">
              <w:rPr>
                <w:rFonts w:eastAsia="Times New Roman" w:cs="Arial"/>
                <w:szCs w:val="22"/>
              </w:rPr>
              <w:t>-</w:t>
            </w:r>
            <w:r>
              <w:rPr>
                <w:rFonts w:eastAsia="Times New Roman" w:cs="Arial"/>
                <w:szCs w:val="22"/>
              </w:rPr>
              <w:t xml:space="preserve">9 listed as a double strength. </w:t>
            </w:r>
          </w:p>
          <w:p w14:paraId="47F326C7" w14:textId="77777777" w:rsidR="00050D3F" w:rsidRDefault="000A11B9">
            <w:pPr>
              <w:rPr>
                <w:rFonts w:eastAsia="Times New Roman" w:cs="Arial"/>
                <w:szCs w:val="22"/>
              </w:rPr>
            </w:pPr>
            <w:r>
              <w:rPr>
                <w:rFonts w:eastAsia="Times New Roman" w:cs="Arial"/>
                <w:szCs w:val="22"/>
              </w:rPr>
              <w:t>Figures with dips in FY</w:t>
            </w:r>
            <w:r w:rsidR="00A3623F">
              <w:rPr>
                <w:rFonts w:eastAsia="Times New Roman" w:cs="Arial"/>
                <w:szCs w:val="22"/>
              </w:rPr>
              <w:t>20</w:t>
            </w:r>
            <w:r>
              <w:rPr>
                <w:rFonts w:eastAsia="Times New Roman" w:cs="Arial"/>
                <w:szCs w:val="22"/>
              </w:rPr>
              <w:t>20</w:t>
            </w:r>
            <w:r w:rsidR="00B5381C">
              <w:rPr>
                <w:rFonts w:eastAsia="Times New Roman" w:cs="Arial"/>
                <w:szCs w:val="22"/>
              </w:rPr>
              <w:t>—</w:t>
            </w:r>
            <w:r>
              <w:rPr>
                <w:rFonts w:eastAsia="Times New Roman" w:cs="Arial"/>
                <w:szCs w:val="22"/>
              </w:rPr>
              <w:t>e.g</w:t>
            </w:r>
            <w:r w:rsidR="00B5381C">
              <w:rPr>
                <w:rFonts w:eastAsia="Times New Roman" w:cs="Arial"/>
                <w:szCs w:val="22"/>
              </w:rPr>
              <w:t>.,</w:t>
            </w:r>
            <w:r>
              <w:rPr>
                <w:rFonts w:eastAsia="Times New Roman" w:cs="Arial"/>
                <w:szCs w:val="22"/>
              </w:rPr>
              <w:t xml:space="preserve"> Net </w:t>
            </w:r>
            <w:r w:rsidR="00B5381C">
              <w:rPr>
                <w:rFonts w:eastAsia="Times New Roman" w:cs="Arial"/>
                <w:szCs w:val="22"/>
              </w:rPr>
              <w:t>R</w:t>
            </w:r>
            <w:r>
              <w:rPr>
                <w:rFonts w:eastAsia="Times New Roman" w:cs="Arial"/>
                <w:szCs w:val="22"/>
              </w:rPr>
              <w:t>evenue (Fig</w:t>
            </w:r>
            <w:r w:rsidR="00A3623F">
              <w:rPr>
                <w:rFonts w:eastAsia="Times New Roman" w:cs="Arial"/>
                <w:szCs w:val="22"/>
              </w:rPr>
              <w:t>ure</w:t>
            </w:r>
            <w:r>
              <w:rPr>
                <w:rFonts w:eastAsia="Times New Roman" w:cs="Arial"/>
                <w:szCs w:val="22"/>
              </w:rPr>
              <w:t xml:space="preserve"> 7.5-2) were not included here</w:t>
            </w:r>
            <w:r w:rsidR="00B5381C">
              <w:rPr>
                <w:rFonts w:eastAsia="Times New Roman" w:cs="Arial"/>
                <w:szCs w:val="22"/>
              </w:rPr>
              <w:t>,</w:t>
            </w:r>
            <w:r>
              <w:rPr>
                <w:rFonts w:eastAsia="Times New Roman" w:cs="Arial"/>
                <w:szCs w:val="22"/>
              </w:rPr>
              <w:t xml:space="preserve"> such as net margin (Fig</w:t>
            </w:r>
            <w:r w:rsidR="00A3623F">
              <w:rPr>
                <w:rFonts w:eastAsia="Times New Roman" w:cs="Arial"/>
                <w:szCs w:val="22"/>
              </w:rPr>
              <w:t>ure</w:t>
            </w:r>
            <w:r>
              <w:rPr>
                <w:rFonts w:eastAsia="Times New Roman" w:cs="Arial"/>
                <w:szCs w:val="22"/>
              </w:rPr>
              <w:t xml:space="preserve"> 7.5-2b). </w:t>
            </w:r>
          </w:p>
          <w:p w14:paraId="21296AAE" w14:textId="6BA5852E" w:rsidR="005E22BD" w:rsidRDefault="000A11B9">
            <w:pPr>
              <w:rPr>
                <w:rFonts w:eastAsia="Times New Roman" w:cs="Arial"/>
                <w:szCs w:val="22"/>
              </w:rPr>
            </w:pPr>
            <w:r>
              <w:rPr>
                <w:rFonts w:eastAsia="Times New Roman" w:cs="Arial"/>
                <w:szCs w:val="22"/>
              </w:rPr>
              <w:t>The bond credit report is positive (Fig</w:t>
            </w:r>
            <w:r w:rsidR="00A3623F">
              <w:rPr>
                <w:rFonts w:eastAsia="Times New Roman" w:cs="Arial"/>
                <w:szCs w:val="22"/>
              </w:rPr>
              <w:t>ure</w:t>
            </w:r>
            <w:r>
              <w:rPr>
                <w:rFonts w:eastAsia="Times New Roman" w:cs="Arial"/>
                <w:szCs w:val="22"/>
              </w:rPr>
              <w:t xml:space="preserve"> 7.5-6) with the highest level for </w:t>
            </w:r>
            <w:r w:rsidR="005D7B5E">
              <w:rPr>
                <w:rFonts w:eastAsia="Times New Roman" w:cs="Arial"/>
                <w:szCs w:val="22"/>
              </w:rPr>
              <w:t>Moody</w:t>
            </w:r>
            <w:r w:rsidR="005663C4">
              <w:rPr>
                <w:rFonts w:eastAsia="Times New Roman" w:cs="Arial"/>
                <w:szCs w:val="22"/>
              </w:rPr>
              <w:t>’</w:t>
            </w:r>
            <w:r w:rsidR="005D7B5E">
              <w:rPr>
                <w:rFonts w:eastAsia="Times New Roman" w:cs="Arial"/>
                <w:szCs w:val="22"/>
              </w:rPr>
              <w:t>s</w:t>
            </w:r>
            <w:r w:rsidR="00B5381C">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hideMark/>
          </w:tcPr>
          <w:p w14:paraId="4CEE6B61" w14:textId="77777777" w:rsidR="005E22BD" w:rsidRDefault="000A11B9">
            <w:pPr>
              <w:rPr>
                <w:rFonts w:eastAsia="Times New Roman" w:cs="Arial"/>
                <w:szCs w:val="22"/>
              </w:rPr>
            </w:pPr>
            <w:r>
              <w:rPr>
                <w:rFonts w:eastAsia="Times New Roman" w:cs="Arial"/>
                <w:szCs w:val="22"/>
              </w:rPr>
              <w:t>a(1)</w:t>
            </w:r>
          </w:p>
        </w:tc>
      </w:tr>
      <w:tr w:rsidR="005E22BD" w14:paraId="681EA8F2"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53F1270"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FB334EC" w14:textId="38EC06C1" w:rsidR="005E22BD" w:rsidRDefault="00B5381C">
            <w:pPr>
              <w:rPr>
                <w:rFonts w:eastAsia="Times New Roman" w:cs="Arial"/>
                <w:szCs w:val="22"/>
              </w:rPr>
            </w:pPr>
            <w:r>
              <w:rPr>
                <w:rFonts w:eastAsia="Times New Roman" w:cs="Arial"/>
                <w:szCs w:val="22"/>
              </w:rPr>
              <w:t xml:space="preserve">The applicant reports beneficial </w:t>
            </w:r>
            <w:r w:rsidR="000A11B9">
              <w:rPr>
                <w:rFonts w:eastAsia="Times New Roman" w:cs="Arial"/>
                <w:szCs w:val="22"/>
              </w:rPr>
              <w:t>trends for market performance and growth</w:t>
            </w:r>
            <w:r>
              <w:rPr>
                <w:rFonts w:eastAsia="Times New Roman" w:cs="Arial"/>
                <w:szCs w:val="22"/>
              </w:rPr>
              <w:t>,</w:t>
            </w:r>
            <w:r w:rsidR="000A11B9">
              <w:rPr>
                <w:rFonts w:eastAsia="Times New Roman" w:cs="Arial"/>
                <w:szCs w:val="22"/>
              </w:rPr>
              <w:t xml:space="preserve"> with some </w:t>
            </w:r>
            <w:r>
              <w:rPr>
                <w:rFonts w:eastAsia="Times New Roman" w:cs="Arial"/>
                <w:szCs w:val="22"/>
              </w:rPr>
              <w:t xml:space="preserve">results </w:t>
            </w:r>
            <w:r w:rsidR="000A11B9">
              <w:rPr>
                <w:rFonts w:eastAsia="Times New Roman" w:cs="Arial"/>
                <w:szCs w:val="22"/>
              </w:rPr>
              <w:t xml:space="preserve">comparing favorably to in-state competitors and the top decile. For example, there is consistent growth in </w:t>
            </w:r>
            <w:r w:rsidR="00DB6E5E">
              <w:rPr>
                <w:rFonts w:eastAsia="Times New Roman" w:cs="Arial"/>
                <w:szCs w:val="22"/>
              </w:rPr>
              <w:t>dual-credit</w:t>
            </w:r>
            <w:r w:rsidR="000A11B9">
              <w:rPr>
                <w:rFonts w:eastAsia="Times New Roman" w:cs="Arial"/>
                <w:szCs w:val="22"/>
              </w:rPr>
              <w:t xml:space="preserve"> enrollment (Figure 7.5-11)</w:t>
            </w:r>
            <w:r w:rsidR="00371E72">
              <w:rPr>
                <w:rFonts w:eastAsia="Times New Roman" w:cs="Arial"/>
                <w:szCs w:val="22"/>
              </w:rPr>
              <w:t>,</w:t>
            </w:r>
            <w:r w:rsidR="000A11B9">
              <w:rPr>
                <w:rFonts w:eastAsia="Times New Roman" w:cs="Arial"/>
                <w:szCs w:val="22"/>
              </w:rPr>
              <w:t xml:space="preserve"> </w:t>
            </w:r>
            <w:r w:rsidR="00050D3F">
              <w:rPr>
                <w:rFonts w:eastAsia="Times New Roman" w:cs="Arial"/>
                <w:szCs w:val="22"/>
              </w:rPr>
              <w:t xml:space="preserve">which is </w:t>
            </w:r>
            <w:r w:rsidR="000A11B9">
              <w:rPr>
                <w:rFonts w:eastAsia="Times New Roman" w:cs="Arial"/>
                <w:szCs w:val="22"/>
              </w:rPr>
              <w:t>now above</w:t>
            </w:r>
            <w:r>
              <w:rPr>
                <w:rFonts w:eastAsia="Times New Roman" w:cs="Arial"/>
                <w:szCs w:val="22"/>
              </w:rPr>
              <w:t xml:space="preserve"> the</w:t>
            </w:r>
            <w:r w:rsidR="000A11B9">
              <w:rPr>
                <w:rFonts w:eastAsia="Times New Roman" w:cs="Arial"/>
                <w:szCs w:val="22"/>
              </w:rPr>
              <w:t xml:space="preserve"> best in the state; </w:t>
            </w:r>
            <w:r>
              <w:rPr>
                <w:rFonts w:eastAsia="Times New Roman" w:cs="Arial"/>
                <w:szCs w:val="22"/>
              </w:rPr>
              <w:t xml:space="preserve">for </w:t>
            </w:r>
            <w:r w:rsidR="000A11B9">
              <w:rPr>
                <w:rFonts w:eastAsia="Times New Roman" w:cs="Arial"/>
                <w:szCs w:val="22"/>
              </w:rPr>
              <w:t>total number of customers (Figure 7.5-14)</w:t>
            </w:r>
            <w:r w:rsidR="00371E72">
              <w:rPr>
                <w:rFonts w:eastAsia="Times New Roman" w:cs="Arial"/>
                <w:szCs w:val="22"/>
              </w:rPr>
              <w:t>,</w:t>
            </w:r>
            <w:r w:rsidR="000A11B9">
              <w:rPr>
                <w:rFonts w:eastAsia="Times New Roman" w:cs="Arial"/>
                <w:szCs w:val="22"/>
              </w:rPr>
              <w:t xml:space="preserve"> </w:t>
            </w:r>
            <w:r>
              <w:rPr>
                <w:rFonts w:eastAsia="Times New Roman" w:cs="Arial"/>
                <w:szCs w:val="22"/>
              </w:rPr>
              <w:t xml:space="preserve">the applicant </w:t>
            </w:r>
            <w:r w:rsidR="00371E72">
              <w:rPr>
                <w:rFonts w:eastAsia="Times New Roman" w:cs="Arial"/>
                <w:szCs w:val="22"/>
              </w:rPr>
              <w:t>outperforms</w:t>
            </w:r>
            <w:r>
              <w:rPr>
                <w:rFonts w:eastAsia="Times New Roman" w:cs="Arial"/>
                <w:szCs w:val="22"/>
              </w:rPr>
              <w:t xml:space="preserve"> </w:t>
            </w:r>
            <w:r w:rsidR="000A11B9">
              <w:rPr>
                <w:rFonts w:eastAsia="Times New Roman" w:cs="Arial"/>
                <w:szCs w:val="22"/>
              </w:rPr>
              <w:t>the best competitor and equal</w:t>
            </w:r>
            <w:r w:rsidR="00371E72">
              <w:rPr>
                <w:rFonts w:eastAsia="Times New Roman" w:cs="Arial"/>
                <w:szCs w:val="22"/>
              </w:rPr>
              <w:t>s</w:t>
            </w:r>
            <w:r w:rsidR="000A11B9">
              <w:rPr>
                <w:rFonts w:eastAsia="Times New Roman" w:cs="Arial"/>
                <w:szCs w:val="22"/>
              </w:rPr>
              <w:t xml:space="preserve"> the DASHER top peer</w:t>
            </w:r>
            <w:r w:rsidR="00371E72">
              <w:rPr>
                <w:rFonts w:eastAsia="Times New Roman" w:cs="Arial"/>
                <w:szCs w:val="22"/>
              </w:rPr>
              <w:t>.</w:t>
            </w:r>
            <w:r w:rsidR="000A11B9">
              <w:rPr>
                <w:rFonts w:eastAsia="Times New Roman" w:cs="Arial"/>
                <w:szCs w:val="22"/>
              </w:rPr>
              <w:t xml:space="preserve"> </w:t>
            </w:r>
            <w:r w:rsidR="00371E72">
              <w:rPr>
                <w:rFonts w:eastAsia="Times New Roman" w:cs="Arial"/>
                <w:szCs w:val="22"/>
              </w:rPr>
              <w:t xml:space="preserve">In addition, </w:t>
            </w:r>
            <w:r w:rsidR="000A11B9">
              <w:rPr>
                <w:rFonts w:eastAsia="Times New Roman" w:cs="Arial"/>
                <w:szCs w:val="22"/>
              </w:rPr>
              <w:t xml:space="preserve">market share penetration in </w:t>
            </w:r>
            <w:r>
              <w:rPr>
                <w:rFonts w:eastAsia="Times New Roman" w:cs="Arial"/>
                <w:szCs w:val="22"/>
              </w:rPr>
              <w:t xml:space="preserve">the </w:t>
            </w:r>
            <w:r w:rsidR="000A11B9">
              <w:rPr>
                <w:rFonts w:eastAsia="Times New Roman" w:cs="Arial"/>
                <w:szCs w:val="22"/>
              </w:rPr>
              <w:t xml:space="preserve">three-county service area is </w:t>
            </w:r>
            <w:r>
              <w:rPr>
                <w:rFonts w:eastAsia="Times New Roman" w:cs="Arial"/>
                <w:szCs w:val="22"/>
              </w:rPr>
              <w:t xml:space="preserve">better than that of </w:t>
            </w:r>
            <w:r w:rsidR="000A11B9">
              <w:rPr>
                <w:rFonts w:eastAsia="Times New Roman" w:cs="Arial"/>
                <w:szCs w:val="22"/>
              </w:rPr>
              <w:t>the best service</w:t>
            </w:r>
            <w:r w:rsidR="00A3623F">
              <w:rPr>
                <w:rFonts w:eastAsia="Times New Roman" w:cs="Arial"/>
                <w:szCs w:val="22"/>
              </w:rPr>
              <w:t>-</w:t>
            </w:r>
            <w:r w:rsidR="000A11B9">
              <w:rPr>
                <w:rFonts w:eastAsia="Times New Roman" w:cs="Arial"/>
                <w:szCs w:val="22"/>
              </w:rPr>
              <w:t xml:space="preserve">area competitor (Figure 7.5-12).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0226E812" w14:textId="77777777" w:rsidR="00B5381C" w:rsidRDefault="000A11B9">
            <w:pPr>
              <w:rPr>
                <w:rFonts w:eastAsia="Times New Roman" w:cs="Arial"/>
                <w:szCs w:val="22"/>
              </w:rPr>
            </w:pPr>
            <w:r>
              <w:rPr>
                <w:rFonts w:eastAsia="Times New Roman" w:cs="Arial"/>
                <w:szCs w:val="22"/>
              </w:rPr>
              <w:t>Strength was noted by four examiners (</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sidR="00350724">
              <w:rPr>
                <w:rFonts w:eastAsia="Times New Roman" w:cs="Arial"/>
                <w:szCs w:val="22"/>
              </w:rPr>
              <w:t>, Ex7</w:t>
            </w:r>
            <w:r>
              <w:rPr>
                <w:rFonts w:eastAsia="Times New Roman" w:cs="Arial"/>
                <w:szCs w:val="22"/>
              </w:rPr>
              <w:t>)</w:t>
            </w:r>
            <w:r w:rsidR="00B5381C">
              <w:rPr>
                <w:rFonts w:eastAsia="Times New Roman" w:cs="Arial"/>
                <w:szCs w:val="22"/>
              </w:rPr>
              <w:t>.</w:t>
            </w:r>
            <w:r>
              <w:rPr>
                <w:rFonts w:eastAsia="Times New Roman" w:cs="Arial"/>
                <w:szCs w:val="22"/>
              </w:rPr>
              <w:t xml:space="preserve"> </w:t>
            </w:r>
          </w:p>
          <w:p w14:paraId="3901FA3B" w14:textId="086681F7" w:rsidR="005E22BD" w:rsidRDefault="000A11B9">
            <w:pPr>
              <w:rPr>
                <w:rFonts w:eastAsia="Times New Roman" w:cs="Arial"/>
                <w:szCs w:val="22"/>
              </w:rPr>
            </w:pPr>
            <w:r>
              <w:rPr>
                <w:rFonts w:eastAsia="Times New Roman" w:cs="Arial"/>
                <w:szCs w:val="22"/>
              </w:rPr>
              <w:t xml:space="preserve">While the applicant has compared favorably in DC High School as compared to the state, it is below </w:t>
            </w:r>
            <w:r w:rsidR="00B5381C">
              <w:rPr>
                <w:rFonts w:eastAsia="Times New Roman" w:cs="Arial"/>
                <w:szCs w:val="22"/>
              </w:rPr>
              <w:t xml:space="preserve">the </w:t>
            </w:r>
            <w:r>
              <w:rPr>
                <w:rFonts w:eastAsia="Times New Roman" w:cs="Arial"/>
                <w:szCs w:val="22"/>
              </w:rPr>
              <w:t>D</w:t>
            </w:r>
            <w:r w:rsidR="00B5381C">
              <w:rPr>
                <w:rFonts w:eastAsia="Times New Roman" w:cs="Arial"/>
                <w:szCs w:val="22"/>
              </w:rPr>
              <w:t xml:space="preserve">ASHER </w:t>
            </w:r>
            <w:r>
              <w:rPr>
                <w:rFonts w:eastAsia="Times New Roman" w:cs="Arial"/>
                <w:szCs w:val="22"/>
              </w:rPr>
              <w:t>measure in the noncredit credit market penetration. The strength was noted for the DC High School growth. Cost per enrollment has continued to be low and is much better than the three national benchmarks of IPED, Dasher, and NCCBP.</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1BE981A0" w14:textId="77777777" w:rsidR="005E22BD" w:rsidRDefault="000A11B9">
            <w:pPr>
              <w:rPr>
                <w:rFonts w:eastAsia="Times New Roman" w:cs="Arial"/>
                <w:szCs w:val="22"/>
              </w:rPr>
            </w:pPr>
            <w:r>
              <w:rPr>
                <w:rFonts w:eastAsia="Times New Roman" w:cs="Arial"/>
                <w:szCs w:val="22"/>
              </w:rPr>
              <w:t>a(2)</w:t>
            </w:r>
          </w:p>
        </w:tc>
      </w:tr>
      <w:tr w:rsidR="005E22BD" w14:paraId="646C2177"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B44333D"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026E9783" w14:textId="51CBDBAD" w:rsidR="005E22BD" w:rsidRDefault="00B5381C">
            <w:pPr>
              <w:rPr>
                <w:rFonts w:eastAsia="Times New Roman" w:cs="Arial"/>
                <w:szCs w:val="22"/>
              </w:rPr>
            </w:pPr>
            <w:r>
              <w:rPr>
                <w:rFonts w:eastAsia="Times New Roman" w:cs="Arial"/>
                <w:szCs w:val="22"/>
              </w:rPr>
              <w:t>R</w:t>
            </w:r>
            <w:r w:rsidR="000A11B9">
              <w:rPr>
                <w:rFonts w:eastAsia="Times New Roman" w:cs="Arial"/>
                <w:szCs w:val="22"/>
              </w:rPr>
              <w:t xml:space="preserve">evenue and margin results have remained stable or </w:t>
            </w:r>
            <w:r>
              <w:rPr>
                <w:rFonts w:eastAsia="Times New Roman" w:cs="Arial"/>
                <w:szCs w:val="22"/>
              </w:rPr>
              <w:t xml:space="preserve">are </w:t>
            </w:r>
            <w:r w:rsidR="000A11B9">
              <w:rPr>
                <w:rFonts w:eastAsia="Times New Roman" w:cs="Arial"/>
                <w:szCs w:val="22"/>
              </w:rPr>
              <w:t>better than benchmarks. For example</w:t>
            </w:r>
            <w:r>
              <w:rPr>
                <w:rFonts w:eastAsia="Times New Roman" w:cs="Arial"/>
                <w:szCs w:val="22"/>
              </w:rPr>
              <w:t>,</w:t>
            </w:r>
            <w:r w:rsidR="000A11B9">
              <w:rPr>
                <w:rFonts w:eastAsia="Times New Roman" w:cs="Arial"/>
                <w:szCs w:val="22"/>
              </w:rPr>
              <w:t xml:space="preserve"> </w:t>
            </w:r>
            <w:r>
              <w:rPr>
                <w:rFonts w:eastAsia="Times New Roman" w:cs="Arial"/>
                <w:szCs w:val="22"/>
              </w:rPr>
              <w:t>net ass</w:t>
            </w:r>
            <w:r w:rsidR="000A11B9">
              <w:rPr>
                <w:rFonts w:eastAsia="Times New Roman" w:cs="Arial"/>
                <w:szCs w:val="22"/>
              </w:rPr>
              <w:t>et position (Figure 7.5-4) is better than the NCCBP comparison</w:t>
            </w:r>
            <w:r w:rsidR="00371E72">
              <w:rPr>
                <w:rFonts w:eastAsia="Times New Roman" w:cs="Arial"/>
                <w:szCs w:val="22"/>
              </w:rPr>
              <w:t>,</w:t>
            </w:r>
            <w:r w:rsidR="000A11B9">
              <w:rPr>
                <w:rFonts w:eastAsia="Times New Roman" w:cs="Arial"/>
                <w:szCs w:val="22"/>
              </w:rPr>
              <w:t xml:space="preserve"> revenue and expenditures outperform the IPE</w:t>
            </w:r>
            <w:r w:rsidR="007B4856">
              <w:rPr>
                <w:rFonts w:eastAsia="Times New Roman" w:cs="Arial"/>
                <w:szCs w:val="22"/>
              </w:rPr>
              <w:t>Ex2</w:t>
            </w:r>
            <w:r w:rsidR="000A11B9">
              <w:rPr>
                <w:rFonts w:eastAsia="Times New Roman" w:cs="Arial"/>
                <w:szCs w:val="22"/>
              </w:rPr>
              <w:t xml:space="preserve"> top quartile (Figure 7.5-2a)</w:t>
            </w:r>
            <w:r w:rsidR="00371E72">
              <w:rPr>
                <w:rFonts w:eastAsia="Times New Roman" w:cs="Arial"/>
                <w:szCs w:val="22"/>
              </w:rPr>
              <w:t>,</w:t>
            </w:r>
            <w:r w:rsidR="000A11B9">
              <w:rPr>
                <w:rFonts w:eastAsia="Times New Roman" w:cs="Arial"/>
                <w:szCs w:val="22"/>
              </w:rPr>
              <w:t xml:space="preserve"> and net margin continued to improve from 2016</w:t>
            </w:r>
            <w:r>
              <w:rPr>
                <w:rFonts w:eastAsia="Times New Roman" w:cs="Arial"/>
                <w:szCs w:val="22"/>
              </w:rPr>
              <w:t xml:space="preserve"> to </w:t>
            </w:r>
            <w:r w:rsidR="000A11B9">
              <w:rPr>
                <w:rFonts w:eastAsia="Times New Roman" w:cs="Arial"/>
                <w:szCs w:val="22"/>
              </w:rPr>
              <w:t xml:space="preserve">2019 (Figure 7.5-2b). </w:t>
            </w:r>
            <w:r w:rsidR="00371E72">
              <w:rPr>
                <w:rFonts w:eastAsia="Times New Roman" w:cs="Arial"/>
                <w:szCs w:val="22"/>
              </w:rPr>
              <w:t xml:space="preserve">These </w:t>
            </w:r>
            <w:r w:rsidR="000A11B9">
              <w:rPr>
                <w:rFonts w:eastAsia="Times New Roman" w:cs="Arial"/>
                <w:szCs w:val="22"/>
              </w:rPr>
              <w:t>results may enable the applicant to use its resources to address its challenge of decreased state funding.</w:t>
            </w:r>
          </w:p>
        </w:tc>
        <w:tc>
          <w:tcPr>
            <w:tcW w:w="0" w:type="auto"/>
            <w:tcBorders>
              <w:bottom w:val="single" w:sz="6" w:space="0" w:color="000000"/>
              <w:right w:val="single" w:sz="6" w:space="0" w:color="000000"/>
            </w:tcBorders>
            <w:tcMar>
              <w:top w:w="75" w:type="dxa"/>
              <w:left w:w="75" w:type="dxa"/>
              <w:bottom w:w="75" w:type="dxa"/>
              <w:right w:w="75" w:type="dxa"/>
            </w:tcMar>
            <w:hideMark/>
          </w:tcPr>
          <w:p w14:paraId="36A10719" w14:textId="77777777" w:rsidR="00B5381C" w:rsidRDefault="000A11B9">
            <w:pPr>
              <w:rPr>
                <w:rFonts w:eastAsia="Times New Roman" w:cs="Arial"/>
                <w:szCs w:val="22"/>
              </w:rPr>
            </w:pPr>
            <w:r>
              <w:rPr>
                <w:rFonts w:eastAsia="Times New Roman" w:cs="Arial"/>
                <w:szCs w:val="22"/>
              </w:rPr>
              <w:t>Noted by six examiners (</w:t>
            </w:r>
            <w:r w:rsidR="007B4856">
              <w:rPr>
                <w:rFonts w:eastAsia="Times New Roman" w:cs="Arial"/>
                <w:szCs w:val="22"/>
              </w:rPr>
              <w:t>Ex1</w:t>
            </w:r>
            <w:r>
              <w:rPr>
                <w:rFonts w:eastAsia="Times New Roman" w:cs="Arial"/>
                <w:szCs w:val="22"/>
              </w:rPr>
              <w:t>,</w:t>
            </w:r>
            <w:r w:rsidR="00350724">
              <w:rPr>
                <w:rFonts w:eastAsia="Times New Roman" w:cs="Arial"/>
                <w:szCs w:val="22"/>
              </w:rPr>
              <w:t xml:space="preserve"> Ex3, Ex4, Ex5, </w:t>
            </w:r>
            <w:r w:rsidR="007B4856">
              <w:rPr>
                <w:rFonts w:eastAsia="Times New Roman" w:cs="Arial"/>
                <w:szCs w:val="22"/>
              </w:rPr>
              <w:t>Ex6</w:t>
            </w:r>
            <w:r>
              <w:rPr>
                <w:rFonts w:eastAsia="Times New Roman" w:cs="Arial"/>
                <w:szCs w:val="22"/>
              </w:rPr>
              <w:t xml:space="preserve">, </w:t>
            </w:r>
            <w:r w:rsidR="007B4856">
              <w:rPr>
                <w:rFonts w:eastAsia="Times New Roman" w:cs="Arial"/>
                <w:szCs w:val="22"/>
              </w:rPr>
              <w:t>Ex7</w:t>
            </w:r>
            <w:r>
              <w:rPr>
                <w:rFonts w:eastAsia="Times New Roman" w:cs="Arial"/>
                <w:szCs w:val="22"/>
              </w:rPr>
              <w:t>)</w:t>
            </w:r>
            <w:r w:rsidR="00350724">
              <w:rPr>
                <w:rFonts w:eastAsia="Times New Roman" w:cs="Arial"/>
                <w:szCs w:val="22"/>
              </w:rPr>
              <w:t xml:space="preserve">. </w:t>
            </w:r>
            <w:r>
              <w:rPr>
                <w:rFonts w:eastAsia="Times New Roman" w:cs="Arial"/>
                <w:szCs w:val="22"/>
              </w:rPr>
              <w:t xml:space="preserve">Originally there was just one strength on financial results, but due to the number of good results, two comments were generated, with the strongest comment rising to the top. </w:t>
            </w:r>
          </w:p>
          <w:p w14:paraId="0228DF87" w14:textId="77777777" w:rsidR="00B5381C" w:rsidRDefault="000A11B9">
            <w:pPr>
              <w:rPr>
                <w:rFonts w:eastAsia="Times New Roman" w:cs="Arial"/>
                <w:szCs w:val="22"/>
              </w:rPr>
            </w:pPr>
            <w:r>
              <w:rPr>
                <w:rFonts w:eastAsia="Times New Roman" w:cs="Arial"/>
                <w:szCs w:val="22"/>
              </w:rPr>
              <w:t xml:space="preserve">Conflicts did exist where some examiners saw the decline in 2020 as an adverse trend, but due to the pandemic and </w:t>
            </w:r>
            <w:r w:rsidR="00B5381C">
              <w:rPr>
                <w:rFonts w:eastAsia="Times New Roman" w:cs="Arial"/>
                <w:szCs w:val="22"/>
              </w:rPr>
              <w:t>the fact that performance is s</w:t>
            </w:r>
            <w:r>
              <w:rPr>
                <w:rFonts w:eastAsia="Times New Roman" w:cs="Arial"/>
                <w:szCs w:val="22"/>
              </w:rPr>
              <w:t xml:space="preserve">till at or above its benchmarks at the top decile or top quartile, these comments were not included. </w:t>
            </w:r>
          </w:p>
          <w:p w14:paraId="67B722E0" w14:textId="3F0D7406" w:rsidR="005E22BD" w:rsidRDefault="000A11B9">
            <w:pPr>
              <w:rPr>
                <w:rFonts w:eastAsia="Times New Roman" w:cs="Arial"/>
                <w:szCs w:val="22"/>
              </w:rPr>
            </w:pPr>
            <w:r>
              <w:rPr>
                <w:rFonts w:eastAsia="Times New Roman" w:cs="Arial"/>
                <w:szCs w:val="22"/>
              </w:rPr>
              <w:t>Results for gran</w:t>
            </w:r>
            <w:r w:rsidR="00B5381C">
              <w:rPr>
                <w:rFonts w:eastAsia="Times New Roman" w:cs="Arial"/>
                <w:szCs w:val="22"/>
              </w:rPr>
              <w:t>t</w:t>
            </w:r>
            <w:r>
              <w:rPr>
                <w:rFonts w:eastAsia="Times New Roman" w:cs="Arial"/>
                <w:szCs w:val="22"/>
              </w:rPr>
              <w:t>s and scholarship increased in FY20 to assist students with affordability.</w:t>
            </w:r>
          </w:p>
        </w:tc>
        <w:tc>
          <w:tcPr>
            <w:tcW w:w="0" w:type="auto"/>
            <w:tcBorders>
              <w:bottom w:val="single" w:sz="6" w:space="0" w:color="000000"/>
              <w:right w:val="single" w:sz="6" w:space="0" w:color="000000"/>
            </w:tcBorders>
            <w:tcMar>
              <w:top w:w="75" w:type="dxa"/>
              <w:left w:w="75" w:type="dxa"/>
              <w:bottom w:w="75" w:type="dxa"/>
              <w:right w:w="75" w:type="dxa"/>
            </w:tcMar>
            <w:hideMark/>
          </w:tcPr>
          <w:p w14:paraId="77C1E49C" w14:textId="77777777" w:rsidR="005E22BD" w:rsidRDefault="000A11B9">
            <w:pPr>
              <w:rPr>
                <w:rFonts w:eastAsia="Times New Roman" w:cs="Arial"/>
                <w:szCs w:val="22"/>
              </w:rPr>
            </w:pPr>
            <w:r>
              <w:rPr>
                <w:rFonts w:eastAsia="Times New Roman" w:cs="Arial"/>
                <w:szCs w:val="22"/>
              </w:rPr>
              <w:t>a(1)</w:t>
            </w:r>
          </w:p>
        </w:tc>
      </w:tr>
    </w:tbl>
    <w:p w14:paraId="234CC88B"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7E0DEE" w14:paraId="56DDCDF8" w14:textId="77777777" w:rsidTr="007E0DEE">
        <w:tc>
          <w:tcPr>
            <w:tcW w:w="10170" w:type="dxa"/>
          </w:tcPr>
          <w:p w14:paraId="580036E0" w14:textId="77777777" w:rsidR="00050D3F" w:rsidRDefault="007E0DEE" w:rsidP="007E0DEE">
            <w:pPr>
              <w:rPr>
                <w:rFonts w:eastAsia="Times New Roman" w:cs="Arial"/>
                <w:szCs w:val="22"/>
              </w:rPr>
            </w:pPr>
            <w:r>
              <w:rPr>
                <w:rFonts w:eastAsia="Times New Roman" w:cs="Arial"/>
                <w:szCs w:val="22"/>
              </w:rPr>
              <w:t xml:space="preserve">Many of the areas indicated beneficial trends through 2019, with a dip in 2020 due to the pandemic. While comparators also saw a dip, the applicant did not do as well as its benchmarks. </w:t>
            </w:r>
          </w:p>
          <w:p w14:paraId="2C0F0273" w14:textId="14B75338" w:rsidR="007E0DEE" w:rsidRDefault="007E0DEE" w:rsidP="007E0DEE">
            <w:pPr>
              <w:rPr>
                <w:rFonts w:eastAsia="Times New Roman" w:cs="Arial"/>
                <w:szCs w:val="22"/>
              </w:rPr>
            </w:pPr>
            <w:r>
              <w:rPr>
                <w:rFonts w:eastAsia="Times New Roman" w:cs="Arial"/>
                <w:szCs w:val="22"/>
              </w:rPr>
              <w:t xml:space="preserve">While the applicant indicates it benchmarks against Baldrige performers, no measures indicated Baldrige institutions in the comparators. Some of the same organizations, e.g., NCCBP, were used by both Baldrige </w:t>
            </w:r>
            <w:r w:rsidR="00A3623F">
              <w:rPr>
                <w:rFonts w:eastAsia="Times New Roman" w:cs="Arial"/>
                <w:szCs w:val="22"/>
              </w:rPr>
              <w:t xml:space="preserve">Award </w:t>
            </w:r>
            <w:r>
              <w:rPr>
                <w:rFonts w:eastAsia="Times New Roman" w:cs="Arial"/>
                <w:szCs w:val="22"/>
              </w:rPr>
              <w:t>recipients and the applicant.</w:t>
            </w:r>
            <w:r w:rsidR="005E3D0E">
              <w:rPr>
                <w:rFonts w:eastAsia="Times New Roman" w:cs="Arial"/>
                <w:szCs w:val="22"/>
              </w:rPr>
              <w:t xml:space="preserve"> </w:t>
            </w:r>
          </w:p>
        </w:tc>
      </w:tr>
    </w:tbl>
    <w:p w14:paraId="14041F76" w14:textId="77777777" w:rsidR="005E22BD" w:rsidRDefault="000A11B9">
      <w:pPr>
        <w:pStyle w:val="Heading3"/>
        <w:divId w:val="90519042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31"/>
        <w:gridCol w:w="4026"/>
        <w:gridCol w:w="1200"/>
      </w:tblGrid>
      <w:tr w:rsidR="005E22BD" w14:paraId="2CDEF18E" w14:textId="77777777">
        <w:trPr>
          <w:divId w:val="905190427"/>
          <w:tblHeader/>
        </w:trPr>
        <w:tc>
          <w:tcPr>
            <w:tcW w:w="480" w:type="dxa"/>
            <w:tcBorders>
              <w:bottom w:val="single" w:sz="12" w:space="0" w:color="000000"/>
              <w:right w:val="single" w:sz="6" w:space="0" w:color="000000"/>
            </w:tcBorders>
            <w:shd w:val="clear" w:color="auto" w:fill="DFDFDF"/>
            <w:vAlign w:val="center"/>
            <w:hideMark/>
          </w:tcPr>
          <w:p w14:paraId="7D37B500" w14:textId="77777777" w:rsidR="005E22BD" w:rsidRDefault="00FD460C">
            <w:pPr>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5D27B79C" w14:textId="77777777" w:rsidR="005E22BD" w:rsidRDefault="000A11B9">
            <w:pPr>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57BBCA31" w14:textId="77777777" w:rsidR="005E22BD" w:rsidRDefault="000A11B9">
            <w:pPr>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A489091" w14:textId="77777777" w:rsidR="005E22BD" w:rsidRDefault="000A11B9">
            <w:pPr>
              <w:jc w:val="center"/>
              <w:rPr>
                <w:rFonts w:eastAsia="Times New Roman" w:cs="Arial"/>
                <w:b/>
                <w:bCs/>
                <w:szCs w:val="22"/>
              </w:rPr>
            </w:pPr>
            <w:r>
              <w:rPr>
                <w:rFonts w:eastAsia="Times New Roman" w:cs="Arial"/>
                <w:b/>
                <w:bCs/>
                <w:szCs w:val="22"/>
              </w:rPr>
              <w:t>Item Ref.</w:t>
            </w:r>
          </w:p>
        </w:tc>
      </w:tr>
      <w:tr w:rsidR="005E22BD" w14:paraId="110656D3"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7FE5971E" w14:textId="77777777" w:rsidR="005E22BD" w:rsidRDefault="005E22BD">
            <w:pPr>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5E3657E" w14:textId="7FD83F74" w:rsidR="005E22BD" w:rsidRDefault="000A11B9">
            <w:pPr>
              <w:rPr>
                <w:rFonts w:eastAsia="Times New Roman" w:cs="Arial"/>
                <w:szCs w:val="22"/>
              </w:rPr>
            </w:pPr>
            <w:r>
              <w:rPr>
                <w:rFonts w:eastAsia="Times New Roman" w:cs="Arial"/>
                <w:szCs w:val="22"/>
              </w:rPr>
              <w:t xml:space="preserve">Some key financial and </w:t>
            </w:r>
            <w:r w:rsidR="005D7B5E">
              <w:rPr>
                <w:rFonts w:eastAsia="Times New Roman" w:cs="Arial"/>
                <w:szCs w:val="22"/>
              </w:rPr>
              <w:t>marketplace</w:t>
            </w:r>
            <w:r>
              <w:rPr>
                <w:rFonts w:eastAsia="Times New Roman" w:cs="Arial"/>
                <w:szCs w:val="22"/>
              </w:rPr>
              <w:t xml:space="preserve"> measures demonstrate unfavorable performance </w:t>
            </w:r>
            <w:r w:rsidR="00370CF9">
              <w:rPr>
                <w:rFonts w:eastAsia="Times New Roman" w:cs="Arial"/>
                <w:szCs w:val="22"/>
              </w:rPr>
              <w:t xml:space="preserve">relative </w:t>
            </w:r>
            <w:r>
              <w:rPr>
                <w:rFonts w:eastAsia="Times New Roman" w:cs="Arial"/>
                <w:szCs w:val="22"/>
              </w:rPr>
              <w:t>to comparisons. For example, the applicant</w:t>
            </w:r>
            <w:r w:rsidR="005663C4">
              <w:rPr>
                <w:rFonts w:eastAsia="Times New Roman" w:cs="Arial"/>
                <w:szCs w:val="22"/>
              </w:rPr>
              <w:t>’</w:t>
            </w:r>
            <w:r>
              <w:rPr>
                <w:rFonts w:eastAsia="Times New Roman" w:cs="Arial"/>
                <w:szCs w:val="22"/>
              </w:rPr>
              <w:t xml:space="preserve">s clock hours have consistently been below the DASHER </w:t>
            </w:r>
            <w:r w:rsidR="00370CF9">
              <w:rPr>
                <w:rFonts w:eastAsia="Times New Roman" w:cs="Arial"/>
                <w:szCs w:val="22"/>
              </w:rPr>
              <w:t>top p</w:t>
            </w:r>
            <w:r>
              <w:rPr>
                <w:rFonts w:eastAsia="Times New Roman" w:cs="Arial"/>
                <w:szCs w:val="22"/>
              </w:rPr>
              <w:t>eer,</w:t>
            </w:r>
            <w:r w:rsidR="00370CF9">
              <w:rPr>
                <w:rFonts w:eastAsia="Times New Roman" w:cs="Arial"/>
                <w:szCs w:val="22"/>
              </w:rPr>
              <w:t xml:space="preserve"> the</w:t>
            </w:r>
            <w:r>
              <w:rPr>
                <w:rFonts w:eastAsia="Times New Roman" w:cs="Arial"/>
                <w:szCs w:val="22"/>
              </w:rPr>
              <w:t xml:space="preserve"> NCCBP 90th percentile, and the IPE</w:t>
            </w:r>
            <w:r w:rsidR="007B4856">
              <w:rPr>
                <w:rFonts w:eastAsia="Times New Roman" w:cs="Arial"/>
                <w:szCs w:val="22"/>
              </w:rPr>
              <w:t>Ex2</w:t>
            </w:r>
            <w:r>
              <w:rPr>
                <w:rFonts w:eastAsia="Times New Roman" w:cs="Arial"/>
                <w:szCs w:val="22"/>
              </w:rPr>
              <w:t xml:space="preserve"> </w:t>
            </w:r>
            <w:r w:rsidR="00FC2162">
              <w:rPr>
                <w:rFonts w:eastAsia="Times New Roman" w:cs="Arial"/>
                <w:szCs w:val="22"/>
              </w:rPr>
              <w:t>t</w:t>
            </w:r>
            <w:r>
              <w:rPr>
                <w:rFonts w:eastAsia="Times New Roman" w:cs="Arial"/>
                <w:szCs w:val="22"/>
              </w:rPr>
              <w:t xml:space="preserve">op </w:t>
            </w:r>
            <w:r w:rsidR="00FC2162">
              <w:rPr>
                <w:rFonts w:eastAsia="Times New Roman" w:cs="Arial"/>
                <w:szCs w:val="22"/>
              </w:rPr>
              <w:t>q</w:t>
            </w:r>
            <w:r>
              <w:rPr>
                <w:rFonts w:eastAsia="Times New Roman" w:cs="Arial"/>
                <w:szCs w:val="22"/>
              </w:rPr>
              <w:t xml:space="preserve">uartile (Figure 7.5-13). Market share </w:t>
            </w:r>
            <w:r w:rsidR="00FC2162">
              <w:rPr>
                <w:rFonts w:eastAsia="Times New Roman" w:cs="Arial"/>
                <w:szCs w:val="22"/>
              </w:rPr>
              <w:t>for</w:t>
            </w:r>
            <w:r>
              <w:rPr>
                <w:rFonts w:eastAsia="Times New Roman" w:cs="Arial"/>
                <w:szCs w:val="22"/>
              </w:rPr>
              <w:t xml:space="preserve"> credit students, wh</w:t>
            </w:r>
            <w:r w:rsidR="00FC2162">
              <w:rPr>
                <w:rFonts w:eastAsia="Times New Roman" w:cs="Arial"/>
                <w:szCs w:val="22"/>
              </w:rPr>
              <w:t>o compose</w:t>
            </w:r>
            <w:r>
              <w:rPr>
                <w:rFonts w:eastAsia="Times New Roman" w:cs="Arial"/>
                <w:szCs w:val="22"/>
              </w:rPr>
              <w:t xml:space="preserve"> 70% of the student population, has been flat over the last five years and is below</w:t>
            </w:r>
            <w:r w:rsidR="00370CF9">
              <w:rPr>
                <w:rFonts w:eastAsia="Times New Roman" w:cs="Arial"/>
                <w:szCs w:val="22"/>
              </w:rPr>
              <w:t xml:space="preserve"> the</w:t>
            </w:r>
            <w:r>
              <w:rPr>
                <w:rFonts w:eastAsia="Times New Roman" w:cs="Arial"/>
                <w:szCs w:val="22"/>
              </w:rPr>
              <w:t xml:space="preserve"> D</w:t>
            </w:r>
            <w:r w:rsidR="00370CF9">
              <w:rPr>
                <w:rFonts w:eastAsia="Times New Roman" w:cs="Arial"/>
                <w:szCs w:val="22"/>
              </w:rPr>
              <w:t xml:space="preserve">ASHER </w:t>
            </w:r>
            <w:r>
              <w:rPr>
                <w:rFonts w:eastAsia="Times New Roman" w:cs="Arial"/>
                <w:szCs w:val="22"/>
              </w:rPr>
              <w:t>and NCCBP benchmarks (Figure 7.5-11). Closing these gaps may assist the applicant in meeting the strategic challenge of increased competition for students.</w:t>
            </w:r>
          </w:p>
        </w:tc>
        <w:tc>
          <w:tcPr>
            <w:tcW w:w="0" w:type="auto"/>
            <w:tcBorders>
              <w:bottom w:val="single" w:sz="6" w:space="0" w:color="000000"/>
              <w:right w:val="single" w:sz="6" w:space="0" w:color="000000"/>
            </w:tcBorders>
            <w:tcMar>
              <w:top w:w="75" w:type="dxa"/>
              <w:left w:w="75" w:type="dxa"/>
              <w:bottom w:w="75" w:type="dxa"/>
              <w:right w:w="75" w:type="dxa"/>
            </w:tcMar>
            <w:hideMark/>
          </w:tcPr>
          <w:p w14:paraId="22A3BDDC" w14:textId="77777777" w:rsidR="00370CF9" w:rsidRDefault="000A11B9">
            <w:pPr>
              <w:rPr>
                <w:rFonts w:eastAsia="Times New Roman" w:cs="Arial"/>
                <w:szCs w:val="22"/>
              </w:rPr>
            </w:pPr>
            <w:r>
              <w:rPr>
                <w:rFonts w:eastAsia="Times New Roman" w:cs="Arial"/>
                <w:szCs w:val="22"/>
              </w:rPr>
              <w:t>Noted by five examiners with one double (</w:t>
            </w:r>
            <w:r w:rsidR="007B4856">
              <w:rPr>
                <w:rFonts w:eastAsia="Times New Roman" w:cs="Arial"/>
                <w:szCs w:val="22"/>
              </w:rPr>
              <w:t>Ex1</w:t>
            </w:r>
            <w:r>
              <w:rPr>
                <w:rFonts w:eastAsia="Times New Roman" w:cs="Arial"/>
                <w:szCs w:val="22"/>
              </w:rPr>
              <w:t xml:space="preserve">, </w:t>
            </w:r>
            <w:r w:rsidR="00350724">
              <w:rPr>
                <w:rFonts w:eastAsia="Times New Roman" w:cs="Arial"/>
                <w:szCs w:val="22"/>
              </w:rPr>
              <w:t xml:space="preserve">Ex3, </w:t>
            </w:r>
            <w:r w:rsidR="007B4856">
              <w:rPr>
                <w:rFonts w:eastAsia="Times New Roman" w:cs="Arial"/>
                <w:szCs w:val="22"/>
              </w:rPr>
              <w:t>Ex5</w:t>
            </w:r>
            <w:r>
              <w:rPr>
                <w:rFonts w:eastAsia="Times New Roman" w:cs="Arial"/>
                <w:szCs w:val="22"/>
              </w:rPr>
              <w:t xml:space="preserve">-double, </w:t>
            </w:r>
            <w:r w:rsidR="007B4856">
              <w:rPr>
                <w:rFonts w:eastAsia="Times New Roman" w:cs="Arial"/>
                <w:szCs w:val="22"/>
              </w:rPr>
              <w:t>Ex6</w:t>
            </w:r>
            <w:r w:rsidR="00350724">
              <w:rPr>
                <w:rFonts w:eastAsia="Times New Roman" w:cs="Arial"/>
                <w:szCs w:val="22"/>
              </w:rPr>
              <w:t>, Ex7</w:t>
            </w:r>
            <w:r>
              <w:rPr>
                <w:rFonts w:eastAsia="Times New Roman" w:cs="Arial"/>
                <w:szCs w:val="22"/>
              </w:rPr>
              <w:t xml:space="preserve">). </w:t>
            </w:r>
          </w:p>
          <w:p w14:paraId="5F80216D" w14:textId="26074AC7" w:rsidR="00370CF9" w:rsidRDefault="000A11B9">
            <w:pPr>
              <w:rPr>
                <w:rFonts w:eastAsia="Times New Roman" w:cs="Arial"/>
                <w:szCs w:val="22"/>
              </w:rPr>
            </w:pPr>
            <w:r>
              <w:rPr>
                <w:rFonts w:eastAsia="Times New Roman" w:cs="Arial"/>
                <w:szCs w:val="22"/>
              </w:rPr>
              <w:t>Market penetration (Fig</w:t>
            </w:r>
            <w:r w:rsidR="00FC2162">
              <w:rPr>
                <w:rFonts w:eastAsia="Times New Roman" w:cs="Arial"/>
                <w:szCs w:val="22"/>
              </w:rPr>
              <w:t>ure</w:t>
            </w:r>
            <w:r>
              <w:rPr>
                <w:rFonts w:eastAsia="Times New Roman" w:cs="Arial"/>
                <w:szCs w:val="22"/>
              </w:rPr>
              <w:t xml:space="preserve"> 7.5-11) levels for credit and </w:t>
            </w:r>
            <w:r w:rsidR="005D7B5E">
              <w:rPr>
                <w:rFonts w:eastAsia="Times New Roman" w:cs="Arial"/>
                <w:szCs w:val="22"/>
              </w:rPr>
              <w:t>noncredit</w:t>
            </w:r>
            <w:r>
              <w:rPr>
                <w:rFonts w:eastAsia="Times New Roman" w:cs="Arial"/>
                <w:szCs w:val="22"/>
              </w:rPr>
              <w:t xml:space="preserve"> compare unfavorably to Dasher, NCCBP, and best in state benchmarks from AY</w:t>
            </w:r>
            <w:r w:rsidR="00FC2162">
              <w:rPr>
                <w:rFonts w:eastAsia="Times New Roman" w:cs="Arial"/>
                <w:szCs w:val="22"/>
              </w:rPr>
              <w:t>20</w:t>
            </w:r>
            <w:r>
              <w:rPr>
                <w:rFonts w:eastAsia="Times New Roman" w:cs="Arial"/>
                <w:szCs w:val="22"/>
              </w:rPr>
              <w:t>18-AY</w:t>
            </w:r>
            <w:r w:rsidR="00FC2162">
              <w:rPr>
                <w:rFonts w:eastAsia="Times New Roman" w:cs="Arial"/>
                <w:szCs w:val="22"/>
              </w:rPr>
              <w:t>20</w:t>
            </w:r>
            <w:r>
              <w:rPr>
                <w:rFonts w:eastAsia="Times New Roman" w:cs="Arial"/>
                <w:szCs w:val="22"/>
              </w:rPr>
              <w:t>20. The market share level for the percentage of undergrads in the tri-county service area underperforms the DASHER top peer from AY</w:t>
            </w:r>
            <w:r w:rsidR="00FC2162">
              <w:rPr>
                <w:rFonts w:eastAsia="Times New Roman" w:cs="Arial"/>
                <w:szCs w:val="22"/>
              </w:rPr>
              <w:t>20</w:t>
            </w:r>
            <w:r>
              <w:rPr>
                <w:rFonts w:eastAsia="Times New Roman" w:cs="Arial"/>
                <w:szCs w:val="22"/>
              </w:rPr>
              <w:t>15-AY</w:t>
            </w:r>
            <w:r w:rsidR="00FC2162">
              <w:rPr>
                <w:rFonts w:eastAsia="Times New Roman" w:cs="Arial"/>
                <w:szCs w:val="22"/>
              </w:rPr>
              <w:t>20</w:t>
            </w:r>
            <w:r>
              <w:rPr>
                <w:rFonts w:eastAsia="Times New Roman" w:cs="Arial"/>
                <w:szCs w:val="22"/>
              </w:rPr>
              <w:t>20. The clock hour or contact hours (Fig</w:t>
            </w:r>
            <w:r w:rsidR="00FC2162">
              <w:rPr>
                <w:rFonts w:eastAsia="Times New Roman" w:cs="Arial"/>
                <w:szCs w:val="22"/>
              </w:rPr>
              <w:t>ure</w:t>
            </w:r>
            <w:r>
              <w:rPr>
                <w:rFonts w:eastAsia="Times New Roman" w:cs="Arial"/>
                <w:szCs w:val="22"/>
              </w:rPr>
              <w:t xml:space="preserve"> 7-5-13) for the applicant</w:t>
            </w:r>
            <w:r w:rsidR="00FC2162">
              <w:rPr>
                <w:rFonts w:eastAsia="Times New Roman" w:cs="Arial"/>
                <w:szCs w:val="22"/>
              </w:rPr>
              <w:t xml:space="preserve">, </w:t>
            </w:r>
            <w:r>
              <w:rPr>
                <w:rFonts w:eastAsia="Times New Roman" w:cs="Arial"/>
                <w:szCs w:val="22"/>
              </w:rPr>
              <w:t>a measure of engagement in student learning, is below all benchmarks</w:t>
            </w:r>
            <w:r w:rsidR="00FC2162">
              <w:rPr>
                <w:rFonts w:eastAsia="Times New Roman" w:cs="Arial"/>
                <w:szCs w:val="22"/>
              </w:rPr>
              <w:t>,</w:t>
            </w:r>
            <w:r>
              <w:rPr>
                <w:rFonts w:eastAsia="Times New Roman" w:cs="Arial"/>
                <w:szCs w:val="22"/>
              </w:rPr>
              <w:t xml:space="preserve"> with little growth in hours. </w:t>
            </w:r>
          </w:p>
          <w:p w14:paraId="649F0E17" w14:textId="77777777" w:rsidR="00370CF9" w:rsidRDefault="000A11B9">
            <w:pPr>
              <w:rPr>
                <w:rFonts w:eastAsia="Times New Roman" w:cs="Arial"/>
                <w:szCs w:val="22"/>
              </w:rPr>
            </w:pPr>
            <w:r>
              <w:rPr>
                <w:rFonts w:eastAsia="Times New Roman" w:cs="Arial"/>
                <w:szCs w:val="22"/>
              </w:rPr>
              <w:t xml:space="preserve">Left as a double due especially to student contact hours (clock hours). These may have an impact on the increased competition for students, may also impact the demand to close </w:t>
            </w:r>
            <w:r>
              <w:rPr>
                <w:rFonts w:eastAsia="Times New Roman" w:cs="Arial"/>
                <w:szCs w:val="22"/>
              </w:rPr>
              <w:lastRenderedPageBreak/>
              <w:t>the achievement gap and meeting the visions of being the best in the nation.</w:t>
            </w:r>
          </w:p>
          <w:p w14:paraId="1FB95589" w14:textId="2613A09D" w:rsidR="00370CF9" w:rsidRDefault="00370CF9">
            <w:pPr>
              <w:rPr>
                <w:rFonts w:eastAsia="Times New Roman" w:cs="Arial"/>
                <w:szCs w:val="22"/>
              </w:rPr>
            </w:pPr>
            <w:r>
              <w:rPr>
                <w:rFonts w:eastAsia="Times New Roman" w:cs="Arial"/>
                <w:szCs w:val="22"/>
              </w:rPr>
              <w:t xml:space="preserve">Removed the double </w:t>
            </w:r>
            <w:r w:rsidR="00371E72">
              <w:rPr>
                <w:rFonts w:eastAsia="Times New Roman" w:cs="Arial"/>
                <w:szCs w:val="22"/>
              </w:rPr>
              <w:t>after</w:t>
            </w:r>
            <w:r>
              <w:rPr>
                <w:rFonts w:eastAsia="Times New Roman" w:cs="Arial"/>
                <w:szCs w:val="22"/>
              </w:rPr>
              <w:t xml:space="preserve"> the consensus call.</w:t>
            </w:r>
          </w:p>
        </w:tc>
        <w:tc>
          <w:tcPr>
            <w:tcW w:w="0" w:type="auto"/>
            <w:tcBorders>
              <w:bottom w:val="single" w:sz="6" w:space="0" w:color="000000"/>
              <w:right w:val="single" w:sz="6" w:space="0" w:color="000000"/>
            </w:tcBorders>
            <w:tcMar>
              <w:top w:w="75" w:type="dxa"/>
              <w:left w:w="75" w:type="dxa"/>
              <w:bottom w:w="75" w:type="dxa"/>
              <w:right w:w="75" w:type="dxa"/>
            </w:tcMar>
            <w:hideMark/>
          </w:tcPr>
          <w:p w14:paraId="24133C8B" w14:textId="77777777" w:rsidR="005E22BD" w:rsidRDefault="000A11B9">
            <w:pPr>
              <w:rPr>
                <w:rFonts w:eastAsia="Times New Roman" w:cs="Arial"/>
                <w:szCs w:val="22"/>
              </w:rPr>
            </w:pPr>
            <w:r>
              <w:rPr>
                <w:rFonts w:eastAsia="Times New Roman" w:cs="Arial"/>
                <w:szCs w:val="22"/>
              </w:rPr>
              <w:lastRenderedPageBreak/>
              <w:t>a</w:t>
            </w:r>
          </w:p>
        </w:tc>
      </w:tr>
      <w:tr w:rsidR="005E22BD" w14:paraId="514E7D0B" w14:textId="77777777">
        <w:trPr>
          <w:divId w:val="90519042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3B3D8437" w14:textId="77777777" w:rsidR="005E22BD" w:rsidRDefault="005E22BD">
            <w:pPr>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2060839" w14:textId="242AF567" w:rsidR="005E22BD" w:rsidRDefault="000A11B9">
            <w:pPr>
              <w:rPr>
                <w:rFonts w:eastAsia="Times New Roman" w:cs="Arial"/>
                <w:szCs w:val="22"/>
              </w:rPr>
            </w:pPr>
            <w:r>
              <w:rPr>
                <w:rFonts w:eastAsia="Times New Roman" w:cs="Arial"/>
                <w:szCs w:val="22"/>
              </w:rPr>
              <w:t xml:space="preserve">The applicant </w:t>
            </w:r>
            <w:r w:rsidR="00050D3F">
              <w:rPr>
                <w:rFonts w:eastAsia="Times New Roman" w:cs="Arial"/>
                <w:szCs w:val="22"/>
              </w:rPr>
              <w:t>report</w:t>
            </w:r>
            <w:r>
              <w:rPr>
                <w:rFonts w:eastAsia="Times New Roman" w:cs="Arial"/>
                <w:szCs w:val="22"/>
              </w:rPr>
              <w:t>s performance below expectations</w:t>
            </w:r>
            <w:r w:rsidR="00370CF9">
              <w:rPr>
                <w:rFonts w:eastAsia="Times New Roman" w:cs="Arial"/>
                <w:szCs w:val="22"/>
              </w:rPr>
              <w:t xml:space="preserve"> for achieving its organizational strategy (Figure 7.5-17)</w:t>
            </w:r>
            <w:r>
              <w:rPr>
                <w:rFonts w:eastAsia="Times New Roman" w:cs="Arial"/>
                <w:szCs w:val="22"/>
              </w:rPr>
              <w:t>. Seven of the applicant</w:t>
            </w:r>
            <w:r w:rsidR="005663C4">
              <w:rPr>
                <w:rFonts w:eastAsia="Times New Roman" w:cs="Arial"/>
                <w:szCs w:val="22"/>
              </w:rPr>
              <w:t>’</w:t>
            </w:r>
            <w:r>
              <w:rPr>
                <w:rFonts w:eastAsia="Times New Roman" w:cs="Arial"/>
                <w:szCs w:val="22"/>
              </w:rPr>
              <w:t xml:space="preserve">s </w:t>
            </w:r>
            <w:r w:rsidR="00370CF9">
              <w:rPr>
                <w:rFonts w:eastAsia="Times New Roman" w:cs="Arial"/>
                <w:szCs w:val="22"/>
              </w:rPr>
              <w:t>15</w:t>
            </w:r>
            <w:r>
              <w:rPr>
                <w:rFonts w:eastAsia="Times New Roman" w:cs="Arial"/>
                <w:szCs w:val="22"/>
              </w:rPr>
              <w:t xml:space="preserve"> strategic goals have a red status</w:t>
            </w:r>
            <w:r w:rsidR="00370CF9">
              <w:rPr>
                <w:rFonts w:eastAsia="Times New Roman" w:cs="Arial"/>
                <w:szCs w:val="22"/>
              </w:rPr>
              <w:t>,</w:t>
            </w:r>
            <w:r>
              <w:rPr>
                <w:rFonts w:eastAsia="Times New Roman" w:cs="Arial"/>
                <w:szCs w:val="22"/>
              </w:rPr>
              <w:t xml:space="preserve"> indicating </w:t>
            </w:r>
            <w:r w:rsidR="00370CF9">
              <w:rPr>
                <w:rFonts w:eastAsia="Times New Roman" w:cs="Arial"/>
                <w:szCs w:val="22"/>
              </w:rPr>
              <w:t xml:space="preserve">that </w:t>
            </w:r>
            <w:r>
              <w:rPr>
                <w:rFonts w:eastAsia="Times New Roman" w:cs="Arial"/>
                <w:szCs w:val="22"/>
              </w:rPr>
              <w:t xml:space="preserve">they have not been met. Among these are goals for enrollment, academic/technical program completion, </w:t>
            </w:r>
            <w:r w:rsidR="005D7B5E">
              <w:rPr>
                <w:rFonts w:eastAsia="Times New Roman" w:cs="Arial"/>
                <w:szCs w:val="22"/>
              </w:rPr>
              <w:t>pathways,</w:t>
            </w:r>
            <w:r>
              <w:rPr>
                <w:rFonts w:eastAsia="Times New Roman" w:cs="Arial"/>
                <w:szCs w:val="22"/>
              </w:rPr>
              <w:t xml:space="preserve"> and transfer. Many action plans (Figure 7.5-18) </w:t>
            </w:r>
            <w:r w:rsidR="00371E72">
              <w:rPr>
                <w:rFonts w:eastAsia="Times New Roman" w:cs="Arial"/>
                <w:szCs w:val="22"/>
              </w:rPr>
              <w:t xml:space="preserve">show </w:t>
            </w:r>
            <w:r>
              <w:rPr>
                <w:rFonts w:eastAsia="Times New Roman" w:cs="Arial"/>
                <w:szCs w:val="22"/>
              </w:rPr>
              <w:t xml:space="preserve">a red or yellow status. Without progress on achievement of its strategic goals and action plans, the applicant may not be able to meet its strategic challenges in </w:t>
            </w:r>
            <w:r w:rsidR="00370CF9">
              <w:rPr>
                <w:rFonts w:eastAsia="Times New Roman" w:cs="Arial"/>
                <w:szCs w:val="22"/>
              </w:rPr>
              <w:t xml:space="preserve">its </w:t>
            </w:r>
            <w:r>
              <w:rPr>
                <w:rFonts w:eastAsia="Times New Roman" w:cs="Arial"/>
                <w:szCs w:val="22"/>
              </w:rPr>
              <w:t>competitive environment.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44271238" w14:textId="594403A2" w:rsidR="00370CF9" w:rsidRDefault="000A11B9">
            <w:pPr>
              <w:rPr>
                <w:rFonts w:eastAsia="Times New Roman" w:cs="Arial"/>
                <w:szCs w:val="22"/>
              </w:rPr>
            </w:pPr>
            <w:r>
              <w:rPr>
                <w:rFonts w:eastAsia="Times New Roman" w:cs="Arial"/>
                <w:szCs w:val="22"/>
              </w:rPr>
              <w:t>Four examiners (</w:t>
            </w:r>
            <w:r w:rsidR="007B4856">
              <w:rPr>
                <w:rFonts w:eastAsia="Times New Roman" w:cs="Arial"/>
                <w:szCs w:val="22"/>
              </w:rPr>
              <w:t>Ex1</w:t>
            </w:r>
            <w:r>
              <w:rPr>
                <w:rFonts w:eastAsia="Times New Roman" w:cs="Arial"/>
                <w:szCs w:val="22"/>
              </w:rPr>
              <w:t xml:space="preserve">, </w:t>
            </w:r>
            <w:r w:rsidR="007B4856">
              <w:rPr>
                <w:rFonts w:eastAsia="Times New Roman" w:cs="Arial"/>
                <w:szCs w:val="22"/>
              </w:rPr>
              <w:t>Ex4</w:t>
            </w:r>
            <w:r>
              <w:rPr>
                <w:rFonts w:eastAsia="Times New Roman" w:cs="Arial"/>
                <w:szCs w:val="22"/>
              </w:rPr>
              <w:t xml:space="preserve">, </w:t>
            </w:r>
            <w:r w:rsidR="007B4856">
              <w:rPr>
                <w:rFonts w:eastAsia="Times New Roman" w:cs="Arial"/>
                <w:szCs w:val="22"/>
              </w:rPr>
              <w:t>Ex5</w:t>
            </w:r>
            <w:r>
              <w:rPr>
                <w:rFonts w:eastAsia="Times New Roman" w:cs="Arial"/>
                <w:szCs w:val="22"/>
              </w:rPr>
              <w:t xml:space="preserve">, </w:t>
            </w:r>
            <w:r w:rsidR="007B4856">
              <w:rPr>
                <w:rFonts w:eastAsia="Times New Roman" w:cs="Arial"/>
                <w:szCs w:val="22"/>
              </w:rPr>
              <w:t>Ex6</w:t>
            </w:r>
            <w:r w:rsidR="00350724">
              <w:rPr>
                <w:rFonts w:eastAsia="Times New Roman" w:cs="Arial"/>
                <w:szCs w:val="22"/>
              </w:rPr>
              <w:t>, Ex7</w:t>
            </w:r>
            <w:r>
              <w:rPr>
                <w:rFonts w:eastAsia="Times New Roman" w:cs="Arial"/>
                <w:szCs w:val="22"/>
              </w:rPr>
              <w:t>) provided comments on strategy. Achievement of strategic goals (Fig</w:t>
            </w:r>
            <w:r w:rsidR="00FC2162">
              <w:rPr>
                <w:rFonts w:eastAsia="Times New Roman" w:cs="Arial"/>
                <w:szCs w:val="22"/>
              </w:rPr>
              <w:t>ure</w:t>
            </w:r>
            <w:r>
              <w:rPr>
                <w:rFonts w:eastAsia="Times New Roman" w:cs="Arial"/>
                <w:szCs w:val="22"/>
              </w:rPr>
              <w:t xml:space="preserve"> 7.5-17) shows performance below expectation i</w:t>
            </w:r>
            <w:r w:rsidR="005D7B5E">
              <w:rPr>
                <w:rFonts w:eastAsia="Times New Roman" w:cs="Arial"/>
                <w:szCs w:val="22"/>
              </w:rPr>
              <w:t>n</w:t>
            </w:r>
            <w:r>
              <w:rPr>
                <w:rFonts w:eastAsia="Times New Roman" w:cs="Arial"/>
                <w:szCs w:val="22"/>
              </w:rPr>
              <w:t xml:space="preserve"> AY</w:t>
            </w:r>
            <w:r w:rsidR="00FC2162">
              <w:rPr>
                <w:rFonts w:eastAsia="Times New Roman" w:cs="Arial"/>
                <w:szCs w:val="22"/>
              </w:rPr>
              <w:t>20</w:t>
            </w:r>
            <w:r>
              <w:rPr>
                <w:rFonts w:eastAsia="Times New Roman" w:cs="Arial"/>
                <w:szCs w:val="22"/>
              </w:rPr>
              <w:t>18 with many improving in AY</w:t>
            </w:r>
            <w:r w:rsidR="00FC2162">
              <w:rPr>
                <w:rFonts w:eastAsia="Times New Roman" w:cs="Arial"/>
                <w:szCs w:val="22"/>
              </w:rPr>
              <w:t>20</w:t>
            </w:r>
            <w:r>
              <w:rPr>
                <w:rFonts w:eastAsia="Times New Roman" w:cs="Arial"/>
                <w:szCs w:val="22"/>
              </w:rPr>
              <w:t>19, returning to worse levels in AY</w:t>
            </w:r>
            <w:r w:rsidR="00FC2162">
              <w:rPr>
                <w:rFonts w:eastAsia="Times New Roman" w:cs="Arial"/>
                <w:szCs w:val="22"/>
              </w:rPr>
              <w:t>20</w:t>
            </w:r>
            <w:r>
              <w:rPr>
                <w:rFonts w:eastAsia="Times New Roman" w:cs="Arial"/>
                <w:szCs w:val="22"/>
              </w:rPr>
              <w:t xml:space="preserve">20. </w:t>
            </w:r>
          </w:p>
          <w:p w14:paraId="618C2988" w14:textId="1F74AD72" w:rsidR="00370CF9" w:rsidRDefault="000A11B9">
            <w:pPr>
              <w:rPr>
                <w:rFonts w:eastAsia="Times New Roman" w:cs="Arial"/>
                <w:szCs w:val="22"/>
              </w:rPr>
            </w:pPr>
            <w:r>
              <w:rPr>
                <w:rFonts w:eastAsia="Times New Roman" w:cs="Arial"/>
                <w:szCs w:val="22"/>
              </w:rPr>
              <w:t xml:space="preserve">Programs of importance to the applicant such as student support services pathways and </w:t>
            </w:r>
            <w:r w:rsidR="005D7B5E">
              <w:rPr>
                <w:rFonts w:eastAsia="Times New Roman" w:cs="Arial"/>
                <w:szCs w:val="22"/>
              </w:rPr>
              <w:t>transfer, STEM</w:t>
            </w:r>
            <w:r>
              <w:rPr>
                <w:rFonts w:eastAsia="Times New Roman" w:cs="Arial"/>
                <w:szCs w:val="22"/>
              </w:rPr>
              <w:t xml:space="preserve"> and preparation of students were all reported in the red area</w:t>
            </w:r>
            <w:r w:rsidR="00371E72">
              <w:rPr>
                <w:rFonts w:eastAsia="Times New Roman" w:cs="Arial"/>
                <w:szCs w:val="22"/>
              </w:rPr>
              <w:t xml:space="preserve"> </w:t>
            </w:r>
            <w:r>
              <w:rPr>
                <w:rFonts w:eastAsia="Times New Roman" w:cs="Arial"/>
                <w:szCs w:val="22"/>
              </w:rPr>
              <w:t xml:space="preserve">(do not meet). It is not clear which are strategic </w:t>
            </w:r>
            <w:r w:rsidR="005D7B5E">
              <w:rPr>
                <w:rFonts w:eastAsia="Times New Roman" w:cs="Arial"/>
                <w:szCs w:val="22"/>
              </w:rPr>
              <w:t>initiatives</w:t>
            </w:r>
            <w:r>
              <w:rPr>
                <w:rFonts w:eastAsia="Times New Roman" w:cs="Arial"/>
                <w:szCs w:val="22"/>
              </w:rPr>
              <w:t xml:space="preserve"> and which are action plans in Figure 7.5-18. Results are shown beginning in fourth quarter AY</w:t>
            </w:r>
            <w:r w:rsidR="00FC2162">
              <w:rPr>
                <w:rFonts w:eastAsia="Times New Roman" w:cs="Arial"/>
                <w:szCs w:val="22"/>
              </w:rPr>
              <w:t>20</w:t>
            </w:r>
            <w:r>
              <w:rPr>
                <w:rFonts w:eastAsia="Times New Roman" w:cs="Arial"/>
                <w:szCs w:val="22"/>
              </w:rPr>
              <w:t xml:space="preserve">20, which is not a full year of results. In addition to the goals in the red area, four are in the yellow area. </w:t>
            </w:r>
          </w:p>
          <w:p w14:paraId="7C764F2A" w14:textId="29F2C569" w:rsidR="005E22BD" w:rsidRDefault="000A11B9">
            <w:pPr>
              <w:rPr>
                <w:rFonts w:eastAsia="Times New Roman" w:cs="Arial"/>
                <w:szCs w:val="22"/>
              </w:rPr>
            </w:pPr>
            <w:r>
              <w:rPr>
                <w:rFonts w:eastAsia="Times New Roman" w:cs="Arial"/>
                <w:szCs w:val="22"/>
              </w:rPr>
              <w:t>No results were provided for intelligent risk taking.</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hideMark/>
          </w:tcPr>
          <w:p w14:paraId="61C80401" w14:textId="77777777" w:rsidR="005E22BD" w:rsidRDefault="000A11B9">
            <w:pPr>
              <w:rPr>
                <w:rFonts w:eastAsia="Times New Roman" w:cs="Arial"/>
                <w:szCs w:val="22"/>
              </w:rPr>
            </w:pPr>
            <w:r>
              <w:rPr>
                <w:rFonts w:eastAsia="Times New Roman" w:cs="Arial"/>
                <w:szCs w:val="22"/>
              </w:rPr>
              <w:t>b</w:t>
            </w:r>
          </w:p>
        </w:tc>
      </w:tr>
      <w:tr w:rsidR="005E22BD" w14:paraId="4ECE902E" w14:textId="77777777">
        <w:trPr>
          <w:divId w:val="905190427"/>
        </w:trPr>
        <w:tc>
          <w:tcPr>
            <w:tcW w:w="0" w:type="auto"/>
            <w:tcBorders>
              <w:bottom w:val="single" w:sz="6" w:space="0" w:color="000000"/>
              <w:right w:val="single" w:sz="6" w:space="0" w:color="000000"/>
            </w:tcBorders>
            <w:tcMar>
              <w:top w:w="75" w:type="dxa"/>
              <w:left w:w="75" w:type="dxa"/>
              <w:bottom w:w="75" w:type="dxa"/>
              <w:right w:w="75" w:type="dxa"/>
            </w:tcMar>
            <w:hideMark/>
          </w:tcPr>
          <w:p w14:paraId="4B1FF14D" w14:textId="77777777" w:rsidR="005E22BD" w:rsidRDefault="005E22BD">
            <w:pPr>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hideMark/>
          </w:tcPr>
          <w:p w14:paraId="2378FCCD" w14:textId="0452BA10" w:rsidR="005E22BD" w:rsidRDefault="000A11B9">
            <w:pPr>
              <w:rPr>
                <w:rFonts w:eastAsia="Times New Roman" w:cs="Arial"/>
                <w:szCs w:val="22"/>
              </w:rPr>
            </w:pPr>
            <w:r>
              <w:rPr>
                <w:rFonts w:eastAsia="Times New Roman" w:cs="Arial"/>
                <w:szCs w:val="22"/>
              </w:rPr>
              <w:t xml:space="preserve">Results in some areas of financial and market performance </w:t>
            </w:r>
            <w:r w:rsidR="00370CF9">
              <w:rPr>
                <w:rFonts w:eastAsia="Times New Roman" w:cs="Arial"/>
                <w:szCs w:val="22"/>
              </w:rPr>
              <w:t xml:space="preserve">are not segmented </w:t>
            </w:r>
            <w:r>
              <w:rPr>
                <w:rFonts w:eastAsia="Times New Roman" w:cs="Arial"/>
                <w:szCs w:val="22"/>
              </w:rPr>
              <w:t xml:space="preserve">by student groups, </w:t>
            </w:r>
            <w:r w:rsidR="00370CF9">
              <w:rPr>
                <w:rFonts w:eastAsia="Times New Roman" w:cs="Arial"/>
                <w:szCs w:val="22"/>
              </w:rPr>
              <w:t xml:space="preserve">other customer groups, or </w:t>
            </w:r>
            <w:r w:rsidR="005D7B5E">
              <w:rPr>
                <w:rFonts w:eastAsia="Times New Roman" w:cs="Arial"/>
                <w:szCs w:val="22"/>
              </w:rPr>
              <w:t>programs</w:t>
            </w:r>
            <w:r>
              <w:rPr>
                <w:rFonts w:eastAsia="Times New Roman" w:cs="Arial"/>
                <w:szCs w:val="22"/>
              </w:rPr>
              <w:t xml:space="preserve">. For example, </w:t>
            </w:r>
            <w:r w:rsidR="00370CF9">
              <w:rPr>
                <w:rFonts w:eastAsia="Times New Roman" w:cs="Arial"/>
                <w:szCs w:val="22"/>
              </w:rPr>
              <w:t xml:space="preserve">net revenue </w:t>
            </w:r>
            <w:r>
              <w:rPr>
                <w:rFonts w:eastAsia="Times New Roman" w:cs="Arial"/>
                <w:szCs w:val="22"/>
              </w:rPr>
              <w:t xml:space="preserve">results are </w:t>
            </w:r>
            <w:r w:rsidR="00370CF9">
              <w:rPr>
                <w:rFonts w:eastAsia="Times New Roman" w:cs="Arial"/>
                <w:szCs w:val="22"/>
              </w:rPr>
              <w:t>not segmented to show results</w:t>
            </w:r>
            <w:r>
              <w:rPr>
                <w:rFonts w:eastAsia="Times New Roman" w:cs="Arial"/>
                <w:szCs w:val="22"/>
              </w:rPr>
              <w:t xml:space="preserve"> for credit/degree students, </w:t>
            </w:r>
            <w:r w:rsidR="00370CF9">
              <w:rPr>
                <w:rFonts w:eastAsia="Times New Roman" w:cs="Arial"/>
                <w:szCs w:val="22"/>
              </w:rPr>
              <w:t xml:space="preserve">who are </w:t>
            </w:r>
            <w:r>
              <w:rPr>
                <w:rFonts w:eastAsia="Times New Roman" w:cs="Arial"/>
                <w:szCs w:val="22"/>
              </w:rPr>
              <w:t xml:space="preserve">70% of the student population. </w:t>
            </w:r>
            <w:r w:rsidR="00370CF9">
              <w:rPr>
                <w:rFonts w:eastAsia="Times New Roman" w:cs="Arial"/>
                <w:szCs w:val="22"/>
              </w:rPr>
              <w:t xml:space="preserve">Nor are results for </w:t>
            </w:r>
            <w:r>
              <w:rPr>
                <w:rFonts w:eastAsia="Times New Roman" w:cs="Arial"/>
                <w:szCs w:val="22"/>
              </w:rPr>
              <w:t xml:space="preserve">affordability </w:t>
            </w:r>
            <w:r w:rsidR="00370CF9">
              <w:rPr>
                <w:rFonts w:eastAsia="Times New Roman" w:cs="Arial"/>
                <w:szCs w:val="22"/>
              </w:rPr>
              <w:t xml:space="preserve">segmented </w:t>
            </w:r>
            <w:r>
              <w:rPr>
                <w:rFonts w:eastAsia="Times New Roman" w:cs="Arial"/>
                <w:szCs w:val="22"/>
              </w:rPr>
              <w:t>by market, educational offerings, student</w:t>
            </w:r>
            <w:r w:rsidR="00FC2162">
              <w:rPr>
                <w:rFonts w:eastAsia="Times New Roman" w:cs="Arial"/>
                <w:szCs w:val="22"/>
              </w:rPr>
              <w:t xml:space="preserve"> group</w:t>
            </w:r>
            <w:r>
              <w:rPr>
                <w:rFonts w:eastAsia="Times New Roman" w:cs="Arial"/>
                <w:szCs w:val="22"/>
              </w:rPr>
              <w:t xml:space="preserve">s </w:t>
            </w:r>
            <w:r w:rsidR="00FC2162">
              <w:rPr>
                <w:rFonts w:eastAsia="Times New Roman" w:cs="Arial"/>
                <w:szCs w:val="22"/>
              </w:rPr>
              <w:t>(</w:t>
            </w:r>
            <w:r>
              <w:rPr>
                <w:rFonts w:eastAsia="Times New Roman" w:cs="Arial"/>
                <w:szCs w:val="22"/>
              </w:rPr>
              <w:t>such as career seeking, transfer, non</w:t>
            </w:r>
            <w:r w:rsidR="005D7B5E">
              <w:rPr>
                <w:rFonts w:eastAsia="Times New Roman" w:cs="Arial"/>
                <w:szCs w:val="22"/>
              </w:rPr>
              <w:t>degree,</w:t>
            </w:r>
            <w:r>
              <w:rPr>
                <w:rFonts w:eastAsia="Times New Roman" w:cs="Arial"/>
                <w:szCs w:val="22"/>
              </w:rPr>
              <w:t xml:space="preserve"> and </w:t>
            </w:r>
            <w:r w:rsidR="00370CF9">
              <w:rPr>
                <w:rFonts w:eastAsia="Times New Roman" w:cs="Arial"/>
                <w:szCs w:val="22"/>
              </w:rPr>
              <w:t>dual-credit</w:t>
            </w:r>
            <w:r>
              <w:rPr>
                <w:rFonts w:eastAsia="Times New Roman" w:cs="Arial"/>
                <w:szCs w:val="22"/>
              </w:rPr>
              <w:t xml:space="preserve"> students</w:t>
            </w:r>
            <w:r w:rsidR="00FC2162">
              <w:rPr>
                <w:rFonts w:eastAsia="Times New Roman" w:cs="Arial"/>
                <w:szCs w:val="22"/>
              </w:rPr>
              <w:t>)</w:t>
            </w:r>
            <w:r w:rsidR="00370CF9">
              <w:rPr>
                <w:rFonts w:eastAsia="Times New Roman" w:cs="Arial"/>
                <w:szCs w:val="22"/>
              </w:rPr>
              <w:t>,</w:t>
            </w:r>
            <w:r>
              <w:rPr>
                <w:rFonts w:eastAsia="Times New Roman" w:cs="Arial"/>
                <w:szCs w:val="22"/>
              </w:rPr>
              <w:t xml:space="preserve"> or relative to the local community. </w:t>
            </w:r>
            <w:r w:rsidR="00370CF9">
              <w:rPr>
                <w:rFonts w:eastAsia="Times New Roman" w:cs="Arial"/>
                <w:szCs w:val="22"/>
              </w:rPr>
              <w:t xml:space="preserve">Segmented results </w:t>
            </w:r>
            <w:r>
              <w:rPr>
                <w:rFonts w:eastAsia="Times New Roman" w:cs="Arial"/>
                <w:szCs w:val="22"/>
              </w:rPr>
              <w:t>in these areas may help the applicant eliminate any blind spots and focus on which student groups persist and which need assistance.</w:t>
            </w:r>
          </w:p>
        </w:tc>
        <w:tc>
          <w:tcPr>
            <w:tcW w:w="0" w:type="auto"/>
            <w:tcBorders>
              <w:bottom w:val="single" w:sz="6" w:space="0" w:color="000000"/>
              <w:right w:val="single" w:sz="6" w:space="0" w:color="000000"/>
            </w:tcBorders>
            <w:tcMar>
              <w:top w:w="75" w:type="dxa"/>
              <w:left w:w="75" w:type="dxa"/>
              <w:bottom w:w="75" w:type="dxa"/>
              <w:right w:w="75" w:type="dxa"/>
            </w:tcMar>
            <w:hideMark/>
          </w:tcPr>
          <w:p w14:paraId="00B6338B" w14:textId="74B89A5A" w:rsidR="00370CF9" w:rsidRDefault="00370CF9">
            <w:pPr>
              <w:rPr>
                <w:rFonts w:eastAsia="Times New Roman" w:cs="Arial"/>
                <w:szCs w:val="22"/>
              </w:rPr>
            </w:pPr>
            <w:r>
              <w:rPr>
                <w:rFonts w:eastAsia="Times New Roman" w:cs="Arial"/>
                <w:szCs w:val="22"/>
              </w:rPr>
              <w:t xml:space="preserve">Two </w:t>
            </w:r>
            <w:r w:rsidR="000A11B9">
              <w:rPr>
                <w:rFonts w:eastAsia="Times New Roman" w:cs="Arial"/>
                <w:szCs w:val="22"/>
              </w:rPr>
              <w:t>examiners comment on missing segmentation</w:t>
            </w:r>
            <w:r>
              <w:rPr>
                <w:rFonts w:eastAsia="Times New Roman" w:cs="Arial"/>
                <w:szCs w:val="22"/>
              </w:rPr>
              <w:t xml:space="preserve"> </w:t>
            </w:r>
            <w:r w:rsidR="000A11B9">
              <w:rPr>
                <w:rFonts w:eastAsia="Times New Roman" w:cs="Arial"/>
                <w:szCs w:val="22"/>
              </w:rPr>
              <w:t>(</w:t>
            </w:r>
            <w:r w:rsidR="007B4856">
              <w:rPr>
                <w:rFonts w:eastAsia="Times New Roman" w:cs="Arial"/>
                <w:szCs w:val="22"/>
              </w:rPr>
              <w:t>Ex3</w:t>
            </w:r>
            <w:r w:rsidR="000A11B9">
              <w:rPr>
                <w:rFonts w:eastAsia="Times New Roman" w:cs="Arial"/>
                <w:szCs w:val="22"/>
              </w:rPr>
              <w:t xml:space="preserve">, </w:t>
            </w:r>
            <w:r w:rsidR="007B4856">
              <w:rPr>
                <w:rFonts w:eastAsia="Times New Roman" w:cs="Arial"/>
                <w:szCs w:val="22"/>
              </w:rPr>
              <w:t>Ex5</w:t>
            </w:r>
            <w:r w:rsidR="000A11B9">
              <w:rPr>
                <w:rFonts w:eastAsia="Times New Roman" w:cs="Arial"/>
                <w:szCs w:val="22"/>
              </w:rPr>
              <w:t xml:space="preserve"> double). Some segmentation is shown, but the OFI is written as missing data for the remaining segments. </w:t>
            </w:r>
          </w:p>
          <w:p w14:paraId="0464FAFC" w14:textId="30FD4E6B" w:rsidR="00370CF9" w:rsidRDefault="005D7B5E">
            <w:pPr>
              <w:rPr>
                <w:rFonts w:eastAsia="Times New Roman" w:cs="Arial"/>
                <w:szCs w:val="22"/>
              </w:rPr>
            </w:pPr>
            <w:r>
              <w:rPr>
                <w:rFonts w:eastAsia="Times New Roman" w:cs="Arial"/>
                <w:szCs w:val="22"/>
              </w:rPr>
              <w:t>There</w:t>
            </w:r>
            <w:r w:rsidR="000A11B9">
              <w:rPr>
                <w:rFonts w:eastAsia="Times New Roman" w:cs="Arial"/>
                <w:szCs w:val="22"/>
              </w:rPr>
              <w:t xml:space="preserve"> does not appear to be much focus on students in the various programs and market segments overall. With CC2 of partnering with the local community, results may indicate financial or market results for this partnering. </w:t>
            </w:r>
          </w:p>
          <w:p w14:paraId="3FA7BC4B" w14:textId="690664C8" w:rsidR="009D4C55" w:rsidRDefault="000A11B9">
            <w:pPr>
              <w:rPr>
                <w:rFonts w:eastAsia="Times New Roman" w:cs="Arial"/>
                <w:szCs w:val="22"/>
              </w:rPr>
            </w:pPr>
            <w:r>
              <w:rPr>
                <w:rFonts w:eastAsia="Times New Roman" w:cs="Arial"/>
                <w:szCs w:val="22"/>
              </w:rPr>
              <w:t>Other areas with limited data are Fig</w:t>
            </w:r>
            <w:r w:rsidR="00FC2162">
              <w:rPr>
                <w:rFonts w:eastAsia="Times New Roman" w:cs="Arial"/>
                <w:szCs w:val="22"/>
              </w:rPr>
              <w:t>ure</w:t>
            </w:r>
            <w:r>
              <w:rPr>
                <w:rFonts w:eastAsia="Times New Roman" w:cs="Arial"/>
                <w:szCs w:val="22"/>
              </w:rPr>
              <w:t xml:space="preserve"> 7.5-1</w:t>
            </w:r>
            <w:r w:rsidR="009D4C55">
              <w:rPr>
                <w:rFonts w:eastAsia="Times New Roman" w:cs="Arial"/>
                <w:szCs w:val="22"/>
              </w:rPr>
              <w:t>,</w:t>
            </w:r>
            <w:r>
              <w:rPr>
                <w:rFonts w:eastAsia="Times New Roman" w:cs="Arial"/>
                <w:szCs w:val="22"/>
              </w:rPr>
              <w:t xml:space="preserve"> which groups certificate, workforce and continuing ed into one group and does not provide information on the large student group of credit students. As the</w:t>
            </w:r>
            <w:r w:rsidR="00370CF9">
              <w:rPr>
                <w:rFonts w:eastAsia="Times New Roman" w:cs="Arial"/>
                <w:szCs w:val="22"/>
              </w:rPr>
              <w:t xml:space="preserve"> applicant does</w:t>
            </w:r>
            <w:r>
              <w:rPr>
                <w:rFonts w:eastAsia="Times New Roman" w:cs="Arial"/>
                <w:szCs w:val="22"/>
              </w:rPr>
              <w:t xml:space="preserve"> show revenue for one group of students, the</w:t>
            </w:r>
            <w:r w:rsidR="00370CF9">
              <w:rPr>
                <w:rFonts w:eastAsia="Times New Roman" w:cs="Arial"/>
                <w:szCs w:val="22"/>
              </w:rPr>
              <w:t>re</w:t>
            </w:r>
            <w:r>
              <w:rPr>
                <w:rFonts w:eastAsia="Times New Roman" w:cs="Arial"/>
                <w:szCs w:val="22"/>
              </w:rPr>
              <w:t xml:space="preserve"> may </w:t>
            </w:r>
            <w:r w:rsidR="00370CF9">
              <w:rPr>
                <w:rFonts w:eastAsia="Times New Roman" w:cs="Arial"/>
                <w:szCs w:val="22"/>
              </w:rPr>
              <w:t>be</w:t>
            </w:r>
            <w:r>
              <w:rPr>
                <w:rFonts w:eastAsia="Times New Roman" w:cs="Arial"/>
                <w:szCs w:val="22"/>
              </w:rPr>
              <w:t xml:space="preserve"> more data available on</w:t>
            </w:r>
            <w:r w:rsidR="00370CF9">
              <w:rPr>
                <w:rFonts w:eastAsia="Times New Roman" w:cs="Arial"/>
                <w:szCs w:val="22"/>
              </w:rPr>
              <w:t>-</w:t>
            </w:r>
            <w:r>
              <w:rPr>
                <w:rFonts w:eastAsia="Times New Roman" w:cs="Arial"/>
                <w:szCs w:val="22"/>
              </w:rPr>
              <w:t xml:space="preserve">site, but </w:t>
            </w:r>
            <w:r w:rsidR="00370CF9">
              <w:rPr>
                <w:rFonts w:eastAsia="Times New Roman" w:cs="Arial"/>
                <w:szCs w:val="22"/>
              </w:rPr>
              <w:t xml:space="preserve">the applicant </w:t>
            </w:r>
            <w:r>
              <w:rPr>
                <w:rFonts w:eastAsia="Times New Roman" w:cs="Arial"/>
                <w:szCs w:val="22"/>
              </w:rPr>
              <w:t>do</w:t>
            </w:r>
            <w:r w:rsidR="00370CF9">
              <w:rPr>
                <w:rFonts w:eastAsia="Times New Roman" w:cs="Arial"/>
                <w:szCs w:val="22"/>
              </w:rPr>
              <w:t>es</w:t>
            </w:r>
            <w:r>
              <w:rPr>
                <w:rFonts w:eastAsia="Times New Roman" w:cs="Arial"/>
                <w:szCs w:val="22"/>
              </w:rPr>
              <w:t xml:space="preserve"> not indicate this. </w:t>
            </w:r>
          </w:p>
          <w:p w14:paraId="7387188A" w14:textId="355530B0" w:rsidR="005E22BD" w:rsidRDefault="000A11B9">
            <w:pPr>
              <w:rPr>
                <w:rFonts w:eastAsia="Times New Roman" w:cs="Arial"/>
                <w:szCs w:val="22"/>
              </w:rPr>
            </w:pPr>
            <w:r>
              <w:rPr>
                <w:rFonts w:eastAsia="Times New Roman" w:cs="Arial"/>
                <w:szCs w:val="22"/>
              </w:rPr>
              <w:t>Total revenue and expenditures (Fig</w:t>
            </w:r>
            <w:r w:rsidR="00FC2162">
              <w:rPr>
                <w:rFonts w:eastAsia="Times New Roman" w:cs="Arial"/>
                <w:szCs w:val="22"/>
              </w:rPr>
              <w:t>ure</w:t>
            </w:r>
            <w:r w:rsidR="00370CF9">
              <w:rPr>
                <w:rFonts w:eastAsia="Times New Roman" w:cs="Arial"/>
                <w:szCs w:val="22"/>
              </w:rPr>
              <w:t>s</w:t>
            </w:r>
            <w:r>
              <w:rPr>
                <w:rFonts w:eastAsia="Times New Roman" w:cs="Arial"/>
                <w:szCs w:val="22"/>
              </w:rPr>
              <w:t xml:space="preserve"> 7.5-2a,</w:t>
            </w:r>
            <w:r w:rsidR="00370CF9">
              <w:rPr>
                <w:rFonts w:eastAsia="Times New Roman" w:cs="Arial"/>
                <w:szCs w:val="22"/>
              </w:rPr>
              <w:t xml:space="preserve"> </w:t>
            </w:r>
            <w:r>
              <w:rPr>
                <w:rFonts w:eastAsia="Times New Roman" w:cs="Arial"/>
                <w:szCs w:val="22"/>
              </w:rPr>
              <w:t xml:space="preserve">2b) have no segmentation by program. It is not clear </w:t>
            </w:r>
            <w:r>
              <w:rPr>
                <w:rFonts w:eastAsia="Times New Roman" w:cs="Arial"/>
                <w:szCs w:val="22"/>
              </w:rPr>
              <w:lastRenderedPageBreak/>
              <w:t>if expenditures are for staff, or other budgetary areas.</w:t>
            </w:r>
          </w:p>
        </w:tc>
        <w:tc>
          <w:tcPr>
            <w:tcW w:w="0" w:type="auto"/>
            <w:tcBorders>
              <w:bottom w:val="single" w:sz="6" w:space="0" w:color="000000"/>
              <w:right w:val="single" w:sz="6" w:space="0" w:color="000000"/>
            </w:tcBorders>
            <w:tcMar>
              <w:top w:w="75" w:type="dxa"/>
              <w:left w:w="75" w:type="dxa"/>
              <w:bottom w:w="75" w:type="dxa"/>
              <w:right w:w="75" w:type="dxa"/>
            </w:tcMar>
            <w:hideMark/>
          </w:tcPr>
          <w:p w14:paraId="20C55EB2" w14:textId="77777777" w:rsidR="005E22BD" w:rsidRDefault="000A11B9">
            <w:pPr>
              <w:rPr>
                <w:rFonts w:eastAsia="Times New Roman" w:cs="Arial"/>
                <w:szCs w:val="22"/>
              </w:rPr>
            </w:pPr>
            <w:r>
              <w:rPr>
                <w:rFonts w:eastAsia="Times New Roman" w:cs="Arial"/>
                <w:szCs w:val="22"/>
              </w:rPr>
              <w:lastRenderedPageBreak/>
              <w:t>a</w:t>
            </w:r>
          </w:p>
        </w:tc>
      </w:tr>
    </w:tbl>
    <w:p w14:paraId="657E136B" w14:textId="77777777" w:rsidR="005E22BD" w:rsidRDefault="000A11B9">
      <w:pPr>
        <w:pStyle w:val="Heading4"/>
        <w:divId w:val="90519042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7E0DEE" w14:paraId="1F3F1B57" w14:textId="77777777" w:rsidTr="007E0DEE">
        <w:tc>
          <w:tcPr>
            <w:tcW w:w="10170" w:type="dxa"/>
          </w:tcPr>
          <w:p w14:paraId="23FC4065" w14:textId="5383356A" w:rsidR="007E0DEE" w:rsidRDefault="007E0DEE" w:rsidP="007E0DEE">
            <w:pPr>
              <w:rPr>
                <w:rFonts w:eastAsia="Times New Roman" w:cs="Arial"/>
                <w:szCs w:val="22"/>
              </w:rPr>
            </w:pPr>
            <w:r>
              <w:rPr>
                <w:rFonts w:eastAsia="Times New Roman" w:cs="Arial"/>
                <w:szCs w:val="22"/>
              </w:rPr>
              <w:t>While there was a decline in many of the areas in FY</w:t>
            </w:r>
            <w:r w:rsidR="00FC2162">
              <w:rPr>
                <w:rFonts w:eastAsia="Times New Roman" w:cs="Arial"/>
                <w:szCs w:val="22"/>
              </w:rPr>
              <w:t>20</w:t>
            </w:r>
            <w:r>
              <w:rPr>
                <w:rFonts w:eastAsia="Times New Roman" w:cs="Arial"/>
                <w:szCs w:val="22"/>
              </w:rPr>
              <w:t>20 due to the pandemic, there were a large number of results that did not have beneficial trends or did not reach the desired top decile, related to the vision of being the best in the nation for accessibility, affordability, career-readiness, and social responsibility.</w:t>
            </w:r>
          </w:p>
        </w:tc>
      </w:tr>
    </w:tbl>
    <w:p w14:paraId="329FF57A" w14:textId="77777777" w:rsidR="005E22BD" w:rsidRDefault="000A11B9">
      <w:pPr>
        <w:pStyle w:val="Heading3"/>
        <w:divId w:val="90519042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170"/>
      </w:tblGrid>
      <w:tr w:rsidR="007E0DEE" w14:paraId="15B2428B" w14:textId="77777777" w:rsidTr="007E0DEE">
        <w:tc>
          <w:tcPr>
            <w:tcW w:w="10170" w:type="dxa"/>
          </w:tcPr>
          <w:p w14:paraId="49CECFD3"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Value: </w:t>
            </w:r>
            <w:r w:rsidRPr="00FD460C">
              <w:rPr>
                <w:rStyle w:val="Strong"/>
                <w:rFonts w:eastAsia="Times New Roman" w:cs="Arial"/>
                <w:b w:val="0"/>
                <w:bCs w:val="0"/>
                <w:szCs w:val="22"/>
              </w:rPr>
              <w:t>50</w:t>
            </w:r>
          </w:p>
          <w:p w14:paraId="1E07AFD7" w14:textId="77777777" w:rsidR="007E0DEE" w:rsidRDefault="007E0DEE" w:rsidP="007E0DEE">
            <w:pPr>
              <w:ind w:right="360"/>
              <w:rPr>
                <w:rFonts w:eastAsia="Times New Roman" w:cs="Arial"/>
                <w:b/>
                <w:bCs/>
                <w:szCs w:val="22"/>
              </w:rPr>
            </w:pPr>
            <w:r w:rsidRPr="00FD460C">
              <w:rPr>
                <w:rFonts w:eastAsia="Times New Roman" w:cs="Arial"/>
                <w:b/>
                <w:bCs/>
                <w:szCs w:val="22"/>
              </w:rPr>
              <w:t xml:space="preserve">Score Range: </w:t>
            </w:r>
            <w:r>
              <w:rPr>
                <w:rStyle w:val="Strong"/>
                <w:rFonts w:eastAsia="Times New Roman" w:cs="Arial"/>
                <w:b w:val="0"/>
                <w:bCs w:val="0"/>
                <w:szCs w:val="22"/>
              </w:rPr>
              <w:t>50–65</w:t>
            </w:r>
            <w:r w:rsidRPr="00FD460C">
              <w:rPr>
                <w:rStyle w:val="Strong"/>
                <w:rFonts w:eastAsia="Times New Roman" w:cs="Arial"/>
                <w:b w:val="0"/>
                <w:bCs w:val="0"/>
                <w:szCs w:val="22"/>
              </w:rPr>
              <w:t>%</w:t>
            </w:r>
          </w:p>
          <w:p w14:paraId="27F18AF2" w14:textId="07CCCAA3" w:rsidR="007E0DEE" w:rsidRDefault="007E0DEE" w:rsidP="007E0DEE">
            <w:pPr>
              <w:rPr>
                <w:rStyle w:val="Strong"/>
                <w:rFonts w:eastAsia="Times New Roman" w:cs="Arial"/>
                <w:b w:val="0"/>
                <w:bCs w:val="0"/>
                <w:szCs w:val="22"/>
              </w:rPr>
            </w:pPr>
            <w:r w:rsidRPr="00FD460C">
              <w:rPr>
                <w:rFonts w:eastAsia="Times New Roman" w:cs="Arial"/>
                <w:b/>
                <w:bCs/>
                <w:szCs w:val="22"/>
              </w:rPr>
              <w:t>Why shouldn</w:t>
            </w:r>
            <w:r w:rsidR="005663C4">
              <w:rPr>
                <w:rFonts w:eastAsia="Times New Roman" w:cs="Arial"/>
                <w:b/>
                <w:bCs/>
                <w:szCs w:val="22"/>
              </w:rPr>
              <w:t>’</w:t>
            </w:r>
            <w:r w:rsidRPr="00FD460C">
              <w:rPr>
                <w:rFonts w:eastAsia="Times New Roman" w:cs="Arial"/>
                <w:b/>
                <w:bCs/>
                <w:szCs w:val="22"/>
              </w:rPr>
              <w:t xml:space="preserve">t the score be in the range above or below the selected one? </w:t>
            </w:r>
            <w:r w:rsidRPr="00FD460C">
              <w:rPr>
                <w:rStyle w:val="Strong"/>
                <w:rFonts w:eastAsia="Times New Roman" w:cs="Arial"/>
                <w:b w:val="0"/>
                <w:bCs w:val="0"/>
                <w:szCs w:val="22"/>
              </w:rPr>
              <w:t>The score is not in the range below as results are reported for all area</w:t>
            </w:r>
            <w:r w:rsidR="00FC2162">
              <w:rPr>
                <w:rStyle w:val="Strong"/>
                <w:rFonts w:eastAsia="Times New Roman" w:cs="Arial"/>
                <w:b w:val="0"/>
                <w:bCs w:val="0"/>
                <w:szCs w:val="22"/>
              </w:rPr>
              <w:t>s</w:t>
            </w:r>
            <w:r w:rsidRPr="00FD460C">
              <w:rPr>
                <w:rStyle w:val="Strong"/>
                <w:rFonts w:eastAsia="Times New Roman" w:cs="Arial"/>
                <w:b w:val="0"/>
                <w:bCs w:val="0"/>
                <w:szCs w:val="22"/>
              </w:rPr>
              <w:t xml:space="preserve"> above the basic level for financial and market data, and include strategy implementation data. Trend data are provided with some adverse trends</w:t>
            </w:r>
            <w:r>
              <w:rPr>
                <w:rStyle w:val="Strong"/>
                <w:rFonts w:eastAsia="Times New Roman" w:cs="Arial"/>
                <w:b w:val="0"/>
                <w:bCs w:val="0"/>
                <w:szCs w:val="22"/>
              </w:rPr>
              <w:t>,</w:t>
            </w:r>
            <w:r w:rsidRPr="00FD460C">
              <w:rPr>
                <w:rStyle w:val="Strong"/>
                <w:rFonts w:eastAsia="Times New Roman" w:cs="Arial"/>
                <w:b w:val="0"/>
                <w:bCs w:val="0"/>
                <w:szCs w:val="22"/>
              </w:rPr>
              <w:t xml:space="preserve"> and results are compared to best</w:t>
            </w:r>
            <w:r w:rsidR="00FC2162">
              <w:rPr>
                <w:rStyle w:val="Strong"/>
                <w:rFonts w:eastAsia="Times New Roman" w:cs="Arial"/>
                <w:b w:val="0"/>
                <w:bCs w:val="0"/>
                <w:szCs w:val="22"/>
              </w:rPr>
              <w:t>-</w:t>
            </w:r>
            <w:r w:rsidRPr="00FD460C">
              <w:rPr>
                <w:rStyle w:val="Strong"/>
                <w:rFonts w:eastAsia="Times New Roman" w:cs="Arial"/>
                <w:b w:val="0"/>
                <w:bCs w:val="0"/>
                <w:szCs w:val="22"/>
              </w:rPr>
              <w:t>in</w:t>
            </w:r>
            <w:r w:rsidR="00FC2162">
              <w:rPr>
                <w:rStyle w:val="Strong"/>
                <w:rFonts w:eastAsia="Times New Roman" w:cs="Arial"/>
                <w:b w:val="0"/>
                <w:bCs w:val="0"/>
                <w:szCs w:val="22"/>
              </w:rPr>
              <w:t>-</w:t>
            </w:r>
            <w:r w:rsidRPr="00FD460C">
              <w:rPr>
                <w:rStyle w:val="Strong"/>
                <w:rFonts w:eastAsia="Times New Roman" w:cs="Arial"/>
                <w:b w:val="0"/>
                <w:bCs w:val="0"/>
                <w:szCs w:val="22"/>
              </w:rPr>
              <w:t>state and national benchmarks. The applicant report</w:t>
            </w:r>
            <w:r w:rsidR="00FC2162">
              <w:rPr>
                <w:rStyle w:val="Strong"/>
                <w:rFonts w:eastAsia="Times New Roman" w:cs="Arial"/>
                <w:b w:val="0"/>
                <w:bCs w:val="0"/>
                <w:szCs w:val="22"/>
              </w:rPr>
              <w:t>s</w:t>
            </w:r>
            <w:r w:rsidRPr="00FD460C">
              <w:rPr>
                <w:rStyle w:val="Strong"/>
                <w:rFonts w:eastAsia="Times New Roman" w:cs="Arial"/>
                <w:b w:val="0"/>
                <w:bCs w:val="0"/>
                <w:szCs w:val="22"/>
              </w:rPr>
              <w:t xml:space="preserve"> performance levels </w:t>
            </w:r>
            <w:r>
              <w:rPr>
                <w:rStyle w:val="Strong"/>
                <w:rFonts w:eastAsia="Times New Roman" w:cs="Arial"/>
                <w:b w:val="0"/>
                <w:bCs w:val="0"/>
                <w:szCs w:val="22"/>
              </w:rPr>
              <w:t>for</w:t>
            </w:r>
            <w:r w:rsidRPr="00FD460C">
              <w:rPr>
                <w:rStyle w:val="Strong"/>
                <w:rFonts w:eastAsia="Times New Roman" w:cs="Arial"/>
                <w:b w:val="0"/>
                <w:bCs w:val="0"/>
                <w:szCs w:val="22"/>
              </w:rPr>
              <w:t xml:space="preserve"> most of the overall questions with some beneficial trends. </w:t>
            </w:r>
            <w:r w:rsidR="00FC2162">
              <w:rPr>
                <w:rStyle w:val="Strong"/>
                <w:rFonts w:eastAsia="Times New Roman" w:cs="Arial"/>
                <w:b w:val="0"/>
                <w:bCs w:val="0"/>
                <w:szCs w:val="22"/>
              </w:rPr>
              <w:t>R</w:t>
            </w:r>
            <w:r w:rsidRPr="00FD460C">
              <w:rPr>
                <w:rStyle w:val="Strong"/>
                <w:rFonts w:eastAsia="Times New Roman" w:cs="Arial"/>
                <w:b w:val="0"/>
                <w:bCs w:val="0"/>
                <w:szCs w:val="22"/>
              </w:rPr>
              <w:t>elative to comparisons and/or benchmarks, the applicant</w:t>
            </w:r>
            <w:r w:rsidR="00FC2162">
              <w:rPr>
                <w:rStyle w:val="Strong"/>
                <w:rFonts w:eastAsia="Times New Roman" w:cs="Arial"/>
                <w:b w:val="0"/>
                <w:bCs w:val="0"/>
                <w:szCs w:val="22"/>
              </w:rPr>
              <w:t>’s results do</w:t>
            </w:r>
            <w:r w:rsidRPr="00FD460C">
              <w:rPr>
                <w:rStyle w:val="Strong"/>
                <w:rFonts w:eastAsia="Times New Roman" w:cs="Arial"/>
                <w:b w:val="0"/>
                <w:bCs w:val="0"/>
                <w:szCs w:val="22"/>
              </w:rPr>
              <w:t xml:space="preserve"> not show good performance in a few areas. In the area of strategy, it was difficult to determine </w:t>
            </w:r>
            <w:r w:rsidR="00FC2162">
              <w:rPr>
                <w:rStyle w:val="Strong"/>
                <w:rFonts w:eastAsia="Times New Roman" w:cs="Arial"/>
                <w:b w:val="0"/>
                <w:bCs w:val="0"/>
                <w:szCs w:val="22"/>
              </w:rPr>
              <w:t>trends</w:t>
            </w:r>
            <w:r w:rsidRPr="00FD460C">
              <w:rPr>
                <w:rStyle w:val="Strong"/>
                <w:rFonts w:eastAsia="Times New Roman" w:cs="Arial"/>
                <w:b w:val="0"/>
                <w:bCs w:val="0"/>
                <w:szCs w:val="22"/>
              </w:rPr>
              <w:t xml:space="preserve"> as strategic initiative</w:t>
            </w:r>
            <w:r w:rsidR="00FC2162">
              <w:rPr>
                <w:rStyle w:val="Strong"/>
                <w:rFonts w:eastAsia="Times New Roman" w:cs="Arial"/>
                <w:b w:val="0"/>
                <w:bCs w:val="0"/>
                <w:szCs w:val="22"/>
              </w:rPr>
              <w:t>s</w:t>
            </w:r>
            <w:r w:rsidRPr="00FD460C">
              <w:rPr>
                <w:rStyle w:val="Strong"/>
                <w:rFonts w:eastAsia="Times New Roman" w:cs="Arial"/>
                <w:b w:val="0"/>
                <w:bCs w:val="0"/>
                <w:szCs w:val="22"/>
              </w:rPr>
              <w:t xml:space="preserve"> and action plans </w:t>
            </w:r>
            <w:r w:rsidR="00FC2162">
              <w:rPr>
                <w:rStyle w:val="Strong"/>
                <w:rFonts w:eastAsia="Times New Roman" w:cs="Arial"/>
                <w:b w:val="0"/>
                <w:bCs w:val="0"/>
                <w:szCs w:val="22"/>
              </w:rPr>
              <w:t>are</w:t>
            </w:r>
            <w:r w:rsidRPr="00FD460C">
              <w:rPr>
                <w:rStyle w:val="Strong"/>
                <w:rFonts w:eastAsia="Times New Roman" w:cs="Arial"/>
                <w:b w:val="0"/>
                <w:bCs w:val="0"/>
                <w:szCs w:val="22"/>
              </w:rPr>
              <w:t xml:space="preserve"> only reported starting in late FY</w:t>
            </w:r>
            <w:r w:rsidR="00FC2162">
              <w:rPr>
                <w:rStyle w:val="Strong"/>
                <w:rFonts w:eastAsia="Times New Roman" w:cs="Arial"/>
                <w:b w:val="0"/>
                <w:bCs w:val="0"/>
                <w:szCs w:val="22"/>
              </w:rPr>
              <w:t>20</w:t>
            </w:r>
            <w:r w:rsidRPr="00FD460C">
              <w:rPr>
                <w:rStyle w:val="Strong"/>
                <w:rFonts w:eastAsia="Times New Roman" w:cs="Arial"/>
                <w:b w:val="0"/>
                <w:bCs w:val="0"/>
                <w:szCs w:val="22"/>
              </w:rPr>
              <w:t xml:space="preserve">20. </w:t>
            </w:r>
          </w:p>
          <w:p w14:paraId="0FB45F22" w14:textId="66989CCA" w:rsidR="007E0DEE" w:rsidRDefault="007E0DEE" w:rsidP="000B50BB">
            <w:pPr>
              <w:rPr>
                <w:rFonts w:eastAsia="Times New Roman" w:cs="Arial"/>
                <w:b/>
                <w:bCs/>
                <w:szCs w:val="22"/>
              </w:rPr>
            </w:pPr>
            <w:r w:rsidRPr="00FD460C">
              <w:rPr>
                <w:rStyle w:val="Strong"/>
                <w:rFonts w:eastAsia="Times New Roman" w:cs="Arial"/>
                <w:b w:val="0"/>
                <w:bCs w:val="0"/>
                <w:szCs w:val="22"/>
              </w:rPr>
              <w:t xml:space="preserve">The score is not in the next higher range </w:t>
            </w:r>
            <w:r w:rsidR="00FC2162">
              <w:rPr>
                <w:rStyle w:val="Strong"/>
                <w:rFonts w:eastAsia="Times New Roman" w:cs="Arial"/>
                <w:b w:val="0"/>
                <w:bCs w:val="0"/>
                <w:szCs w:val="22"/>
              </w:rPr>
              <w:t>in part because</w:t>
            </w:r>
            <w:r w:rsidRPr="00FD460C">
              <w:rPr>
                <w:rStyle w:val="Strong"/>
                <w:rFonts w:eastAsia="Times New Roman" w:cs="Arial"/>
                <w:b w:val="0"/>
                <w:bCs w:val="0"/>
                <w:szCs w:val="22"/>
              </w:rPr>
              <w:t xml:space="preserve"> some trends have fluctuated</w:t>
            </w:r>
            <w:r>
              <w:rPr>
                <w:rStyle w:val="Strong"/>
                <w:rFonts w:eastAsia="Times New Roman" w:cs="Arial"/>
                <w:b w:val="0"/>
                <w:bCs w:val="0"/>
                <w:szCs w:val="22"/>
              </w:rPr>
              <w:t>,</w:t>
            </w:r>
            <w:r w:rsidRPr="00FD460C">
              <w:rPr>
                <w:rStyle w:val="Strong"/>
                <w:rFonts w:eastAsia="Times New Roman" w:cs="Arial"/>
                <w:b w:val="0"/>
                <w:bCs w:val="0"/>
                <w:szCs w:val="22"/>
              </w:rPr>
              <w:t xml:space="preserve"> and </w:t>
            </w:r>
            <w:r>
              <w:rPr>
                <w:rStyle w:val="Strong"/>
                <w:rFonts w:eastAsia="Times New Roman" w:cs="Arial"/>
                <w:b w:val="0"/>
                <w:bCs w:val="0"/>
                <w:szCs w:val="22"/>
              </w:rPr>
              <w:t xml:space="preserve">segmentation is </w:t>
            </w:r>
            <w:r w:rsidRPr="00FD460C">
              <w:rPr>
                <w:rStyle w:val="Strong"/>
                <w:rFonts w:eastAsia="Times New Roman" w:cs="Arial"/>
                <w:b w:val="0"/>
                <w:bCs w:val="0"/>
                <w:szCs w:val="22"/>
              </w:rPr>
              <w:t xml:space="preserve">missing at the multiple level for some budgetary and market performance results. Based </w:t>
            </w:r>
            <w:r w:rsidR="00FC2162">
              <w:rPr>
                <w:rStyle w:val="Strong"/>
                <w:rFonts w:eastAsia="Times New Roman" w:cs="Arial"/>
                <w:b w:val="0"/>
                <w:bCs w:val="0"/>
                <w:szCs w:val="22"/>
              </w:rPr>
              <w:t xml:space="preserve">in part </w:t>
            </w:r>
            <w:r w:rsidRPr="00FD460C">
              <w:rPr>
                <w:rStyle w:val="Strong"/>
                <w:rFonts w:eastAsia="Times New Roman" w:cs="Arial"/>
                <w:b w:val="0"/>
                <w:bCs w:val="0"/>
                <w:szCs w:val="22"/>
              </w:rPr>
              <w:t>on the level</w:t>
            </w:r>
            <w:r w:rsidR="00FC2162">
              <w:rPr>
                <w:rStyle w:val="Strong"/>
                <w:rFonts w:eastAsia="Times New Roman" w:cs="Arial"/>
                <w:b w:val="0"/>
                <w:bCs w:val="0"/>
                <w:szCs w:val="22"/>
              </w:rPr>
              <w:t xml:space="preserve"> of OFIs</w:t>
            </w:r>
            <w:r>
              <w:rPr>
                <w:rStyle w:val="Strong"/>
                <w:rFonts w:eastAsia="Times New Roman" w:cs="Arial"/>
                <w:b w:val="0"/>
                <w:bCs w:val="0"/>
                <w:szCs w:val="22"/>
              </w:rPr>
              <w:t>,</w:t>
            </w:r>
            <w:r w:rsidRPr="00FD460C">
              <w:rPr>
                <w:rStyle w:val="Strong"/>
                <w:rFonts w:eastAsia="Times New Roman" w:cs="Arial"/>
                <w:b w:val="0"/>
                <w:bCs w:val="0"/>
                <w:szCs w:val="22"/>
              </w:rPr>
              <w:t xml:space="preserve"> a score of 50 is recommended.</w:t>
            </w:r>
            <w:r w:rsidRPr="00FD460C">
              <w:rPr>
                <w:rFonts w:eastAsia="Times New Roman" w:cs="Arial"/>
                <w:b/>
                <w:bCs/>
                <w:szCs w:val="22"/>
              </w:rPr>
              <w:t xml:space="preserve"> </w:t>
            </w:r>
          </w:p>
        </w:tc>
      </w:tr>
    </w:tbl>
    <w:p w14:paraId="04CEBEBD" w14:textId="74A3C7E4" w:rsidR="00E816F5" w:rsidRDefault="00E816F5" w:rsidP="00351245">
      <w:pPr>
        <w:ind w:right="360"/>
        <w:rPr>
          <w:rFonts w:eastAsia="Times New Roman" w:cs="Arial"/>
          <w:b/>
          <w:bCs/>
          <w:szCs w:val="22"/>
        </w:rPr>
      </w:pPr>
    </w:p>
    <w:p w14:paraId="4A386971" w14:textId="77777777" w:rsidR="00E816F5" w:rsidRDefault="00E816F5">
      <w:pPr>
        <w:spacing w:after="0"/>
        <w:rPr>
          <w:rFonts w:eastAsia="Times New Roman" w:cs="Arial"/>
          <w:b/>
          <w:bCs/>
          <w:szCs w:val="22"/>
        </w:rPr>
      </w:pPr>
      <w:r>
        <w:rPr>
          <w:rFonts w:eastAsia="Times New Roman" w:cs="Arial"/>
          <w:b/>
          <w:bCs/>
          <w:szCs w:val="22"/>
        </w:rPr>
        <w:br w:type="page"/>
      </w:r>
    </w:p>
    <w:p w14:paraId="788BF675" w14:textId="6D2F981D" w:rsidR="005E22BD" w:rsidRPr="001800FF" w:rsidRDefault="000A11B9" w:rsidP="000B50BB">
      <w:pPr>
        <w:pStyle w:val="Heading3"/>
        <w:divId w:val="905190427"/>
      </w:pPr>
      <w:r w:rsidRPr="001800FF">
        <w:lastRenderedPageBreak/>
        <w:t>Consensus Review</w:t>
      </w:r>
      <w:r w:rsidR="000834C7" w:rsidRPr="001800FF">
        <w:t>—</w:t>
      </w:r>
      <w:r w:rsidRPr="001800FF">
        <w:t>2021TST</w:t>
      </w:r>
    </w:p>
    <w:tbl>
      <w:tblPr>
        <w:tblW w:w="4873"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7200"/>
        <w:gridCol w:w="853"/>
        <w:gridCol w:w="862"/>
        <w:gridCol w:w="586"/>
        <w:gridCol w:w="1009"/>
      </w:tblGrid>
      <w:tr w:rsidR="00E816F5" w14:paraId="6EFBDCD0" w14:textId="77777777" w:rsidTr="00E816F5">
        <w:trPr>
          <w:divId w:val="905190427"/>
          <w:tblHeader/>
        </w:trPr>
        <w:tc>
          <w:tcPr>
            <w:tcW w:w="3425" w:type="pct"/>
            <w:tcBorders>
              <w:bottom w:val="single" w:sz="12" w:space="0" w:color="000000"/>
              <w:right w:val="single" w:sz="6" w:space="0" w:color="000000"/>
            </w:tcBorders>
            <w:shd w:val="clear" w:color="auto" w:fill="DFDFDF"/>
            <w:vAlign w:val="center"/>
            <w:hideMark/>
          </w:tcPr>
          <w:p w14:paraId="2C7ACE0E" w14:textId="77777777" w:rsidR="005E22BD" w:rsidRPr="00E816F5" w:rsidRDefault="000A11B9" w:rsidP="001800FF">
            <w:pPr>
              <w:spacing w:after="0"/>
              <w:jc w:val="center"/>
              <w:rPr>
                <w:rFonts w:eastAsia="Times New Roman" w:cs="Arial"/>
                <w:b/>
                <w:bCs/>
                <w:sz w:val="20"/>
                <w:szCs w:val="20"/>
              </w:rPr>
            </w:pPr>
            <w:r w:rsidRPr="00E816F5">
              <w:rPr>
                <w:rFonts w:eastAsia="Times New Roman" w:cs="Arial"/>
                <w:b/>
                <w:bCs/>
                <w:sz w:val="20"/>
                <w:szCs w:val="20"/>
              </w:rPr>
              <w:t>Summary of Criteria Items</w:t>
            </w:r>
          </w:p>
        </w:tc>
        <w:tc>
          <w:tcPr>
            <w:tcW w:w="406" w:type="pct"/>
            <w:tcBorders>
              <w:bottom w:val="single" w:sz="12" w:space="0" w:color="000000"/>
              <w:right w:val="single" w:sz="6" w:space="0" w:color="000000"/>
            </w:tcBorders>
            <w:shd w:val="clear" w:color="auto" w:fill="DFDFDF"/>
            <w:vAlign w:val="center"/>
            <w:hideMark/>
          </w:tcPr>
          <w:p w14:paraId="7E3FCA1F" w14:textId="41F5FCE5" w:rsidR="005E22BD" w:rsidRPr="00E816F5" w:rsidRDefault="000A11B9" w:rsidP="001800FF">
            <w:pPr>
              <w:spacing w:after="0"/>
              <w:jc w:val="center"/>
              <w:rPr>
                <w:rFonts w:eastAsia="Times New Roman" w:cs="Arial"/>
                <w:b/>
                <w:bCs/>
                <w:sz w:val="20"/>
                <w:szCs w:val="20"/>
              </w:rPr>
            </w:pPr>
            <w:r w:rsidRPr="00E816F5">
              <w:rPr>
                <w:rFonts w:eastAsia="Times New Roman" w:cs="Arial"/>
                <w:b/>
                <w:bCs/>
                <w:sz w:val="20"/>
                <w:szCs w:val="20"/>
              </w:rPr>
              <w:t>Total Pts</w:t>
            </w:r>
            <w:r w:rsidR="001800FF" w:rsidRPr="00E816F5">
              <w:rPr>
                <w:rFonts w:eastAsia="Times New Roman" w:cs="Arial"/>
                <w:b/>
                <w:bCs/>
                <w:sz w:val="20"/>
                <w:szCs w:val="20"/>
              </w:rPr>
              <w:t>.</w:t>
            </w:r>
            <w:r w:rsidRPr="00E816F5">
              <w:rPr>
                <w:rFonts w:eastAsia="Times New Roman" w:cs="Arial"/>
                <w:b/>
                <w:bCs/>
                <w:sz w:val="20"/>
                <w:szCs w:val="20"/>
              </w:rPr>
              <w:t xml:space="preserve"> Possible</w:t>
            </w:r>
          </w:p>
        </w:tc>
        <w:tc>
          <w:tcPr>
            <w:tcW w:w="410" w:type="pct"/>
            <w:tcBorders>
              <w:bottom w:val="single" w:sz="12" w:space="0" w:color="000000"/>
              <w:right w:val="single" w:sz="6" w:space="0" w:color="000000"/>
            </w:tcBorders>
            <w:shd w:val="clear" w:color="auto" w:fill="DFDFDF"/>
            <w:vAlign w:val="center"/>
            <w:hideMark/>
          </w:tcPr>
          <w:p w14:paraId="7039FBB3" w14:textId="77777777" w:rsidR="005E22BD" w:rsidRPr="00E816F5" w:rsidRDefault="000A11B9" w:rsidP="001800FF">
            <w:pPr>
              <w:spacing w:after="0"/>
              <w:jc w:val="center"/>
              <w:rPr>
                <w:rFonts w:eastAsia="Times New Roman" w:cs="Arial"/>
                <w:b/>
                <w:bCs/>
                <w:sz w:val="20"/>
                <w:szCs w:val="20"/>
              </w:rPr>
            </w:pPr>
            <w:r w:rsidRPr="00E816F5">
              <w:rPr>
                <w:rFonts w:eastAsia="Times New Roman" w:cs="Arial"/>
                <w:b/>
                <w:bCs/>
                <w:sz w:val="20"/>
                <w:szCs w:val="20"/>
              </w:rPr>
              <w:t>% Score</w:t>
            </w:r>
          </w:p>
        </w:tc>
        <w:tc>
          <w:tcPr>
            <w:tcW w:w="0" w:type="auto"/>
            <w:tcBorders>
              <w:bottom w:val="single" w:sz="12" w:space="0" w:color="000000"/>
              <w:right w:val="single" w:sz="6" w:space="0" w:color="000000"/>
            </w:tcBorders>
            <w:shd w:val="clear" w:color="auto" w:fill="DFDFDF"/>
            <w:vAlign w:val="center"/>
            <w:hideMark/>
          </w:tcPr>
          <w:p w14:paraId="7B79E65A" w14:textId="77777777" w:rsidR="005E22BD" w:rsidRPr="00E816F5" w:rsidRDefault="000A11B9" w:rsidP="001800FF">
            <w:pPr>
              <w:spacing w:after="0"/>
              <w:jc w:val="center"/>
              <w:rPr>
                <w:rFonts w:eastAsia="Times New Roman" w:cs="Arial"/>
                <w:b/>
                <w:bCs/>
                <w:sz w:val="20"/>
                <w:szCs w:val="20"/>
              </w:rPr>
            </w:pPr>
            <w:r w:rsidRPr="00E816F5">
              <w:rPr>
                <w:rFonts w:eastAsia="Times New Roman" w:cs="Arial"/>
                <w:b/>
                <w:bCs/>
                <w:sz w:val="20"/>
                <w:szCs w:val="20"/>
              </w:rPr>
              <w:t>Score</w:t>
            </w:r>
          </w:p>
        </w:tc>
        <w:tc>
          <w:tcPr>
            <w:tcW w:w="480" w:type="pct"/>
            <w:tcBorders>
              <w:bottom w:val="single" w:sz="12" w:space="0" w:color="000000"/>
              <w:right w:val="single" w:sz="6" w:space="0" w:color="000000"/>
            </w:tcBorders>
            <w:shd w:val="clear" w:color="auto" w:fill="DFDFDF"/>
            <w:vAlign w:val="center"/>
            <w:hideMark/>
          </w:tcPr>
          <w:p w14:paraId="3E2B136F" w14:textId="77777777" w:rsidR="001800FF" w:rsidRPr="00E816F5" w:rsidRDefault="000A11B9" w:rsidP="001800FF">
            <w:pPr>
              <w:spacing w:after="0"/>
              <w:jc w:val="center"/>
              <w:rPr>
                <w:rFonts w:eastAsia="Times New Roman" w:cs="Arial"/>
                <w:b/>
                <w:bCs/>
                <w:sz w:val="20"/>
                <w:szCs w:val="20"/>
              </w:rPr>
            </w:pPr>
            <w:r w:rsidRPr="00E816F5">
              <w:rPr>
                <w:rFonts w:eastAsia="Times New Roman" w:cs="Arial"/>
                <w:b/>
                <w:bCs/>
                <w:sz w:val="20"/>
                <w:szCs w:val="20"/>
              </w:rPr>
              <w:t>Scoring</w:t>
            </w:r>
          </w:p>
          <w:p w14:paraId="0E87134B" w14:textId="15956B1C" w:rsidR="005E22BD" w:rsidRPr="00E816F5" w:rsidRDefault="000A11B9" w:rsidP="001800FF">
            <w:pPr>
              <w:spacing w:after="0"/>
              <w:jc w:val="center"/>
              <w:rPr>
                <w:rFonts w:eastAsia="Times New Roman" w:cs="Arial"/>
                <w:b/>
                <w:bCs/>
                <w:sz w:val="20"/>
                <w:szCs w:val="20"/>
              </w:rPr>
            </w:pPr>
            <w:r w:rsidRPr="00E816F5">
              <w:rPr>
                <w:rFonts w:eastAsia="Times New Roman" w:cs="Arial"/>
                <w:b/>
                <w:bCs/>
                <w:sz w:val="20"/>
                <w:szCs w:val="20"/>
              </w:rPr>
              <w:t>Band</w:t>
            </w:r>
          </w:p>
        </w:tc>
      </w:tr>
      <w:tr w:rsidR="00E816F5" w14:paraId="428FA2D8" w14:textId="77777777" w:rsidTr="00E816F5">
        <w:trPr>
          <w:gridAfter w:val="4"/>
          <w:divId w:val="905190427"/>
          <w:wAfter w:w="1575" w:type="pct"/>
        </w:trPr>
        <w:tc>
          <w:tcPr>
            <w:tcW w:w="3425" w:type="pct"/>
            <w:tcBorders>
              <w:bottom w:val="single" w:sz="6" w:space="0" w:color="000000"/>
              <w:right w:val="single" w:sz="6" w:space="0" w:color="000000"/>
            </w:tcBorders>
            <w:tcMar>
              <w:top w:w="43" w:type="dxa"/>
              <w:left w:w="43" w:type="dxa"/>
              <w:bottom w:w="43" w:type="dxa"/>
              <w:right w:w="43" w:type="dxa"/>
            </w:tcMar>
            <w:hideMark/>
          </w:tcPr>
          <w:p w14:paraId="4F531D16" w14:textId="77777777" w:rsidR="005E22BD" w:rsidRPr="00E816F5" w:rsidRDefault="000A11B9" w:rsidP="001800FF">
            <w:pPr>
              <w:pStyle w:val="Heading5"/>
              <w:spacing w:before="0" w:beforeAutospacing="0" w:after="0" w:afterAutospacing="0"/>
              <w:rPr>
                <w:rFonts w:eastAsia="Times New Roman" w:cs="Arial"/>
              </w:rPr>
            </w:pPr>
            <w:r w:rsidRPr="00E816F5">
              <w:rPr>
                <w:rFonts w:eastAsia="Times New Roman" w:cs="Arial"/>
              </w:rPr>
              <w:t>Category 1</w:t>
            </w:r>
            <w:r w:rsidR="000834C7" w:rsidRPr="00E816F5">
              <w:rPr>
                <w:rFonts w:eastAsia="Times New Roman" w:cs="Arial"/>
              </w:rPr>
              <w:t>—</w:t>
            </w:r>
            <w:r w:rsidRPr="00E816F5">
              <w:rPr>
                <w:rFonts w:eastAsia="Times New Roman" w:cs="Arial"/>
              </w:rPr>
              <w:t>Leadership</w:t>
            </w:r>
          </w:p>
        </w:tc>
      </w:tr>
      <w:tr w:rsidR="00E816F5" w14:paraId="0D991256"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1B6707BF"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1.1 Senior Leadership</w:t>
            </w:r>
          </w:p>
        </w:tc>
        <w:tc>
          <w:tcPr>
            <w:tcW w:w="406" w:type="pct"/>
            <w:tcBorders>
              <w:bottom w:val="single" w:sz="6" w:space="0" w:color="000000"/>
              <w:right w:val="single" w:sz="6" w:space="0" w:color="000000"/>
            </w:tcBorders>
            <w:tcMar>
              <w:top w:w="43" w:type="dxa"/>
              <w:left w:w="43" w:type="dxa"/>
              <w:bottom w:w="43" w:type="dxa"/>
              <w:right w:w="43" w:type="dxa"/>
            </w:tcMar>
            <w:hideMark/>
          </w:tcPr>
          <w:p w14:paraId="5AA0E49B"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70</w:t>
            </w:r>
          </w:p>
        </w:tc>
        <w:tc>
          <w:tcPr>
            <w:tcW w:w="410" w:type="pct"/>
            <w:tcBorders>
              <w:bottom w:val="single" w:sz="6" w:space="0" w:color="000000"/>
              <w:right w:val="single" w:sz="6" w:space="0" w:color="000000"/>
            </w:tcBorders>
            <w:tcMar>
              <w:top w:w="43" w:type="dxa"/>
              <w:left w:w="43" w:type="dxa"/>
              <w:bottom w:w="43" w:type="dxa"/>
              <w:right w:w="43" w:type="dxa"/>
            </w:tcMar>
            <w:hideMark/>
          </w:tcPr>
          <w:p w14:paraId="696EED51"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60%</w:t>
            </w:r>
          </w:p>
        </w:tc>
        <w:tc>
          <w:tcPr>
            <w:tcW w:w="0" w:type="auto"/>
            <w:tcBorders>
              <w:bottom w:val="single" w:sz="6" w:space="0" w:color="000000"/>
              <w:right w:val="single" w:sz="6" w:space="0" w:color="000000"/>
            </w:tcBorders>
            <w:tcMar>
              <w:top w:w="43" w:type="dxa"/>
              <w:left w:w="43" w:type="dxa"/>
              <w:bottom w:w="43" w:type="dxa"/>
              <w:right w:w="43" w:type="dxa"/>
            </w:tcMar>
            <w:hideMark/>
          </w:tcPr>
          <w:p w14:paraId="5F93228D"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42</w:t>
            </w:r>
          </w:p>
        </w:tc>
        <w:tc>
          <w:tcPr>
            <w:tcW w:w="480" w:type="pct"/>
            <w:tcBorders>
              <w:bottom w:val="single" w:sz="6" w:space="0" w:color="000000"/>
              <w:right w:val="single" w:sz="6" w:space="0" w:color="000000"/>
            </w:tcBorders>
            <w:tcMar>
              <w:top w:w="43" w:type="dxa"/>
              <w:left w:w="43" w:type="dxa"/>
              <w:bottom w:w="43" w:type="dxa"/>
              <w:right w:w="43" w:type="dxa"/>
            </w:tcMar>
            <w:hideMark/>
          </w:tcPr>
          <w:p w14:paraId="2AA16B2B" w14:textId="77777777" w:rsidR="005E22BD" w:rsidRPr="00E816F5" w:rsidRDefault="005E22BD" w:rsidP="001800FF">
            <w:pPr>
              <w:spacing w:after="0"/>
              <w:rPr>
                <w:rFonts w:eastAsia="Times New Roman" w:cs="Arial"/>
                <w:sz w:val="20"/>
                <w:szCs w:val="20"/>
              </w:rPr>
            </w:pPr>
          </w:p>
        </w:tc>
      </w:tr>
      <w:tr w:rsidR="00E816F5" w14:paraId="397C5C09"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44612C2F"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1.2 Governance and Societal Contributions</w:t>
            </w:r>
          </w:p>
        </w:tc>
        <w:tc>
          <w:tcPr>
            <w:tcW w:w="406" w:type="pct"/>
            <w:tcBorders>
              <w:bottom w:val="single" w:sz="6" w:space="0" w:color="000000"/>
              <w:right w:val="single" w:sz="6" w:space="0" w:color="000000"/>
            </w:tcBorders>
            <w:tcMar>
              <w:top w:w="43" w:type="dxa"/>
              <w:left w:w="43" w:type="dxa"/>
              <w:bottom w:w="43" w:type="dxa"/>
              <w:right w:w="43" w:type="dxa"/>
            </w:tcMar>
            <w:hideMark/>
          </w:tcPr>
          <w:p w14:paraId="5EE8D0BA"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50</w:t>
            </w:r>
          </w:p>
        </w:tc>
        <w:tc>
          <w:tcPr>
            <w:tcW w:w="410" w:type="pct"/>
            <w:tcBorders>
              <w:bottom w:val="single" w:sz="6" w:space="0" w:color="000000"/>
              <w:right w:val="single" w:sz="6" w:space="0" w:color="000000"/>
            </w:tcBorders>
            <w:tcMar>
              <w:top w:w="43" w:type="dxa"/>
              <w:left w:w="43" w:type="dxa"/>
              <w:bottom w:w="43" w:type="dxa"/>
              <w:right w:w="43" w:type="dxa"/>
            </w:tcMar>
            <w:hideMark/>
          </w:tcPr>
          <w:p w14:paraId="249C5E9E"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60%</w:t>
            </w:r>
          </w:p>
        </w:tc>
        <w:tc>
          <w:tcPr>
            <w:tcW w:w="0" w:type="auto"/>
            <w:tcBorders>
              <w:bottom w:val="single" w:sz="6" w:space="0" w:color="000000"/>
              <w:right w:val="single" w:sz="6" w:space="0" w:color="000000"/>
            </w:tcBorders>
            <w:tcMar>
              <w:top w:w="43" w:type="dxa"/>
              <w:left w:w="43" w:type="dxa"/>
              <w:bottom w:w="43" w:type="dxa"/>
              <w:right w:w="43" w:type="dxa"/>
            </w:tcMar>
            <w:hideMark/>
          </w:tcPr>
          <w:p w14:paraId="1DE68E38"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30</w:t>
            </w:r>
          </w:p>
        </w:tc>
        <w:tc>
          <w:tcPr>
            <w:tcW w:w="480" w:type="pct"/>
            <w:tcBorders>
              <w:bottom w:val="single" w:sz="6" w:space="0" w:color="000000"/>
              <w:right w:val="single" w:sz="6" w:space="0" w:color="000000"/>
            </w:tcBorders>
            <w:tcMar>
              <w:top w:w="43" w:type="dxa"/>
              <w:left w:w="43" w:type="dxa"/>
              <w:bottom w:w="43" w:type="dxa"/>
              <w:right w:w="43" w:type="dxa"/>
            </w:tcMar>
            <w:hideMark/>
          </w:tcPr>
          <w:p w14:paraId="30EAC460" w14:textId="77777777" w:rsidR="005E22BD" w:rsidRPr="00E816F5" w:rsidRDefault="005E22BD" w:rsidP="001800FF">
            <w:pPr>
              <w:spacing w:after="0"/>
              <w:rPr>
                <w:rFonts w:eastAsia="Times New Roman" w:cs="Arial"/>
                <w:sz w:val="20"/>
                <w:szCs w:val="20"/>
              </w:rPr>
            </w:pPr>
          </w:p>
        </w:tc>
      </w:tr>
      <w:tr w:rsidR="00E816F5" w14:paraId="188EDFB1"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72E391D8"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Category Totals</w:t>
            </w:r>
          </w:p>
        </w:tc>
        <w:tc>
          <w:tcPr>
            <w:tcW w:w="406" w:type="pct"/>
            <w:tcBorders>
              <w:bottom w:val="single" w:sz="6" w:space="0" w:color="000000"/>
              <w:right w:val="single" w:sz="6" w:space="0" w:color="000000"/>
            </w:tcBorders>
            <w:tcMar>
              <w:top w:w="43" w:type="dxa"/>
              <w:left w:w="43" w:type="dxa"/>
              <w:bottom w:w="43" w:type="dxa"/>
              <w:right w:w="43" w:type="dxa"/>
            </w:tcMar>
            <w:hideMark/>
          </w:tcPr>
          <w:p w14:paraId="1F5EFDBD"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120</w:t>
            </w:r>
          </w:p>
        </w:tc>
        <w:tc>
          <w:tcPr>
            <w:tcW w:w="410" w:type="pct"/>
            <w:tcBorders>
              <w:bottom w:val="single" w:sz="6" w:space="0" w:color="000000"/>
              <w:right w:val="single" w:sz="6" w:space="0" w:color="000000"/>
            </w:tcBorders>
            <w:tcMar>
              <w:top w:w="43" w:type="dxa"/>
              <w:left w:w="43" w:type="dxa"/>
              <w:bottom w:w="43" w:type="dxa"/>
              <w:right w:w="43" w:type="dxa"/>
            </w:tcMar>
            <w:hideMark/>
          </w:tcPr>
          <w:p w14:paraId="1A38EF4A" w14:textId="77777777" w:rsidR="005E22BD" w:rsidRPr="00E816F5" w:rsidRDefault="005E22BD" w:rsidP="000B50BB">
            <w:pPr>
              <w:spacing w:after="0"/>
              <w:jc w:val="center"/>
              <w:rPr>
                <w:rFonts w:eastAsia="Times New Roman" w:cs="Arial"/>
                <w:sz w:val="20"/>
                <w:szCs w:val="20"/>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1540A322"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72</w:t>
            </w:r>
          </w:p>
        </w:tc>
        <w:tc>
          <w:tcPr>
            <w:tcW w:w="480" w:type="pct"/>
            <w:tcBorders>
              <w:bottom w:val="single" w:sz="6" w:space="0" w:color="000000"/>
              <w:right w:val="single" w:sz="6" w:space="0" w:color="000000"/>
            </w:tcBorders>
            <w:tcMar>
              <w:top w:w="43" w:type="dxa"/>
              <w:left w:w="43" w:type="dxa"/>
              <w:bottom w:w="43" w:type="dxa"/>
              <w:right w:w="43" w:type="dxa"/>
            </w:tcMar>
            <w:hideMark/>
          </w:tcPr>
          <w:p w14:paraId="6BBEFA22" w14:textId="77777777" w:rsidR="005E22BD" w:rsidRPr="00E816F5" w:rsidRDefault="005E22BD" w:rsidP="001800FF">
            <w:pPr>
              <w:spacing w:after="0"/>
              <w:rPr>
                <w:rFonts w:eastAsia="Times New Roman" w:cs="Arial"/>
                <w:sz w:val="20"/>
                <w:szCs w:val="20"/>
              </w:rPr>
            </w:pPr>
          </w:p>
        </w:tc>
      </w:tr>
      <w:tr w:rsidR="00E816F5" w14:paraId="714B51F5" w14:textId="77777777" w:rsidTr="00E816F5">
        <w:trPr>
          <w:gridAfter w:val="4"/>
          <w:divId w:val="905190427"/>
          <w:wAfter w:w="1575" w:type="pct"/>
        </w:trPr>
        <w:tc>
          <w:tcPr>
            <w:tcW w:w="3425" w:type="pct"/>
            <w:tcBorders>
              <w:bottom w:val="single" w:sz="6" w:space="0" w:color="000000"/>
              <w:right w:val="single" w:sz="6" w:space="0" w:color="000000"/>
            </w:tcBorders>
            <w:tcMar>
              <w:top w:w="43" w:type="dxa"/>
              <w:left w:w="43" w:type="dxa"/>
              <w:bottom w:w="43" w:type="dxa"/>
              <w:right w:w="43" w:type="dxa"/>
            </w:tcMar>
            <w:hideMark/>
          </w:tcPr>
          <w:p w14:paraId="3C284E29" w14:textId="77777777" w:rsidR="005E22BD" w:rsidRPr="00E816F5" w:rsidRDefault="000A11B9" w:rsidP="001800FF">
            <w:pPr>
              <w:pStyle w:val="Heading5"/>
              <w:spacing w:before="0" w:beforeAutospacing="0" w:after="0" w:afterAutospacing="0"/>
              <w:rPr>
                <w:rFonts w:eastAsia="Times New Roman" w:cs="Arial"/>
              </w:rPr>
            </w:pPr>
            <w:r w:rsidRPr="00E816F5">
              <w:rPr>
                <w:rFonts w:eastAsia="Times New Roman" w:cs="Arial"/>
              </w:rPr>
              <w:t>Category 2</w:t>
            </w:r>
            <w:r w:rsidR="000834C7" w:rsidRPr="00E816F5">
              <w:rPr>
                <w:rFonts w:eastAsia="Times New Roman" w:cs="Arial"/>
              </w:rPr>
              <w:t>—</w:t>
            </w:r>
            <w:r w:rsidRPr="00E816F5">
              <w:rPr>
                <w:rFonts w:eastAsia="Times New Roman" w:cs="Arial"/>
              </w:rPr>
              <w:t>Strategy</w:t>
            </w:r>
          </w:p>
        </w:tc>
      </w:tr>
      <w:tr w:rsidR="00E816F5" w14:paraId="06A0708A"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719426C0"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2.1 Strategy Development</w:t>
            </w:r>
          </w:p>
        </w:tc>
        <w:tc>
          <w:tcPr>
            <w:tcW w:w="406" w:type="pct"/>
            <w:tcBorders>
              <w:bottom w:val="single" w:sz="6" w:space="0" w:color="000000"/>
              <w:right w:val="single" w:sz="6" w:space="0" w:color="000000"/>
            </w:tcBorders>
            <w:tcMar>
              <w:top w:w="43" w:type="dxa"/>
              <w:left w:w="43" w:type="dxa"/>
              <w:bottom w:w="43" w:type="dxa"/>
              <w:right w:w="43" w:type="dxa"/>
            </w:tcMar>
            <w:hideMark/>
          </w:tcPr>
          <w:p w14:paraId="5B9F929A"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410" w:type="pct"/>
            <w:tcBorders>
              <w:bottom w:val="single" w:sz="6" w:space="0" w:color="000000"/>
              <w:right w:val="single" w:sz="6" w:space="0" w:color="000000"/>
            </w:tcBorders>
            <w:tcMar>
              <w:top w:w="43" w:type="dxa"/>
              <w:left w:w="43" w:type="dxa"/>
              <w:bottom w:w="43" w:type="dxa"/>
              <w:right w:w="43" w:type="dxa"/>
            </w:tcMar>
            <w:hideMark/>
          </w:tcPr>
          <w:p w14:paraId="13C80BB8"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60%</w:t>
            </w:r>
          </w:p>
        </w:tc>
        <w:tc>
          <w:tcPr>
            <w:tcW w:w="0" w:type="auto"/>
            <w:tcBorders>
              <w:bottom w:val="single" w:sz="6" w:space="0" w:color="000000"/>
              <w:right w:val="single" w:sz="6" w:space="0" w:color="000000"/>
            </w:tcBorders>
            <w:tcMar>
              <w:top w:w="43" w:type="dxa"/>
              <w:left w:w="43" w:type="dxa"/>
              <w:bottom w:w="43" w:type="dxa"/>
              <w:right w:w="43" w:type="dxa"/>
            </w:tcMar>
            <w:hideMark/>
          </w:tcPr>
          <w:p w14:paraId="7C76494A"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27</w:t>
            </w:r>
          </w:p>
        </w:tc>
        <w:tc>
          <w:tcPr>
            <w:tcW w:w="480" w:type="pct"/>
            <w:tcBorders>
              <w:bottom w:val="single" w:sz="6" w:space="0" w:color="000000"/>
              <w:right w:val="single" w:sz="6" w:space="0" w:color="000000"/>
            </w:tcBorders>
            <w:tcMar>
              <w:top w:w="43" w:type="dxa"/>
              <w:left w:w="43" w:type="dxa"/>
              <w:bottom w:w="43" w:type="dxa"/>
              <w:right w:w="43" w:type="dxa"/>
            </w:tcMar>
            <w:hideMark/>
          </w:tcPr>
          <w:p w14:paraId="60E6859B" w14:textId="77777777" w:rsidR="005E22BD" w:rsidRPr="00E816F5" w:rsidRDefault="005E22BD" w:rsidP="001800FF">
            <w:pPr>
              <w:spacing w:after="0"/>
              <w:rPr>
                <w:rFonts w:eastAsia="Times New Roman" w:cs="Arial"/>
                <w:sz w:val="20"/>
                <w:szCs w:val="20"/>
              </w:rPr>
            </w:pPr>
          </w:p>
        </w:tc>
      </w:tr>
      <w:tr w:rsidR="00E816F5" w14:paraId="0CBBE070"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540A20D1"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2.2 Strategy Implementation</w:t>
            </w:r>
          </w:p>
        </w:tc>
        <w:tc>
          <w:tcPr>
            <w:tcW w:w="406" w:type="pct"/>
            <w:tcBorders>
              <w:bottom w:val="single" w:sz="6" w:space="0" w:color="000000"/>
              <w:right w:val="single" w:sz="6" w:space="0" w:color="000000"/>
            </w:tcBorders>
            <w:tcMar>
              <w:top w:w="43" w:type="dxa"/>
              <w:left w:w="43" w:type="dxa"/>
              <w:bottom w:w="43" w:type="dxa"/>
              <w:right w:w="43" w:type="dxa"/>
            </w:tcMar>
            <w:hideMark/>
          </w:tcPr>
          <w:p w14:paraId="2399E518"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40</w:t>
            </w:r>
          </w:p>
        </w:tc>
        <w:tc>
          <w:tcPr>
            <w:tcW w:w="410" w:type="pct"/>
            <w:tcBorders>
              <w:bottom w:val="single" w:sz="6" w:space="0" w:color="000000"/>
              <w:right w:val="single" w:sz="6" w:space="0" w:color="000000"/>
            </w:tcBorders>
            <w:tcMar>
              <w:top w:w="43" w:type="dxa"/>
              <w:left w:w="43" w:type="dxa"/>
              <w:bottom w:w="43" w:type="dxa"/>
              <w:right w:w="43" w:type="dxa"/>
            </w:tcMar>
            <w:hideMark/>
          </w:tcPr>
          <w:p w14:paraId="61F68429"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55%</w:t>
            </w:r>
          </w:p>
        </w:tc>
        <w:tc>
          <w:tcPr>
            <w:tcW w:w="0" w:type="auto"/>
            <w:tcBorders>
              <w:bottom w:val="single" w:sz="6" w:space="0" w:color="000000"/>
              <w:right w:val="single" w:sz="6" w:space="0" w:color="000000"/>
            </w:tcBorders>
            <w:tcMar>
              <w:top w:w="43" w:type="dxa"/>
              <w:left w:w="43" w:type="dxa"/>
              <w:bottom w:w="43" w:type="dxa"/>
              <w:right w:w="43" w:type="dxa"/>
            </w:tcMar>
            <w:hideMark/>
          </w:tcPr>
          <w:p w14:paraId="49390CCF"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22</w:t>
            </w:r>
          </w:p>
        </w:tc>
        <w:tc>
          <w:tcPr>
            <w:tcW w:w="480" w:type="pct"/>
            <w:tcBorders>
              <w:bottom w:val="single" w:sz="6" w:space="0" w:color="000000"/>
              <w:right w:val="single" w:sz="6" w:space="0" w:color="000000"/>
            </w:tcBorders>
            <w:tcMar>
              <w:top w:w="43" w:type="dxa"/>
              <w:left w:w="43" w:type="dxa"/>
              <w:bottom w:w="43" w:type="dxa"/>
              <w:right w:w="43" w:type="dxa"/>
            </w:tcMar>
            <w:hideMark/>
          </w:tcPr>
          <w:p w14:paraId="2CAD3AF7" w14:textId="77777777" w:rsidR="005E22BD" w:rsidRPr="00E816F5" w:rsidRDefault="005E22BD" w:rsidP="001800FF">
            <w:pPr>
              <w:spacing w:after="0"/>
              <w:rPr>
                <w:rFonts w:eastAsia="Times New Roman" w:cs="Arial"/>
                <w:sz w:val="20"/>
                <w:szCs w:val="20"/>
              </w:rPr>
            </w:pPr>
          </w:p>
        </w:tc>
      </w:tr>
      <w:tr w:rsidR="00E816F5" w14:paraId="4D4E6E4D"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1E9DDFD6"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Category Totals</w:t>
            </w:r>
          </w:p>
        </w:tc>
        <w:tc>
          <w:tcPr>
            <w:tcW w:w="406" w:type="pct"/>
            <w:tcBorders>
              <w:bottom w:val="single" w:sz="6" w:space="0" w:color="000000"/>
              <w:right w:val="single" w:sz="6" w:space="0" w:color="000000"/>
            </w:tcBorders>
            <w:tcMar>
              <w:top w:w="43" w:type="dxa"/>
              <w:left w:w="43" w:type="dxa"/>
              <w:bottom w:w="43" w:type="dxa"/>
              <w:right w:w="43" w:type="dxa"/>
            </w:tcMar>
            <w:hideMark/>
          </w:tcPr>
          <w:p w14:paraId="29A0E298"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85</w:t>
            </w:r>
          </w:p>
        </w:tc>
        <w:tc>
          <w:tcPr>
            <w:tcW w:w="410" w:type="pct"/>
            <w:tcBorders>
              <w:bottom w:val="single" w:sz="6" w:space="0" w:color="000000"/>
              <w:right w:val="single" w:sz="6" w:space="0" w:color="000000"/>
            </w:tcBorders>
            <w:tcMar>
              <w:top w:w="43" w:type="dxa"/>
              <w:left w:w="43" w:type="dxa"/>
              <w:bottom w:w="43" w:type="dxa"/>
              <w:right w:w="43" w:type="dxa"/>
            </w:tcMar>
            <w:hideMark/>
          </w:tcPr>
          <w:p w14:paraId="1C21B07F" w14:textId="77777777" w:rsidR="005E22BD" w:rsidRPr="00E816F5" w:rsidRDefault="005E22BD" w:rsidP="000B50BB">
            <w:pPr>
              <w:spacing w:after="0"/>
              <w:jc w:val="center"/>
              <w:rPr>
                <w:rFonts w:eastAsia="Times New Roman" w:cs="Arial"/>
                <w:sz w:val="20"/>
                <w:szCs w:val="20"/>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537CB25B"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49</w:t>
            </w:r>
          </w:p>
        </w:tc>
        <w:tc>
          <w:tcPr>
            <w:tcW w:w="480" w:type="pct"/>
            <w:tcBorders>
              <w:bottom w:val="single" w:sz="6" w:space="0" w:color="000000"/>
              <w:right w:val="single" w:sz="6" w:space="0" w:color="000000"/>
            </w:tcBorders>
            <w:tcMar>
              <w:top w:w="43" w:type="dxa"/>
              <w:left w:w="43" w:type="dxa"/>
              <w:bottom w:w="43" w:type="dxa"/>
              <w:right w:w="43" w:type="dxa"/>
            </w:tcMar>
            <w:hideMark/>
          </w:tcPr>
          <w:p w14:paraId="71D32C11" w14:textId="77777777" w:rsidR="005E22BD" w:rsidRPr="00E816F5" w:rsidRDefault="005E22BD" w:rsidP="001800FF">
            <w:pPr>
              <w:spacing w:after="0"/>
              <w:rPr>
                <w:rFonts w:eastAsia="Times New Roman" w:cs="Arial"/>
                <w:sz w:val="20"/>
                <w:szCs w:val="20"/>
              </w:rPr>
            </w:pPr>
          </w:p>
        </w:tc>
      </w:tr>
      <w:tr w:rsidR="00E816F5" w14:paraId="40D72BF4" w14:textId="77777777" w:rsidTr="00E816F5">
        <w:trPr>
          <w:gridAfter w:val="4"/>
          <w:divId w:val="905190427"/>
          <w:wAfter w:w="1575" w:type="pct"/>
        </w:trPr>
        <w:tc>
          <w:tcPr>
            <w:tcW w:w="3425" w:type="pct"/>
            <w:tcBorders>
              <w:bottom w:val="single" w:sz="6" w:space="0" w:color="000000"/>
              <w:right w:val="single" w:sz="6" w:space="0" w:color="000000"/>
            </w:tcBorders>
            <w:tcMar>
              <w:top w:w="43" w:type="dxa"/>
              <w:left w:w="43" w:type="dxa"/>
              <w:bottom w:w="43" w:type="dxa"/>
              <w:right w:w="43" w:type="dxa"/>
            </w:tcMar>
            <w:hideMark/>
          </w:tcPr>
          <w:p w14:paraId="54EA6FFD" w14:textId="77777777" w:rsidR="005E22BD" w:rsidRPr="00E816F5" w:rsidRDefault="000A11B9" w:rsidP="001800FF">
            <w:pPr>
              <w:pStyle w:val="Heading5"/>
              <w:spacing w:before="0" w:beforeAutospacing="0" w:after="0" w:afterAutospacing="0"/>
              <w:rPr>
                <w:rFonts w:eastAsia="Times New Roman" w:cs="Arial"/>
              </w:rPr>
            </w:pPr>
            <w:r w:rsidRPr="00E816F5">
              <w:rPr>
                <w:rFonts w:eastAsia="Times New Roman" w:cs="Arial"/>
              </w:rPr>
              <w:t>Category 3</w:t>
            </w:r>
            <w:r w:rsidR="000834C7" w:rsidRPr="00E816F5">
              <w:rPr>
                <w:rFonts w:eastAsia="Times New Roman" w:cs="Arial"/>
              </w:rPr>
              <w:t>—</w:t>
            </w:r>
            <w:r w:rsidRPr="00E816F5">
              <w:rPr>
                <w:rFonts w:eastAsia="Times New Roman" w:cs="Arial"/>
              </w:rPr>
              <w:t>Customers</w:t>
            </w:r>
          </w:p>
        </w:tc>
      </w:tr>
      <w:tr w:rsidR="00E816F5" w14:paraId="2500ACB5"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19BE10D3"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3.1 Customer Expectations</w:t>
            </w:r>
          </w:p>
        </w:tc>
        <w:tc>
          <w:tcPr>
            <w:tcW w:w="406" w:type="pct"/>
            <w:tcBorders>
              <w:bottom w:val="single" w:sz="6" w:space="0" w:color="000000"/>
              <w:right w:val="single" w:sz="6" w:space="0" w:color="000000"/>
            </w:tcBorders>
            <w:tcMar>
              <w:top w:w="43" w:type="dxa"/>
              <w:left w:w="43" w:type="dxa"/>
              <w:bottom w:w="43" w:type="dxa"/>
              <w:right w:w="43" w:type="dxa"/>
            </w:tcMar>
            <w:hideMark/>
          </w:tcPr>
          <w:p w14:paraId="2B9838AF"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40</w:t>
            </w:r>
          </w:p>
        </w:tc>
        <w:tc>
          <w:tcPr>
            <w:tcW w:w="410" w:type="pct"/>
            <w:tcBorders>
              <w:bottom w:val="single" w:sz="6" w:space="0" w:color="000000"/>
              <w:right w:val="single" w:sz="6" w:space="0" w:color="000000"/>
            </w:tcBorders>
            <w:tcMar>
              <w:top w:w="43" w:type="dxa"/>
              <w:left w:w="43" w:type="dxa"/>
              <w:bottom w:w="43" w:type="dxa"/>
              <w:right w:w="43" w:type="dxa"/>
            </w:tcMar>
            <w:hideMark/>
          </w:tcPr>
          <w:p w14:paraId="09C356BD"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0" w:type="auto"/>
            <w:tcBorders>
              <w:bottom w:val="single" w:sz="6" w:space="0" w:color="000000"/>
              <w:right w:val="single" w:sz="6" w:space="0" w:color="000000"/>
            </w:tcBorders>
            <w:tcMar>
              <w:top w:w="43" w:type="dxa"/>
              <w:left w:w="43" w:type="dxa"/>
              <w:bottom w:w="43" w:type="dxa"/>
              <w:right w:w="43" w:type="dxa"/>
            </w:tcMar>
            <w:hideMark/>
          </w:tcPr>
          <w:p w14:paraId="25E336E0"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18</w:t>
            </w:r>
          </w:p>
        </w:tc>
        <w:tc>
          <w:tcPr>
            <w:tcW w:w="480" w:type="pct"/>
            <w:tcBorders>
              <w:bottom w:val="single" w:sz="6" w:space="0" w:color="000000"/>
              <w:right w:val="single" w:sz="6" w:space="0" w:color="000000"/>
            </w:tcBorders>
            <w:tcMar>
              <w:top w:w="43" w:type="dxa"/>
              <w:left w:w="43" w:type="dxa"/>
              <w:bottom w:w="43" w:type="dxa"/>
              <w:right w:w="43" w:type="dxa"/>
            </w:tcMar>
            <w:hideMark/>
          </w:tcPr>
          <w:p w14:paraId="18BCFB48" w14:textId="77777777" w:rsidR="005E22BD" w:rsidRPr="00E816F5" w:rsidRDefault="005E22BD" w:rsidP="001800FF">
            <w:pPr>
              <w:spacing w:after="0"/>
              <w:rPr>
                <w:rFonts w:eastAsia="Times New Roman" w:cs="Arial"/>
                <w:sz w:val="20"/>
                <w:szCs w:val="20"/>
              </w:rPr>
            </w:pPr>
          </w:p>
        </w:tc>
      </w:tr>
      <w:tr w:rsidR="00E816F5" w14:paraId="18664439"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25EE7465"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3.2 Customer Engagement</w:t>
            </w:r>
          </w:p>
        </w:tc>
        <w:tc>
          <w:tcPr>
            <w:tcW w:w="406" w:type="pct"/>
            <w:tcBorders>
              <w:bottom w:val="single" w:sz="6" w:space="0" w:color="000000"/>
              <w:right w:val="single" w:sz="6" w:space="0" w:color="000000"/>
            </w:tcBorders>
            <w:tcMar>
              <w:top w:w="43" w:type="dxa"/>
              <w:left w:w="43" w:type="dxa"/>
              <w:bottom w:w="43" w:type="dxa"/>
              <w:right w:w="43" w:type="dxa"/>
            </w:tcMar>
            <w:hideMark/>
          </w:tcPr>
          <w:p w14:paraId="47F41BF6"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410" w:type="pct"/>
            <w:tcBorders>
              <w:bottom w:val="single" w:sz="6" w:space="0" w:color="000000"/>
              <w:right w:val="single" w:sz="6" w:space="0" w:color="000000"/>
            </w:tcBorders>
            <w:tcMar>
              <w:top w:w="43" w:type="dxa"/>
              <w:left w:w="43" w:type="dxa"/>
              <w:bottom w:w="43" w:type="dxa"/>
              <w:right w:w="43" w:type="dxa"/>
            </w:tcMar>
            <w:hideMark/>
          </w:tcPr>
          <w:p w14:paraId="7AE17AF7"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0" w:type="auto"/>
            <w:tcBorders>
              <w:bottom w:val="single" w:sz="6" w:space="0" w:color="000000"/>
              <w:right w:val="single" w:sz="6" w:space="0" w:color="000000"/>
            </w:tcBorders>
            <w:tcMar>
              <w:top w:w="43" w:type="dxa"/>
              <w:left w:w="43" w:type="dxa"/>
              <w:bottom w:w="43" w:type="dxa"/>
              <w:right w:w="43" w:type="dxa"/>
            </w:tcMar>
            <w:hideMark/>
          </w:tcPr>
          <w:p w14:paraId="37374453"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20</w:t>
            </w:r>
          </w:p>
        </w:tc>
        <w:tc>
          <w:tcPr>
            <w:tcW w:w="480" w:type="pct"/>
            <w:tcBorders>
              <w:bottom w:val="single" w:sz="6" w:space="0" w:color="000000"/>
              <w:right w:val="single" w:sz="6" w:space="0" w:color="000000"/>
            </w:tcBorders>
            <w:tcMar>
              <w:top w:w="43" w:type="dxa"/>
              <w:left w:w="43" w:type="dxa"/>
              <w:bottom w:w="43" w:type="dxa"/>
              <w:right w:w="43" w:type="dxa"/>
            </w:tcMar>
            <w:hideMark/>
          </w:tcPr>
          <w:p w14:paraId="5E4501E3" w14:textId="77777777" w:rsidR="005E22BD" w:rsidRPr="00E816F5" w:rsidRDefault="005E22BD" w:rsidP="001800FF">
            <w:pPr>
              <w:spacing w:after="0"/>
              <w:rPr>
                <w:rFonts w:eastAsia="Times New Roman" w:cs="Arial"/>
                <w:sz w:val="20"/>
                <w:szCs w:val="20"/>
              </w:rPr>
            </w:pPr>
          </w:p>
        </w:tc>
      </w:tr>
      <w:tr w:rsidR="00E816F5" w14:paraId="3A6FEF22"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2654019F"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Category Totals</w:t>
            </w:r>
          </w:p>
        </w:tc>
        <w:tc>
          <w:tcPr>
            <w:tcW w:w="406" w:type="pct"/>
            <w:tcBorders>
              <w:bottom w:val="single" w:sz="6" w:space="0" w:color="000000"/>
              <w:right w:val="single" w:sz="6" w:space="0" w:color="000000"/>
            </w:tcBorders>
            <w:tcMar>
              <w:top w:w="43" w:type="dxa"/>
              <w:left w:w="43" w:type="dxa"/>
              <w:bottom w:w="43" w:type="dxa"/>
              <w:right w:w="43" w:type="dxa"/>
            </w:tcMar>
            <w:hideMark/>
          </w:tcPr>
          <w:p w14:paraId="7FCEEC1A"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85</w:t>
            </w:r>
          </w:p>
        </w:tc>
        <w:tc>
          <w:tcPr>
            <w:tcW w:w="410" w:type="pct"/>
            <w:tcBorders>
              <w:bottom w:val="single" w:sz="6" w:space="0" w:color="000000"/>
              <w:right w:val="single" w:sz="6" w:space="0" w:color="000000"/>
            </w:tcBorders>
            <w:tcMar>
              <w:top w:w="43" w:type="dxa"/>
              <w:left w:w="43" w:type="dxa"/>
              <w:bottom w:w="43" w:type="dxa"/>
              <w:right w:w="43" w:type="dxa"/>
            </w:tcMar>
            <w:hideMark/>
          </w:tcPr>
          <w:p w14:paraId="40449C41" w14:textId="77777777" w:rsidR="005E22BD" w:rsidRPr="00E816F5" w:rsidRDefault="005E22BD" w:rsidP="000B50BB">
            <w:pPr>
              <w:spacing w:after="0"/>
              <w:jc w:val="center"/>
              <w:rPr>
                <w:rFonts w:eastAsia="Times New Roman" w:cs="Arial"/>
                <w:sz w:val="20"/>
                <w:szCs w:val="20"/>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232B385D"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38</w:t>
            </w:r>
          </w:p>
        </w:tc>
        <w:tc>
          <w:tcPr>
            <w:tcW w:w="480" w:type="pct"/>
            <w:tcBorders>
              <w:bottom w:val="single" w:sz="6" w:space="0" w:color="000000"/>
              <w:right w:val="single" w:sz="6" w:space="0" w:color="000000"/>
            </w:tcBorders>
            <w:tcMar>
              <w:top w:w="43" w:type="dxa"/>
              <w:left w:w="43" w:type="dxa"/>
              <w:bottom w:w="43" w:type="dxa"/>
              <w:right w:w="43" w:type="dxa"/>
            </w:tcMar>
            <w:hideMark/>
          </w:tcPr>
          <w:p w14:paraId="4C1E1DF4" w14:textId="77777777" w:rsidR="005E22BD" w:rsidRPr="00E816F5" w:rsidRDefault="005E22BD" w:rsidP="001800FF">
            <w:pPr>
              <w:spacing w:after="0"/>
              <w:rPr>
                <w:rFonts w:eastAsia="Times New Roman" w:cs="Arial"/>
                <w:sz w:val="20"/>
                <w:szCs w:val="20"/>
              </w:rPr>
            </w:pPr>
          </w:p>
        </w:tc>
      </w:tr>
      <w:tr w:rsidR="00E816F5" w14:paraId="724D89C9" w14:textId="77777777" w:rsidTr="00E816F5">
        <w:trPr>
          <w:gridAfter w:val="4"/>
          <w:divId w:val="905190427"/>
          <w:wAfter w:w="1575" w:type="pct"/>
        </w:trPr>
        <w:tc>
          <w:tcPr>
            <w:tcW w:w="3425" w:type="pct"/>
            <w:tcBorders>
              <w:bottom w:val="single" w:sz="6" w:space="0" w:color="000000"/>
              <w:right w:val="single" w:sz="6" w:space="0" w:color="000000"/>
            </w:tcBorders>
            <w:tcMar>
              <w:top w:w="43" w:type="dxa"/>
              <w:left w:w="43" w:type="dxa"/>
              <w:bottom w:w="43" w:type="dxa"/>
              <w:right w:w="43" w:type="dxa"/>
            </w:tcMar>
            <w:hideMark/>
          </w:tcPr>
          <w:p w14:paraId="7335CEDB" w14:textId="77777777" w:rsidR="005E22BD" w:rsidRPr="00E816F5" w:rsidRDefault="000A11B9" w:rsidP="001800FF">
            <w:pPr>
              <w:pStyle w:val="Heading5"/>
              <w:spacing w:before="0" w:beforeAutospacing="0" w:after="0" w:afterAutospacing="0"/>
              <w:rPr>
                <w:rFonts w:eastAsia="Times New Roman" w:cs="Arial"/>
              </w:rPr>
            </w:pPr>
            <w:r w:rsidRPr="00E816F5">
              <w:rPr>
                <w:rFonts w:eastAsia="Times New Roman" w:cs="Arial"/>
              </w:rPr>
              <w:t>Category 4</w:t>
            </w:r>
            <w:r w:rsidR="000834C7" w:rsidRPr="00E816F5">
              <w:rPr>
                <w:rFonts w:eastAsia="Times New Roman" w:cs="Arial"/>
              </w:rPr>
              <w:t>—</w:t>
            </w:r>
            <w:r w:rsidRPr="00E816F5">
              <w:rPr>
                <w:rFonts w:eastAsia="Times New Roman" w:cs="Arial"/>
              </w:rPr>
              <w:t>Measurement, Analysis, and Knowledge Management</w:t>
            </w:r>
          </w:p>
        </w:tc>
      </w:tr>
      <w:tr w:rsidR="00E816F5" w14:paraId="78A396A6"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23ABE952"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4.1 Measurement, Analysis, and Improvement of Organizational Performance</w:t>
            </w:r>
          </w:p>
        </w:tc>
        <w:tc>
          <w:tcPr>
            <w:tcW w:w="406" w:type="pct"/>
            <w:tcBorders>
              <w:bottom w:val="single" w:sz="6" w:space="0" w:color="000000"/>
              <w:right w:val="single" w:sz="6" w:space="0" w:color="000000"/>
            </w:tcBorders>
            <w:tcMar>
              <w:top w:w="43" w:type="dxa"/>
              <w:left w:w="43" w:type="dxa"/>
              <w:bottom w:w="43" w:type="dxa"/>
              <w:right w:w="43" w:type="dxa"/>
            </w:tcMar>
            <w:hideMark/>
          </w:tcPr>
          <w:p w14:paraId="1522A7AA"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410" w:type="pct"/>
            <w:tcBorders>
              <w:bottom w:val="single" w:sz="6" w:space="0" w:color="000000"/>
              <w:right w:val="single" w:sz="6" w:space="0" w:color="000000"/>
            </w:tcBorders>
            <w:tcMar>
              <w:top w:w="43" w:type="dxa"/>
              <w:left w:w="43" w:type="dxa"/>
              <w:bottom w:w="43" w:type="dxa"/>
              <w:right w:w="43" w:type="dxa"/>
            </w:tcMar>
            <w:hideMark/>
          </w:tcPr>
          <w:p w14:paraId="6D86D310"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65%</w:t>
            </w:r>
          </w:p>
        </w:tc>
        <w:tc>
          <w:tcPr>
            <w:tcW w:w="0" w:type="auto"/>
            <w:tcBorders>
              <w:bottom w:val="single" w:sz="6" w:space="0" w:color="000000"/>
              <w:right w:val="single" w:sz="6" w:space="0" w:color="000000"/>
            </w:tcBorders>
            <w:tcMar>
              <w:top w:w="43" w:type="dxa"/>
              <w:left w:w="43" w:type="dxa"/>
              <w:bottom w:w="43" w:type="dxa"/>
              <w:right w:w="43" w:type="dxa"/>
            </w:tcMar>
            <w:hideMark/>
          </w:tcPr>
          <w:p w14:paraId="685BF064"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29</w:t>
            </w:r>
          </w:p>
        </w:tc>
        <w:tc>
          <w:tcPr>
            <w:tcW w:w="480" w:type="pct"/>
            <w:tcBorders>
              <w:bottom w:val="single" w:sz="6" w:space="0" w:color="000000"/>
              <w:right w:val="single" w:sz="6" w:space="0" w:color="000000"/>
            </w:tcBorders>
            <w:tcMar>
              <w:top w:w="43" w:type="dxa"/>
              <w:left w:w="43" w:type="dxa"/>
              <w:bottom w:w="43" w:type="dxa"/>
              <w:right w:w="43" w:type="dxa"/>
            </w:tcMar>
            <w:hideMark/>
          </w:tcPr>
          <w:p w14:paraId="2A22159B" w14:textId="77777777" w:rsidR="005E22BD" w:rsidRPr="00E816F5" w:rsidRDefault="005E22BD" w:rsidP="001800FF">
            <w:pPr>
              <w:spacing w:after="0"/>
              <w:rPr>
                <w:rFonts w:eastAsia="Times New Roman" w:cs="Arial"/>
                <w:sz w:val="20"/>
                <w:szCs w:val="20"/>
              </w:rPr>
            </w:pPr>
          </w:p>
        </w:tc>
      </w:tr>
      <w:tr w:rsidR="00E816F5" w14:paraId="10EFA51E"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36D7591D"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4.2 Information and Knowledge Management</w:t>
            </w:r>
          </w:p>
        </w:tc>
        <w:tc>
          <w:tcPr>
            <w:tcW w:w="406" w:type="pct"/>
            <w:tcBorders>
              <w:bottom w:val="single" w:sz="6" w:space="0" w:color="000000"/>
              <w:right w:val="single" w:sz="6" w:space="0" w:color="000000"/>
            </w:tcBorders>
            <w:tcMar>
              <w:top w:w="43" w:type="dxa"/>
              <w:left w:w="43" w:type="dxa"/>
              <w:bottom w:w="43" w:type="dxa"/>
              <w:right w:w="43" w:type="dxa"/>
            </w:tcMar>
            <w:hideMark/>
          </w:tcPr>
          <w:p w14:paraId="7E827C48"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410" w:type="pct"/>
            <w:tcBorders>
              <w:bottom w:val="single" w:sz="6" w:space="0" w:color="000000"/>
              <w:right w:val="single" w:sz="6" w:space="0" w:color="000000"/>
            </w:tcBorders>
            <w:tcMar>
              <w:top w:w="43" w:type="dxa"/>
              <w:left w:w="43" w:type="dxa"/>
              <w:bottom w:w="43" w:type="dxa"/>
              <w:right w:w="43" w:type="dxa"/>
            </w:tcMar>
            <w:hideMark/>
          </w:tcPr>
          <w:p w14:paraId="6EE6D2AF"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55%</w:t>
            </w:r>
          </w:p>
        </w:tc>
        <w:tc>
          <w:tcPr>
            <w:tcW w:w="0" w:type="auto"/>
            <w:tcBorders>
              <w:bottom w:val="single" w:sz="6" w:space="0" w:color="000000"/>
              <w:right w:val="single" w:sz="6" w:space="0" w:color="000000"/>
            </w:tcBorders>
            <w:tcMar>
              <w:top w:w="43" w:type="dxa"/>
              <w:left w:w="43" w:type="dxa"/>
              <w:bottom w:w="43" w:type="dxa"/>
              <w:right w:w="43" w:type="dxa"/>
            </w:tcMar>
            <w:hideMark/>
          </w:tcPr>
          <w:p w14:paraId="282D7F95"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25</w:t>
            </w:r>
          </w:p>
        </w:tc>
        <w:tc>
          <w:tcPr>
            <w:tcW w:w="480" w:type="pct"/>
            <w:tcBorders>
              <w:bottom w:val="single" w:sz="6" w:space="0" w:color="000000"/>
              <w:right w:val="single" w:sz="6" w:space="0" w:color="000000"/>
            </w:tcBorders>
            <w:tcMar>
              <w:top w:w="43" w:type="dxa"/>
              <w:left w:w="43" w:type="dxa"/>
              <w:bottom w:w="43" w:type="dxa"/>
              <w:right w:w="43" w:type="dxa"/>
            </w:tcMar>
            <w:hideMark/>
          </w:tcPr>
          <w:p w14:paraId="74844247" w14:textId="77777777" w:rsidR="005E22BD" w:rsidRPr="00E816F5" w:rsidRDefault="005E22BD" w:rsidP="001800FF">
            <w:pPr>
              <w:spacing w:after="0"/>
              <w:rPr>
                <w:rFonts w:eastAsia="Times New Roman" w:cs="Arial"/>
                <w:sz w:val="20"/>
                <w:szCs w:val="20"/>
              </w:rPr>
            </w:pPr>
          </w:p>
        </w:tc>
      </w:tr>
      <w:tr w:rsidR="00E816F5" w14:paraId="0A937AA4"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549E252C"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Category Totals</w:t>
            </w:r>
          </w:p>
        </w:tc>
        <w:tc>
          <w:tcPr>
            <w:tcW w:w="406" w:type="pct"/>
            <w:tcBorders>
              <w:bottom w:val="single" w:sz="6" w:space="0" w:color="000000"/>
              <w:right w:val="single" w:sz="6" w:space="0" w:color="000000"/>
            </w:tcBorders>
            <w:tcMar>
              <w:top w:w="43" w:type="dxa"/>
              <w:left w:w="43" w:type="dxa"/>
              <w:bottom w:w="43" w:type="dxa"/>
              <w:right w:w="43" w:type="dxa"/>
            </w:tcMar>
            <w:hideMark/>
          </w:tcPr>
          <w:p w14:paraId="5204E871"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90</w:t>
            </w:r>
          </w:p>
        </w:tc>
        <w:tc>
          <w:tcPr>
            <w:tcW w:w="410" w:type="pct"/>
            <w:tcBorders>
              <w:bottom w:val="single" w:sz="6" w:space="0" w:color="000000"/>
              <w:right w:val="single" w:sz="6" w:space="0" w:color="000000"/>
            </w:tcBorders>
            <w:tcMar>
              <w:top w:w="43" w:type="dxa"/>
              <w:left w:w="43" w:type="dxa"/>
              <w:bottom w:w="43" w:type="dxa"/>
              <w:right w:w="43" w:type="dxa"/>
            </w:tcMar>
            <w:hideMark/>
          </w:tcPr>
          <w:p w14:paraId="215620A0" w14:textId="77777777" w:rsidR="005E22BD" w:rsidRPr="00E816F5" w:rsidRDefault="005E22BD" w:rsidP="000B50BB">
            <w:pPr>
              <w:spacing w:after="0"/>
              <w:jc w:val="center"/>
              <w:rPr>
                <w:rFonts w:eastAsia="Times New Roman" w:cs="Arial"/>
                <w:sz w:val="20"/>
                <w:szCs w:val="20"/>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002E7159"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54</w:t>
            </w:r>
          </w:p>
        </w:tc>
        <w:tc>
          <w:tcPr>
            <w:tcW w:w="480" w:type="pct"/>
            <w:tcBorders>
              <w:bottom w:val="single" w:sz="6" w:space="0" w:color="000000"/>
              <w:right w:val="single" w:sz="6" w:space="0" w:color="000000"/>
            </w:tcBorders>
            <w:tcMar>
              <w:top w:w="43" w:type="dxa"/>
              <w:left w:w="43" w:type="dxa"/>
              <w:bottom w:w="43" w:type="dxa"/>
              <w:right w:w="43" w:type="dxa"/>
            </w:tcMar>
            <w:hideMark/>
          </w:tcPr>
          <w:p w14:paraId="10BF00EF" w14:textId="77777777" w:rsidR="005E22BD" w:rsidRPr="00E816F5" w:rsidRDefault="005E22BD" w:rsidP="001800FF">
            <w:pPr>
              <w:spacing w:after="0"/>
              <w:rPr>
                <w:rFonts w:eastAsia="Times New Roman" w:cs="Arial"/>
                <w:sz w:val="20"/>
                <w:szCs w:val="20"/>
              </w:rPr>
            </w:pPr>
          </w:p>
        </w:tc>
      </w:tr>
      <w:tr w:rsidR="00E816F5" w14:paraId="337319A3" w14:textId="77777777" w:rsidTr="00E816F5">
        <w:trPr>
          <w:gridAfter w:val="4"/>
          <w:divId w:val="905190427"/>
          <w:wAfter w:w="1575" w:type="pct"/>
        </w:trPr>
        <w:tc>
          <w:tcPr>
            <w:tcW w:w="3425" w:type="pct"/>
            <w:tcBorders>
              <w:bottom w:val="single" w:sz="6" w:space="0" w:color="000000"/>
              <w:right w:val="single" w:sz="6" w:space="0" w:color="000000"/>
            </w:tcBorders>
            <w:tcMar>
              <w:top w:w="43" w:type="dxa"/>
              <w:left w:w="43" w:type="dxa"/>
              <w:bottom w:w="43" w:type="dxa"/>
              <w:right w:w="43" w:type="dxa"/>
            </w:tcMar>
            <w:hideMark/>
          </w:tcPr>
          <w:p w14:paraId="56D48EB2" w14:textId="77777777" w:rsidR="005E22BD" w:rsidRPr="00E816F5" w:rsidRDefault="000A11B9" w:rsidP="001800FF">
            <w:pPr>
              <w:pStyle w:val="Heading5"/>
              <w:spacing w:before="0" w:beforeAutospacing="0" w:after="0" w:afterAutospacing="0"/>
              <w:rPr>
                <w:rFonts w:eastAsia="Times New Roman" w:cs="Arial"/>
              </w:rPr>
            </w:pPr>
            <w:r w:rsidRPr="00E816F5">
              <w:rPr>
                <w:rFonts w:eastAsia="Times New Roman" w:cs="Arial"/>
              </w:rPr>
              <w:t>Category 5</w:t>
            </w:r>
            <w:r w:rsidR="000834C7" w:rsidRPr="00E816F5">
              <w:rPr>
                <w:rFonts w:eastAsia="Times New Roman" w:cs="Arial"/>
              </w:rPr>
              <w:t>—</w:t>
            </w:r>
            <w:r w:rsidRPr="00E816F5">
              <w:rPr>
                <w:rFonts w:eastAsia="Times New Roman" w:cs="Arial"/>
              </w:rPr>
              <w:t>Workforce</w:t>
            </w:r>
          </w:p>
        </w:tc>
      </w:tr>
      <w:tr w:rsidR="00E816F5" w14:paraId="427E7BA9"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61AB5F80"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5.1 Workforce Environment</w:t>
            </w:r>
          </w:p>
        </w:tc>
        <w:tc>
          <w:tcPr>
            <w:tcW w:w="406" w:type="pct"/>
            <w:tcBorders>
              <w:bottom w:val="single" w:sz="6" w:space="0" w:color="000000"/>
              <w:right w:val="single" w:sz="6" w:space="0" w:color="000000"/>
            </w:tcBorders>
            <w:tcMar>
              <w:top w:w="43" w:type="dxa"/>
              <w:left w:w="43" w:type="dxa"/>
              <w:bottom w:w="43" w:type="dxa"/>
              <w:right w:w="43" w:type="dxa"/>
            </w:tcMar>
            <w:hideMark/>
          </w:tcPr>
          <w:p w14:paraId="067B90D0"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40</w:t>
            </w:r>
          </w:p>
        </w:tc>
        <w:tc>
          <w:tcPr>
            <w:tcW w:w="410" w:type="pct"/>
            <w:tcBorders>
              <w:bottom w:val="single" w:sz="6" w:space="0" w:color="000000"/>
              <w:right w:val="single" w:sz="6" w:space="0" w:color="000000"/>
            </w:tcBorders>
            <w:tcMar>
              <w:top w:w="43" w:type="dxa"/>
              <w:left w:w="43" w:type="dxa"/>
              <w:bottom w:w="43" w:type="dxa"/>
              <w:right w:w="43" w:type="dxa"/>
            </w:tcMar>
            <w:hideMark/>
          </w:tcPr>
          <w:p w14:paraId="4D6F30D6"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60%</w:t>
            </w:r>
          </w:p>
        </w:tc>
        <w:tc>
          <w:tcPr>
            <w:tcW w:w="0" w:type="auto"/>
            <w:tcBorders>
              <w:bottom w:val="single" w:sz="6" w:space="0" w:color="000000"/>
              <w:right w:val="single" w:sz="6" w:space="0" w:color="000000"/>
            </w:tcBorders>
            <w:tcMar>
              <w:top w:w="43" w:type="dxa"/>
              <w:left w:w="43" w:type="dxa"/>
              <w:bottom w:w="43" w:type="dxa"/>
              <w:right w:w="43" w:type="dxa"/>
            </w:tcMar>
            <w:hideMark/>
          </w:tcPr>
          <w:p w14:paraId="3DB16134"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24</w:t>
            </w:r>
          </w:p>
        </w:tc>
        <w:tc>
          <w:tcPr>
            <w:tcW w:w="480" w:type="pct"/>
            <w:tcBorders>
              <w:bottom w:val="single" w:sz="6" w:space="0" w:color="000000"/>
              <w:right w:val="single" w:sz="6" w:space="0" w:color="000000"/>
            </w:tcBorders>
            <w:tcMar>
              <w:top w:w="43" w:type="dxa"/>
              <w:left w:w="43" w:type="dxa"/>
              <w:bottom w:w="43" w:type="dxa"/>
              <w:right w:w="43" w:type="dxa"/>
            </w:tcMar>
            <w:hideMark/>
          </w:tcPr>
          <w:p w14:paraId="58EACB1A" w14:textId="77777777" w:rsidR="005E22BD" w:rsidRPr="00E816F5" w:rsidRDefault="005E22BD" w:rsidP="001800FF">
            <w:pPr>
              <w:spacing w:after="0"/>
              <w:rPr>
                <w:rFonts w:eastAsia="Times New Roman" w:cs="Arial"/>
                <w:sz w:val="20"/>
                <w:szCs w:val="20"/>
              </w:rPr>
            </w:pPr>
          </w:p>
        </w:tc>
      </w:tr>
      <w:tr w:rsidR="00E816F5" w14:paraId="6706C528"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095AECB9"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5.2 Workforce Engagement</w:t>
            </w:r>
          </w:p>
        </w:tc>
        <w:tc>
          <w:tcPr>
            <w:tcW w:w="406" w:type="pct"/>
            <w:tcBorders>
              <w:bottom w:val="single" w:sz="6" w:space="0" w:color="000000"/>
              <w:right w:val="single" w:sz="6" w:space="0" w:color="000000"/>
            </w:tcBorders>
            <w:tcMar>
              <w:top w:w="43" w:type="dxa"/>
              <w:left w:w="43" w:type="dxa"/>
              <w:bottom w:w="43" w:type="dxa"/>
              <w:right w:w="43" w:type="dxa"/>
            </w:tcMar>
            <w:hideMark/>
          </w:tcPr>
          <w:p w14:paraId="00381F05"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410" w:type="pct"/>
            <w:tcBorders>
              <w:bottom w:val="single" w:sz="6" w:space="0" w:color="000000"/>
              <w:right w:val="single" w:sz="6" w:space="0" w:color="000000"/>
            </w:tcBorders>
            <w:tcMar>
              <w:top w:w="43" w:type="dxa"/>
              <w:left w:w="43" w:type="dxa"/>
              <w:bottom w:w="43" w:type="dxa"/>
              <w:right w:w="43" w:type="dxa"/>
            </w:tcMar>
            <w:hideMark/>
          </w:tcPr>
          <w:p w14:paraId="040AC3EF"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50%</w:t>
            </w:r>
          </w:p>
        </w:tc>
        <w:tc>
          <w:tcPr>
            <w:tcW w:w="0" w:type="auto"/>
            <w:tcBorders>
              <w:bottom w:val="single" w:sz="6" w:space="0" w:color="000000"/>
              <w:right w:val="single" w:sz="6" w:space="0" w:color="000000"/>
            </w:tcBorders>
            <w:tcMar>
              <w:top w:w="43" w:type="dxa"/>
              <w:left w:w="43" w:type="dxa"/>
              <w:bottom w:w="43" w:type="dxa"/>
              <w:right w:w="43" w:type="dxa"/>
            </w:tcMar>
            <w:hideMark/>
          </w:tcPr>
          <w:p w14:paraId="2C0B5562"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23</w:t>
            </w:r>
          </w:p>
        </w:tc>
        <w:tc>
          <w:tcPr>
            <w:tcW w:w="480" w:type="pct"/>
            <w:tcBorders>
              <w:bottom w:val="single" w:sz="6" w:space="0" w:color="000000"/>
              <w:right w:val="single" w:sz="6" w:space="0" w:color="000000"/>
            </w:tcBorders>
            <w:tcMar>
              <w:top w:w="43" w:type="dxa"/>
              <w:left w:w="43" w:type="dxa"/>
              <w:bottom w:w="43" w:type="dxa"/>
              <w:right w:w="43" w:type="dxa"/>
            </w:tcMar>
            <w:hideMark/>
          </w:tcPr>
          <w:p w14:paraId="49D7633C" w14:textId="77777777" w:rsidR="005E22BD" w:rsidRPr="00E816F5" w:rsidRDefault="005E22BD" w:rsidP="001800FF">
            <w:pPr>
              <w:spacing w:after="0"/>
              <w:rPr>
                <w:rFonts w:eastAsia="Times New Roman" w:cs="Arial"/>
                <w:sz w:val="20"/>
                <w:szCs w:val="20"/>
              </w:rPr>
            </w:pPr>
          </w:p>
        </w:tc>
      </w:tr>
      <w:tr w:rsidR="00E816F5" w14:paraId="5485B3F3"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09C6754A"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Category Totals</w:t>
            </w:r>
          </w:p>
        </w:tc>
        <w:tc>
          <w:tcPr>
            <w:tcW w:w="406" w:type="pct"/>
            <w:tcBorders>
              <w:bottom w:val="single" w:sz="6" w:space="0" w:color="000000"/>
              <w:right w:val="single" w:sz="6" w:space="0" w:color="000000"/>
            </w:tcBorders>
            <w:tcMar>
              <w:top w:w="43" w:type="dxa"/>
              <w:left w:w="43" w:type="dxa"/>
              <w:bottom w:w="43" w:type="dxa"/>
              <w:right w:w="43" w:type="dxa"/>
            </w:tcMar>
            <w:hideMark/>
          </w:tcPr>
          <w:p w14:paraId="1D8E3EA0"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85</w:t>
            </w:r>
          </w:p>
        </w:tc>
        <w:tc>
          <w:tcPr>
            <w:tcW w:w="410" w:type="pct"/>
            <w:tcBorders>
              <w:bottom w:val="single" w:sz="6" w:space="0" w:color="000000"/>
              <w:right w:val="single" w:sz="6" w:space="0" w:color="000000"/>
            </w:tcBorders>
            <w:tcMar>
              <w:top w:w="43" w:type="dxa"/>
              <w:left w:w="43" w:type="dxa"/>
              <w:bottom w:w="43" w:type="dxa"/>
              <w:right w:w="43" w:type="dxa"/>
            </w:tcMar>
            <w:hideMark/>
          </w:tcPr>
          <w:p w14:paraId="75053014" w14:textId="77777777" w:rsidR="005E22BD" w:rsidRPr="00E816F5" w:rsidRDefault="005E22BD" w:rsidP="000B50BB">
            <w:pPr>
              <w:spacing w:after="0"/>
              <w:jc w:val="center"/>
              <w:rPr>
                <w:rFonts w:eastAsia="Times New Roman" w:cs="Arial"/>
                <w:sz w:val="20"/>
                <w:szCs w:val="20"/>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631252B2"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47</w:t>
            </w:r>
          </w:p>
        </w:tc>
        <w:tc>
          <w:tcPr>
            <w:tcW w:w="480" w:type="pct"/>
            <w:tcBorders>
              <w:bottom w:val="single" w:sz="6" w:space="0" w:color="000000"/>
              <w:right w:val="single" w:sz="6" w:space="0" w:color="000000"/>
            </w:tcBorders>
            <w:tcMar>
              <w:top w:w="43" w:type="dxa"/>
              <w:left w:w="43" w:type="dxa"/>
              <w:bottom w:w="43" w:type="dxa"/>
              <w:right w:w="43" w:type="dxa"/>
            </w:tcMar>
            <w:hideMark/>
          </w:tcPr>
          <w:p w14:paraId="50FB5200" w14:textId="77777777" w:rsidR="005E22BD" w:rsidRPr="00E816F5" w:rsidRDefault="005E22BD" w:rsidP="001800FF">
            <w:pPr>
              <w:spacing w:after="0"/>
              <w:rPr>
                <w:rFonts w:eastAsia="Times New Roman" w:cs="Arial"/>
                <w:sz w:val="20"/>
                <w:szCs w:val="20"/>
              </w:rPr>
            </w:pPr>
          </w:p>
        </w:tc>
      </w:tr>
      <w:tr w:rsidR="00E816F5" w14:paraId="6A43DA2C" w14:textId="77777777" w:rsidTr="00E816F5">
        <w:trPr>
          <w:gridAfter w:val="4"/>
          <w:divId w:val="905190427"/>
          <w:wAfter w:w="1575" w:type="pct"/>
        </w:trPr>
        <w:tc>
          <w:tcPr>
            <w:tcW w:w="3425" w:type="pct"/>
            <w:tcBorders>
              <w:bottom w:val="single" w:sz="6" w:space="0" w:color="000000"/>
              <w:right w:val="single" w:sz="6" w:space="0" w:color="000000"/>
            </w:tcBorders>
            <w:tcMar>
              <w:top w:w="43" w:type="dxa"/>
              <w:left w:w="43" w:type="dxa"/>
              <w:bottom w:w="43" w:type="dxa"/>
              <w:right w:w="43" w:type="dxa"/>
            </w:tcMar>
            <w:hideMark/>
          </w:tcPr>
          <w:p w14:paraId="285544F9" w14:textId="77777777" w:rsidR="005E22BD" w:rsidRPr="00E816F5" w:rsidRDefault="000A11B9" w:rsidP="001800FF">
            <w:pPr>
              <w:pStyle w:val="Heading5"/>
              <w:spacing w:before="0" w:beforeAutospacing="0" w:after="0" w:afterAutospacing="0"/>
              <w:rPr>
                <w:rFonts w:eastAsia="Times New Roman" w:cs="Arial"/>
              </w:rPr>
            </w:pPr>
            <w:r w:rsidRPr="00E816F5">
              <w:rPr>
                <w:rFonts w:eastAsia="Times New Roman" w:cs="Arial"/>
              </w:rPr>
              <w:t>Category 6</w:t>
            </w:r>
            <w:r w:rsidR="000834C7" w:rsidRPr="00E816F5">
              <w:rPr>
                <w:rFonts w:eastAsia="Times New Roman" w:cs="Arial"/>
              </w:rPr>
              <w:t>—</w:t>
            </w:r>
            <w:r w:rsidRPr="00E816F5">
              <w:rPr>
                <w:rFonts w:eastAsia="Times New Roman" w:cs="Arial"/>
              </w:rPr>
              <w:t>Operations</w:t>
            </w:r>
          </w:p>
        </w:tc>
      </w:tr>
      <w:tr w:rsidR="00E816F5" w14:paraId="4D184C2D"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4815C265"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6.1 Work Processes</w:t>
            </w:r>
          </w:p>
        </w:tc>
        <w:tc>
          <w:tcPr>
            <w:tcW w:w="406" w:type="pct"/>
            <w:tcBorders>
              <w:bottom w:val="single" w:sz="6" w:space="0" w:color="000000"/>
              <w:right w:val="single" w:sz="6" w:space="0" w:color="000000"/>
            </w:tcBorders>
            <w:tcMar>
              <w:top w:w="43" w:type="dxa"/>
              <w:left w:w="43" w:type="dxa"/>
              <w:bottom w:w="43" w:type="dxa"/>
              <w:right w:w="43" w:type="dxa"/>
            </w:tcMar>
            <w:hideMark/>
          </w:tcPr>
          <w:p w14:paraId="05CF7290"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410" w:type="pct"/>
            <w:tcBorders>
              <w:bottom w:val="single" w:sz="6" w:space="0" w:color="000000"/>
              <w:right w:val="single" w:sz="6" w:space="0" w:color="000000"/>
            </w:tcBorders>
            <w:tcMar>
              <w:top w:w="43" w:type="dxa"/>
              <w:left w:w="43" w:type="dxa"/>
              <w:bottom w:w="43" w:type="dxa"/>
              <w:right w:w="43" w:type="dxa"/>
            </w:tcMar>
            <w:hideMark/>
          </w:tcPr>
          <w:p w14:paraId="026AB7F0"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55%</w:t>
            </w:r>
          </w:p>
        </w:tc>
        <w:tc>
          <w:tcPr>
            <w:tcW w:w="0" w:type="auto"/>
            <w:tcBorders>
              <w:bottom w:val="single" w:sz="6" w:space="0" w:color="000000"/>
              <w:right w:val="single" w:sz="6" w:space="0" w:color="000000"/>
            </w:tcBorders>
            <w:tcMar>
              <w:top w:w="43" w:type="dxa"/>
              <w:left w:w="43" w:type="dxa"/>
              <w:bottom w:w="43" w:type="dxa"/>
              <w:right w:w="43" w:type="dxa"/>
            </w:tcMar>
            <w:hideMark/>
          </w:tcPr>
          <w:p w14:paraId="531F1973"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25</w:t>
            </w:r>
          </w:p>
        </w:tc>
        <w:tc>
          <w:tcPr>
            <w:tcW w:w="480" w:type="pct"/>
            <w:tcBorders>
              <w:bottom w:val="single" w:sz="6" w:space="0" w:color="000000"/>
              <w:right w:val="single" w:sz="6" w:space="0" w:color="000000"/>
            </w:tcBorders>
            <w:tcMar>
              <w:top w:w="43" w:type="dxa"/>
              <w:left w:w="43" w:type="dxa"/>
              <w:bottom w:w="43" w:type="dxa"/>
              <w:right w:w="43" w:type="dxa"/>
            </w:tcMar>
            <w:hideMark/>
          </w:tcPr>
          <w:p w14:paraId="6B203183" w14:textId="77777777" w:rsidR="005E22BD" w:rsidRPr="00E816F5" w:rsidRDefault="005E22BD" w:rsidP="001800FF">
            <w:pPr>
              <w:spacing w:after="0"/>
              <w:rPr>
                <w:rFonts w:eastAsia="Times New Roman" w:cs="Arial"/>
                <w:sz w:val="20"/>
                <w:szCs w:val="20"/>
              </w:rPr>
            </w:pPr>
          </w:p>
        </w:tc>
      </w:tr>
      <w:tr w:rsidR="00E816F5" w14:paraId="09A5459F"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382F2F3E"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6.2 Operational Effectiveness</w:t>
            </w:r>
          </w:p>
        </w:tc>
        <w:tc>
          <w:tcPr>
            <w:tcW w:w="406" w:type="pct"/>
            <w:tcBorders>
              <w:bottom w:val="single" w:sz="6" w:space="0" w:color="000000"/>
              <w:right w:val="single" w:sz="6" w:space="0" w:color="000000"/>
            </w:tcBorders>
            <w:tcMar>
              <w:top w:w="43" w:type="dxa"/>
              <w:left w:w="43" w:type="dxa"/>
              <w:bottom w:w="43" w:type="dxa"/>
              <w:right w:w="43" w:type="dxa"/>
            </w:tcMar>
            <w:hideMark/>
          </w:tcPr>
          <w:p w14:paraId="05342FA6"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40</w:t>
            </w:r>
          </w:p>
        </w:tc>
        <w:tc>
          <w:tcPr>
            <w:tcW w:w="410" w:type="pct"/>
            <w:tcBorders>
              <w:bottom w:val="single" w:sz="6" w:space="0" w:color="000000"/>
              <w:right w:val="single" w:sz="6" w:space="0" w:color="000000"/>
            </w:tcBorders>
            <w:tcMar>
              <w:top w:w="43" w:type="dxa"/>
              <w:left w:w="43" w:type="dxa"/>
              <w:bottom w:w="43" w:type="dxa"/>
              <w:right w:w="43" w:type="dxa"/>
            </w:tcMar>
            <w:hideMark/>
          </w:tcPr>
          <w:p w14:paraId="3E14A9C7"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50%</w:t>
            </w:r>
          </w:p>
        </w:tc>
        <w:tc>
          <w:tcPr>
            <w:tcW w:w="0" w:type="auto"/>
            <w:tcBorders>
              <w:bottom w:val="single" w:sz="6" w:space="0" w:color="000000"/>
              <w:right w:val="single" w:sz="6" w:space="0" w:color="000000"/>
            </w:tcBorders>
            <w:tcMar>
              <w:top w:w="43" w:type="dxa"/>
              <w:left w:w="43" w:type="dxa"/>
              <w:bottom w:w="43" w:type="dxa"/>
              <w:right w:w="43" w:type="dxa"/>
            </w:tcMar>
            <w:hideMark/>
          </w:tcPr>
          <w:p w14:paraId="39C21328"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20</w:t>
            </w:r>
          </w:p>
        </w:tc>
        <w:tc>
          <w:tcPr>
            <w:tcW w:w="480" w:type="pct"/>
            <w:tcBorders>
              <w:bottom w:val="single" w:sz="6" w:space="0" w:color="000000"/>
              <w:right w:val="single" w:sz="6" w:space="0" w:color="000000"/>
            </w:tcBorders>
            <w:tcMar>
              <w:top w:w="43" w:type="dxa"/>
              <w:left w:w="43" w:type="dxa"/>
              <w:bottom w:w="43" w:type="dxa"/>
              <w:right w:w="43" w:type="dxa"/>
            </w:tcMar>
            <w:hideMark/>
          </w:tcPr>
          <w:p w14:paraId="6565B388" w14:textId="77777777" w:rsidR="005E22BD" w:rsidRPr="00E816F5" w:rsidRDefault="005E22BD" w:rsidP="001800FF">
            <w:pPr>
              <w:spacing w:after="0"/>
              <w:rPr>
                <w:rFonts w:eastAsia="Times New Roman" w:cs="Arial"/>
                <w:sz w:val="20"/>
                <w:szCs w:val="20"/>
              </w:rPr>
            </w:pPr>
          </w:p>
        </w:tc>
      </w:tr>
      <w:tr w:rsidR="00E816F5" w14:paraId="1270E13E"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246C96BE"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Category Totals</w:t>
            </w:r>
          </w:p>
        </w:tc>
        <w:tc>
          <w:tcPr>
            <w:tcW w:w="406" w:type="pct"/>
            <w:tcBorders>
              <w:bottom w:val="single" w:sz="6" w:space="0" w:color="000000"/>
              <w:right w:val="single" w:sz="6" w:space="0" w:color="000000"/>
            </w:tcBorders>
            <w:tcMar>
              <w:top w:w="43" w:type="dxa"/>
              <w:left w:w="43" w:type="dxa"/>
              <w:bottom w:w="43" w:type="dxa"/>
              <w:right w:w="43" w:type="dxa"/>
            </w:tcMar>
            <w:hideMark/>
          </w:tcPr>
          <w:p w14:paraId="74DFB06A"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85</w:t>
            </w:r>
          </w:p>
        </w:tc>
        <w:tc>
          <w:tcPr>
            <w:tcW w:w="410" w:type="pct"/>
            <w:tcBorders>
              <w:bottom w:val="single" w:sz="6" w:space="0" w:color="000000"/>
              <w:right w:val="single" w:sz="6" w:space="0" w:color="000000"/>
            </w:tcBorders>
            <w:tcMar>
              <w:top w:w="43" w:type="dxa"/>
              <w:left w:w="43" w:type="dxa"/>
              <w:bottom w:w="43" w:type="dxa"/>
              <w:right w:w="43" w:type="dxa"/>
            </w:tcMar>
            <w:hideMark/>
          </w:tcPr>
          <w:p w14:paraId="447FD7F5" w14:textId="77777777" w:rsidR="005E22BD" w:rsidRPr="00E816F5" w:rsidRDefault="005E22BD" w:rsidP="000B50BB">
            <w:pPr>
              <w:spacing w:after="0"/>
              <w:jc w:val="center"/>
              <w:rPr>
                <w:rFonts w:eastAsia="Times New Roman" w:cs="Arial"/>
                <w:sz w:val="20"/>
                <w:szCs w:val="20"/>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778C98CF"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480" w:type="pct"/>
            <w:tcBorders>
              <w:bottom w:val="single" w:sz="6" w:space="0" w:color="000000"/>
              <w:right w:val="single" w:sz="6" w:space="0" w:color="000000"/>
            </w:tcBorders>
            <w:tcMar>
              <w:top w:w="43" w:type="dxa"/>
              <w:left w:w="43" w:type="dxa"/>
              <w:bottom w:w="43" w:type="dxa"/>
              <w:right w:w="43" w:type="dxa"/>
            </w:tcMar>
            <w:hideMark/>
          </w:tcPr>
          <w:p w14:paraId="67CF2FFD" w14:textId="77777777" w:rsidR="005E22BD" w:rsidRPr="00E816F5" w:rsidRDefault="005E22BD" w:rsidP="001800FF">
            <w:pPr>
              <w:spacing w:after="0"/>
              <w:rPr>
                <w:rFonts w:eastAsia="Times New Roman" w:cs="Arial"/>
                <w:sz w:val="20"/>
                <w:szCs w:val="20"/>
              </w:rPr>
            </w:pPr>
          </w:p>
        </w:tc>
      </w:tr>
      <w:tr w:rsidR="00E816F5" w14:paraId="086D16C6"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0F7DC352" w14:textId="77777777" w:rsidR="005E22BD" w:rsidRPr="00E816F5" w:rsidRDefault="000A11B9" w:rsidP="001800FF">
            <w:pPr>
              <w:pStyle w:val="Heading5"/>
              <w:spacing w:before="0" w:beforeAutospacing="0" w:after="0" w:afterAutospacing="0"/>
              <w:jc w:val="right"/>
              <w:rPr>
                <w:rFonts w:eastAsia="Times New Roman" w:cs="Arial"/>
              </w:rPr>
            </w:pPr>
            <w:r w:rsidRPr="00E816F5">
              <w:rPr>
                <w:rFonts w:eastAsia="Times New Roman" w:cs="Arial"/>
              </w:rPr>
              <w:t>SUBTOTAL Cat. 1-6</w:t>
            </w:r>
          </w:p>
        </w:tc>
        <w:tc>
          <w:tcPr>
            <w:tcW w:w="406" w:type="pct"/>
            <w:tcBorders>
              <w:bottom w:val="single" w:sz="6" w:space="0" w:color="000000"/>
              <w:right w:val="single" w:sz="6" w:space="0" w:color="000000"/>
            </w:tcBorders>
            <w:tcMar>
              <w:top w:w="43" w:type="dxa"/>
              <w:left w:w="43" w:type="dxa"/>
              <w:bottom w:w="43" w:type="dxa"/>
              <w:right w:w="43" w:type="dxa"/>
            </w:tcMar>
            <w:hideMark/>
          </w:tcPr>
          <w:p w14:paraId="66BAD251"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550</w:t>
            </w:r>
          </w:p>
        </w:tc>
        <w:tc>
          <w:tcPr>
            <w:tcW w:w="410" w:type="pct"/>
            <w:tcBorders>
              <w:bottom w:val="single" w:sz="6" w:space="0" w:color="000000"/>
              <w:right w:val="single" w:sz="6" w:space="0" w:color="000000"/>
            </w:tcBorders>
            <w:tcMar>
              <w:top w:w="43" w:type="dxa"/>
              <w:left w:w="43" w:type="dxa"/>
              <w:bottom w:w="43" w:type="dxa"/>
              <w:right w:w="43" w:type="dxa"/>
            </w:tcMar>
            <w:hideMark/>
          </w:tcPr>
          <w:p w14:paraId="282349BD" w14:textId="77777777" w:rsidR="005E22BD" w:rsidRPr="00E816F5" w:rsidRDefault="005E22BD" w:rsidP="000B50BB">
            <w:pPr>
              <w:spacing w:after="0"/>
              <w:jc w:val="center"/>
              <w:rPr>
                <w:rFonts w:eastAsia="Times New Roman" w:cs="Arial"/>
                <w:sz w:val="20"/>
                <w:szCs w:val="20"/>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6CD0A91B"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305</w:t>
            </w:r>
          </w:p>
        </w:tc>
        <w:tc>
          <w:tcPr>
            <w:tcW w:w="480" w:type="pct"/>
            <w:tcBorders>
              <w:bottom w:val="single" w:sz="6" w:space="0" w:color="000000"/>
              <w:right w:val="single" w:sz="6" w:space="0" w:color="000000"/>
            </w:tcBorders>
            <w:tcMar>
              <w:top w:w="43" w:type="dxa"/>
              <w:left w:w="43" w:type="dxa"/>
              <w:bottom w:w="43" w:type="dxa"/>
              <w:right w:w="43" w:type="dxa"/>
            </w:tcMar>
            <w:hideMark/>
          </w:tcPr>
          <w:p w14:paraId="1BF45BA9" w14:textId="2D37A4E5" w:rsidR="005E22BD" w:rsidRPr="00E816F5" w:rsidRDefault="000A11B9" w:rsidP="001800FF">
            <w:pPr>
              <w:spacing w:after="0"/>
              <w:rPr>
                <w:rFonts w:eastAsia="Times New Roman" w:cs="Arial"/>
                <w:sz w:val="20"/>
                <w:szCs w:val="20"/>
              </w:rPr>
            </w:pPr>
            <w:r w:rsidRPr="00E816F5">
              <w:rPr>
                <w:rFonts w:eastAsia="Times New Roman" w:cs="Arial"/>
                <w:sz w:val="20"/>
                <w:szCs w:val="20"/>
              </w:rPr>
              <w:t>4 (261</w:t>
            </w:r>
            <w:r w:rsidR="001800FF" w:rsidRPr="00E816F5">
              <w:rPr>
                <w:rFonts w:eastAsia="Times New Roman" w:cs="Arial"/>
                <w:sz w:val="20"/>
                <w:szCs w:val="20"/>
              </w:rPr>
              <w:t>–</w:t>
            </w:r>
            <w:r w:rsidRPr="00E816F5">
              <w:rPr>
                <w:rFonts w:eastAsia="Times New Roman" w:cs="Arial"/>
                <w:sz w:val="20"/>
                <w:szCs w:val="20"/>
              </w:rPr>
              <w:t>320 pts</w:t>
            </w:r>
            <w:r w:rsidR="001800FF" w:rsidRPr="00E816F5">
              <w:rPr>
                <w:rFonts w:eastAsia="Times New Roman" w:cs="Arial"/>
                <w:sz w:val="20"/>
                <w:szCs w:val="20"/>
              </w:rPr>
              <w:t>.</w:t>
            </w:r>
            <w:r w:rsidRPr="00E816F5">
              <w:rPr>
                <w:rFonts w:eastAsia="Times New Roman" w:cs="Arial"/>
                <w:sz w:val="20"/>
                <w:szCs w:val="20"/>
              </w:rPr>
              <w:t>)</w:t>
            </w:r>
          </w:p>
        </w:tc>
      </w:tr>
      <w:tr w:rsidR="00E816F5" w14:paraId="544E52A7" w14:textId="77777777" w:rsidTr="00E816F5">
        <w:trPr>
          <w:gridAfter w:val="4"/>
          <w:divId w:val="905190427"/>
          <w:wAfter w:w="1575" w:type="pct"/>
        </w:trPr>
        <w:tc>
          <w:tcPr>
            <w:tcW w:w="3425" w:type="pct"/>
            <w:tcBorders>
              <w:bottom w:val="single" w:sz="6" w:space="0" w:color="000000"/>
              <w:right w:val="single" w:sz="6" w:space="0" w:color="000000"/>
            </w:tcBorders>
            <w:tcMar>
              <w:top w:w="43" w:type="dxa"/>
              <w:left w:w="43" w:type="dxa"/>
              <w:bottom w:w="43" w:type="dxa"/>
              <w:right w:w="43" w:type="dxa"/>
            </w:tcMar>
            <w:hideMark/>
          </w:tcPr>
          <w:p w14:paraId="5C0F5C21" w14:textId="77777777" w:rsidR="005E22BD" w:rsidRPr="00E816F5" w:rsidRDefault="000A11B9" w:rsidP="001800FF">
            <w:pPr>
              <w:pStyle w:val="Heading5"/>
              <w:spacing w:before="0" w:beforeAutospacing="0" w:after="0" w:afterAutospacing="0"/>
              <w:rPr>
                <w:rFonts w:eastAsia="Times New Roman" w:cs="Arial"/>
              </w:rPr>
            </w:pPr>
            <w:r w:rsidRPr="00E816F5">
              <w:rPr>
                <w:rFonts w:eastAsia="Times New Roman" w:cs="Arial"/>
              </w:rPr>
              <w:t>Category 7</w:t>
            </w:r>
            <w:r w:rsidR="000834C7" w:rsidRPr="00E816F5">
              <w:rPr>
                <w:rFonts w:eastAsia="Times New Roman" w:cs="Arial"/>
              </w:rPr>
              <w:t>—</w:t>
            </w:r>
            <w:r w:rsidRPr="00E816F5">
              <w:rPr>
                <w:rFonts w:eastAsia="Times New Roman" w:cs="Arial"/>
              </w:rPr>
              <w:t>Results</w:t>
            </w:r>
          </w:p>
        </w:tc>
      </w:tr>
      <w:tr w:rsidR="00E816F5" w14:paraId="04FB7340"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5BC5A363"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7.1 Student Learning and Process Results</w:t>
            </w:r>
          </w:p>
        </w:tc>
        <w:tc>
          <w:tcPr>
            <w:tcW w:w="406" w:type="pct"/>
            <w:tcBorders>
              <w:bottom w:val="single" w:sz="6" w:space="0" w:color="000000"/>
              <w:right w:val="single" w:sz="6" w:space="0" w:color="000000"/>
            </w:tcBorders>
            <w:tcMar>
              <w:top w:w="43" w:type="dxa"/>
              <w:left w:w="43" w:type="dxa"/>
              <w:bottom w:w="43" w:type="dxa"/>
              <w:right w:w="43" w:type="dxa"/>
            </w:tcMar>
            <w:hideMark/>
          </w:tcPr>
          <w:p w14:paraId="4819FB2F"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120</w:t>
            </w:r>
          </w:p>
        </w:tc>
        <w:tc>
          <w:tcPr>
            <w:tcW w:w="410" w:type="pct"/>
            <w:tcBorders>
              <w:bottom w:val="single" w:sz="6" w:space="0" w:color="000000"/>
              <w:right w:val="single" w:sz="6" w:space="0" w:color="000000"/>
            </w:tcBorders>
            <w:tcMar>
              <w:top w:w="43" w:type="dxa"/>
              <w:left w:w="43" w:type="dxa"/>
              <w:bottom w:w="43" w:type="dxa"/>
              <w:right w:w="43" w:type="dxa"/>
            </w:tcMar>
            <w:hideMark/>
          </w:tcPr>
          <w:p w14:paraId="27C61B55"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55%</w:t>
            </w:r>
          </w:p>
        </w:tc>
        <w:tc>
          <w:tcPr>
            <w:tcW w:w="0" w:type="auto"/>
            <w:tcBorders>
              <w:bottom w:val="single" w:sz="6" w:space="0" w:color="000000"/>
              <w:right w:val="single" w:sz="6" w:space="0" w:color="000000"/>
            </w:tcBorders>
            <w:tcMar>
              <w:top w:w="43" w:type="dxa"/>
              <w:left w:w="43" w:type="dxa"/>
              <w:bottom w:w="43" w:type="dxa"/>
              <w:right w:w="43" w:type="dxa"/>
            </w:tcMar>
            <w:hideMark/>
          </w:tcPr>
          <w:p w14:paraId="76135CE0"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66</w:t>
            </w:r>
          </w:p>
        </w:tc>
        <w:tc>
          <w:tcPr>
            <w:tcW w:w="480" w:type="pct"/>
            <w:tcBorders>
              <w:bottom w:val="single" w:sz="6" w:space="0" w:color="000000"/>
              <w:right w:val="single" w:sz="6" w:space="0" w:color="000000"/>
            </w:tcBorders>
            <w:tcMar>
              <w:top w:w="43" w:type="dxa"/>
              <w:left w:w="43" w:type="dxa"/>
              <w:bottom w:w="43" w:type="dxa"/>
              <w:right w:w="43" w:type="dxa"/>
            </w:tcMar>
            <w:hideMark/>
          </w:tcPr>
          <w:p w14:paraId="5FDEE4C6" w14:textId="77777777" w:rsidR="005E22BD" w:rsidRPr="00E816F5" w:rsidRDefault="005E22BD" w:rsidP="001800FF">
            <w:pPr>
              <w:spacing w:after="0"/>
              <w:rPr>
                <w:rFonts w:eastAsia="Times New Roman" w:cs="Arial"/>
                <w:sz w:val="20"/>
                <w:szCs w:val="20"/>
              </w:rPr>
            </w:pPr>
          </w:p>
        </w:tc>
      </w:tr>
      <w:tr w:rsidR="00E816F5" w14:paraId="783710FF"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3D810045"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7.2 Customer Results</w:t>
            </w:r>
          </w:p>
        </w:tc>
        <w:tc>
          <w:tcPr>
            <w:tcW w:w="406" w:type="pct"/>
            <w:tcBorders>
              <w:bottom w:val="single" w:sz="6" w:space="0" w:color="000000"/>
              <w:right w:val="single" w:sz="6" w:space="0" w:color="000000"/>
            </w:tcBorders>
            <w:tcMar>
              <w:top w:w="43" w:type="dxa"/>
              <w:left w:w="43" w:type="dxa"/>
              <w:bottom w:w="43" w:type="dxa"/>
              <w:right w:w="43" w:type="dxa"/>
            </w:tcMar>
            <w:hideMark/>
          </w:tcPr>
          <w:p w14:paraId="18F41C61"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80</w:t>
            </w:r>
          </w:p>
        </w:tc>
        <w:tc>
          <w:tcPr>
            <w:tcW w:w="410" w:type="pct"/>
            <w:tcBorders>
              <w:bottom w:val="single" w:sz="6" w:space="0" w:color="000000"/>
              <w:right w:val="single" w:sz="6" w:space="0" w:color="000000"/>
            </w:tcBorders>
            <w:tcMar>
              <w:top w:w="43" w:type="dxa"/>
              <w:left w:w="43" w:type="dxa"/>
              <w:bottom w:w="43" w:type="dxa"/>
              <w:right w:w="43" w:type="dxa"/>
            </w:tcMar>
            <w:hideMark/>
          </w:tcPr>
          <w:p w14:paraId="67F16963"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50%</w:t>
            </w:r>
          </w:p>
        </w:tc>
        <w:tc>
          <w:tcPr>
            <w:tcW w:w="0" w:type="auto"/>
            <w:tcBorders>
              <w:bottom w:val="single" w:sz="6" w:space="0" w:color="000000"/>
              <w:right w:val="single" w:sz="6" w:space="0" w:color="000000"/>
            </w:tcBorders>
            <w:tcMar>
              <w:top w:w="43" w:type="dxa"/>
              <w:left w:w="43" w:type="dxa"/>
              <w:bottom w:w="43" w:type="dxa"/>
              <w:right w:w="43" w:type="dxa"/>
            </w:tcMar>
            <w:hideMark/>
          </w:tcPr>
          <w:p w14:paraId="3364E4FD"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40</w:t>
            </w:r>
          </w:p>
        </w:tc>
        <w:tc>
          <w:tcPr>
            <w:tcW w:w="480" w:type="pct"/>
            <w:tcBorders>
              <w:bottom w:val="single" w:sz="6" w:space="0" w:color="000000"/>
              <w:right w:val="single" w:sz="6" w:space="0" w:color="000000"/>
            </w:tcBorders>
            <w:tcMar>
              <w:top w:w="43" w:type="dxa"/>
              <w:left w:w="43" w:type="dxa"/>
              <w:bottom w:w="43" w:type="dxa"/>
              <w:right w:w="43" w:type="dxa"/>
            </w:tcMar>
            <w:hideMark/>
          </w:tcPr>
          <w:p w14:paraId="40B19893" w14:textId="77777777" w:rsidR="005E22BD" w:rsidRPr="00E816F5" w:rsidRDefault="005E22BD" w:rsidP="001800FF">
            <w:pPr>
              <w:spacing w:after="0"/>
              <w:rPr>
                <w:rFonts w:eastAsia="Times New Roman" w:cs="Arial"/>
                <w:sz w:val="20"/>
                <w:szCs w:val="20"/>
              </w:rPr>
            </w:pPr>
          </w:p>
        </w:tc>
      </w:tr>
      <w:tr w:rsidR="00E816F5" w14:paraId="534E9E83"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7393FF6B"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7.3 Workforce Results</w:t>
            </w:r>
          </w:p>
        </w:tc>
        <w:tc>
          <w:tcPr>
            <w:tcW w:w="406" w:type="pct"/>
            <w:tcBorders>
              <w:bottom w:val="single" w:sz="6" w:space="0" w:color="000000"/>
              <w:right w:val="single" w:sz="6" w:space="0" w:color="000000"/>
            </w:tcBorders>
            <w:tcMar>
              <w:top w:w="43" w:type="dxa"/>
              <w:left w:w="43" w:type="dxa"/>
              <w:bottom w:w="43" w:type="dxa"/>
              <w:right w:w="43" w:type="dxa"/>
            </w:tcMar>
            <w:hideMark/>
          </w:tcPr>
          <w:p w14:paraId="0FBAA495"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80</w:t>
            </w:r>
          </w:p>
        </w:tc>
        <w:tc>
          <w:tcPr>
            <w:tcW w:w="410" w:type="pct"/>
            <w:tcBorders>
              <w:bottom w:val="single" w:sz="6" w:space="0" w:color="000000"/>
              <w:right w:val="single" w:sz="6" w:space="0" w:color="000000"/>
            </w:tcBorders>
            <w:tcMar>
              <w:top w:w="43" w:type="dxa"/>
              <w:left w:w="43" w:type="dxa"/>
              <w:bottom w:w="43" w:type="dxa"/>
              <w:right w:w="43" w:type="dxa"/>
            </w:tcMar>
            <w:hideMark/>
          </w:tcPr>
          <w:p w14:paraId="0648B396"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55%</w:t>
            </w:r>
          </w:p>
        </w:tc>
        <w:tc>
          <w:tcPr>
            <w:tcW w:w="0" w:type="auto"/>
            <w:tcBorders>
              <w:bottom w:val="single" w:sz="6" w:space="0" w:color="000000"/>
              <w:right w:val="single" w:sz="6" w:space="0" w:color="000000"/>
            </w:tcBorders>
            <w:tcMar>
              <w:top w:w="43" w:type="dxa"/>
              <w:left w:w="43" w:type="dxa"/>
              <w:bottom w:w="43" w:type="dxa"/>
              <w:right w:w="43" w:type="dxa"/>
            </w:tcMar>
            <w:hideMark/>
          </w:tcPr>
          <w:p w14:paraId="2E1E3199"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44</w:t>
            </w:r>
          </w:p>
        </w:tc>
        <w:tc>
          <w:tcPr>
            <w:tcW w:w="480" w:type="pct"/>
            <w:tcBorders>
              <w:bottom w:val="single" w:sz="6" w:space="0" w:color="000000"/>
              <w:right w:val="single" w:sz="6" w:space="0" w:color="000000"/>
            </w:tcBorders>
            <w:tcMar>
              <w:top w:w="43" w:type="dxa"/>
              <w:left w:w="43" w:type="dxa"/>
              <w:bottom w:w="43" w:type="dxa"/>
              <w:right w:w="43" w:type="dxa"/>
            </w:tcMar>
            <w:hideMark/>
          </w:tcPr>
          <w:p w14:paraId="57618596" w14:textId="77777777" w:rsidR="005E22BD" w:rsidRPr="00E816F5" w:rsidRDefault="005E22BD" w:rsidP="001800FF">
            <w:pPr>
              <w:spacing w:after="0"/>
              <w:rPr>
                <w:rFonts w:eastAsia="Times New Roman" w:cs="Arial"/>
                <w:sz w:val="20"/>
                <w:szCs w:val="20"/>
              </w:rPr>
            </w:pPr>
          </w:p>
        </w:tc>
      </w:tr>
      <w:tr w:rsidR="00E816F5" w14:paraId="159EEF7E"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0A23EB53"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7.4 Leadership and Governance Results</w:t>
            </w:r>
          </w:p>
        </w:tc>
        <w:tc>
          <w:tcPr>
            <w:tcW w:w="406" w:type="pct"/>
            <w:tcBorders>
              <w:bottom w:val="single" w:sz="6" w:space="0" w:color="000000"/>
              <w:right w:val="single" w:sz="6" w:space="0" w:color="000000"/>
            </w:tcBorders>
            <w:tcMar>
              <w:top w:w="43" w:type="dxa"/>
              <w:left w:w="43" w:type="dxa"/>
              <w:bottom w:w="43" w:type="dxa"/>
              <w:right w:w="43" w:type="dxa"/>
            </w:tcMar>
            <w:hideMark/>
          </w:tcPr>
          <w:p w14:paraId="1F077990"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80</w:t>
            </w:r>
          </w:p>
        </w:tc>
        <w:tc>
          <w:tcPr>
            <w:tcW w:w="410" w:type="pct"/>
            <w:tcBorders>
              <w:bottom w:val="single" w:sz="6" w:space="0" w:color="000000"/>
              <w:right w:val="single" w:sz="6" w:space="0" w:color="000000"/>
            </w:tcBorders>
            <w:tcMar>
              <w:top w:w="43" w:type="dxa"/>
              <w:left w:w="43" w:type="dxa"/>
              <w:bottom w:w="43" w:type="dxa"/>
              <w:right w:w="43" w:type="dxa"/>
            </w:tcMar>
            <w:hideMark/>
          </w:tcPr>
          <w:p w14:paraId="7CCF5BCE"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65%</w:t>
            </w:r>
          </w:p>
        </w:tc>
        <w:tc>
          <w:tcPr>
            <w:tcW w:w="0" w:type="auto"/>
            <w:tcBorders>
              <w:bottom w:val="single" w:sz="6" w:space="0" w:color="000000"/>
              <w:right w:val="single" w:sz="6" w:space="0" w:color="000000"/>
            </w:tcBorders>
            <w:tcMar>
              <w:top w:w="43" w:type="dxa"/>
              <w:left w:w="43" w:type="dxa"/>
              <w:bottom w:w="43" w:type="dxa"/>
              <w:right w:w="43" w:type="dxa"/>
            </w:tcMar>
            <w:hideMark/>
          </w:tcPr>
          <w:p w14:paraId="3A01ED84"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52</w:t>
            </w:r>
          </w:p>
        </w:tc>
        <w:tc>
          <w:tcPr>
            <w:tcW w:w="480" w:type="pct"/>
            <w:tcBorders>
              <w:bottom w:val="single" w:sz="6" w:space="0" w:color="000000"/>
              <w:right w:val="single" w:sz="6" w:space="0" w:color="000000"/>
            </w:tcBorders>
            <w:tcMar>
              <w:top w:w="43" w:type="dxa"/>
              <w:left w:w="43" w:type="dxa"/>
              <w:bottom w:w="43" w:type="dxa"/>
              <w:right w:w="43" w:type="dxa"/>
            </w:tcMar>
            <w:hideMark/>
          </w:tcPr>
          <w:p w14:paraId="7701A835" w14:textId="77777777" w:rsidR="005E22BD" w:rsidRPr="00E816F5" w:rsidRDefault="005E22BD" w:rsidP="001800FF">
            <w:pPr>
              <w:spacing w:after="0"/>
              <w:rPr>
                <w:rFonts w:eastAsia="Times New Roman" w:cs="Arial"/>
                <w:sz w:val="20"/>
                <w:szCs w:val="20"/>
              </w:rPr>
            </w:pPr>
          </w:p>
        </w:tc>
      </w:tr>
      <w:tr w:rsidR="00E816F5" w14:paraId="67D625F0"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0D568088" w14:textId="77777777" w:rsidR="005E22BD" w:rsidRPr="00E816F5" w:rsidRDefault="000A11B9" w:rsidP="001800FF">
            <w:pPr>
              <w:spacing w:after="0"/>
              <w:rPr>
                <w:rFonts w:eastAsia="Times New Roman" w:cs="Arial"/>
                <w:sz w:val="20"/>
                <w:szCs w:val="20"/>
              </w:rPr>
            </w:pPr>
            <w:r w:rsidRPr="00E816F5">
              <w:rPr>
                <w:rFonts w:eastAsia="Times New Roman" w:cs="Arial"/>
                <w:sz w:val="20"/>
                <w:szCs w:val="20"/>
              </w:rPr>
              <w:t>7.5 Budgetary, Financial, Market, and Strategy Results</w:t>
            </w:r>
          </w:p>
        </w:tc>
        <w:tc>
          <w:tcPr>
            <w:tcW w:w="406" w:type="pct"/>
            <w:tcBorders>
              <w:bottom w:val="single" w:sz="6" w:space="0" w:color="000000"/>
              <w:right w:val="single" w:sz="6" w:space="0" w:color="000000"/>
            </w:tcBorders>
            <w:tcMar>
              <w:top w:w="43" w:type="dxa"/>
              <w:left w:w="43" w:type="dxa"/>
              <w:bottom w:w="43" w:type="dxa"/>
              <w:right w:w="43" w:type="dxa"/>
            </w:tcMar>
            <w:hideMark/>
          </w:tcPr>
          <w:p w14:paraId="4A8D8705"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90</w:t>
            </w:r>
          </w:p>
        </w:tc>
        <w:tc>
          <w:tcPr>
            <w:tcW w:w="410" w:type="pct"/>
            <w:tcBorders>
              <w:bottom w:val="single" w:sz="6" w:space="0" w:color="000000"/>
              <w:right w:val="single" w:sz="6" w:space="0" w:color="000000"/>
            </w:tcBorders>
            <w:tcMar>
              <w:top w:w="43" w:type="dxa"/>
              <w:left w:w="43" w:type="dxa"/>
              <w:bottom w:w="43" w:type="dxa"/>
              <w:right w:w="43" w:type="dxa"/>
            </w:tcMar>
            <w:hideMark/>
          </w:tcPr>
          <w:p w14:paraId="3281ABB3"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50%</w:t>
            </w:r>
          </w:p>
        </w:tc>
        <w:tc>
          <w:tcPr>
            <w:tcW w:w="0" w:type="auto"/>
            <w:tcBorders>
              <w:bottom w:val="single" w:sz="6" w:space="0" w:color="000000"/>
              <w:right w:val="single" w:sz="6" w:space="0" w:color="000000"/>
            </w:tcBorders>
            <w:tcMar>
              <w:top w:w="43" w:type="dxa"/>
              <w:left w:w="43" w:type="dxa"/>
              <w:bottom w:w="43" w:type="dxa"/>
              <w:right w:w="43" w:type="dxa"/>
            </w:tcMar>
            <w:hideMark/>
          </w:tcPr>
          <w:p w14:paraId="33A4C68C"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w:t>
            </w:r>
          </w:p>
        </w:tc>
        <w:tc>
          <w:tcPr>
            <w:tcW w:w="480" w:type="pct"/>
            <w:tcBorders>
              <w:bottom w:val="single" w:sz="6" w:space="0" w:color="000000"/>
              <w:right w:val="single" w:sz="6" w:space="0" w:color="000000"/>
            </w:tcBorders>
            <w:tcMar>
              <w:top w:w="43" w:type="dxa"/>
              <w:left w:w="43" w:type="dxa"/>
              <w:bottom w:w="43" w:type="dxa"/>
              <w:right w:w="43" w:type="dxa"/>
            </w:tcMar>
            <w:hideMark/>
          </w:tcPr>
          <w:p w14:paraId="5361BE80" w14:textId="77777777" w:rsidR="005E22BD" w:rsidRPr="00E816F5" w:rsidRDefault="005E22BD" w:rsidP="001800FF">
            <w:pPr>
              <w:spacing w:after="0"/>
              <w:rPr>
                <w:rFonts w:eastAsia="Times New Roman" w:cs="Arial"/>
                <w:sz w:val="20"/>
                <w:szCs w:val="20"/>
              </w:rPr>
            </w:pPr>
          </w:p>
        </w:tc>
      </w:tr>
      <w:tr w:rsidR="00E816F5" w14:paraId="6362F949"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1D7A688B" w14:textId="77777777" w:rsidR="005E22BD" w:rsidRPr="00E816F5" w:rsidRDefault="000A11B9" w:rsidP="001800FF">
            <w:pPr>
              <w:pStyle w:val="Heading5"/>
              <w:spacing w:before="0" w:beforeAutospacing="0" w:after="0" w:afterAutospacing="0"/>
              <w:jc w:val="right"/>
              <w:rPr>
                <w:rFonts w:eastAsia="Times New Roman" w:cs="Arial"/>
              </w:rPr>
            </w:pPr>
            <w:r w:rsidRPr="00E816F5">
              <w:rPr>
                <w:rFonts w:eastAsia="Times New Roman" w:cs="Arial"/>
              </w:rPr>
              <w:t>SUBTOTAL Cat. 7</w:t>
            </w:r>
          </w:p>
        </w:tc>
        <w:tc>
          <w:tcPr>
            <w:tcW w:w="406" w:type="pct"/>
            <w:tcBorders>
              <w:bottom w:val="single" w:sz="6" w:space="0" w:color="000000"/>
              <w:right w:val="single" w:sz="6" w:space="0" w:color="000000"/>
            </w:tcBorders>
            <w:tcMar>
              <w:top w:w="43" w:type="dxa"/>
              <w:left w:w="43" w:type="dxa"/>
              <w:bottom w:w="43" w:type="dxa"/>
              <w:right w:w="43" w:type="dxa"/>
            </w:tcMar>
            <w:hideMark/>
          </w:tcPr>
          <w:p w14:paraId="7C0955BD"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450</w:t>
            </w:r>
          </w:p>
        </w:tc>
        <w:tc>
          <w:tcPr>
            <w:tcW w:w="410" w:type="pct"/>
            <w:tcBorders>
              <w:bottom w:val="single" w:sz="6" w:space="0" w:color="000000"/>
              <w:right w:val="single" w:sz="6" w:space="0" w:color="000000"/>
            </w:tcBorders>
            <w:tcMar>
              <w:top w:w="43" w:type="dxa"/>
              <w:left w:w="43" w:type="dxa"/>
              <w:bottom w:w="43" w:type="dxa"/>
              <w:right w:w="43" w:type="dxa"/>
            </w:tcMar>
            <w:hideMark/>
          </w:tcPr>
          <w:p w14:paraId="0D2B2B2D" w14:textId="77777777" w:rsidR="005E22BD" w:rsidRPr="00E816F5" w:rsidRDefault="005E22BD" w:rsidP="000B50BB">
            <w:pPr>
              <w:spacing w:after="0"/>
              <w:jc w:val="center"/>
              <w:rPr>
                <w:rFonts w:eastAsia="Times New Roman" w:cs="Arial"/>
                <w:sz w:val="20"/>
                <w:szCs w:val="20"/>
              </w:rPr>
            </w:pPr>
          </w:p>
        </w:tc>
        <w:tc>
          <w:tcPr>
            <w:tcW w:w="0" w:type="auto"/>
            <w:tcBorders>
              <w:bottom w:val="single" w:sz="6" w:space="0" w:color="000000"/>
              <w:right w:val="single" w:sz="6" w:space="0" w:color="000000"/>
            </w:tcBorders>
            <w:tcMar>
              <w:top w:w="43" w:type="dxa"/>
              <w:left w:w="43" w:type="dxa"/>
              <w:bottom w:w="43" w:type="dxa"/>
              <w:right w:w="43" w:type="dxa"/>
            </w:tcMar>
            <w:hideMark/>
          </w:tcPr>
          <w:p w14:paraId="4C240609"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247</w:t>
            </w:r>
          </w:p>
        </w:tc>
        <w:tc>
          <w:tcPr>
            <w:tcW w:w="480" w:type="pct"/>
            <w:tcBorders>
              <w:bottom w:val="single" w:sz="6" w:space="0" w:color="000000"/>
              <w:right w:val="single" w:sz="6" w:space="0" w:color="000000"/>
            </w:tcBorders>
            <w:tcMar>
              <w:top w:w="43" w:type="dxa"/>
              <w:left w:w="43" w:type="dxa"/>
              <w:bottom w:w="43" w:type="dxa"/>
              <w:right w:w="43" w:type="dxa"/>
            </w:tcMar>
            <w:hideMark/>
          </w:tcPr>
          <w:p w14:paraId="1D0852F3" w14:textId="19C29ADF" w:rsidR="005E22BD" w:rsidRPr="00E816F5" w:rsidRDefault="000A11B9" w:rsidP="001800FF">
            <w:pPr>
              <w:spacing w:after="0"/>
              <w:rPr>
                <w:rFonts w:eastAsia="Times New Roman" w:cs="Arial"/>
                <w:sz w:val="20"/>
                <w:szCs w:val="20"/>
              </w:rPr>
            </w:pPr>
            <w:r w:rsidRPr="00E816F5">
              <w:rPr>
                <w:rFonts w:eastAsia="Times New Roman" w:cs="Arial"/>
                <w:sz w:val="20"/>
                <w:szCs w:val="20"/>
              </w:rPr>
              <w:t>4 (211</w:t>
            </w:r>
            <w:r w:rsidR="001800FF" w:rsidRPr="00E816F5">
              <w:rPr>
                <w:rFonts w:eastAsia="Times New Roman" w:cs="Arial"/>
                <w:sz w:val="20"/>
                <w:szCs w:val="20"/>
              </w:rPr>
              <w:t>–</w:t>
            </w:r>
            <w:r w:rsidRPr="00E816F5">
              <w:rPr>
                <w:rFonts w:eastAsia="Times New Roman" w:cs="Arial"/>
                <w:sz w:val="20"/>
                <w:szCs w:val="20"/>
              </w:rPr>
              <w:t>255 pts</w:t>
            </w:r>
            <w:r w:rsidR="001800FF" w:rsidRPr="00E816F5">
              <w:rPr>
                <w:rFonts w:eastAsia="Times New Roman" w:cs="Arial"/>
                <w:sz w:val="20"/>
                <w:szCs w:val="20"/>
              </w:rPr>
              <w:t>.</w:t>
            </w:r>
            <w:r w:rsidRPr="00E816F5">
              <w:rPr>
                <w:rFonts w:eastAsia="Times New Roman" w:cs="Arial"/>
                <w:sz w:val="20"/>
                <w:szCs w:val="20"/>
              </w:rPr>
              <w:t>)</w:t>
            </w:r>
          </w:p>
        </w:tc>
      </w:tr>
      <w:tr w:rsidR="00E816F5" w14:paraId="71051E3C" w14:textId="77777777" w:rsidTr="00E816F5">
        <w:trPr>
          <w:divId w:val="905190427"/>
        </w:trPr>
        <w:tc>
          <w:tcPr>
            <w:tcW w:w="3425" w:type="pct"/>
            <w:tcBorders>
              <w:bottom w:val="single" w:sz="6" w:space="0" w:color="000000"/>
              <w:right w:val="single" w:sz="6" w:space="0" w:color="000000"/>
            </w:tcBorders>
            <w:tcMar>
              <w:top w:w="43" w:type="dxa"/>
              <w:left w:w="43" w:type="dxa"/>
              <w:bottom w:w="43" w:type="dxa"/>
              <w:right w:w="43" w:type="dxa"/>
            </w:tcMar>
            <w:hideMark/>
          </w:tcPr>
          <w:p w14:paraId="67024A85" w14:textId="77777777" w:rsidR="005E22BD" w:rsidRPr="00E816F5" w:rsidRDefault="000A11B9" w:rsidP="001800FF">
            <w:pPr>
              <w:pStyle w:val="Heading5"/>
              <w:spacing w:before="0" w:beforeAutospacing="0" w:after="0" w:afterAutospacing="0"/>
              <w:jc w:val="right"/>
              <w:rPr>
                <w:rFonts w:eastAsia="Times New Roman" w:cs="Arial"/>
              </w:rPr>
            </w:pPr>
            <w:r w:rsidRPr="00E816F5">
              <w:rPr>
                <w:rFonts w:eastAsia="Times New Roman" w:cs="Arial"/>
              </w:rPr>
              <w:t>GRAND TOTAL</w:t>
            </w:r>
          </w:p>
        </w:tc>
        <w:tc>
          <w:tcPr>
            <w:tcW w:w="406" w:type="pct"/>
            <w:tcBorders>
              <w:bottom w:val="single" w:sz="6" w:space="0" w:color="000000"/>
              <w:right w:val="single" w:sz="6" w:space="0" w:color="000000"/>
            </w:tcBorders>
            <w:tcMar>
              <w:top w:w="43" w:type="dxa"/>
              <w:left w:w="43" w:type="dxa"/>
              <w:bottom w:w="43" w:type="dxa"/>
              <w:right w:w="43" w:type="dxa"/>
            </w:tcMar>
            <w:hideMark/>
          </w:tcPr>
          <w:p w14:paraId="5DF1CAD3"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1000</w:t>
            </w:r>
          </w:p>
        </w:tc>
        <w:tc>
          <w:tcPr>
            <w:tcW w:w="410" w:type="pct"/>
            <w:tcBorders>
              <w:bottom w:val="single" w:sz="6" w:space="0" w:color="000000"/>
              <w:right w:val="single" w:sz="6" w:space="0" w:color="000000"/>
            </w:tcBorders>
            <w:tcMar>
              <w:top w:w="43" w:type="dxa"/>
              <w:left w:w="43" w:type="dxa"/>
              <w:bottom w:w="43" w:type="dxa"/>
              <w:right w:w="43" w:type="dxa"/>
            </w:tcMar>
            <w:hideMark/>
          </w:tcPr>
          <w:p w14:paraId="1FFED9D2" w14:textId="77777777" w:rsidR="005E22BD" w:rsidRPr="00E816F5" w:rsidRDefault="000A11B9" w:rsidP="000B50BB">
            <w:pPr>
              <w:pStyle w:val="Heading5"/>
              <w:spacing w:before="0" w:beforeAutospacing="0" w:after="0" w:afterAutospacing="0"/>
              <w:jc w:val="center"/>
              <w:rPr>
                <w:rFonts w:eastAsia="Times New Roman" w:cs="Arial"/>
              </w:rPr>
            </w:pPr>
            <w:r w:rsidRPr="00E816F5">
              <w:rPr>
                <w:rFonts w:eastAsia="Times New Roman" w:cs="Arial"/>
              </w:rPr>
              <w:t>TOTAL SCORE</w:t>
            </w:r>
          </w:p>
        </w:tc>
        <w:tc>
          <w:tcPr>
            <w:tcW w:w="0" w:type="auto"/>
            <w:tcBorders>
              <w:bottom w:val="single" w:sz="6" w:space="0" w:color="000000"/>
              <w:right w:val="single" w:sz="6" w:space="0" w:color="000000"/>
            </w:tcBorders>
            <w:tcMar>
              <w:top w:w="43" w:type="dxa"/>
              <w:left w:w="43" w:type="dxa"/>
              <w:bottom w:w="43" w:type="dxa"/>
              <w:right w:w="43" w:type="dxa"/>
            </w:tcMar>
            <w:hideMark/>
          </w:tcPr>
          <w:p w14:paraId="0EF7069D" w14:textId="77777777" w:rsidR="005E22BD" w:rsidRPr="00E816F5" w:rsidRDefault="000A11B9" w:rsidP="000B50BB">
            <w:pPr>
              <w:spacing w:after="0"/>
              <w:jc w:val="center"/>
              <w:rPr>
                <w:rFonts w:eastAsia="Times New Roman" w:cs="Arial"/>
                <w:sz w:val="20"/>
                <w:szCs w:val="20"/>
              </w:rPr>
            </w:pPr>
            <w:r w:rsidRPr="00E816F5">
              <w:rPr>
                <w:rFonts w:eastAsia="Times New Roman" w:cs="Arial"/>
                <w:sz w:val="20"/>
                <w:szCs w:val="20"/>
              </w:rPr>
              <w:t>552</w:t>
            </w:r>
          </w:p>
        </w:tc>
        <w:tc>
          <w:tcPr>
            <w:tcW w:w="480" w:type="pct"/>
            <w:tcBorders>
              <w:bottom w:val="single" w:sz="6" w:space="0" w:color="000000"/>
              <w:right w:val="single" w:sz="6" w:space="0" w:color="000000"/>
            </w:tcBorders>
            <w:tcMar>
              <w:top w:w="43" w:type="dxa"/>
              <w:left w:w="43" w:type="dxa"/>
              <w:bottom w:w="43" w:type="dxa"/>
              <w:right w:w="43" w:type="dxa"/>
            </w:tcMar>
            <w:hideMark/>
          </w:tcPr>
          <w:p w14:paraId="35C566CA" w14:textId="77777777" w:rsidR="005E22BD" w:rsidRPr="00E816F5" w:rsidRDefault="005E22BD" w:rsidP="001800FF">
            <w:pPr>
              <w:spacing w:after="0"/>
              <w:rPr>
                <w:rFonts w:eastAsia="Times New Roman" w:cs="Arial"/>
                <w:sz w:val="20"/>
                <w:szCs w:val="20"/>
              </w:rPr>
            </w:pPr>
          </w:p>
        </w:tc>
      </w:tr>
    </w:tbl>
    <w:p w14:paraId="6C65CF3E" w14:textId="77777777" w:rsidR="005E22BD" w:rsidRDefault="005E22BD">
      <w:pPr>
        <w:divId w:val="905190427"/>
        <w:rPr>
          <w:rFonts w:eastAsia="Times New Roman"/>
        </w:rPr>
      </w:pPr>
    </w:p>
    <w:sectPr w:rsidR="005E22BD" w:rsidSect="00BF1B40">
      <w:footerReference w:type="default" r:id="rId8"/>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378D0" w14:textId="77777777" w:rsidR="009D445A" w:rsidRDefault="009D445A" w:rsidP="00D71C8D">
      <w:r>
        <w:separator/>
      </w:r>
    </w:p>
  </w:endnote>
  <w:endnote w:type="continuationSeparator" w:id="0">
    <w:p w14:paraId="56141121" w14:textId="77777777" w:rsidR="009D445A" w:rsidRDefault="009D445A" w:rsidP="00D7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64278"/>
      <w:docPartObj>
        <w:docPartGallery w:val="Page Numbers (Bottom of Page)"/>
        <w:docPartUnique/>
      </w:docPartObj>
    </w:sdtPr>
    <w:sdtEndPr>
      <w:rPr>
        <w:noProof/>
      </w:rPr>
    </w:sdtEndPr>
    <w:sdtContent>
      <w:p w14:paraId="2A7114F4" w14:textId="20F6CFD1" w:rsidR="009D445A" w:rsidRDefault="009D445A" w:rsidP="00050D3F">
        <w:pPr>
          <w:pStyle w:val="Footer"/>
        </w:pPr>
        <w:r>
          <w:t xml:space="preserve">Pretraining Draft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28E9B" w14:textId="77777777" w:rsidR="009D445A" w:rsidRDefault="009D445A" w:rsidP="00D71C8D">
      <w:r>
        <w:separator/>
      </w:r>
    </w:p>
  </w:footnote>
  <w:footnote w:type="continuationSeparator" w:id="0">
    <w:p w14:paraId="76F9203A" w14:textId="77777777" w:rsidR="009D445A" w:rsidRDefault="009D445A" w:rsidP="00D71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F7C"/>
    <w:multiLevelType w:val="multilevel"/>
    <w:tmpl w:val="A56CC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72837"/>
    <w:multiLevelType w:val="multilevel"/>
    <w:tmpl w:val="0654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7215B"/>
    <w:multiLevelType w:val="hybridMultilevel"/>
    <w:tmpl w:val="CD7C85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B755191"/>
    <w:multiLevelType w:val="multilevel"/>
    <w:tmpl w:val="E0D0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54AA0"/>
    <w:multiLevelType w:val="multilevel"/>
    <w:tmpl w:val="28C0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A53F6B"/>
    <w:multiLevelType w:val="multilevel"/>
    <w:tmpl w:val="3A66D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2C3D20"/>
    <w:multiLevelType w:val="multilevel"/>
    <w:tmpl w:val="4F98F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A72F7A"/>
    <w:multiLevelType w:val="multilevel"/>
    <w:tmpl w:val="46C4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FE661D"/>
    <w:multiLevelType w:val="multilevel"/>
    <w:tmpl w:val="74F6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8178BF"/>
    <w:multiLevelType w:val="multilevel"/>
    <w:tmpl w:val="34E8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075F3"/>
    <w:multiLevelType w:val="multilevel"/>
    <w:tmpl w:val="6558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C908B5"/>
    <w:multiLevelType w:val="multilevel"/>
    <w:tmpl w:val="752E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F0302"/>
    <w:multiLevelType w:val="multilevel"/>
    <w:tmpl w:val="406E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D3E69"/>
    <w:multiLevelType w:val="multilevel"/>
    <w:tmpl w:val="F50E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924BA4"/>
    <w:multiLevelType w:val="multilevel"/>
    <w:tmpl w:val="43100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7E6F93"/>
    <w:multiLevelType w:val="multilevel"/>
    <w:tmpl w:val="654C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46F09"/>
    <w:multiLevelType w:val="multilevel"/>
    <w:tmpl w:val="EA36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755E7"/>
    <w:multiLevelType w:val="multilevel"/>
    <w:tmpl w:val="7400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C20C4C"/>
    <w:multiLevelType w:val="multilevel"/>
    <w:tmpl w:val="045C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C60CDD"/>
    <w:multiLevelType w:val="multilevel"/>
    <w:tmpl w:val="4FF2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F4006D"/>
    <w:multiLevelType w:val="multilevel"/>
    <w:tmpl w:val="F304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156E94"/>
    <w:multiLevelType w:val="multilevel"/>
    <w:tmpl w:val="D3E0D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14"/>
  </w:num>
  <w:num w:numId="5">
    <w:abstractNumId w:val="12"/>
  </w:num>
  <w:num w:numId="6">
    <w:abstractNumId w:val="17"/>
  </w:num>
  <w:num w:numId="7">
    <w:abstractNumId w:val="11"/>
  </w:num>
  <w:num w:numId="8">
    <w:abstractNumId w:val="8"/>
  </w:num>
  <w:num w:numId="9">
    <w:abstractNumId w:val="20"/>
  </w:num>
  <w:num w:numId="10">
    <w:abstractNumId w:val="9"/>
  </w:num>
  <w:num w:numId="11">
    <w:abstractNumId w:val="19"/>
  </w:num>
  <w:num w:numId="12">
    <w:abstractNumId w:val="7"/>
  </w:num>
  <w:num w:numId="13">
    <w:abstractNumId w:val="18"/>
  </w:num>
  <w:num w:numId="14">
    <w:abstractNumId w:val="3"/>
  </w:num>
  <w:num w:numId="15">
    <w:abstractNumId w:val="10"/>
  </w:num>
  <w:num w:numId="16">
    <w:abstractNumId w:val="5"/>
  </w:num>
  <w:num w:numId="17">
    <w:abstractNumId w:val="21"/>
  </w:num>
  <w:num w:numId="18">
    <w:abstractNumId w:val="15"/>
  </w:num>
  <w:num w:numId="19">
    <w:abstractNumId w:val="6"/>
  </w:num>
  <w:num w:numId="20">
    <w:abstractNumId w:val="13"/>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84"/>
    <w:rsid w:val="00013625"/>
    <w:rsid w:val="00030ED8"/>
    <w:rsid w:val="00050D3F"/>
    <w:rsid w:val="000540EF"/>
    <w:rsid w:val="000542F0"/>
    <w:rsid w:val="00062032"/>
    <w:rsid w:val="000625F5"/>
    <w:rsid w:val="000635DD"/>
    <w:rsid w:val="00066937"/>
    <w:rsid w:val="00080296"/>
    <w:rsid w:val="000834C7"/>
    <w:rsid w:val="00085DEF"/>
    <w:rsid w:val="00094579"/>
    <w:rsid w:val="000A11B9"/>
    <w:rsid w:val="000A32FD"/>
    <w:rsid w:val="000B50BB"/>
    <w:rsid w:val="000B7A66"/>
    <w:rsid w:val="000E0688"/>
    <w:rsid w:val="000E2FC0"/>
    <w:rsid w:val="000E66DD"/>
    <w:rsid w:val="000F7CD0"/>
    <w:rsid w:val="00107664"/>
    <w:rsid w:val="00126DE4"/>
    <w:rsid w:val="001326E3"/>
    <w:rsid w:val="00140A93"/>
    <w:rsid w:val="00145004"/>
    <w:rsid w:val="001501DD"/>
    <w:rsid w:val="00152BDF"/>
    <w:rsid w:val="00153A64"/>
    <w:rsid w:val="00167A6F"/>
    <w:rsid w:val="001800FF"/>
    <w:rsid w:val="001A3A1E"/>
    <w:rsid w:val="001B5B68"/>
    <w:rsid w:val="001C09A4"/>
    <w:rsid w:val="001D6646"/>
    <w:rsid w:val="001D6722"/>
    <w:rsid w:val="001E1C7A"/>
    <w:rsid w:val="001F4344"/>
    <w:rsid w:val="001F46D7"/>
    <w:rsid w:val="002014D0"/>
    <w:rsid w:val="00204C1E"/>
    <w:rsid w:val="00222507"/>
    <w:rsid w:val="00222EE7"/>
    <w:rsid w:val="00235345"/>
    <w:rsid w:val="00241247"/>
    <w:rsid w:val="00253F22"/>
    <w:rsid w:val="00265CE2"/>
    <w:rsid w:val="00293CEF"/>
    <w:rsid w:val="002B5D3E"/>
    <w:rsid w:val="002D6C62"/>
    <w:rsid w:val="002E2C1A"/>
    <w:rsid w:val="00312438"/>
    <w:rsid w:val="003251B5"/>
    <w:rsid w:val="00330C18"/>
    <w:rsid w:val="00334293"/>
    <w:rsid w:val="00336884"/>
    <w:rsid w:val="0034241D"/>
    <w:rsid w:val="003464D3"/>
    <w:rsid w:val="00350724"/>
    <w:rsid w:val="00351245"/>
    <w:rsid w:val="003529C5"/>
    <w:rsid w:val="00354444"/>
    <w:rsid w:val="00364753"/>
    <w:rsid w:val="00370CF9"/>
    <w:rsid w:val="00371A2B"/>
    <w:rsid w:val="00371E72"/>
    <w:rsid w:val="00383385"/>
    <w:rsid w:val="003A2E55"/>
    <w:rsid w:val="003A4911"/>
    <w:rsid w:val="003B0B38"/>
    <w:rsid w:val="003B1DF4"/>
    <w:rsid w:val="003D5F9E"/>
    <w:rsid w:val="003F044D"/>
    <w:rsid w:val="00400021"/>
    <w:rsid w:val="00403E65"/>
    <w:rsid w:val="004364D6"/>
    <w:rsid w:val="00456897"/>
    <w:rsid w:val="00484747"/>
    <w:rsid w:val="00484A84"/>
    <w:rsid w:val="004B03DA"/>
    <w:rsid w:val="004B048C"/>
    <w:rsid w:val="004B6205"/>
    <w:rsid w:val="004C103A"/>
    <w:rsid w:val="004C7333"/>
    <w:rsid w:val="004C78F8"/>
    <w:rsid w:val="004D7C37"/>
    <w:rsid w:val="004F16FC"/>
    <w:rsid w:val="005013A5"/>
    <w:rsid w:val="0050527E"/>
    <w:rsid w:val="005174C9"/>
    <w:rsid w:val="005244EE"/>
    <w:rsid w:val="005431B2"/>
    <w:rsid w:val="0056333C"/>
    <w:rsid w:val="005663C4"/>
    <w:rsid w:val="00567635"/>
    <w:rsid w:val="0057036D"/>
    <w:rsid w:val="005875B5"/>
    <w:rsid w:val="0059248B"/>
    <w:rsid w:val="005A0C41"/>
    <w:rsid w:val="005B2ACF"/>
    <w:rsid w:val="005D7B5E"/>
    <w:rsid w:val="005E22BD"/>
    <w:rsid w:val="005E3D0E"/>
    <w:rsid w:val="00606434"/>
    <w:rsid w:val="00607919"/>
    <w:rsid w:val="0062229F"/>
    <w:rsid w:val="006316B6"/>
    <w:rsid w:val="006533FA"/>
    <w:rsid w:val="006537C1"/>
    <w:rsid w:val="00656B0A"/>
    <w:rsid w:val="0066475A"/>
    <w:rsid w:val="00690CC2"/>
    <w:rsid w:val="00692050"/>
    <w:rsid w:val="006A5B7F"/>
    <w:rsid w:val="006A64B3"/>
    <w:rsid w:val="006A7C2B"/>
    <w:rsid w:val="006B1474"/>
    <w:rsid w:val="006B1FBA"/>
    <w:rsid w:val="006B61F0"/>
    <w:rsid w:val="006C7C57"/>
    <w:rsid w:val="006D50DF"/>
    <w:rsid w:val="006E24F0"/>
    <w:rsid w:val="006E33C9"/>
    <w:rsid w:val="006F2406"/>
    <w:rsid w:val="0070618B"/>
    <w:rsid w:val="00713EE5"/>
    <w:rsid w:val="00714FBB"/>
    <w:rsid w:val="00722459"/>
    <w:rsid w:val="00731E04"/>
    <w:rsid w:val="007435FB"/>
    <w:rsid w:val="00760586"/>
    <w:rsid w:val="00774BFB"/>
    <w:rsid w:val="007750DF"/>
    <w:rsid w:val="00776BA6"/>
    <w:rsid w:val="00776D5B"/>
    <w:rsid w:val="007815E2"/>
    <w:rsid w:val="00787446"/>
    <w:rsid w:val="007927AB"/>
    <w:rsid w:val="00794AF2"/>
    <w:rsid w:val="007A5EF5"/>
    <w:rsid w:val="007A6041"/>
    <w:rsid w:val="007B4856"/>
    <w:rsid w:val="007B79ED"/>
    <w:rsid w:val="007C339E"/>
    <w:rsid w:val="007D09C2"/>
    <w:rsid w:val="007D33DA"/>
    <w:rsid w:val="007E0DEE"/>
    <w:rsid w:val="007E3E44"/>
    <w:rsid w:val="007E7863"/>
    <w:rsid w:val="007E7B61"/>
    <w:rsid w:val="007F464C"/>
    <w:rsid w:val="00801F98"/>
    <w:rsid w:val="00812646"/>
    <w:rsid w:val="008532BC"/>
    <w:rsid w:val="00864249"/>
    <w:rsid w:val="00893DFC"/>
    <w:rsid w:val="00897A34"/>
    <w:rsid w:val="008A32BB"/>
    <w:rsid w:val="008C2E7D"/>
    <w:rsid w:val="008C45B2"/>
    <w:rsid w:val="008C7F45"/>
    <w:rsid w:val="008D5837"/>
    <w:rsid w:val="008F6C15"/>
    <w:rsid w:val="00926065"/>
    <w:rsid w:val="00927CD3"/>
    <w:rsid w:val="0093015B"/>
    <w:rsid w:val="009656F0"/>
    <w:rsid w:val="0098404A"/>
    <w:rsid w:val="009A0B0A"/>
    <w:rsid w:val="009A6CEB"/>
    <w:rsid w:val="009C115E"/>
    <w:rsid w:val="009C211C"/>
    <w:rsid w:val="009C69C0"/>
    <w:rsid w:val="009D445A"/>
    <w:rsid w:val="009D4C55"/>
    <w:rsid w:val="009D550C"/>
    <w:rsid w:val="00A03909"/>
    <w:rsid w:val="00A13455"/>
    <w:rsid w:val="00A17930"/>
    <w:rsid w:val="00A34B3F"/>
    <w:rsid w:val="00A3623F"/>
    <w:rsid w:val="00A41213"/>
    <w:rsid w:val="00A71A91"/>
    <w:rsid w:val="00A73321"/>
    <w:rsid w:val="00A828D6"/>
    <w:rsid w:val="00A85A5C"/>
    <w:rsid w:val="00A87B72"/>
    <w:rsid w:val="00A9295F"/>
    <w:rsid w:val="00A9784A"/>
    <w:rsid w:val="00AA6953"/>
    <w:rsid w:val="00AC52B5"/>
    <w:rsid w:val="00AD4815"/>
    <w:rsid w:val="00AE3525"/>
    <w:rsid w:val="00AF6E78"/>
    <w:rsid w:val="00B2146C"/>
    <w:rsid w:val="00B24163"/>
    <w:rsid w:val="00B26EFE"/>
    <w:rsid w:val="00B27D95"/>
    <w:rsid w:val="00B51EE7"/>
    <w:rsid w:val="00B52F91"/>
    <w:rsid w:val="00B5381C"/>
    <w:rsid w:val="00B61671"/>
    <w:rsid w:val="00B868DF"/>
    <w:rsid w:val="00BA714E"/>
    <w:rsid w:val="00BF1B40"/>
    <w:rsid w:val="00BF4999"/>
    <w:rsid w:val="00C119F1"/>
    <w:rsid w:val="00C30185"/>
    <w:rsid w:val="00C3241D"/>
    <w:rsid w:val="00C578D8"/>
    <w:rsid w:val="00C6190C"/>
    <w:rsid w:val="00C67335"/>
    <w:rsid w:val="00C67A9C"/>
    <w:rsid w:val="00C74F71"/>
    <w:rsid w:val="00C82021"/>
    <w:rsid w:val="00C93305"/>
    <w:rsid w:val="00C95E51"/>
    <w:rsid w:val="00CA1096"/>
    <w:rsid w:val="00CA2B55"/>
    <w:rsid w:val="00CA577D"/>
    <w:rsid w:val="00CB4973"/>
    <w:rsid w:val="00D02378"/>
    <w:rsid w:val="00D12D96"/>
    <w:rsid w:val="00D13994"/>
    <w:rsid w:val="00D17489"/>
    <w:rsid w:val="00D339B1"/>
    <w:rsid w:val="00D40DDD"/>
    <w:rsid w:val="00D46F1E"/>
    <w:rsid w:val="00D508DA"/>
    <w:rsid w:val="00D70E0B"/>
    <w:rsid w:val="00D71C8D"/>
    <w:rsid w:val="00D824A8"/>
    <w:rsid w:val="00D84B86"/>
    <w:rsid w:val="00D92B81"/>
    <w:rsid w:val="00D978C3"/>
    <w:rsid w:val="00DB076B"/>
    <w:rsid w:val="00DB6E5E"/>
    <w:rsid w:val="00DB7E29"/>
    <w:rsid w:val="00DC52AF"/>
    <w:rsid w:val="00DD0E2E"/>
    <w:rsid w:val="00DD41DE"/>
    <w:rsid w:val="00DD4457"/>
    <w:rsid w:val="00DF31DF"/>
    <w:rsid w:val="00DF6C38"/>
    <w:rsid w:val="00E0245C"/>
    <w:rsid w:val="00E10AFA"/>
    <w:rsid w:val="00E13B6B"/>
    <w:rsid w:val="00E329A8"/>
    <w:rsid w:val="00E33EFD"/>
    <w:rsid w:val="00E37C29"/>
    <w:rsid w:val="00E5694D"/>
    <w:rsid w:val="00E636E1"/>
    <w:rsid w:val="00E64140"/>
    <w:rsid w:val="00E80644"/>
    <w:rsid w:val="00E816F5"/>
    <w:rsid w:val="00EA24B9"/>
    <w:rsid w:val="00EB0878"/>
    <w:rsid w:val="00EC0FE9"/>
    <w:rsid w:val="00EC7AF4"/>
    <w:rsid w:val="00EF0034"/>
    <w:rsid w:val="00EF17A6"/>
    <w:rsid w:val="00EF5E9F"/>
    <w:rsid w:val="00F00695"/>
    <w:rsid w:val="00F17A05"/>
    <w:rsid w:val="00F46684"/>
    <w:rsid w:val="00F77ED2"/>
    <w:rsid w:val="00F8417D"/>
    <w:rsid w:val="00F86515"/>
    <w:rsid w:val="00FA06DA"/>
    <w:rsid w:val="00FA76AE"/>
    <w:rsid w:val="00FB4E86"/>
    <w:rsid w:val="00FB61D6"/>
    <w:rsid w:val="00FB7697"/>
    <w:rsid w:val="00FC2162"/>
    <w:rsid w:val="00FC4594"/>
    <w:rsid w:val="00FC7C2D"/>
    <w:rsid w:val="00FD460C"/>
    <w:rsid w:val="00FE02FF"/>
    <w:rsid w:val="00FE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E36A4"/>
  <w15:chartTrackingRefBased/>
  <w15:docId w15:val="{447CF3E5-5518-476C-AA0E-51B5781E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D7"/>
    <w:pPr>
      <w:spacing w:after="60"/>
    </w:pPr>
    <w:rPr>
      <w:rFonts w:ascii="Arial" w:eastAsiaTheme="minorEastAsia" w:hAnsi="Arial"/>
      <w:sz w:val="22"/>
      <w:szCs w:val="24"/>
    </w:rPr>
  </w:style>
  <w:style w:type="paragraph" w:styleId="Heading1">
    <w:name w:val="heading 1"/>
    <w:basedOn w:val="Normal"/>
    <w:link w:val="Heading1Char"/>
    <w:uiPriority w:val="9"/>
    <w:qFormat/>
    <w:rsid w:val="00B2146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2146C"/>
    <w:pPr>
      <w:keepNext/>
      <w:spacing w:before="120" w:after="120"/>
      <w:outlineLvl w:val="1"/>
    </w:pPr>
    <w:rPr>
      <w:b/>
      <w:bCs/>
      <w:sz w:val="36"/>
      <w:szCs w:val="36"/>
    </w:rPr>
  </w:style>
  <w:style w:type="paragraph" w:styleId="Heading3">
    <w:name w:val="heading 3"/>
    <w:basedOn w:val="Normal"/>
    <w:link w:val="Heading3Char"/>
    <w:uiPriority w:val="9"/>
    <w:qFormat/>
    <w:rsid w:val="00B2146C"/>
    <w:pPr>
      <w:keepNext/>
      <w:spacing w:before="120" w:after="120"/>
      <w:outlineLvl w:val="2"/>
    </w:pPr>
    <w:rPr>
      <w:b/>
      <w:bCs/>
      <w:sz w:val="27"/>
      <w:szCs w:val="27"/>
    </w:rPr>
  </w:style>
  <w:style w:type="paragraph" w:styleId="Heading4">
    <w:name w:val="heading 4"/>
    <w:basedOn w:val="Normal"/>
    <w:link w:val="Heading4Char"/>
    <w:uiPriority w:val="9"/>
    <w:qFormat/>
    <w:rsid w:val="00B2146C"/>
    <w:pPr>
      <w:keepNext/>
      <w:spacing w:before="120"/>
      <w:outlineLvl w:val="3"/>
    </w:pPr>
    <w:rPr>
      <w:b/>
      <w:bCs/>
      <w:sz w:val="24"/>
    </w:rPr>
  </w:style>
  <w:style w:type="paragraph" w:styleId="Heading5">
    <w:name w:val="heading 5"/>
    <w:basedOn w:val="Normal"/>
    <w:link w:val="Heading5Char"/>
    <w:uiPriority w:val="9"/>
    <w:qFormat/>
    <w:rsid w:val="00B214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46C"/>
    <w:rPr>
      <w:rFonts w:ascii="Arial" w:eastAsiaTheme="minorEastAsia" w:hAnsi="Arial"/>
      <w:b/>
      <w:bCs/>
      <w:sz w:val="36"/>
      <w:szCs w:val="36"/>
    </w:rPr>
  </w:style>
  <w:style w:type="paragraph" w:customStyle="1" w:styleId="msonormal0">
    <w:name w:val="msonormal"/>
    <w:basedOn w:val="Normal"/>
    <w:pPr>
      <w:spacing w:before="100" w:beforeAutospacing="1" w:after="100" w:afterAutospacing="1"/>
    </w:pPr>
  </w:style>
  <w:style w:type="paragraph" w:customStyle="1" w:styleId="page">
    <w:name w:val="page"/>
    <w:basedOn w:val="Normal"/>
    <w:rsid w:val="00B2146C"/>
    <w:pPr>
      <w:pageBreakBefore/>
    </w:pPr>
  </w:style>
  <w:style w:type="paragraph" w:customStyle="1" w:styleId="stitle">
    <w:name w:val="stitle"/>
    <w:basedOn w:val="Normal"/>
    <w:rsid w:val="00B2146C"/>
  </w:style>
  <w:style w:type="paragraph" w:styleId="Footer">
    <w:name w:val="footer"/>
    <w:basedOn w:val="Normal"/>
    <w:link w:val="FooterChar"/>
    <w:uiPriority w:val="99"/>
    <w:unhideWhenUsed/>
    <w:rsid w:val="00B2146C"/>
    <w:pPr>
      <w:tabs>
        <w:tab w:val="right" w:pos="1440"/>
      </w:tabs>
      <w:jc w:val="center"/>
    </w:pPr>
    <w:rPr>
      <w:sz w:val="20"/>
      <w:szCs w:val="20"/>
    </w:rPr>
  </w:style>
  <w:style w:type="character" w:customStyle="1" w:styleId="FooterChar">
    <w:name w:val="Footer Char"/>
    <w:basedOn w:val="DefaultParagraphFont"/>
    <w:link w:val="Footer"/>
    <w:uiPriority w:val="99"/>
    <w:rsid w:val="00B2146C"/>
    <w:rPr>
      <w:rFonts w:ascii="Arial" w:eastAsiaTheme="minorEastAsia" w:hAnsi="Arial"/>
    </w:rPr>
  </w:style>
  <w:style w:type="character" w:customStyle="1" w:styleId="Heading1Char">
    <w:name w:val="Heading 1 Char"/>
    <w:basedOn w:val="DefaultParagraphFont"/>
    <w:link w:val="Heading1"/>
    <w:uiPriority w:val="9"/>
    <w:rsid w:val="00B2146C"/>
    <w:rPr>
      <w:rFonts w:ascii="Arial" w:eastAsiaTheme="minorEastAsia" w:hAnsi="Arial"/>
      <w:b/>
      <w:bCs/>
      <w:kern w:val="36"/>
      <w:sz w:val="48"/>
      <w:szCs w:val="48"/>
    </w:rPr>
  </w:style>
  <w:style w:type="character" w:customStyle="1" w:styleId="Heading3Char">
    <w:name w:val="Heading 3 Char"/>
    <w:basedOn w:val="DefaultParagraphFont"/>
    <w:link w:val="Heading3"/>
    <w:uiPriority w:val="9"/>
    <w:rsid w:val="00B2146C"/>
    <w:rPr>
      <w:rFonts w:ascii="Arial" w:eastAsiaTheme="minorEastAsia" w:hAnsi="Arial"/>
      <w:b/>
      <w:bCs/>
      <w:sz w:val="27"/>
      <w:szCs w:val="27"/>
    </w:rPr>
  </w:style>
  <w:style w:type="character" w:customStyle="1" w:styleId="Heading4Char">
    <w:name w:val="Heading 4 Char"/>
    <w:basedOn w:val="DefaultParagraphFont"/>
    <w:link w:val="Heading4"/>
    <w:uiPriority w:val="9"/>
    <w:rsid w:val="00B2146C"/>
    <w:rPr>
      <w:rFonts w:ascii="Arial" w:eastAsiaTheme="minorEastAsia" w:hAnsi="Arial"/>
      <w:b/>
      <w:bCs/>
      <w:sz w:val="24"/>
      <w:szCs w:val="24"/>
    </w:rPr>
  </w:style>
  <w:style w:type="character" w:styleId="Strong">
    <w:name w:val="Strong"/>
    <w:basedOn w:val="DefaultParagraphFont"/>
    <w:uiPriority w:val="22"/>
    <w:rsid w:val="00B2146C"/>
    <w:rPr>
      <w:b/>
      <w:bCs/>
    </w:rPr>
  </w:style>
  <w:style w:type="character" w:customStyle="1" w:styleId="Heading5Char">
    <w:name w:val="Heading 5 Char"/>
    <w:basedOn w:val="DefaultParagraphFont"/>
    <w:link w:val="Heading5"/>
    <w:uiPriority w:val="9"/>
    <w:rsid w:val="00B2146C"/>
    <w:rPr>
      <w:rFonts w:ascii="Arial" w:eastAsiaTheme="minorEastAsia" w:hAnsi="Arial"/>
      <w:b/>
      <w:bCs/>
    </w:rPr>
  </w:style>
  <w:style w:type="paragraph" w:styleId="Header">
    <w:name w:val="header"/>
    <w:basedOn w:val="Normal"/>
    <w:link w:val="HeaderChar"/>
    <w:uiPriority w:val="99"/>
    <w:unhideWhenUsed/>
    <w:rsid w:val="00B2146C"/>
    <w:pPr>
      <w:tabs>
        <w:tab w:val="center" w:pos="4680"/>
        <w:tab w:val="right" w:pos="9360"/>
      </w:tabs>
      <w:spacing w:after="0"/>
    </w:pPr>
  </w:style>
  <w:style w:type="character" w:customStyle="1" w:styleId="HeaderChar">
    <w:name w:val="Header Char"/>
    <w:basedOn w:val="DefaultParagraphFont"/>
    <w:link w:val="Header"/>
    <w:uiPriority w:val="99"/>
    <w:rsid w:val="00B2146C"/>
    <w:rPr>
      <w:rFonts w:ascii="Arial" w:eastAsiaTheme="minorEastAsia" w:hAnsi="Arial"/>
      <w:sz w:val="22"/>
      <w:szCs w:val="24"/>
    </w:rPr>
  </w:style>
  <w:style w:type="character" w:styleId="Hyperlink">
    <w:name w:val="Hyperlink"/>
    <w:basedOn w:val="DefaultParagraphFont"/>
    <w:uiPriority w:val="99"/>
    <w:semiHidden/>
    <w:unhideWhenUsed/>
    <w:rsid w:val="00B2146C"/>
    <w:rPr>
      <w:color w:val="0563C1"/>
      <w:u w:val="single"/>
    </w:rPr>
  </w:style>
  <w:style w:type="paragraph" w:styleId="ListParagraph">
    <w:name w:val="List Paragraph"/>
    <w:basedOn w:val="Normal"/>
    <w:uiPriority w:val="34"/>
    <w:qFormat/>
    <w:rsid w:val="00B2146C"/>
    <w:pPr>
      <w:spacing w:after="0"/>
      <w:ind w:left="720"/>
    </w:pPr>
  </w:style>
  <w:style w:type="paragraph" w:styleId="BalloonText">
    <w:name w:val="Balloon Text"/>
    <w:basedOn w:val="Normal"/>
    <w:link w:val="BalloonTextChar"/>
    <w:uiPriority w:val="99"/>
    <w:semiHidden/>
    <w:unhideWhenUsed/>
    <w:rsid w:val="00B21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46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2146C"/>
    <w:rPr>
      <w:sz w:val="16"/>
      <w:szCs w:val="16"/>
    </w:rPr>
  </w:style>
  <w:style w:type="paragraph" w:styleId="CommentText">
    <w:name w:val="annotation text"/>
    <w:basedOn w:val="Normal"/>
    <w:link w:val="CommentTextChar"/>
    <w:uiPriority w:val="99"/>
    <w:unhideWhenUsed/>
    <w:rsid w:val="00B2146C"/>
    <w:rPr>
      <w:sz w:val="20"/>
      <w:szCs w:val="20"/>
    </w:rPr>
  </w:style>
  <w:style w:type="character" w:customStyle="1" w:styleId="CommentTextChar">
    <w:name w:val="Comment Text Char"/>
    <w:basedOn w:val="DefaultParagraphFont"/>
    <w:link w:val="CommentText"/>
    <w:uiPriority w:val="99"/>
    <w:rsid w:val="00B2146C"/>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B2146C"/>
    <w:rPr>
      <w:b/>
      <w:bCs/>
    </w:rPr>
  </w:style>
  <w:style w:type="character" w:customStyle="1" w:styleId="CommentSubjectChar">
    <w:name w:val="Comment Subject Char"/>
    <w:basedOn w:val="CommentTextChar"/>
    <w:link w:val="CommentSubject"/>
    <w:uiPriority w:val="99"/>
    <w:semiHidden/>
    <w:rsid w:val="00B2146C"/>
    <w:rPr>
      <w:rFonts w:ascii="Arial" w:eastAsiaTheme="minorEastAsia" w:hAnsi="Arial"/>
      <w:b/>
      <w:bCs/>
    </w:rPr>
  </w:style>
  <w:style w:type="character" w:styleId="FootnoteReference">
    <w:name w:val="footnote reference"/>
    <w:basedOn w:val="DefaultParagraphFont"/>
    <w:uiPriority w:val="99"/>
    <w:semiHidden/>
    <w:unhideWhenUsed/>
    <w:rsid w:val="00B2146C"/>
    <w:rPr>
      <w:vertAlign w:val="superscript"/>
    </w:rPr>
  </w:style>
  <w:style w:type="paragraph" w:styleId="FootnoteText">
    <w:name w:val="footnote text"/>
    <w:basedOn w:val="Normal"/>
    <w:link w:val="FootnoteTextChar"/>
    <w:uiPriority w:val="99"/>
    <w:semiHidden/>
    <w:unhideWhenUsed/>
    <w:rsid w:val="00B2146C"/>
    <w:pPr>
      <w:spacing w:after="0"/>
    </w:pPr>
    <w:rPr>
      <w:sz w:val="20"/>
      <w:szCs w:val="20"/>
    </w:rPr>
  </w:style>
  <w:style w:type="character" w:customStyle="1" w:styleId="FootnoteTextChar">
    <w:name w:val="Footnote Text Char"/>
    <w:basedOn w:val="DefaultParagraphFont"/>
    <w:link w:val="FootnoteText"/>
    <w:uiPriority w:val="99"/>
    <w:semiHidden/>
    <w:rsid w:val="00B2146C"/>
    <w:rPr>
      <w:rFonts w:ascii="Arial" w:eastAsiaTheme="minorEastAsia" w:hAnsi="Arial"/>
    </w:rPr>
  </w:style>
  <w:style w:type="table" w:styleId="TableGrid">
    <w:name w:val="Table Grid"/>
    <w:basedOn w:val="TableNormal"/>
    <w:uiPriority w:val="39"/>
    <w:rsid w:val="00B2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2146C"/>
    <w:pPr>
      <w:spacing w:after="0"/>
    </w:pPr>
    <w:rPr>
      <w:rFonts w:ascii="Calibri" w:eastAsiaTheme="minorHAnsi" w:hAnsi="Calibri" w:cs="Calibri"/>
      <w:szCs w:val="22"/>
    </w:rPr>
  </w:style>
  <w:style w:type="paragraph" w:styleId="Revision">
    <w:name w:val="Revision"/>
    <w:hidden/>
    <w:uiPriority w:val="99"/>
    <w:semiHidden/>
    <w:rsid w:val="004C103A"/>
    <w:rPr>
      <w:rFonts w:ascii="Arial" w:eastAsiaTheme="minorEastAsia"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90427">
      <w:bodyDiv w:val="1"/>
      <w:marLeft w:val="360"/>
      <w:marRight w:val="360"/>
      <w:marTop w:val="360"/>
      <w:marBottom w:val="36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981D-4359-4361-A7F9-CF8EE21B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28621</Words>
  <Characters>163778</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Garshick, Ellen (Fed)</dc:creator>
  <cp:keywords/>
  <dc:description/>
  <cp:lastModifiedBy>Eastman, Mary R. (Fed)</cp:lastModifiedBy>
  <cp:revision>3</cp:revision>
  <dcterms:created xsi:type="dcterms:W3CDTF">2021-05-13T11:48:00Z</dcterms:created>
  <dcterms:modified xsi:type="dcterms:W3CDTF">2021-05-13T11:49:00Z</dcterms:modified>
</cp:coreProperties>
</file>