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EE" w:rsidRPr="00D519EE" w:rsidRDefault="00D519EE" w:rsidP="00D519EE">
      <w:pPr>
        <w:spacing w:after="0" w:line="240" w:lineRule="auto"/>
        <w:jc w:val="center"/>
        <w:rPr>
          <w:b/>
        </w:rPr>
      </w:pPr>
      <w:r w:rsidRPr="00D519EE">
        <w:rPr>
          <w:b/>
        </w:rPr>
        <w:t>Manufacturing Extension Partnership (MEP) Center for Florida</w:t>
      </w:r>
    </w:p>
    <w:p w:rsidR="00D519EE" w:rsidRDefault="00D519EE" w:rsidP="00D519EE">
      <w:pPr>
        <w:spacing w:after="0" w:line="240" w:lineRule="auto"/>
        <w:jc w:val="center"/>
        <w:rPr>
          <w:b/>
        </w:rPr>
      </w:pPr>
      <w:r w:rsidRPr="00D519EE">
        <w:rPr>
          <w:b/>
        </w:rPr>
        <w:t>2014-NIST-MEP-FL-01</w:t>
      </w:r>
    </w:p>
    <w:p w:rsidR="00D519EE" w:rsidRPr="00D519EE" w:rsidRDefault="00D519EE" w:rsidP="00D519EE">
      <w:pPr>
        <w:spacing w:after="0" w:line="240" w:lineRule="auto"/>
        <w:jc w:val="center"/>
        <w:rPr>
          <w:b/>
        </w:rPr>
      </w:pPr>
    </w:p>
    <w:p w:rsidR="002725D9" w:rsidRDefault="00D519EE" w:rsidP="00D519EE">
      <w:pPr>
        <w:spacing w:after="0" w:line="240" w:lineRule="auto"/>
        <w:jc w:val="center"/>
        <w:rPr>
          <w:b/>
        </w:rPr>
      </w:pPr>
      <w:r w:rsidRPr="00D519EE">
        <w:rPr>
          <w:b/>
        </w:rPr>
        <w:t>Frequently Asked Questions</w:t>
      </w:r>
    </w:p>
    <w:p w:rsidR="00D519EE" w:rsidRDefault="00D519EE" w:rsidP="00D519EE">
      <w:pPr>
        <w:spacing w:after="0" w:line="240" w:lineRule="auto"/>
        <w:jc w:val="center"/>
        <w:rPr>
          <w:b/>
        </w:rPr>
      </w:pPr>
    </w:p>
    <w:p w:rsidR="00C75341" w:rsidRDefault="00C75341" w:rsidP="00D519EE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D519EE" w:rsidRDefault="00D519EE" w:rsidP="00D519E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519EE">
        <w:rPr>
          <w:b/>
        </w:rPr>
        <w:t xml:space="preserve">What level of detail is MEP looking for in regards to the </w:t>
      </w:r>
      <w:proofErr w:type="spellStart"/>
      <w:r w:rsidRPr="00D519EE">
        <w:rPr>
          <w:b/>
        </w:rPr>
        <w:t>Subreceipient</w:t>
      </w:r>
      <w:proofErr w:type="spellEnd"/>
      <w:r w:rsidRPr="00D519EE">
        <w:rPr>
          <w:b/>
        </w:rPr>
        <w:t xml:space="preserve"> Agreements?</w:t>
      </w:r>
    </w:p>
    <w:p w:rsidR="00110BF3" w:rsidRPr="00C75341" w:rsidRDefault="00110BF3" w:rsidP="00110BF3">
      <w:pPr>
        <w:pStyle w:val="ListParagraph"/>
        <w:numPr>
          <w:ilvl w:val="1"/>
          <w:numId w:val="1"/>
        </w:numPr>
      </w:pPr>
      <w:r w:rsidRPr="00C75341">
        <w:t xml:space="preserve">There are lots of resources out there for </w:t>
      </w:r>
      <w:proofErr w:type="spellStart"/>
      <w:r w:rsidRPr="00C75341">
        <w:t>subrecipient</w:t>
      </w:r>
      <w:proofErr w:type="spellEnd"/>
      <w:r w:rsidRPr="00C75341">
        <w:t xml:space="preserve"> monitoring developed by other organizations.  Some are from other federal agencies, some from states and universities with long histories of federal work. Here are a few that are available:</w:t>
      </w:r>
    </w:p>
    <w:p w:rsidR="00110BF3" w:rsidRPr="00C75341" w:rsidRDefault="00110BF3" w:rsidP="00110BF3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C75341">
        <w:t>Templates:</w:t>
      </w:r>
    </w:p>
    <w:p w:rsidR="00110BF3" w:rsidRDefault="00110BF3" w:rsidP="00110BF3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color w:val="1F497D"/>
        </w:rPr>
      </w:pPr>
      <w:r w:rsidRPr="00C75341">
        <w:t xml:space="preserve">U of Rochester SRA Handbook (includes template): </w:t>
      </w:r>
      <w:hyperlink r:id="rId6" w:history="1">
        <w:r>
          <w:rPr>
            <w:rStyle w:val="Hyperlink"/>
          </w:rPr>
          <w:t>http://www.rochester.edu/orpa/_assets/pdf/train_submanual.pdf</w:t>
        </w:r>
      </w:hyperlink>
    </w:p>
    <w:p w:rsidR="00110BF3" w:rsidRPr="00C75341" w:rsidRDefault="00110BF3" w:rsidP="00110BF3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C75341">
        <w:t>State of Indiana HUD/CDBG SRA Agreement Template: attached</w:t>
      </w:r>
    </w:p>
    <w:p w:rsidR="00110BF3" w:rsidRPr="00C75341" w:rsidRDefault="00110BF3" w:rsidP="00110BF3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C75341">
        <w:t>State of Washington HUD/CDBG SRA Agreement Template: attached</w:t>
      </w:r>
    </w:p>
    <w:p w:rsidR="00110BF3" w:rsidRPr="00C75341" w:rsidRDefault="00110BF3" w:rsidP="00110BF3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C75341">
        <w:t>Checklists:</w:t>
      </w:r>
    </w:p>
    <w:p w:rsidR="00110BF3" w:rsidRPr="00C75341" w:rsidRDefault="00110BF3" w:rsidP="00110BF3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C75341">
        <w:t>HUD/CDBG SRA Guidance (includes checklist): attached</w:t>
      </w:r>
    </w:p>
    <w:p w:rsidR="00110BF3" w:rsidRPr="00C75341" w:rsidRDefault="00110BF3" w:rsidP="00110BF3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C75341">
        <w:t xml:space="preserve">EPA </w:t>
      </w:r>
      <w:proofErr w:type="spellStart"/>
      <w:r w:rsidRPr="00C75341">
        <w:t>Subrecipient</w:t>
      </w:r>
      <w:proofErr w:type="spellEnd"/>
      <w:r w:rsidRPr="00C75341">
        <w:t xml:space="preserve"> v. Vendor Checklist: attached</w:t>
      </w:r>
    </w:p>
    <w:p w:rsidR="00110BF3" w:rsidRDefault="00110BF3" w:rsidP="00110BF3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color w:val="1F497D"/>
        </w:rPr>
      </w:pPr>
      <w:r w:rsidRPr="00C75341">
        <w:t xml:space="preserve">State of Washington Disaster </w:t>
      </w:r>
      <w:proofErr w:type="spellStart"/>
      <w:r w:rsidRPr="00C75341">
        <w:t>Subrecipient</w:t>
      </w:r>
      <w:proofErr w:type="spellEnd"/>
      <w:r w:rsidRPr="00C75341">
        <w:t xml:space="preserve"> Monitoring Handbook (includes Sub v. Vendor checklist): </w:t>
      </w:r>
      <w:hyperlink r:id="rId7" w:history="1">
        <w:r>
          <w:rPr>
            <w:rStyle w:val="Hyperlink"/>
          </w:rPr>
          <w:t>http://www.recovery.wa.gov/documents/training/subrecipient_monitoring_under_omb_circular_a-133.pdf</w:t>
        </w:r>
      </w:hyperlink>
    </w:p>
    <w:p w:rsidR="00110BF3" w:rsidRPr="00D519EE" w:rsidRDefault="00110BF3" w:rsidP="00C75341">
      <w:pPr>
        <w:pStyle w:val="ListParagraph"/>
        <w:spacing w:after="0" w:line="240" w:lineRule="auto"/>
        <w:rPr>
          <w:b/>
        </w:rPr>
      </w:pPr>
    </w:p>
    <w:p w:rsidR="00D519EE" w:rsidRDefault="00D519EE" w:rsidP="00D519EE">
      <w:pPr>
        <w:pStyle w:val="ListParagraph"/>
        <w:spacing w:after="0" w:line="240" w:lineRule="auto"/>
      </w:pPr>
    </w:p>
    <w:p w:rsidR="00D519EE" w:rsidRPr="00D519EE" w:rsidRDefault="00D519EE" w:rsidP="00D519E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519EE">
        <w:rPr>
          <w:b/>
        </w:rPr>
        <w:t>Is there a list of best practices that NIST has identified that could be shared?</w:t>
      </w:r>
    </w:p>
    <w:p w:rsidR="00D519EE" w:rsidRDefault="00D519EE" w:rsidP="00D519EE">
      <w:pPr>
        <w:pStyle w:val="ListParagraph"/>
      </w:pPr>
    </w:p>
    <w:p w:rsidR="00D519EE" w:rsidRDefault="00D519EE" w:rsidP="00D519E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MEP recommends reviewing the MEP Center Listing located on the MEP public website, </w:t>
      </w:r>
      <w:r w:rsidRPr="00D519EE">
        <w:t>http://www.nist.gov/mep/</w:t>
      </w:r>
    </w:p>
    <w:p w:rsidR="00D519EE" w:rsidRDefault="00D519EE" w:rsidP="00D519EE">
      <w:pPr>
        <w:pStyle w:val="ListParagraph"/>
        <w:numPr>
          <w:ilvl w:val="1"/>
          <w:numId w:val="1"/>
        </w:numPr>
        <w:spacing w:after="0" w:line="240" w:lineRule="auto"/>
      </w:pPr>
      <w:r>
        <w:t>In addition, you can view the success stories for the MEP Centers on this website as well.</w:t>
      </w:r>
    </w:p>
    <w:p w:rsidR="00D519EE" w:rsidRDefault="00D519EE" w:rsidP="00D519EE">
      <w:pPr>
        <w:pStyle w:val="ListParagraph"/>
        <w:spacing w:after="0" w:line="240" w:lineRule="auto"/>
        <w:ind w:left="1440"/>
      </w:pPr>
    </w:p>
    <w:p w:rsidR="00D519EE" w:rsidRPr="00D519EE" w:rsidRDefault="00D519EE" w:rsidP="00D519E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519EE">
        <w:rPr>
          <w:b/>
        </w:rPr>
        <w:t>Is NIST intent to fund a second MEP Center in Florida?</w:t>
      </w:r>
    </w:p>
    <w:p w:rsidR="00D519EE" w:rsidRDefault="00D519EE" w:rsidP="00D519EE">
      <w:pPr>
        <w:pStyle w:val="ListParagraph"/>
        <w:spacing w:after="0" w:line="240" w:lineRule="auto"/>
      </w:pPr>
    </w:p>
    <w:p w:rsidR="00C75341" w:rsidRDefault="00D519EE" w:rsidP="00D519EE">
      <w:pPr>
        <w:pStyle w:val="ListParagraph"/>
        <w:numPr>
          <w:ilvl w:val="1"/>
          <w:numId w:val="1"/>
        </w:numPr>
        <w:spacing w:after="0" w:line="240" w:lineRule="auto"/>
      </w:pPr>
      <w:r>
        <w:t>MEP does not currently have an active center in the State of Florida.  MEP anticipates funding one application for the reestablishment of an MEP Center in this region.</w:t>
      </w:r>
      <w:r>
        <w:tab/>
      </w:r>
    </w:p>
    <w:p w:rsidR="00C75341" w:rsidRDefault="00C75341" w:rsidP="00C75341">
      <w:pPr>
        <w:pStyle w:val="ListParagraph"/>
        <w:spacing w:after="0" w:line="240" w:lineRule="auto"/>
        <w:ind w:left="1440"/>
      </w:pPr>
    </w:p>
    <w:p w:rsidR="00C75341" w:rsidRDefault="00C75341" w:rsidP="00C75341">
      <w:pPr>
        <w:pStyle w:val="PlainText"/>
        <w:numPr>
          <w:ilvl w:val="0"/>
          <w:numId w:val="1"/>
        </w:numPr>
        <w:rPr>
          <w:b/>
        </w:rPr>
      </w:pPr>
      <w:r w:rsidRPr="00C75341">
        <w:rPr>
          <w:b/>
        </w:rPr>
        <w:t>What are some of the core direct responsibilities of an MEP Center cooperative agreement recipient?</w:t>
      </w:r>
    </w:p>
    <w:p w:rsidR="00C75341" w:rsidRPr="00C75341" w:rsidRDefault="00C75341" w:rsidP="00C75341">
      <w:pPr>
        <w:pStyle w:val="PlainText"/>
        <w:ind w:left="720"/>
        <w:rPr>
          <w:b/>
        </w:rPr>
      </w:pPr>
    </w:p>
    <w:p w:rsidR="00C75341" w:rsidRPr="00C75341" w:rsidRDefault="00C75341" w:rsidP="00C75341">
      <w:pPr>
        <w:pStyle w:val="PlainText"/>
        <w:numPr>
          <w:ilvl w:val="1"/>
          <w:numId w:val="1"/>
        </w:numPr>
        <w:rPr>
          <w:rFonts w:eastAsia="Calibri" w:cs="Times New Roman"/>
        </w:rPr>
      </w:pPr>
      <w:r w:rsidRPr="00C75341">
        <w:rPr>
          <w:rFonts w:eastAsia="Calibri" w:cs="Times New Roman"/>
        </w:rPr>
        <w:t>Per Section III. 3(b) of the FFO:</w:t>
      </w: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ab/>
      </w:r>
      <w:r>
        <w:rPr>
          <w:rFonts w:ascii="Calibri" w:eastAsia="Calibri" w:hAnsi="Calibri" w:cs="Times New Roman"/>
          <w:szCs w:val="21"/>
        </w:rPr>
        <w:tab/>
      </w:r>
      <w:proofErr w:type="gramStart"/>
      <w:r w:rsidRPr="00C75341">
        <w:rPr>
          <w:rFonts w:ascii="Calibri" w:eastAsia="Calibri" w:hAnsi="Calibri" w:cs="Times New Roman"/>
          <w:b/>
          <w:szCs w:val="21"/>
          <w:u w:val="single"/>
        </w:rPr>
        <w:t>MEP Core Management and Oversight Functions.</w:t>
      </w:r>
      <w:proofErr w:type="gramEnd"/>
      <w:r w:rsidRPr="00C75341">
        <w:rPr>
          <w:rFonts w:ascii="Calibri" w:eastAsia="Calibri" w:hAnsi="Calibri" w:cs="Times New Roman"/>
          <w:szCs w:val="21"/>
        </w:rPr>
        <w:t xml:space="preserve"> A Center, as a direct recipient of </w:t>
      </w:r>
      <w:r>
        <w:rPr>
          <w:rFonts w:ascii="Calibri" w:eastAsia="Calibri" w:hAnsi="Calibri" w:cs="Times New Roman"/>
          <w:szCs w:val="21"/>
        </w:rPr>
        <w:tab/>
      </w:r>
      <w:r>
        <w:rPr>
          <w:rFonts w:ascii="Calibri" w:eastAsia="Calibri" w:hAnsi="Calibri" w:cs="Times New Roman"/>
          <w:szCs w:val="21"/>
        </w:rPr>
        <w:tab/>
      </w:r>
      <w:r>
        <w:rPr>
          <w:rFonts w:ascii="Calibri" w:eastAsia="Calibri" w:hAnsi="Calibri" w:cs="Times New Roman"/>
          <w:szCs w:val="21"/>
        </w:rPr>
        <w:tab/>
      </w:r>
      <w:r w:rsidRPr="00C75341">
        <w:rPr>
          <w:rFonts w:ascii="Calibri" w:eastAsia="Calibri" w:hAnsi="Calibri" w:cs="Times New Roman"/>
          <w:szCs w:val="21"/>
        </w:rPr>
        <w:t xml:space="preserve">Federal financial assistance funds under an MEP cooperative agreement, must possess </w:t>
      </w:r>
      <w:r>
        <w:rPr>
          <w:rFonts w:ascii="Calibri" w:eastAsia="Calibri" w:hAnsi="Calibri" w:cs="Times New Roman"/>
          <w:szCs w:val="21"/>
        </w:rPr>
        <w:tab/>
      </w:r>
      <w:r>
        <w:rPr>
          <w:rFonts w:ascii="Calibri" w:eastAsia="Calibri" w:hAnsi="Calibri" w:cs="Times New Roman"/>
          <w:szCs w:val="21"/>
        </w:rPr>
        <w:tab/>
      </w:r>
      <w:r>
        <w:rPr>
          <w:rFonts w:ascii="Calibri" w:eastAsia="Calibri" w:hAnsi="Calibri" w:cs="Times New Roman"/>
          <w:szCs w:val="21"/>
        </w:rPr>
        <w:tab/>
      </w:r>
      <w:r w:rsidRPr="00C75341">
        <w:rPr>
          <w:rFonts w:ascii="Calibri" w:eastAsia="Calibri" w:hAnsi="Calibri" w:cs="Times New Roman"/>
          <w:szCs w:val="21"/>
        </w:rPr>
        <w:t xml:space="preserve">and maintain, at all times during an MEP award period, accountability to directly </w:t>
      </w:r>
      <w:r>
        <w:rPr>
          <w:rFonts w:ascii="Calibri" w:eastAsia="Calibri" w:hAnsi="Calibri" w:cs="Times New Roman"/>
          <w:szCs w:val="21"/>
        </w:rPr>
        <w:tab/>
      </w:r>
      <w:r>
        <w:rPr>
          <w:rFonts w:ascii="Calibri" w:eastAsia="Calibri" w:hAnsi="Calibri" w:cs="Times New Roman"/>
          <w:szCs w:val="21"/>
        </w:rPr>
        <w:tab/>
      </w:r>
      <w:r>
        <w:rPr>
          <w:rFonts w:ascii="Calibri" w:eastAsia="Calibri" w:hAnsi="Calibri" w:cs="Times New Roman"/>
          <w:szCs w:val="21"/>
        </w:rPr>
        <w:tab/>
      </w:r>
      <w:r w:rsidRPr="00C75341">
        <w:rPr>
          <w:rFonts w:ascii="Calibri" w:eastAsia="Calibri" w:hAnsi="Calibri" w:cs="Times New Roman"/>
          <w:szCs w:val="21"/>
        </w:rPr>
        <w:t xml:space="preserve">manage and execute all functions material and inherent to the successful operation of a </w:t>
      </w:r>
      <w:r>
        <w:rPr>
          <w:rFonts w:ascii="Calibri" w:eastAsia="Calibri" w:hAnsi="Calibri" w:cs="Times New Roman"/>
          <w:szCs w:val="21"/>
        </w:rPr>
        <w:tab/>
      </w:r>
      <w:r>
        <w:rPr>
          <w:rFonts w:ascii="Calibri" w:eastAsia="Calibri" w:hAnsi="Calibri" w:cs="Times New Roman"/>
          <w:szCs w:val="21"/>
        </w:rPr>
        <w:tab/>
      </w:r>
      <w:r>
        <w:rPr>
          <w:rFonts w:ascii="Calibri" w:eastAsia="Calibri" w:hAnsi="Calibri" w:cs="Times New Roman"/>
          <w:szCs w:val="21"/>
        </w:rPr>
        <w:tab/>
      </w:r>
      <w:r w:rsidRPr="00C75341">
        <w:rPr>
          <w:rFonts w:ascii="Calibri" w:eastAsia="Calibri" w:hAnsi="Calibri" w:cs="Times New Roman"/>
          <w:szCs w:val="21"/>
        </w:rPr>
        <w:t>Center, which include, but are not limited to, the following:</w:t>
      </w: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C75341">
        <w:rPr>
          <w:rFonts w:ascii="Calibri" w:eastAsia="Calibri" w:hAnsi="Calibri" w:cs="Times New Roman"/>
          <w:szCs w:val="21"/>
        </w:rPr>
        <w:lastRenderedPageBreak/>
        <w:t>1) Budget execution, including the responsibility for determining and executing budget policy, guidance and strategy, and the determination of program priorities and associated budget or funding requests.</w:t>
      </w:r>
    </w:p>
    <w:p w:rsid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C75341">
        <w:rPr>
          <w:rFonts w:ascii="Calibri" w:eastAsia="Calibri" w:hAnsi="Calibri" w:cs="Times New Roman"/>
          <w:szCs w:val="21"/>
        </w:rPr>
        <w:t>2) Policy implementation, including the responsibility for determining the content and implementation of financial and program policies and procedures impacting the recipient’s MEP project.</w:t>
      </w:r>
    </w:p>
    <w:p w:rsid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C75341">
        <w:rPr>
          <w:rFonts w:ascii="Calibri" w:eastAsia="Calibri" w:hAnsi="Calibri" w:cs="Times New Roman"/>
          <w:szCs w:val="21"/>
        </w:rPr>
        <w:t>3) Human resources management, including the responsibility for selecting individuals or contractors for Center employment, and the direction, control, and performance management of Center employees and contractors.</w:t>
      </w:r>
    </w:p>
    <w:p w:rsid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C75341">
        <w:rPr>
          <w:rFonts w:ascii="Calibri" w:eastAsia="Calibri" w:hAnsi="Calibri" w:cs="Times New Roman"/>
          <w:szCs w:val="21"/>
        </w:rPr>
        <w:t>4) Strategic planning and project execution and management, including the responsibility for:</w:t>
      </w: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C75341" w:rsidRPr="00C75341" w:rsidRDefault="00C75341" w:rsidP="00C7534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C75341">
        <w:rPr>
          <w:rFonts w:ascii="Calibri" w:eastAsia="Calibri" w:hAnsi="Calibri" w:cs="Times New Roman"/>
          <w:szCs w:val="21"/>
        </w:rPr>
        <w:t xml:space="preserve">Strategic planning functions such as the following: determination of project requirements, approval of a project implementation strategy, and the development and monitoring of agreements and statements of work with </w:t>
      </w:r>
      <w:proofErr w:type="spellStart"/>
      <w:r w:rsidRPr="00C75341">
        <w:rPr>
          <w:rFonts w:ascii="Calibri" w:eastAsia="Calibri" w:hAnsi="Calibri" w:cs="Times New Roman"/>
          <w:szCs w:val="21"/>
        </w:rPr>
        <w:t>subrecipients</w:t>
      </w:r>
      <w:proofErr w:type="spellEnd"/>
      <w:r w:rsidRPr="00C75341">
        <w:rPr>
          <w:rFonts w:ascii="Calibri" w:eastAsia="Calibri" w:hAnsi="Calibri" w:cs="Times New Roman"/>
          <w:szCs w:val="21"/>
        </w:rPr>
        <w:t>, vendors and other strategic partners.</w:t>
      </w: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C75341" w:rsidRPr="00C75341" w:rsidRDefault="00C75341" w:rsidP="00C7534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C75341">
        <w:rPr>
          <w:rFonts w:ascii="Calibri" w:eastAsia="Calibri" w:hAnsi="Calibri" w:cs="Times New Roman"/>
          <w:szCs w:val="21"/>
        </w:rPr>
        <w:t xml:space="preserve">Project execution and management functions such as submission of required financial and </w:t>
      </w:r>
      <w:r>
        <w:rPr>
          <w:rFonts w:ascii="Calibri" w:eastAsia="Calibri" w:hAnsi="Calibri" w:cs="Times New Roman"/>
          <w:szCs w:val="21"/>
        </w:rPr>
        <w:t>t</w:t>
      </w:r>
      <w:r w:rsidRPr="00C75341">
        <w:rPr>
          <w:rFonts w:ascii="Calibri" w:eastAsia="Calibri" w:hAnsi="Calibri" w:cs="Times New Roman"/>
          <w:szCs w:val="21"/>
        </w:rPr>
        <w:t>echnical reports, maintenance of a functioning financial management system that meets the</w:t>
      </w:r>
      <w:r>
        <w:rPr>
          <w:rFonts w:ascii="Calibri" w:eastAsia="Calibri" w:hAnsi="Calibri" w:cs="Times New Roman"/>
          <w:szCs w:val="21"/>
        </w:rPr>
        <w:t xml:space="preserve"> </w:t>
      </w:r>
      <w:r w:rsidRPr="00C75341">
        <w:rPr>
          <w:rFonts w:ascii="Calibri" w:eastAsia="Calibri" w:hAnsi="Calibri" w:cs="Times New Roman"/>
          <w:szCs w:val="21"/>
        </w:rPr>
        <w:t>provisions of 15 CFR 14.21 or 15 CFR Part 24.20, “Standards for Financial Management</w:t>
      </w:r>
      <w:r>
        <w:rPr>
          <w:rFonts w:ascii="Calibri" w:eastAsia="Calibri" w:hAnsi="Calibri" w:cs="Times New Roman"/>
          <w:szCs w:val="21"/>
        </w:rPr>
        <w:t xml:space="preserve"> </w:t>
      </w:r>
      <w:r w:rsidRPr="00C75341">
        <w:rPr>
          <w:rFonts w:ascii="Calibri" w:eastAsia="Calibri" w:hAnsi="Calibri" w:cs="Times New Roman"/>
          <w:szCs w:val="21"/>
        </w:rPr>
        <w:t>Systems,” in order to</w:t>
      </w:r>
      <w:r w:rsidRPr="00C75341">
        <w:rPr>
          <w:rFonts w:ascii="Calibri" w:eastAsia="Calibri" w:hAnsi="Calibri" w:cs="Times New Roman"/>
          <w:szCs w:val="21"/>
        </w:rPr>
        <w:t xml:space="preserve"> </w:t>
      </w:r>
      <w:r w:rsidRPr="00C75341">
        <w:rPr>
          <w:rFonts w:ascii="Calibri" w:eastAsia="Calibri" w:hAnsi="Calibri" w:cs="Times New Roman"/>
          <w:szCs w:val="21"/>
        </w:rPr>
        <w:t>ensure that costs charged against an MEP award are reasonable,</w:t>
      </w:r>
      <w:r>
        <w:rPr>
          <w:rFonts w:ascii="Calibri" w:eastAsia="Calibri" w:hAnsi="Calibri" w:cs="Times New Roman"/>
          <w:szCs w:val="21"/>
        </w:rPr>
        <w:t xml:space="preserve"> </w:t>
      </w:r>
      <w:r w:rsidRPr="00C75341">
        <w:rPr>
          <w:rFonts w:ascii="Calibri" w:eastAsia="Calibri" w:hAnsi="Calibri" w:cs="Times New Roman"/>
          <w:szCs w:val="21"/>
        </w:rPr>
        <w:t>allocable, and allowable under applicable federal costs principles; and adherence to the terms</w:t>
      </w:r>
      <w:r>
        <w:rPr>
          <w:rFonts w:ascii="Calibri" w:eastAsia="Calibri" w:hAnsi="Calibri" w:cs="Times New Roman"/>
          <w:szCs w:val="21"/>
        </w:rPr>
        <w:t xml:space="preserve"> </w:t>
      </w:r>
      <w:r w:rsidRPr="00C75341">
        <w:rPr>
          <w:rFonts w:ascii="Calibri" w:eastAsia="Calibri" w:hAnsi="Calibri" w:cs="Times New Roman"/>
          <w:szCs w:val="21"/>
        </w:rPr>
        <w:t>and conditions of the MEP award.</w:t>
      </w: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C75341" w:rsidRPr="00C75341" w:rsidRDefault="00C75341" w:rsidP="00C7534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C75341">
        <w:rPr>
          <w:rFonts w:ascii="Calibri" w:eastAsia="Calibri" w:hAnsi="Calibri" w:cs="Times New Roman"/>
          <w:szCs w:val="21"/>
        </w:rPr>
        <w:t>In extraordinary situations, the NIST Grants Officer may allow a recipient to temporarily outsource its management and oversight responsibilities under an MEP award. If an applicant is proposing such a structure, the applicant must include with its application a detailed explanation and accompanying documentation (e.g., copies of contracts or other agreements) supporting its outsourcing request.</w:t>
      </w:r>
    </w:p>
    <w:p w:rsidR="00D519EE" w:rsidRPr="00D519EE" w:rsidRDefault="00D519EE" w:rsidP="00C75341">
      <w:pPr>
        <w:pStyle w:val="ListParagraph"/>
        <w:spacing w:after="0" w:line="240" w:lineRule="auto"/>
      </w:pPr>
    </w:p>
    <w:sectPr w:rsidR="00D519EE" w:rsidRPr="00D5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591"/>
    <w:multiLevelType w:val="hybridMultilevel"/>
    <w:tmpl w:val="28128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4BCD"/>
    <w:multiLevelType w:val="hybridMultilevel"/>
    <w:tmpl w:val="EC3E8CFE"/>
    <w:lvl w:ilvl="0" w:tplc="6A300D9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DA56203"/>
    <w:multiLevelType w:val="hybridMultilevel"/>
    <w:tmpl w:val="B4524F98"/>
    <w:lvl w:ilvl="0" w:tplc="B85C4A8E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95416E2"/>
    <w:multiLevelType w:val="hybridMultilevel"/>
    <w:tmpl w:val="28128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629F"/>
    <w:multiLevelType w:val="hybridMultilevel"/>
    <w:tmpl w:val="4F1E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15998"/>
    <w:multiLevelType w:val="hybridMultilevel"/>
    <w:tmpl w:val="E110B108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EE"/>
    <w:rsid w:val="00110BF3"/>
    <w:rsid w:val="002725D9"/>
    <w:rsid w:val="00C46E9F"/>
    <w:rsid w:val="00C75341"/>
    <w:rsid w:val="00D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9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9E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53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534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9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9E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53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534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covery.wa.gov/documents/training/subrecipient_monitoring_under_omb_circular_a-13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chester.edu/orpa/_assets/pdf/train_submanua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Henderson</dc:creator>
  <cp:lastModifiedBy>Diane Henderson</cp:lastModifiedBy>
  <cp:revision>2</cp:revision>
  <dcterms:created xsi:type="dcterms:W3CDTF">2014-04-01T18:57:00Z</dcterms:created>
  <dcterms:modified xsi:type="dcterms:W3CDTF">2014-04-01T18:57:00Z</dcterms:modified>
</cp:coreProperties>
</file>