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A68" w:rsidRDefault="00CF3A68" w:rsidP="00CF3A68">
      <w:pPr>
        <w:rPr>
          <w:rFonts w:ascii="Times New Roman" w:hAnsi="Times New Roman" w:cs="Times New Roman"/>
          <w:b/>
        </w:rPr>
      </w:pPr>
      <w:r w:rsidRPr="00FF420C">
        <w:rPr>
          <w:rFonts w:ascii="Times New Roman" w:hAnsi="Times New Roman" w:cs="Times New Roman"/>
          <w:b/>
        </w:rPr>
        <w:t>NIST Handbook 13</w:t>
      </w:r>
      <w:r>
        <w:rPr>
          <w:rFonts w:ascii="Times New Roman" w:hAnsi="Times New Roman" w:cs="Times New Roman"/>
          <w:b/>
        </w:rPr>
        <w:t>0</w:t>
      </w:r>
      <w:r w:rsidRPr="00FF420C">
        <w:rPr>
          <w:rFonts w:ascii="Times New Roman" w:hAnsi="Times New Roman" w:cs="Times New Roman"/>
          <w:b/>
        </w:rPr>
        <w:t xml:space="preserve">, </w:t>
      </w:r>
      <w:r>
        <w:rPr>
          <w:rFonts w:ascii="Times New Roman" w:hAnsi="Times New Roman" w:cs="Times New Roman"/>
          <w:b/>
        </w:rPr>
        <w:t xml:space="preserve">“Uniform Laws and Regulations in the Areas of Legal Metrology and Engine Fuel Quality,” </w:t>
      </w:r>
      <w:r w:rsidRPr="00FF420C">
        <w:rPr>
          <w:rFonts w:ascii="Times New Roman" w:hAnsi="Times New Roman" w:cs="Times New Roman"/>
          <w:b/>
        </w:rPr>
        <w:t>20</w:t>
      </w:r>
      <w:r>
        <w:rPr>
          <w:rFonts w:ascii="Times New Roman" w:hAnsi="Times New Roman" w:cs="Times New Roman"/>
          <w:b/>
        </w:rPr>
        <w:t>20</w:t>
      </w:r>
      <w:r w:rsidRPr="00FF420C">
        <w:rPr>
          <w:rFonts w:ascii="Times New Roman" w:hAnsi="Times New Roman" w:cs="Times New Roman"/>
          <w:b/>
        </w:rPr>
        <w:t xml:space="preserve"> edition</w:t>
      </w:r>
    </w:p>
    <w:p w:rsidR="00CF3A68" w:rsidRPr="00FF420C" w:rsidRDefault="00CF3A68" w:rsidP="00CF3A68">
      <w:pPr>
        <w:rPr>
          <w:rFonts w:ascii="Times New Roman" w:hAnsi="Times New Roman" w:cs="Times New Roman"/>
          <w:b/>
        </w:rPr>
      </w:pPr>
    </w:p>
    <w:p w:rsidR="00CF3A68" w:rsidRPr="00FF420C" w:rsidRDefault="00CF3A68" w:rsidP="00CF3A68">
      <w:pPr>
        <w:rPr>
          <w:rFonts w:ascii="Times New Roman" w:hAnsi="Times New Roman" w:cs="Times New Roman"/>
          <w:b/>
        </w:rPr>
      </w:pPr>
      <w:r w:rsidRPr="008B0460">
        <w:rPr>
          <w:rFonts w:ascii="Times New Roman" w:hAnsi="Times New Roman" w:cs="Times New Roman"/>
          <w:bCs/>
        </w:rPr>
        <w:t>Editorial correction to</w:t>
      </w:r>
      <w:r>
        <w:rPr>
          <w:rFonts w:ascii="Times New Roman" w:hAnsi="Times New Roman" w:cs="Times New Roman"/>
          <w:b/>
        </w:rPr>
        <w:t xml:space="preserve"> Section 3</w:t>
      </w:r>
      <w:r w:rsidRPr="00FF420C">
        <w:rPr>
          <w:rFonts w:ascii="Times New Roman" w:hAnsi="Times New Roman" w:cs="Times New Roman"/>
          <w:b/>
        </w:rPr>
        <w:t xml:space="preserve">.  </w:t>
      </w:r>
      <w:r>
        <w:rPr>
          <w:rFonts w:ascii="Times New Roman" w:hAnsi="Times New Roman" w:cs="Times New Roman"/>
          <w:b/>
        </w:rPr>
        <w:t>Classification</w:t>
      </w:r>
      <w:r w:rsidRPr="008B0460">
        <w:rPr>
          <w:rFonts w:ascii="Times New Roman" w:hAnsi="Times New Roman" w:cs="Times New Roman"/>
          <w:b/>
          <w:u w:val="single"/>
        </w:rPr>
        <w:t>, Identification,</w:t>
      </w:r>
      <w:r>
        <w:rPr>
          <w:rFonts w:ascii="Times New Roman" w:hAnsi="Times New Roman" w:cs="Times New Roman"/>
          <w:b/>
        </w:rPr>
        <w:t xml:space="preserve"> and Labeling for Sale</w:t>
      </w:r>
    </w:p>
    <w:p w:rsidR="00CF3A68" w:rsidRPr="00C8272E" w:rsidRDefault="00CF3A68" w:rsidP="00CF3A68">
      <w:pPr>
        <w:jc w:val="both"/>
        <w:rPr>
          <w:rFonts w:ascii="Times New Roman" w:hAnsi="Times New Roman" w:cs="Times New Roman"/>
        </w:rPr>
      </w:pPr>
      <w:r>
        <w:rPr>
          <w:rFonts w:ascii="Times New Roman" w:hAnsi="Times New Roman" w:cs="Times New Roman"/>
        </w:rPr>
        <w:t xml:space="preserve">Editorial correction to </w:t>
      </w:r>
      <w:r w:rsidRPr="00717C2E">
        <w:rPr>
          <w:rFonts w:ascii="Times New Roman" w:hAnsi="Times New Roman" w:cs="Times New Roman"/>
          <w:b/>
        </w:rPr>
        <w:t>Section</w:t>
      </w:r>
      <w:r>
        <w:rPr>
          <w:rFonts w:ascii="Times New Roman" w:hAnsi="Times New Roman" w:cs="Times New Roman"/>
        </w:rPr>
        <w:t xml:space="preserve"> </w:t>
      </w:r>
      <w:r>
        <w:rPr>
          <w:rFonts w:ascii="Times New Roman" w:eastAsia="Times New Roman" w:hAnsi="Times New Roman" w:cs="Arial"/>
          <w:b/>
        </w:rPr>
        <w:t>3.2.4.</w:t>
      </w:r>
      <w:r w:rsidRPr="005D6C49">
        <w:rPr>
          <w:rFonts w:ascii="Times New Roman" w:eastAsia="Times New Roman" w:hAnsi="Times New Roman" w:cs="Arial"/>
          <w:b/>
        </w:rPr>
        <w:t xml:space="preserve">  </w:t>
      </w:r>
      <w:r w:rsidRPr="008B0460">
        <w:rPr>
          <w:rFonts w:ascii="Times New Roman" w:eastAsia="Times New Roman" w:hAnsi="Times New Roman" w:cs="Arial"/>
          <w:b/>
          <w:strike/>
        </w:rPr>
        <w:t>Method of</w:t>
      </w:r>
      <w:r>
        <w:rPr>
          <w:rFonts w:ascii="Times New Roman" w:eastAsia="Times New Roman" w:hAnsi="Times New Roman" w:cs="Arial"/>
          <w:b/>
        </w:rPr>
        <w:t xml:space="preserve"> </w:t>
      </w:r>
      <w:r>
        <w:rPr>
          <w:rFonts w:ascii="Times New Roman" w:eastAsia="Times New Roman" w:hAnsi="Times New Roman" w:cs="Arial"/>
          <w:b/>
          <w:u w:val="single"/>
        </w:rPr>
        <w:t xml:space="preserve">Labeling for </w:t>
      </w:r>
      <w:r>
        <w:rPr>
          <w:rFonts w:ascii="Times New Roman" w:eastAsia="Times New Roman" w:hAnsi="Times New Roman" w:cs="Arial"/>
          <w:b/>
        </w:rPr>
        <w:t>Retail Sale</w:t>
      </w:r>
    </w:p>
    <w:p w:rsidR="00056AF2" w:rsidRPr="00056AF2" w:rsidRDefault="00056AF2" w:rsidP="00056AF2">
      <w:pPr>
        <w:spacing w:after="60" w:line="240" w:lineRule="auto"/>
        <w:ind w:left="360"/>
        <w:jc w:val="both"/>
        <w:rPr>
          <w:rFonts w:ascii="Times New Roman" w:eastAsia="Calibri" w:hAnsi="Times New Roman" w:cs="Times New Roman"/>
          <w:sz w:val="20"/>
          <w:szCs w:val="20"/>
        </w:rPr>
      </w:pPr>
      <w:r w:rsidRPr="00056AF2">
        <w:rPr>
          <w:rFonts w:ascii="Times New Roman" w:eastAsia="Calibri" w:hAnsi="Times New Roman" w:cs="Times New Roman"/>
          <w:b/>
          <w:sz w:val="20"/>
          <w:szCs w:val="20"/>
        </w:rPr>
        <w:t xml:space="preserve">3.2.4.  </w:t>
      </w:r>
      <w:r w:rsidRPr="00056AF2">
        <w:rPr>
          <w:rFonts w:ascii="Times New Roman" w:eastAsia="Calibri" w:hAnsi="Times New Roman" w:cs="Times New Roman"/>
          <w:b/>
          <w:strike/>
          <w:sz w:val="20"/>
          <w:szCs w:val="20"/>
        </w:rPr>
        <w:t>Method of</w:t>
      </w:r>
      <w:r w:rsidRPr="00056AF2">
        <w:rPr>
          <w:rFonts w:ascii="Times New Roman" w:eastAsia="Calibri" w:hAnsi="Times New Roman" w:cs="Times New Roman"/>
          <w:b/>
          <w:sz w:val="20"/>
          <w:szCs w:val="20"/>
        </w:rPr>
        <w:t xml:space="preserve"> </w:t>
      </w:r>
      <w:r w:rsidRPr="00056AF2">
        <w:rPr>
          <w:rFonts w:ascii="Times New Roman" w:eastAsia="Calibri" w:hAnsi="Times New Roman" w:cs="Times New Roman"/>
          <w:b/>
          <w:sz w:val="20"/>
          <w:szCs w:val="20"/>
          <w:u w:val="single"/>
        </w:rPr>
        <w:t>Labeling for</w:t>
      </w:r>
      <w:r w:rsidRPr="00056AF2">
        <w:rPr>
          <w:rFonts w:ascii="Times New Roman" w:eastAsia="Calibri" w:hAnsi="Times New Roman" w:cs="Times New Roman"/>
          <w:b/>
          <w:sz w:val="20"/>
          <w:szCs w:val="20"/>
        </w:rPr>
        <w:t xml:space="preserve"> Retail Sale </w:t>
      </w:r>
      <w:r w:rsidRPr="00056AF2">
        <w:rPr>
          <w:rFonts w:ascii="Times New Roman" w:eastAsia="Calibri" w:hAnsi="Times New Roman" w:cs="Times New Roman"/>
          <w:sz w:val="20"/>
          <w:szCs w:val="20"/>
        </w:rPr>
        <w:t xml:space="preserve">– Type of Oxygenate must be disclosed.  All automotive gasoline or automotive gasoline-oxygenate blends, or racing gasoline kept, offered, or exposed for sale, or sold at retail containing more than one volume percent oxygenate shall be identified as “with” or “containing” (or similar wording) the predominant oxygenate in the engine fuel.  For example, the label may read “contains ethanol” or “with methyl </w:t>
      </w:r>
      <w:r w:rsidRPr="00056AF2">
        <w:rPr>
          <w:rFonts w:ascii="Times New Roman" w:eastAsia="Calibri" w:hAnsi="Times New Roman" w:cs="Times New Roman"/>
          <w:i/>
          <w:sz w:val="20"/>
          <w:szCs w:val="20"/>
        </w:rPr>
        <w:t>tertiary</w:t>
      </w:r>
      <w:r w:rsidRPr="00056AF2">
        <w:rPr>
          <w:rFonts w:ascii="Times New Roman" w:eastAsia="Calibri" w:hAnsi="Times New Roman" w:cs="Times New Roman"/>
          <w:sz w:val="20"/>
          <w:szCs w:val="20"/>
        </w:rPr>
        <w:t>-butyl ether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blends containing more than 0.3 % by volume methanol shall be identified as “with” or “containing” methanol.  This information shall be posted on the upper 50 % of the dispenser front panel in a position clear and conspicuous from the driver’s position in a type at least 12.7 mm (½ in) in height, 1.5 mm (</w:t>
      </w:r>
      <w:r w:rsidRPr="00056AF2">
        <w:rPr>
          <w:rFonts w:ascii="Times New Roman" w:eastAsia="Calibri" w:hAnsi="Times New Roman" w:cs="Times New Roman"/>
          <w:sz w:val="20"/>
          <w:szCs w:val="20"/>
          <w:vertAlign w:val="superscript"/>
        </w:rPr>
        <w:t>1</w:t>
      </w:r>
      <w:r w:rsidRPr="00056AF2">
        <w:rPr>
          <w:rFonts w:ascii="Times New Roman" w:eastAsia="Calibri" w:hAnsi="Times New Roman" w:cs="Times New Roman"/>
          <w:sz w:val="20"/>
          <w:szCs w:val="20"/>
        </w:rPr>
        <w:t>/</w:t>
      </w:r>
      <w:r w:rsidRPr="00056AF2">
        <w:rPr>
          <w:rFonts w:ascii="Times New Roman" w:eastAsia="Calibri" w:hAnsi="Times New Roman" w:cs="Times New Roman"/>
          <w:sz w:val="20"/>
          <w:szCs w:val="20"/>
          <w:vertAlign w:val="subscript"/>
        </w:rPr>
        <w:t>16</w:t>
      </w:r>
      <w:r w:rsidRPr="00056AF2">
        <w:rPr>
          <w:rFonts w:ascii="Times New Roman" w:eastAsia="Calibri" w:hAnsi="Times New Roman" w:cs="Times New Roman"/>
          <w:sz w:val="20"/>
          <w:szCs w:val="20"/>
        </w:rPr>
        <w:t> in) stroke (width of type).</w:t>
      </w:r>
    </w:p>
    <w:p w:rsidR="00056AF2" w:rsidRPr="00056AF2" w:rsidRDefault="00056AF2" w:rsidP="00056AF2">
      <w:pPr>
        <w:spacing w:after="200" w:line="240" w:lineRule="auto"/>
        <w:ind w:left="360"/>
        <w:jc w:val="both"/>
        <w:rPr>
          <w:rFonts w:ascii="Times New Roman" w:eastAsia="Calibri" w:hAnsi="Times New Roman" w:cs="Times New Roman"/>
          <w:bCs/>
          <w:sz w:val="20"/>
          <w:szCs w:val="20"/>
        </w:rPr>
      </w:pPr>
      <w:bookmarkStart w:id="0" w:name="_GoBack"/>
      <w:r w:rsidRPr="00056AF2">
        <w:rPr>
          <w:rFonts w:ascii="Times New Roman" w:eastAsia="Calibri" w:hAnsi="Times New Roman" w:cs="Times New Roman"/>
          <w:bCs/>
          <w:sz w:val="20"/>
          <w:szCs w:val="20"/>
        </w:rPr>
        <w:t>(Amended 2019)</w:t>
      </w:r>
    </w:p>
    <w:bookmarkEnd w:id="0"/>
    <w:p w:rsidR="001B4374" w:rsidRDefault="001B4374"/>
    <w:sectPr w:rsidR="001B4374" w:rsidSect="005D6C49">
      <w:headerReference w:type="default" r:id="rId6"/>
      <w:footerReference w:type="default" r:id="rId7"/>
      <w:pgSz w:w="12240" w:h="15840"/>
      <w:pgMar w:top="1440" w:right="1440" w:bottom="1440" w:left="1440" w:header="720" w:footer="720" w:gutter="0"/>
      <w:pgNumType w:start="1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56AF2">
      <w:pPr>
        <w:spacing w:after="0" w:line="240" w:lineRule="auto"/>
      </w:pPr>
      <w:r>
        <w:separator/>
      </w:r>
    </w:p>
  </w:endnote>
  <w:endnote w:type="continuationSeparator" w:id="0">
    <w:p w:rsidR="00000000" w:rsidRDefault="0005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545516"/>
      <w:docPartObj>
        <w:docPartGallery w:val="Page Numbers (Bottom of Page)"/>
        <w:docPartUnique/>
      </w:docPartObj>
    </w:sdtPr>
    <w:sdtEndPr>
      <w:rPr>
        <w:noProof/>
      </w:rPr>
    </w:sdtEndPr>
    <w:sdtContent>
      <w:p w:rsidR="005D6C49" w:rsidRDefault="00CF3A68" w:rsidP="005D6C49">
        <w:pPr>
          <w:pStyle w:val="Footer"/>
          <w:jc w:val="center"/>
        </w:pPr>
        <w:r>
          <w:fldChar w:fldCharType="begin"/>
        </w:r>
        <w:r>
          <w:instrText xml:space="preserve"> PAGE   \* MERGEFORMAT </w:instrText>
        </w:r>
        <w:r>
          <w:fldChar w:fldCharType="separate"/>
        </w:r>
        <w:r>
          <w:rPr>
            <w:noProof/>
          </w:rPr>
          <w:t>124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56AF2">
      <w:pPr>
        <w:spacing w:after="0" w:line="240" w:lineRule="auto"/>
      </w:pPr>
      <w:r>
        <w:separator/>
      </w:r>
    </w:p>
  </w:footnote>
  <w:footnote w:type="continuationSeparator" w:id="0">
    <w:p w:rsidR="00000000" w:rsidRDefault="00056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49" w:rsidRPr="005D6C49" w:rsidRDefault="00CF3A68" w:rsidP="005D6C49">
    <w:pPr>
      <w:pStyle w:val="Header"/>
      <w:tabs>
        <w:tab w:val="clear" w:pos="4680"/>
      </w:tabs>
      <w:rPr>
        <w:rFonts w:ascii="Times New Roman" w:hAnsi="Times New Roman" w:cs="Times New Roman"/>
        <w:sz w:val="20"/>
        <w:szCs w:val="20"/>
      </w:rPr>
    </w:pPr>
    <w:r w:rsidRPr="005D6C49">
      <w:rPr>
        <w:rFonts w:ascii="Times New Roman" w:hAnsi="Times New Roman" w:cs="Times New Roman"/>
        <w:sz w:val="20"/>
        <w:szCs w:val="20"/>
      </w:rPr>
      <w:t xml:space="preserve">Handbook 130 </w:t>
    </w:r>
    <w:r w:rsidRPr="005D6C49">
      <w:rPr>
        <w:rFonts w:ascii="Times New Roman" w:hAnsi="Times New Roman" w:cs="Times New Roman"/>
        <w:sz w:val="20"/>
        <w:szCs w:val="20"/>
      </w:rPr>
      <w:softHyphen/>
      <w:t>– 20</w:t>
    </w:r>
    <w:r>
      <w:rPr>
        <w:rFonts w:ascii="Times New Roman" w:hAnsi="Times New Roman" w:cs="Times New Roman"/>
        <w:sz w:val="20"/>
        <w:szCs w:val="20"/>
      </w:rPr>
      <w:t>20</w:t>
    </w:r>
    <w:r w:rsidRPr="005D6C49">
      <w:rPr>
        <w:rFonts w:ascii="Times New Roman" w:hAnsi="Times New Roman" w:cs="Times New Roman"/>
        <w:sz w:val="20"/>
        <w:szCs w:val="20"/>
      </w:rPr>
      <w:tab/>
      <w:t>IV. Uniform Regulations</w:t>
    </w:r>
  </w:p>
  <w:p w:rsidR="005D6C49" w:rsidRPr="005D6C49" w:rsidRDefault="00CF3A68" w:rsidP="005D6C49">
    <w:pPr>
      <w:pStyle w:val="Header"/>
      <w:tabs>
        <w:tab w:val="clear" w:pos="4680"/>
      </w:tabs>
      <w:rPr>
        <w:rFonts w:ascii="Times New Roman" w:hAnsi="Times New Roman" w:cs="Times New Roman"/>
        <w:sz w:val="20"/>
        <w:szCs w:val="20"/>
      </w:rPr>
    </w:pPr>
    <w:r w:rsidRPr="005D6C49">
      <w:rPr>
        <w:rFonts w:ascii="Times New Roman" w:hAnsi="Times New Roman" w:cs="Times New Roman"/>
        <w:sz w:val="20"/>
        <w:szCs w:val="20"/>
      </w:rPr>
      <w:tab/>
    </w:r>
    <w:bookmarkStart w:id="1" w:name="_Hlk30593348"/>
    <w:r>
      <w:rPr>
        <w:rFonts w:ascii="Times New Roman" w:hAnsi="Times New Roman" w:cs="Times New Roman"/>
        <w:sz w:val="20"/>
        <w:szCs w:val="20"/>
      </w:rPr>
      <w:t>G.</w:t>
    </w:r>
    <w:r w:rsidRPr="005D6C49">
      <w:rPr>
        <w:rFonts w:ascii="Times New Roman" w:hAnsi="Times New Roman" w:cs="Times New Roman"/>
        <w:sz w:val="20"/>
        <w:szCs w:val="20"/>
      </w:rPr>
      <w:t xml:space="preserve"> Uniform </w:t>
    </w:r>
    <w:r>
      <w:rPr>
        <w:rFonts w:ascii="Times New Roman" w:hAnsi="Times New Roman" w:cs="Times New Roman"/>
        <w:sz w:val="20"/>
        <w:szCs w:val="20"/>
      </w:rPr>
      <w:t>Fuels and Automotive Lubricants Regulation</w:t>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68"/>
    <w:rsid w:val="00056AF2"/>
    <w:rsid w:val="001B4374"/>
    <w:rsid w:val="00CF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B7C95-FDE7-4318-9E16-1EDE4759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3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A68"/>
  </w:style>
  <w:style w:type="paragraph" w:styleId="Footer">
    <w:name w:val="footer"/>
    <w:basedOn w:val="Normal"/>
    <w:link w:val="FooterChar"/>
    <w:uiPriority w:val="99"/>
    <w:unhideWhenUsed/>
    <w:rsid w:val="00CF3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Warfield, Lisa (Fed)</dc:creator>
  <cp:keywords/>
  <dc:description/>
  <cp:lastModifiedBy>Warfield, Lisa (Fed)</cp:lastModifiedBy>
  <cp:revision>2</cp:revision>
  <dcterms:created xsi:type="dcterms:W3CDTF">2020-01-22T19:09:00Z</dcterms:created>
  <dcterms:modified xsi:type="dcterms:W3CDTF">2020-01-22T19:09:00Z</dcterms:modified>
</cp:coreProperties>
</file>