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3CD" w:rsidRDefault="009863CD">
      <w:pPr>
        <w:pStyle w:val="Title"/>
      </w:pPr>
      <w:r>
        <w:t xml:space="preserve">GLP 10 </w:t>
      </w:r>
    </w:p>
    <w:p w:rsidR="009863CD" w:rsidRDefault="009863CD">
      <w:pPr>
        <w:jc w:val="center"/>
        <w:rPr>
          <w:b/>
        </w:rPr>
      </w:pPr>
    </w:p>
    <w:p w:rsidR="009863CD" w:rsidRDefault="009863CD">
      <w:pPr>
        <w:jc w:val="center"/>
        <w:rPr>
          <w:b/>
        </w:rPr>
      </w:pPr>
      <w:r>
        <w:rPr>
          <w:b/>
        </w:rPr>
        <w:t>Good Laboratory Practice</w:t>
      </w:r>
    </w:p>
    <w:p w:rsidR="009863CD" w:rsidRDefault="00D13538">
      <w:pPr>
        <w:jc w:val="center"/>
        <w:rPr>
          <w:b/>
        </w:rPr>
      </w:pPr>
      <w:r>
        <w:rPr>
          <w:b/>
        </w:rPr>
        <w:t>for the</w:t>
      </w:r>
    </w:p>
    <w:p w:rsidR="009863CD" w:rsidRDefault="009863CD">
      <w:pPr>
        <w:jc w:val="center"/>
        <w:rPr>
          <w:b/>
        </w:rPr>
      </w:pPr>
      <w:r>
        <w:rPr>
          <w:b/>
        </w:rPr>
        <w:t>Purity of Water</w:t>
      </w:r>
    </w:p>
    <w:p w:rsidR="009863CD" w:rsidRDefault="009863CD">
      <w:pPr>
        <w:jc w:val="both"/>
      </w:pPr>
    </w:p>
    <w:p w:rsidR="00540093" w:rsidRDefault="00540093" w:rsidP="00C514F3">
      <w:pPr>
        <w:pStyle w:val="Heading1"/>
      </w:pPr>
      <w:r>
        <w:t>Water for volume calibrations.</w:t>
      </w:r>
    </w:p>
    <w:p w:rsidR="009863CD" w:rsidRPr="00A4326B" w:rsidRDefault="009863CD" w:rsidP="00C514F3">
      <w:pPr>
        <w:pStyle w:val="BodyText"/>
        <w:ind w:left="720"/>
      </w:pPr>
      <w:r w:rsidRPr="00A4326B">
        <w:t>Water is used in two ways in the metrology laboratory</w:t>
      </w:r>
      <w:r w:rsidR="00E233DE" w:rsidRPr="00A4326B">
        <w:t xml:space="preserve">. </w:t>
      </w:r>
      <w:r w:rsidRPr="00A4326B">
        <w:t>It may be used as a cleaning fluid</w:t>
      </w:r>
      <w:r w:rsidR="00D76B57" w:rsidRPr="00A4326B">
        <w:t>.</w:t>
      </w:r>
      <w:r w:rsidRPr="00A4326B">
        <w:t xml:space="preserve"> </w:t>
      </w:r>
      <w:r w:rsidR="00D76B57" w:rsidRPr="00A4326B">
        <w:t>I</w:t>
      </w:r>
      <w:r w:rsidRPr="00A4326B">
        <w:t xml:space="preserve">t may </w:t>
      </w:r>
      <w:r w:rsidR="00D76B57" w:rsidRPr="00A4326B">
        <w:t xml:space="preserve">also </w:t>
      </w:r>
      <w:r w:rsidRPr="00A4326B">
        <w:t xml:space="preserve">be used as a </w:t>
      </w:r>
      <w:r w:rsidR="00D76B57" w:rsidRPr="00A4326B">
        <w:t xml:space="preserve">transfer medium in volume transfer calibrations, or as </w:t>
      </w:r>
      <w:r w:rsidRPr="00A4326B">
        <w:t xml:space="preserve">standard </w:t>
      </w:r>
      <w:r w:rsidR="00D76B57" w:rsidRPr="00A4326B">
        <w:t xml:space="preserve">reference material for gravimetric </w:t>
      </w:r>
      <w:r w:rsidRPr="00A4326B">
        <w:t>volume calibration</w:t>
      </w:r>
      <w:r w:rsidR="00D76B57" w:rsidRPr="00A4326B">
        <w:t>s</w:t>
      </w:r>
      <w:r w:rsidR="00E233DE" w:rsidRPr="00A4326B">
        <w:t xml:space="preserve">. </w:t>
      </w:r>
      <w:r w:rsidRPr="00A4326B">
        <w:t xml:space="preserve">In each </w:t>
      </w:r>
      <w:r w:rsidR="00D76B57" w:rsidRPr="00A4326B">
        <w:t xml:space="preserve">of these cases, the water </w:t>
      </w:r>
      <w:r w:rsidRPr="00A4326B">
        <w:t xml:space="preserve">must be clean; in the case </w:t>
      </w:r>
      <w:r w:rsidR="00D76B57" w:rsidRPr="00A4326B">
        <w:t xml:space="preserve">of gravimetric volume calibrations </w:t>
      </w:r>
      <w:r w:rsidRPr="00A4326B">
        <w:t xml:space="preserve">it must be pure, as well. </w:t>
      </w:r>
    </w:p>
    <w:p w:rsidR="00D76B57" w:rsidRPr="00A4326B" w:rsidRDefault="00D76B57" w:rsidP="00C514F3">
      <w:pPr>
        <w:pStyle w:val="BodyText"/>
        <w:ind w:left="720"/>
      </w:pPr>
      <w:r w:rsidRPr="00A4326B">
        <w:t xml:space="preserve">Dirty water can cause </w:t>
      </w:r>
      <w:r w:rsidR="003A27A9" w:rsidRPr="00A4326B">
        <w:t xml:space="preserve">many measurement </w:t>
      </w:r>
      <w:r w:rsidRPr="00A4326B">
        <w:t>problems, including depositing residues in a volumetric vessel that could cause volumetric errors or could soil its interior. When in doubt of the cleanliness of the water supply, filters should be attached to the supply lines used.</w:t>
      </w:r>
    </w:p>
    <w:p w:rsidR="00D76B57" w:rsidRPr="00A4326B" w:rsidRDefault="00D76B57" w:rsidP="00C514F3">
      <w:pPr>
        <w:pStyle w:val="BodyText"/>
        <w:ind w:left="720"/>
      </w:pPr>
      <w:r w:rsidRPr="00A4326B">
        <w:t>Cleanliness of water may be achieved by removal of physical contaminating substances, especially by filtration. City water is ordinarily clean but may become dirty from the distribution system and especially from prolonged standing in some kinds of pipes and tubing. Hoses used to transfer water from and into large vessels and tanks may need internal cleaning, as well. Flushing to remove visible contamination is all that is usually required prior to use in volume transfer calibrations or prior to further purification.</w:t>
      </w:r>
    </w:p>
    <w:p w:rsidR="00D76B57" w:rsidRDefault="00735449" w:rsidP="00C514F3">
      <w:pPr>
        <w:pStyle w:val="Heading1"/>
      </w:pPr>
      <w:r>
        <w:t xml:space="preserve">Clean </w:t>
      </w:r>
      <w:r w:rsidR="00D76B57" w:rsidRPr="00D76B57">
        <w:t xml:space="preserve">Water used in </w:t>
      </w:r>
      <w:r w:rsidR="00D76B57">
        <w:t>V</w:t>
      </w:r>
      <w:r w:rsidR="00D76B57" w:rsidRPr="00D76B57">
        <w:t>olume</w:t>
      </w:r>
      <w:r w:rsidR="00D76B57">
        <w:t xml:space="preserve"> Transfer C</w:t>
      </w:r>
      <w:r w:rsidR="00D76B57" w:rsidRPr="00D76B57">
        <w:t>alibrations</w:t>
      </w:r>
    </w:p>
    <w:p w:rsidR="00735449" w:rsidRDefault="009863CD" w:rsidP="00C514F3">
      <w:pPr>
        <w:pStyle w:val="BodyText"/>
        <w:ind w:left="720"/>
      </w:pPr>
      <w:r>
        <w:t>Clean water is all that is necessary when making measurements by volumetric transfer since volumetric comparisons are involved</w:t>
      </w:r>
      <w:r w:rsidR="00E233DE">
        <w:t xml:space="preserve">. </w:t>
      </w:r>
      <w:r w:rsidR="00D13538">
        <w:t xml:space="preserve">When </w:t>
      </w:r>
      <w:r w:rsidR="00D76B57">
        <w:t xml:space="preserve">the </w:t>
      </w:r>
      <w:r w:rsidR="00D13538">
        <w:t xml:space="preserve">water density value is used in </w:t>
      </w:r>
      <w:r w:rsidR="00D76B57">
        <w:t xml:space="preserve">a </w:t>
      </w:r>
      <w:r w:rsidR="00D13538">
        <w:t>volume</w:t>
      </w:r>
      <w:r w:rsidR="00D76B57">
        <w:t xml:space="preserve"> </w:t>
      </w:r>
      <w:r w:rsidR="00D13538">
        <w:t>transfer</w:t>
      </w:r>
      <w:r w:rsidR="00D76B57">
        <w:t xml:space="preserve"> equation, the ratio of the density values </w:t>
      </w:r>
      <w:r w:rsidR="00735449">
        <w:t xml:space="preserve">of clean water versus pure water is essentially unchanged, </w:t>
      </w:r>
      <w:r w:rsidR="00D76B57">
        <w:t>despite impurities</w:t>
      </w:r>
      <w:r w:rsidR="00DF3136">
        <w:t xml:space="preserve">. </w:t>
      </w:r>
      <w:r w:rsidR="00D13538">
        <w:t>The coefficient of expansion for distilled water and pure water are also essentially the same</w:t>
      </w:r>
      <w:r w:rsidR="00E233DE">
        <w:t xml:space="preserve">. </w:t>
      </w:r>
    </w:p>
    <w:p w:rsidR="00D76B57" w:rsidRDefault="00735449" w:rsidP="00C514F3">
      <w:pPr>
        <w:pStyle w:val="BodyText"/>
        <w:ind w:left="720"/>
      </w:pPr>
      <w:r>
        <w:t>Note: the equations used in gravimetric calibrations do not use ratios and systematic errors will result in the calibration relative to impurities in the water</w:t>
      </w:r>
      <w:r w:rsidR="00DF3136">
        <w:t xml:space="preserve">. </w:t>
      </w:r>
      <w:r>
        <w:t xml:space="preserve">The use of low resolution density meters for evaluating the quality of clean water </w:t>
      </w:r>
      <w:r w:rsidR="005F7E8F">
        <w:t xml:space="preserve">(instead of using pure water as described) </w:t>
      </w:r>
      <w:r>
        <w:t>is discouraged for use in gravimetric calibrations.</w:t>
      </w:r>
    </w:p>
    <w:p w:rsidR="00D76B57" w:rsidRDefault="00735449" w:rsidP="00C514F3">
      <w:pPr>
        <w:pStyle w:val="Heading1"/>
      </w:pPr>
      <w:r>
        <w:t xml:space="preserve">Pure </w:t>
      </w:r>
      <w:r w:rsidR="00D76B57" w:rsidRPr="00D76B57">
        <w:t xml:space="preserve">Water used in </w:t>
      </w:r>
      <w:r w:rsidR="00D76B57">
        <w:t>Gravimetric Volume C</w:t>
      </w:r>
      <w:r w:rsidR="00D76B57" w:rsidRPr="00D76B57">
        <w:t>alibrations</w:t>
      </w:r>
    </w:p>
    <w:p w:rsidR="009863CD" w:rsidRDefault="009863CD" w:rsidP="00547EE6">
      <w:pPr>
        <w:pStyle w:val="BodyText"/>
        <w:ind w:left="720"/>
      </w:pPr>
      <w:r>
        <w:t>Pure water is needed for gravimetric volume calibrations</w:t>
      </w:r>
      <w:r w:rsidR="00E233DE">
        <w:t xml:space="preserve">. </w:t>
      </w:r>
      <w:r>
        <w:t xml:space="preserve">For gravimetric calibrations, filtration systems alone are </w:t>
      </w:r>
      <w:r w:rsidRPr="009863CD">
        <w:rPr>
          <w:i/>
        </w:rPr>
        <w:t>not</w:t>
      </w:r>
      <w:r>
        <w:t xml:space="preserve"> adequate</w:t>
      </w:r>
      <w:r w:rsidR="00E233DE">
        <w:t xml:space="preserve">. </w:t>
      </w:r>
      <w:r>
        <w:t xml:space="preserve">Pure water requires the removal of chemical contaminants and this may be achieved by distillation, reverse osmosis, ion exchange systems, or combinations of these systems. </w:t>
      </w:r>
      <w:r w:rsidR="00215B97">
        <w:t xml:space="preserve">The purity of the water from any given system and maintenance requirement </w:t>
      </w:r>
      <w:r w:rsidR="00D13538">
        <w:t xml:space="preserve">is </w:t>
      </w:r>
      <w:r w:rsidR="00215B97">
        <w:t>often dependent on the quality of the source water. Source water should be tested to determine the best type of system to meet laboratory needs</w:t>
      </w:r>
      <w:r w:rsidR="00E233DE">
        <w:t xml:space="preserve">. </w:t>
      </w:r>
      <w:r w:rsidR="00215B97">
        <w:t xml:space="preserve">Density calculations may be accurate even when appreciable levels of dissolved salts remain in the water. However, since it is very difficult to know what type and quantity of </w:t>
      </w:r>
      <w:r w:rsidR="00215B97">
        <w:lastRenderedPageBreak/>
        <w:t>salts are tolerable before density is affected, it is prudent to use the best system practical within budgetary constraints.</w:t>
      </w:r>
      <w:r>
        <w:t xml:space="preserve"> </w:t>
      </w:r>
    </w:p>
    <w:p w:rsidR="005F7E8F" w:rsidRPr="005F7E8F" w:rsidRDefault="005F7E8F" w:rsidP="00C514F3">
      <w:pPr>
        <w:pStyle w:val="Heading1"/>
      </w:pPr>
      <w:r w:rsidRPr="005F7E8F">
        <w:t xml:space="preserve">Water Quality </w:t>
      </w:r>
      <w:r>
        <w:t xml:space="preserve">Specifications </w:t>
      </w:r>
      <w:r w:rsidRPr="005F7E8F">
        <w:t xml:space="preserve">and </w:t>
      </w:r>
      <w:r>
        <w:t>Purification Methods</w:t>
      </w:r>
    </w:p>
    <w:p w:rsidR="00D76B57" w:rsidRDefault="008D41FA" w:rsidP="00C514F3">
      <w:pPr>
        <w:pStyle w:val="BodyText"/>
        <w:ind w:left="720"/>
      </w:pPr>
      <w:r>
        <w:t>W</w:t>
      </w:r>
      <w:r w:rsidR="009863CD">
        <w:t>ater</w:t>
      </w:r>
      <w:r w:rsidR="00E02DE1">
        <w:t xml:space="preserve"> that has electrical conductivity of ≤ 5 μS/cm</w:t>
      </w:r>
      <w:r w:rsidR="009863CD">
        <w:t xml:space="preserve"> is recommended as adequate for gravimetric calibration purposes</w:t>
      </w:r>
      <w:r w:rsidR="00E233DE">
        <w:t xml:space="preserve">. </w:t>
      </w:r>
      <w:r w:rsidR="009863CD">
        <w:t xml:space="preserve">Such water may be produced by </w:t>
      </w:r>
      <w:r w:rsidR="009863CD" w:rsidRPr="008D41FA">
        <w:t>distillation</w:t>
      </w:r>
      <w:r w:rsidR="00E02DE1">
        <w:t>,</w:t>
      </w:r>
      <w:r w:rsidR="009863CD">
        <w:t xml:space="preserve"> </w:t>
      </w:r>
      <w:r w:rsidR="009863CD" w:rsidRPr="008D41FA">
        <w:t>ion exchange</w:t>
      </w:r>
      <w:r w:rsidR="00E02DE1">
        <w:t xml:space="preserve">, </w:t>
      </w:r>
      <w:r w:rsidRPr="008D41FA">
        <w:t>continuous electrodeionization reverse</w:t>
      </w:r>
      <w:r>
        <w:t xml:space="preserve"> </w:t>
      </w:r>
      <w:r w:rsidRPr="008D41FA">
        <w:t xml:space="preserve">osmosis, </w:t>
      </w:r>
      <w:r w:rsidR="00E02DE1" w:rsidRPr="008D41FA">
        <w:t>electrodialysis</w:t>
      </w:r>
      <w:r w:rsidR="00E02DE1">
        <w:t xml:space="preserve">, </w:t>
      </w:r>
      <w:r w:rsidRPr="008D41FA">
        <w:t>or a combination thereof, followed by polishing</w:t>
      </w:r>
      <w:r>
        <w:t xml:space="preserve"> </w:t>
      </w:r>
      <w:r w:rsidRPr="008D41FA">
        <w:t>with a 0.45</w:t>
      </w:r>
      <w:r w:rsidR="00E02DE1">
        <w:t> </w:t>
      </w:r>
      <w:r w:rsidRPr="008D41FA">
        <w:t>µm membrane filter</w:t>
      </w:r>
      <w:r w:rsidR="00E233DE">
        <w:t xml:space="preserve">. </w:t>
      </w:r>
      <w:r w:rsidR="003A27A9">
        <w:t>The type of systems recommended here will typically provide water quality that meets Type I specifications</w:t>
      </w:r>
      <w:r w:rsidR="00E02DE1">
        <w:t xml:space="preserve"> and are relatively inexpensive for smaller quantities</w:t>
      </w:r>
      <w:r w:rsidR="003A27A9">
        <w:t xml:space="preserve">. </w:t>
      </w:r>
    </w:p>
    <w:p w:rsidR="005F7E8F" w:rsidRDefault="005F7E8F" w:rsidP="00C514F3">
      <w:pPr>
        <w:pStyle w:val="BodyText"/>
        <w:ind w:left="720"/>
      </w:pPr>
      <w:r w:rsidRPr="00206202">
        <w:t>The ASTM D-1193</w:t>
      </w:r>
      <w:r w:rsidR="0070232C">
        <w:rPr>
          <w:rStyle w:val="FootnoteReference"/>
        </w:rPr>
        <w:footnoteReference w:id="1"/>
      </w:r>
      <w:r w:rsidRPr="00206202">
        <w:t xml:space="preserve"> specifications for conductivity and resistivity are </w:t>
      </w:r>
      <w:r>
        <w:t>noted in Table 1.</w:t>
      </w:r>
      <w:r w:rsidR="00E02DE1">
        <w:t xml:space="preserve"> Alternatively, a similar ISO 3696 standard</w:t>
      </w:r>
      <w:r w:rsidR="0070232C">
        <w:rPr>
          <w:rStyle w:val="FootnoteReference"/>
        </w:rPr>
        <w:footnoteReference w:id="2"/>
      </w:r>
      <w:r w:rsidR="00E02DE1">
        <w:t xml:space="preserve"> may be used. </w:t>
      </w:r>
    </w:p>
    <w:p w:rsidR="00DA3730" w:rsidRPr="00937F1C" w:rsidRDefault="00DA3730" w:rsidP="00937F1C">
      <w:pPr>
        <w:pStyle w:val="Table"/>
      </w:pPr>
      <w:r w:rsidRPr="00937F1C">
        <w:t xml:space="preserve">Table </w:t>
      </w:r>
      <w:r w:rsidR="009D1442">
        <w:rPr>
          <w:noProof/>
        </w:rPr>
        <w:fldChar w:fldCharType="begin"/>
      </w:r>
      <w:r w:rsidR="009D1442">
        <w:rPr>
          <w:noProof/>
        </w:rPr>
        <w:instrText xml:space="preserve"> SEQ Table \* ARABIC </w:instrText>
      </w:r>
      <w:r w:rsidR="009D1442">
        <w:rPr>
          <w:noProof/>
        </w:rPr>
        <w:fldChar w:fldCharType="separate"/>
      </w:r>
      <w:r w:rsidR="00E312E7">
        <w:rPr>
          <w:noProof/>
        </w:rPr>
        <w:t>1</w:t>
      </w:r>
      <w:r w:rsidR="009D1442">
        <w:rPr>
          <w:noProof/>
        </w:rPr>
        <w:fldChar w:fldCharType="end"/>
      </w:r>
      <w:r w:rsidRPr="00937F1C">
        <w:t xml:space="preserve">. Conductivity and resistivity specifications for water from ASTM </w:t>
      </w:r>
      <w:r w:rsidR="00B4342B">
        <w:t>D</w:t>
      </w:r>
      <w:r w:rsidRPr="00937F1C">
        <w:t>-1193.</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Caption w:val="Conductivity and resistivity specifications for water quality"/>
        <w:tblDescription w:val="specifications for conductivity and resistivity for water from ASTM E 1193 documentary standard for Type I through Type IV water classifications"/>
      </w:tblPr>
      <w:tblGrid>
        <w:gridCol w:w="3690"/>
        <w:gridCol w:w="1260"/>
        <w:gridCol w:w="1260"/>
        <w:gridCol w:w="1350"/>
        <w:gridCol w:w="1245"/>
      </w:tblGrid>
      <w:tr w:rsidR="005F7E8F" w:rsidRPr="00440E70" w:rsidTr="00B4342B">
        <w:trPr>
          <w:cantSplit/>
          <w:trHeight w:val="357"/>
          <w:jc w:val="center"/>
        </w:trPr>
        <w:tc>
          <w:tcPr>
            <w:tcW w:w="3690" w:type="dxa"/>
            <w:tcBorders>
              <w:top w:val="double" w:sz="4" w:space="0" w:color="auto"/>
              <w:bottom w:val="double" w:sz="4" w:space="0" w:color="auto"/>
            </w:tcBorders>
            <w:shd w:val="clear" w:color="auto" w:fill="auto"/>
          </w:tcPr>
          <w:p w:rsidR="005F7E8F" w:rsidRPr="00440E70" w:rsidRDefault="005F7E8F" w:rsidP="00E10EE4">
            <w:pPr>
              <w:jc w:val="both"/>
              <w:rPr>
                <w:sz w:val="22"/>
              </w:rPr>
            </w:pPr>
          </w:p>
        </w:tc>
        <w:tc>
          <w:tcPr>
            <w:tcW w:w="1260" w:type="dxa"/>
            <w:tcBorders>
              <w:top w:val="double" w:sz="4" w:space="0" w:color="auto"/>
              <w:bottom w:val="double" w:sz="4" w:space="0" w:color="auto"/>
            </w:tcBorders>
            <w:shd w:val="clear" w:color="auto" w:fill="auto"/>
            <w:vAlign w:val="center"/>
          </w:tcPr>
          <w:p w:rsidR="005F7E8F" w:rsidRPr="00440E70" w:rsidRDefault="005F7E8F" w:rsidP="00E10EE4">
            <w:pPr>
              <w:jc w:val="center"/>
              <w:rPr>
                <w:b/>
                <w:sz w:val="22"/>
              </w:rPr>
            </w:pPr>
            <w:r w:rsidRPr="00440E70">
              <w:rPr>
                <w:b/>
                <w:sz w:val="22"/>
              </w:rPr>
              <w:t>Type I</w:t>
            </w:r>
          </w:p>
        </w:tc>
        <w:tc>
          <w:tcPr>
            <w:tcW w:w="1260" w:type="dxa"/>
            <w:tcBorders>
              <w:top w:val="double" w:sz="4" w:space="0" w:color="auto"/>
              <w:bottom w:val="double" w:sz="4" w:space="0" w:color="auto"/>
            </w:tcBorders>
            <w:shd w:val="clear" w:color="auto" w:fill="auto"/>
            <w:vAlign w:val="center"/>
          </w:tcPr>
          <w:p w:rsidR="005F7E8F" w:rsidRPr="00440E70" w:rsidRDefault="005F7E8F" w:rsidP="00E10EE4">
            <w:pPr>
              <w:jc w:val="center"/>
              <w:rPr>
                <w:b/>
                <w:sz w:val="22"/>
              </w:rPr>
            </w:pPr>
            <w:r w:rsidRPr="00440E70">
              <w:rPr>
                <w:b/>
                <w:sz w:val="22"/>
              </w:rPr>
              <w:t>Type II</w:t>
            </w:r>
          </w:p>
        </w:tc>
        <w:tc>
          <w:tcPr>
            <w:tcW w:w="1350" w:type="dxa"/>
            <w:tcBorders>
              <w:top w:val="double" w:sz="4" w:space="0" w:color="auto"/>
              <w:bottom w:val="double" w:sz="4" w:space="0" w:color="auto"/>
            </w:tcBorders>
            <w:shd w:val="clear" w:color="auto" w:fill="auto"/>
            <w:vAlign w:val="center"/>
          </w:tcPr>
          <w:p w:rsidR="005F7E8F" w:rsidRPr="00440E70" w:rsidRDefault="005F7E8F" w:rsidP="00E10EE4">
            <w:pPr>
              <w:jc w:val="center"/>
              <w:rPr>
                <w:b/>
                <w:sz w:val="22"/>
              </w:rPr>
            </w:pPr>
            <w:r w:rsidRPr="00440E70">
              <w:rPr>
                <w:b/>
                <w:sz w:val="22"/>
              </w:rPr>
              <w:t>Type III</w:t>
            </w:r>
          </w:p>
        </w:tc>
        <w:tc>
          <w:tcPr>
            <w:tcW w:w="1245" w:type="dxa"/>
            <w:tcBorders>
              <w:top w:val="double" w:sz="4" w:space="0" w:color="auto"/>
              <w:bottom w:val="double" w:sz="4" w:space="0" w:color="auto"/>
            </w:tcBorders>
            <w:shd w:val="clear" w:color="auto" w:fill="auto"/>
            <w:vAlign w:val="center"/>
          </w:tcPr>
          <w:p w:rsidR="005F7E8F" w:rsidRPr="00440E70" w:rsidRDefault="005F7E8F" w:rsidP="00E10EE4">
            <w:pPr>
              <w:jc w:val="center"/>
              <w:rPr>
                <w:b/>
                <w:sz w:val="22"/>
              </w:rPr>
            </w:pPr>
            <w:r w:rsidRPr="00440E70">
              <w:rPr>
                <w:b/>
                <w:sz w:val="22"/>
              </w:rPr>
              <w:t>Type IV</w:t>
            </w:r>
          </w:p>
        </w:tc>
      </w:tr>
      <w:tr w:rsidR="005F7E8F" w:rsidRPr="00440E70" w:rsidTr="00B4342B">
        <w:trPr>
          <w:cantSplit/>
          <w:jc w:val="center"/>
        </w:trPr>
        <w:tc>
          <w:tcPr>
            <w:tcW w:w="3690" w:type="dxa"/>
            <w:tcBorders>
              <w:top w:val="double" w:sz="4" w:space="0" w:color="auto"/>
            </w:tcBorders>
            <w:shd w:val="clear" w:color="auto" w:fill="auto"/>
          </w:tcPr>
          <w:p w:rsidR="005F7E8F" w:rsidRPr="00440E70" w:rsidRDefault="005F7E8F" w:rsidP="00E10EE4">
            <w:pPr>
              <w:jc w:val="both"/>
              <w:rPr>
                <w:sz w:val="22"/>
              </w:rPr>
            </w:pPr>
            <w:r w:rsidRPr="00440E70">
              <w:rPr>
                <w:sz w:val="22"/>
              </w:rPr>
              <w:t>Electrical conductivity, max,</w:t>
            </w:r>
          </w:p>
          <w:p w:rsidR="005F7E8F" w:rsidRPr="00440E70" w:rsidRDefault="005F7E8F" w:rsidP="00E10EE4">
            <w:pPr>
              <w:jc w:val="both"/>
              <w:rPr>
                <w:sz w:val="22"/>
              </w:rPr>
            </w:pPr>
            <w:r w:rsidRPr="00440E70">
              <w:rPr>
                <w:sz w:val="22"/>
              </w:rPr>
              <w:t>µS/cm at 298 K (25 °C)</w:t>
            </w:r>
          </w:p>
        </w:tc>
        <w:tc>
          <w:tcPr>
            <w:tcW w:w="1260" w:type="dxa"/>
            <w:tcBorders>
              <w:top w:val="double" w:sz="4" w:space="0" w:color="auto"/>
            </w:tcBorders>
            <w:shd w:val="clear" w:color="auto" w:fill="auto"/>
            <w:vAlign w:val="center"/>
          </w:tcPr>
          <w:p w:rsidR="005F7E8F" w:rsidRPr="00440E70" w:rsidRDefault="005F7E8F" w:rsidP="00E10EE4">
            <w:pPr>
              <w:jc w:val="center"/>
              <w:rPr>
                <w:sz w:val="22"/>
              </w:rPr>
            </w:pPr>
            <w:r w:rsidRPr="00440E70">
              <w:rPr>
                <w:sz w:val="22"/>
              </w:rPr>
              <w:t>0.056</w:t>
            </w:r>
          </w:p>
        </w:tc>
        <w:tc>
          <w:tcPr>
            <w:tcW w:w="1260" w:type="dxa"/>
            <w:tcBorders>
              <w:top w:val="double" w:sz="4" w:space="0" w:color="auto"/>
            </w:tcBorders>
            <w:shd w:val="clear" w:color="auto" w:fill="auto"/>
            <w:vAlign w:val="center"/>
          </w:tcPr>
          <w:p w:rsidR="005F7E8F" w:rsidRPr="00440E70" w:rsidRDefault="005F7E8F" w:rsidP="00E10EE4">
            <w:pPr>
              <w:jc w:val="center"/>
              <w:rPr>
                <w:sz w:val="22"/>
              </w:rPr>
            </w:pPr>
            <w:r w:rsidRPr="00440E70">
              <w:rPr>
                <w:sz w:val="22"/>
              </w:rPr>
              <w:t>1.0</w:t>
            </w:r>
          </w:p>
        </w:tc>
        <w:tc>
          <w:tcPr>
            <w:tcW w:w="1350" w:type="dxa"/>
            <w:tcBorders>
              <w:top w:val="double" w:sz="4" w:space="0" w:color="auto"/>
            </w:tcBorders>
            <w:shd w:val="clear" w:color="auto" w:fill="auto"/>
            <w:vAlign w:val="center"/>
          </w:tcPr>
          <w:p w:rsidR="005F7E8F" w:rsidRPr="00440E70" w:rsidRDefault="005F7E8F" w:rsidP="00E10EE4">
            <w:pPr>
              <w:jc w:val="center"/>
              <w:rPr>
                <w:sz w:val="22"/>
              </w:rPr>
            </w:pPr>
            <w:r w:rsidRPr="00440E70">
              <w:rPr>
                <w:sz w:val="22"/>
              </w:rPr>
              <w:t>0.25</w:t>
            </w:r>
          </w:p>
        </w:tc>
        <w:tc>
          <w:tcPr>
            <w:tcW w:w="1245" w:type="dxa"/>
            <w:tcBorders>
              <w:top w:val="double" w:sz="4" w:space="0" w:color="auto"/>
            </w:tcBorders>
            <w:shd w:val="clear" w:color="auto" w:fill="auto"/>
            <w:vAlign w:val="center"/>
          </w:tcPr>
          <w:p w:rsidR="005F7E8F" w:rsidRPr="00440E70" w:rsidRDefault="005F7E8F" w:rsidP="00E10EE4">
            <w:pPr>
              <w:jc w:val="center"/>
              <w:rPr>
                <w:sz w:val="22"/>
              </w:rPr>
            </w:pPr>
            <w:r w:rsidRPr="00440E70">
              <w:rPr>
                <w:sz w:val="22"/>
              </w:rPr>
              <w:t>5.0</w:t>
            </w:r>
          </w:p>
        </w:tc>
      </w:tr>
      <w:tr w:rsidR="005F7E8F" w:rsidRPr="00440E70" w:rsidTr="00B4342B">
        <w:trPr>
          <w:cantSplit/>
          <w:jc w:val="center"/>
        </w:trPr>
        <w:tc>
          <w:tcPr>
            <w:tcW w:w="3690" w:type="dxa"/>
            <w:shd w:val="clear" w:color="auto" w:fill="auto"/>
          </w:tcPr>
          <w:p w:rsidR="005F7E8F" w:rsidRPr="00440E70" w:rsidRDefault="005F7E8F" w:rsidP="00E10EE4">
            <w:pPr>
              <w:jc w:val="both"/>
              <w:rPr>
                <w:sz w:val="22"/>
              </w:rPr>
            </w:pPr>
            <w:r w:rsidRPr="00440E70">
              <w:rPr>
                <w:sz w:val="22"/>
              </w:rPr>
              <w:t>Electrical resistivity, min,</w:t>
            </w:r>
          </w:p>
          <w:p w:rsidR="005F7E8F" w:rsidRPr="00440E70" w:rsidRDefault="005F7E8F" w:rsidP="00E10EE4">
            <w:pPr>
              <w:jc w:val="both"/>
              <w:rPr>
                <w:sz w:val="22"/>
              </w:rPr>
            </w:pPr>
            <w:r w:rsidRPr="00440E70">
              <w:rPr>
                <w:sz w:val="22"/>
              </w:rPr>
              <w:t>MΩ·cm at 298 K (25 °C)</w:t>
            </w:r>
          </w:p>
        </w:tc>
        <w:tc>
          <w:tcPr>
            <w:tcW w:w="1260" w:type="dxa"/>
            <w:shd w:val="clear" w:color="auto" w:fill="auto"/>
            <w:vAlign w:val="center"/>
          </w:tcPr>
          <w:p w:rsidR="005F7E8F" w:rsidRPr="00440E70" w:rsidRDefault="005F7E8F" w:rsidP="00E10EE4">
            <w:pPr>
              <w:jc w:val="center"/>
              <w:rPr>
                <w:sz w:val="22"/>
              </w:rPr>
            </w:pPr>
            <w:r w:rsidRPr="00440E70">
              <w:rPr>
                <w:sz w:val="22"/>
              </w:rPr>
              <w:t>18</w:t>
            </w:r>
          </w:p>
        </w:tc>
        <w:tc>
          <w:tcPr>
            <w:tcW w:w="1260" w:type="dxa"/>
            <w:shd w:val="clear" w:color="auto" w:fill="auto"/>
            <w:vAlign w:val="center"/>
          </w:tcPr>
          <w:p w:rsidR="005F7E8F" w:rsidRPr="00440E70" w:rsidRDefault="005F7E8F" w:rsidP="00E10EE4">
            <w:pPr>
              <w:jc w:val="center"/>
              <w:rPr>
                <w:sz w:val="22"/>
              </w:rPr>
            </w:pPr>
            <w:r w:rsidRPr="00440E70">
              <w:rPr>
                <w:sz w:val="22"/>
              </w:rPr>
              <w:t>1.0</w:t>
            </w:r>
          </w:p>
        </w:tc>
        <w:tc>
          <w:tcPr>
            <w:tcW w:w="1350" w:type="dxa"/>
            <w:shd w:val="clear" w:color="auto" w:fill="auto"/>
            <w:vAlign w:val="center"/>
          </w:tcPr>
          <w:p w:rsidR="005F7E8F" w:rsidRPr="00440E70" w:rsidRDefault="005F7E8F" w:rsidP="00E10EE4">
            <w:pPr>
              <w:jc w:val="center"/>
              <w:rPr>
                <w:sz w:val="22"/>
              </w:rPr>
            </w:pPr>
            <w:r w:rsidRPr="00440E70">
              <w:rPr>
                <w:sz w:val="22"/>
              </w:rPr>
              <w:t>4.0</w:t>
            </w:r>
          </w:p>
        </w:tc>
        <w:tc>
          <w:tcPr>
            <w:tcW w:w="1245" w:type="dxa"/>
            <w:shd w:val="clear" w:color="auto" w:fill="auto"/>
            <w:vAlign w:val="center"/>
          </w:tcPr>
          <w:p w:rsidR="005F7E8F" w:rsidRPr="00440E70" w:rsidRDefault="005F7E8F" w:rsidP="00E10EE4">
            <w:pPr>
              <w:jc w:val="center"/>
              <w:rPr>
                <w:sz w:val="22"/>
              </w:rPr>
            </w:pPr>
            <w:r w:rsidRPr="00440E70">
              <w:rPr>
                <w:sz w:val="22"/>
              </w:rPr>
              <w:t>0.20</w:t>
            </w:r>
          </w:p>
        </w:tc>
      </w:tr>
    </w:tbl>
    <w:p w:rsidR="005F7E8F" w:rsidRPr="00206202" w:rsidRDefault="005F7E8F" w:rsidP="005F7E8F">
      <w:pPr>
        <w:jc w:val="both"/>
      </w:pPr>
    </w:p>
    <w:p w:rsidR="005F7E8F" w:rsidRDefault="005F7E8F" w:rsidP="00C514F3">
      <w:pPr>
        <w:pStyle w:val="BodyText"/>
        <w:ind w:left="720"/>
      </w:pPr>
      <w:r>
        <w:t xml:space="preserve">Conductivity or resistivity (along with other water quality measurements) are often used to assess the water quality used in cooling towers, boilers, relative humidity systems, micro and nanoelectronic systems and in pharmaceuticals, to ensure water of sufficient purity and to minimize corrosion or build-up within such systems. </w:t>
      </w:r>
    </w:p>
    <w:p w:rsidR="005F7E8F" w:rsidRDefault="005F7E8F" w:rsidP="00C514F3">
      <w:pPr>
        <w:pStyle w:val="BodyText"/>
        <w:ind w:left="720"/>
      </w:pPr>
      <w:r>
        <w:t xml:space="preserve">Conductivity and resistivity measurements do not have a direct correlation to water density, which is the critical attribute of concern for gravimetric volume calibrations. However, conductivity or resistivity measurements are a good indicator of water quality and whether the system is in good operating condition or needs service. Conductivity is simply the reciprocal of resistivity. For water quality specifications and assessment purposes, conductivity is usually measured in microSiemens per centimeter (µS/cm) and resistivity is usually measured in megaohms-centimeter (MΩ·cm), both usually at a reference temperature of 25 ºC. Conductivity is greatly influenced by temperature and is not linear. However, this is not a major concern for typical laboratory applications requiring pure water. Either a meter or indicator light should be included in laboratory systems to monitor water quality output. Standard reference materials are available to test conductivity and resistivity units. But, because the measurement values are </w:t>
      </w:r>
      <w:r w:rsidR="000C1FC7">
        <w:t xml:space="preserve">used to assess quality, but </w:t>
      </w:r>
      <w:r>
        <w:t xml:space="preserve">not used to perform corrections to volume calibrations, traceable calibrations of the units are not essential. </w:t>
      </w:r>
    </w:p>
    <w:p w:rsidR="008D41FA" w:rsidRDefault="00D76B57" w:rsidP="00C514F3">
      <w:pPr>
        <w:pStyle w:val="BodyText"/>
        <w:ind w:left="720"/>
      </w:pPr>
      <w:r>
        <w:t xml:space="preserve">Most manufacturers of systems at this level indicate that the resulting water will meet Type I specifications. </w:t>
      </w:r>
      <w:r w:rsidR="00B4342B">
        <w:t xml:space="preserve">The ASTM standard D 1193 also specifies design qualifications, installation qualifications, operational qualifications, and performance </w:t>
      </w:r>
      <w:r w:rsidR="00C46C5D">
        <w:t>qualifications</w:t>
      </w:r>
      <w:r w:rsidR="00DF3136">
        <w:t xml:space="preserve">. </w:t>
      </w:r>
      <w:r w:rsidR="00B4342B">
        <w:t xml:space="preserve">In </w:t>
      </w:r>
      <w:r w:rsidR="00B4342B">
        <w:lastRenderedPageBreak/>
        <w:t xml:space="preserve">addition, D 1193 specifies that preventive maintenance shall be </w:t>
      </w:r>
      <w:r w:rsidR="00C46C5D">
        <w:t>performed</w:t>
      </w:r>
      <w:r w:rsidR="00B4342B">
        <w:t xml:space="preserve"> on a regular basis and not less than once per year. </w:t>
      </w:r>
      <w:r w:rsidR="008D41FA">
        <w:t>S</w:t>
      </w:r>
      <w:r w:rsidR="009863CD">
        <w:t xml:space="preserve">ales literature will usually specify whether the equipment will provide water of the </w:t>
      </w:r>
      <w:r w:rsidR="00B4342B">
        <w:t xml:space="preserve">designated </w:t>
      </w:r>
      <w:r w:rsidR="009863CD">
        <w:t>quality</w:t>
      </w:r>
      <w:r w:rsidR="00E233DE">
        <w:t xml:space="preserve">. </w:t>
      </w:r>
      <w:r w:rsidR="008D41FA">
        <w:t>Additionally, many manufacturers will provide a source water quality test and recommend a system to meet the purity and volume requirements of the laboratory</w:t>
      </w:r>
      <w:r w:rsidR="00E233DE">
        <w:t xml:space="preserve">. </w:t>
      </w:r>
    </w:p>
    <w:p w:rsidR="0030761E" w:rsidRDefault="009863CD" w:rsidP="00C514F3">
      <w:pPr>
        <w:pStyle w:val="BodyText"/>
        <w:ind w:left="720"/>
      </w:pPr>
      <w:r>
        <w:t>A</w:t>
      </w:r>
      <w:r w:rsidR="004374B9">
        <w:t xml:space="preserve"> cartridge-type </w:t>
      </w:r>
      <w:r>
        <w:t>ion</w:t>
      </w:r>
      <w:r>
        <w:noBreakHyphen/>
        <w:t>exchange system is recommended for its simplicity and ease of operation</w:t>
      </w:r>
      <w:r w:rsidR="00E233DE">
        <w:t xml:space="preserve">. </w:t>
      </w:r>
      <w:r>
        <w:t>It can operate intermittently (on demand) and requires little or no maintenance except for change of cartridges, the need for which will be indicated</w:t>
      </w:r>
      <w:r w:rsidR="009F7666">
        <w:t xml:space="preserve">. </w:t>
      </w:r>
      <w:r>
        <w:t>A relatively small system (</w:t>
      </w:r>
      <w:r w:rsidR="00933C74">
        <w:t>2 L</w:t>
      </w:r>
      <w:r w:rsidR="00D13538">
        <w:t>/</w:t>
      </w:r>
      <w:r w:rsidR="00C46C5D">
        <w:t xml:space="preserve">h </w:t>
      </w:r>
      <w:r w:rsidR="004374B9">
        <w:t xml:space="preserve">to </w:t>
      </w:r>
      <w:r w:rsidR="00933C74">
        <w:t>30 L</w:t>
      </w:r>
      <w:r>
        <w:t>/</w:t>
      </w:r>
      <w:r w:rsidR="00C46C5D">
        <w:t>h</w:t>
      </w:r>
      <w:r>
        <w:t xml:space="preserve">) is adequate </w:t>
      </w:r>
      <w:r w:rsidR="008D41FA">
        <w:t xml:space="preserve">for laboratories calibrating glassware and test measures up to and including </w:t>
      </w:r>
      <w:r w:rsidR="00933C74">
        <w:t>20 L (</w:t>
      </w:r>
      <w:r w:rsidR="008D41FA">
        <w:t>5 gal</w:t>
      </w:r>
      <w:r w:rsidR="00933C74">
        <w:t>)</w:t>
      </w:r>
      <w:r w:rsidR="008D41FA">
        <w:t xml:space="preserve"> standards</w:t>
      </w:r>
      <w:r w:rsidR="00E233DE">
        <w:t xml:space="preserve">. </w:t>
      </w:r>
      <w:r w:rsidR="008D41FA">
        <w:t>I</w:t>
      </w:r>
      <w:r>
        <w:t>t may be used on demand or to fill a small (</w:t>
      </w:r>
      <w:r w:rsidR="00933C74">
        <w:t>20 L to 40 L</w:t>
      </w:r>
      <w:r>
        <w:t>) storage bottle to assure a continuous supply of calibration water</w:t>
      </w:r>
      <w:r w:rsidR="00E233DE">
        <w:t xml:space="preserve">. </w:t>
      </w:r>
    </w:p>
    <w:p w:rsidR="009863CD" w:rsidRDefault="009863CD" w:rsidP="00C514F3">
      <w:pPr>
        <w:pStyle w:val="BodyText"/>
        <w:ind w:left="720"/>
      </w:pPr>
      <w:r>
        <w:t xml:space="preserve"> There are two broad types of ion</w:t>
      </w:r>
      <w:r>
        <w:noBreakHyphen/>
        <w:t>exchange systems</w:t>
      </w:r>
      <w:r w:rsidR="00E233DE">
        <w:t xml:space="preserve">. </w:t>
      </w:r>
      <w:r>
        <w:t xml:space="preserve">Pressure cartridge systems (PCS) operate directly from line pressure (up to </w:t>
      </w:r>
      <w:r w:rsidR="00933C74">
        <w:t>700 kPa</w:t>
      </w:r>
      <w:r>
        <w:t>) and need no special operation precautions</w:t>
      </w:r>
      <w:r w:rsidR="00E233DE">
        <w:t xml:space="preserve">. </w:t>
      </w:r>
      <w:r>
        <w:t xml:space="preserve">The less expensive </w:t>
      </w:r>
      <w:r w:rsidR="001D2EDC">
        <w:t xml:space="preserve">type </w:t>
      </w:r>
      <w:r>
        <w:t xml:space="preserve">operates from the water line through a needle valve to produce a </w:t>
      </w:r>
      <w:r w:rsidR="004374B9">
        <w:t xml:space="preserve">specified </w:t>
      </w:r>
      <w:r>
        <w:t>flow through the cartridge</w:t>
      </w:r>
      <w:r w:rsidR="00551314">
        <w:t>(s)</w:t>
      </w:r>
      <w:r w:rsidR="00E233DE">
        <w:t xml:space="preserve">. </w:t>
      </w:r>
      <w:r>
        <w:t xml:space="preserve">In this system, the outlet must not become </w:t>
      </w:r>
      <w:r w:rsidR="004374B9">
        <w:t xml:space="preserve">blocked or turned off to prevent </w:t>
      </w:r>
      <w:r>
        <w:t xml:space="preserve">the water pressure </w:t>
      </w:r>
      <w:r w:rsidR="004374B9">
        <w:t xml:space="preserve">from </w:t>
      </w:r>
      <w:r>
        <w:t>build</w:t>
      </w:r>
      <w:r w:rsidR="004374B9">
        <w:t>ing</w:t>
      </w:r>
      <w:r>
        <w:t xml:space="preserve"> up and burst</w:t>
      </w:r>
      <w:r w:rsidR="004374B9">
        <w:t>ing</w:t>
      </w:r>
      <w:r>
        <w:t xml:space="preserve"> the cartridge</w:t>
      </w:r>
      <w:r w:rsidR="00E233DE">
        <w:t xml:space="preserve">. </w:t>
      </w:r>
      <w:r>
        <w:t>It is common practice to plumb directly from the output of this cartridge to a storage tank without using a valve in between</w:t>
      </w:r>
      <w:r w:rsidR="00E233DE">
        <w:t xml:space="preserve">. </w:t>
      </w:r>
      <w:r>
        <w:t>The unit is operated by simply turning the shut</w:t>
      </w:r>
      <w:r>
        <w:noBreakHyphen/>
        <w:t xml:space="preserve">off valve located at the water supply. </w:t>
      </w:r>
    </w:p>
    <w:p w:rsidR="005F7E8F" w:rsidRPr="005F7E8F" w:rsidRDefault="005F7E8F" w:rsidP="00C514F3">
      <w:pPr>
        <w:pStyle w:val="Heading1"/>
      </w:pPr>
      <w:r w:rsidRPr="005F7E8F">
        <w:t xml:space="preserve">Water Density </w:t>
      </w:r>
      <w:r w:rsidR="00A51333">
        <w:t xml:space="preserve">Measurements </w:t>
      </w:r>
    </w:p>
    <w:p w:rsidR="00A51333" w:rsidRDefault="00A51333" w:rsidP="00C514F3">
      <w:pPr>
        <w:pStyle w:val="BodyText"/>
        <w:ind w:left="720"/>
      </w:pPr>
      <w:r>
        <w:t xml:space="preserve">Water density may be measured with a five- or six-place oscillation-type density meter calibrated using suitable standard reference materials that are representative of the range of use. These systems typically measure the density at a specific reference temperature (generally 20 ºC). However, density meters are generally not needed if an appropriate water purification system is used that includes a way to measure conductivity or resistivity and where outside validation of water quality has been obtained. </w:t>
      </w:r>
      <w:r w:rsidR="000C1FC7">
        <w:t>If a density meter is used to determine actual density of water as a calibration medium in instances where water is not of the purity specified by this GLP for gravimetric calibrations, accuracy and traceability of the measurement results must be verified.</w:t>
      </w:r>
    </w:p>
    <w:p w:rsidR="00A51333" w:rsidRDefault="00A51333" w:rsidP="00C514F3">
      <w:pPr>
        <w:pStyle w:val="BodyText"/>
        <w:ind w:left="720"/>
      </w:pPr>
      <w:r>
        <w:t xml:space="preserve">One method that may be used in the laboratory for monitoring water over time is to maintain a quality assurance reference flask (QARF) that is calibrated at any time a gravimetric calibration is performed. If the results of a proficiency test (interlaboratory comparison) that is conducted at the same time are found acceptable, one can assume that the quality of the water was acceptable on that day. In this way, the reference value for the flask may be monitored over time. Glassware is unlikely to change with use of pure water; thus, significant changes on a control chart for a QARF indicate other problems that may need to be investigated such as water quality or other changes in the calibration system or process. </w:t>
      </w:r>
    </w:p>
    <w:p w:rsidR="00A51333" w:rsidRDefault="00A51333" w:rsidP="00C514F3">
      <w:pPr>
        <w:pStyle w:val="BodyText"/>
        <w:ind w:left="720"/>
      </w:pPr>
      <w:r>
        <w:t>Exposure of pure water in storage to air will likely cause degradation in the conductivity and/or resistivity measurements. However, pure water has been stored for over a year with little degradation in the density quality (</w:t>
      </w:r>
      <w:r w:rsidR="003A27A9">
        <w:t xml:space="preserve">if/when </w:t>
      </w:r>
      <w:r>
        <w:t>storage containers and lines are clean and that there is no bacterial growth, algae, or other contamination).</w:t>
      </w:r>
    </w:p>
    <w:p w:rsidR="00A51333" w:rsidRDefault="00A51333" w:rsidP="00C514F3">
      <w:pPr>
        <w:pStyle w:val="BodyText"/>
        <w:ind w:left="720"/>
      </w:pPr>
      <w:r>
        <w:lastRenderedPageBreak/>
        <w:t>T</w:t>
      </w:r>
      <w:r w:rsidRPr="001D2EDC">
        <w:t xml:space="preserve">emperature equilibrium </w:t>
      </w:r>
      <w:r>
        <w:t xml:space="preserve">is </w:t>
      </w:r>
      <w:r w:rsidRPr="001D2EDC">
        <w:t>a</w:t>
      </w:r>
      <w:r>
        <w:t xml:space="preserve"> critical </w:t>
      </w:r>
      <w:r w:rsidRPr="001D2EDC">
        <w:t xml:space="preserve">factor in </w:t>
      </w:r>
      <w:r>
        <w:t xml:space="preserve">the </w:t>
      </w:r>
      <w:r w:rsidRPr="001D2EDC">
        <w:t xml:space="preserve">density stability of water. </w:t>
      </w:r>
      <w:r>
        <w:t>This is e</w:t>
      </w:r>
      <w:r w:rsidRPr="001D2EDC">
        <w:t xml:space="preserve">specially </w:t>
      </w:r>
      <w:r>
        <w:t xml:space="preserve">important </w:t>
      </w:r>
      <w:r w:rsidRPr="001D2EDC">
        <w:t>for large volume</w:t>
      </w:r>
      <w:r>
        <w:t>s. W</w:t>
      </w:r>
      <w:r w:rsidRPr="001D2EDC">
        <w:t xml:space="preserve">ater temperatures </w:t>
      </w:r>
      <w:r>
        <w:t xml:space="preserve">must </w:t>
      </w:r>
      <w:r w:rsidRPr="001D2EDC">
        <w:t>be stable</w:t>
      </w:r>
      <w:r>
        <w:t xml:space="preserve"> throughout the container</w:t>
      </w:r>
      <w:r w:rsidR="00B4342B">
        <w:t xml:space="preserve"> with thermal gradients minimized to the extent possible and applicable</w:t>
      </w:r>
      <w:r w:rsidRPr="001D2EDC">
        <w:t xml:space="preserve">. Temperature accuracy is as important as purity for a correct density determination. If water is coming straight from the tap through </w:t>
      </w:r>
      <w:r>
        <w:t>the purification system</w:t>
      </w:r>
      <w:r w:rsidRPr="001D2EDC">
        <w:t xml:space="preserve"> into the prover, the temperature may fluctuate appreciably. Therefore, it is important to store an adequate volume of water </w:t>
      </w:r>
      <w:r w:rsidR="00B4342B">
        <w:t xml:space="preserve">needed </w:t>
      </w:r>
      <w:r w:rsidRPr="001D2EDC">
        <w:t xml:space="preserve">to complete a calibration </w:t>
      </w:r>
      <w:r w:rsidR="00B4342B">
        <w:t xml:space="preserve">that is </w:t>
      </w:r>
      <w:r w:rsidRPr="001D2EDC">
        <w:t xml:space="preserve">either already </w:t>
      </w:r>
      <w:r>
        <w:t xml:space="preserve">purified </w:t>
      </w:r>
      <w:r w:rsidRPr="001D2EDC">
        <w:t xml:space="preserve">or ready to </w:t>
      </w:r>
      <w:r w:rsidR="00B4342B">
        <w:t xml:space="preserve">enter </w:t>
      </w:r>
      <w:r w:rsidRPr="001D2EDC">
        <w:t xml:space="preserve">the </w:t>
      </w:r>
      <w:r>
        <w:t>system</w:t>
      </w:r>
      <w:r w:rsidRPr="001D2EDC">
        <w:t>.</w:t>
      </w:r>
    </w:p>
    <w:p w:rsidR="00A51333" w:rsidRPr="00A51333" w:rsidRDefault="00A51333" w:rsidP="00C514F3">
      <w:pPr>
        <w:pStyle w:val="Heading1"/>
      </w:pPr>
      <w:r w:rsidRPr="00A51333">
        <w:t>Water Density Calculations</w:t>
      </w:r>
    </w:p>
    <w:p w:rsidR="00951ECC" w:rsidRDefault="00662D3F" w:rsidP="00CD72DD">
      <w:pPr>
        <w:pStyle w:val="BodyText"/>
        <w:ind w:left="720"/>
      </w:pPr>
      <w:r>
        <w:t xml:space="preserve">Water density tables </w:t>
      </w:r>
      <w:r w:rsidR="00407CCC">
        <w:t xml:space="preserve">(see Table 9.8 in NISTIR 6969) </w:t>
      </w:r>
      <w:r>
        <w:t xml:space="preserve">or calculations are </w:t>
      </w:r>
      <w:r w:rsidR="00951ECC">
        <w:t xml:space="preserve">required for </w:t>
      </w:r>
      <w:r>
        <w:t>most gravimetric calculations</w:t>
      </w:r>
      <w:r w:rsidR="00E233DE">
        <w:t xml:space="preserve">. </w:t>
      </w:r>
      <w:r>
        <w:t>For use in computer programs (most often spreadsheets), the use of calculation</w:t>
      </w:r>
      <w:r w:rsidR="005F7E8F">
        <w:t>s</w:t>
      </w:r>
      <w:r>
        <w:t xml:space="preserve"> </w:t>
      </w:r>
      <w:r w:rsidR="00C46C5D">
        <w:t>is</w:t>
      </w:r>
      <w:r w:rsidR="005F7E8F">
        <w:t xml:space="preserve"> </w:t>
      </w:r>
      <w:r>
        <w:t xml:space="preserve">preferred to </w:t>
      </w:r>
      <w:r w:rsidR="005F7E8F">
        <w:t xml:space="preserve">the use of </w:t>
      </w:r>
      <w:r>
        <w:t>look-up tables</w:t>
      </w:r>
      <w:r w:rsidR="00E233DE">
        <w:t xml:space="preserve">. </w:t>
      </w:r>
    </w:p>
    <w:p w:rsidR="00540093" w:rsidRDefault="00540093" w:rsidP="00C514F3">
      <w:pPr>
        <w:pStyle w:val="Heading2"/>
      </w:pPr>
      <w:r>
        <w:t xml:space="preserve">Air-free water </w:t>
      </w:r>
      <w:r w:rsidR="00EC1BB7">
        <w:t xml:space="preserve">density </w:t>
      </w:r>
      <w:r>
        <w:t>calculation</w:t>
      </w:r>
    </w:p>
    <w:p w:rsidR="00662D3F" w:rsidRDefault="00662D3F" w:rsidP="00C514F3">
      <w:pPr>
        <w:pStyle w:val="BodyText"/>
        <w:ind w:left="1440"/>
      </w:pPr>
      <w:r>
        <w:t xml:space="preserve">The following equation </w:t>
      </w:r>
      <w:r w:rsidR="005F7E8F">
        <w:t xml:space="preserve">provides the density for air-free water and </w:t>
      </w:r>
      <w:r>
        <w:t>is recommended for use</w:t>
      </w:r>
      <w:r w:rsidR="00C40862">
        <w:t xml:space="preserve"> between 0 °C and 40 °C</w:t>
      </w:r>
      <w:r>
        <w:t>.</w:t>
      </w:r>
      <w:r>
        <w:rPr>
          <w:rStyle w:val="FootnoteReference"/>
        </w:rPr>
        <w:footnoteReference w:id="3"/>
      </w:r>
      <w:r w:rsidR="000E2610">
        <w:t xml:space="preserve">  This equation provides results in kg/m</w:t>
      </w:r>
      <w:r w:rsidR="000E2610" w:rsidRPr="000E2610">
        <w:rPr>
          <w:vertAlign w:val="superscript"/>
        </w:rPr>
        <w:t>3</w:t>
      </w:r>
      <w:r w:rsidR="009F7666">
        <w:t xml:space="preserve">. </w:t>
      </w:r>
      <w:r w:rsidR="000E2610">
        <w:t>Therefore, divide by 1000 to convert the value to g/cm</w:t>
      </w:r>
      <w:r w:rsidR="000E2610" w:rsidRPr="000E2610">
        <w:rPr>
          <w:vertAlign w:val="superscript"/>
        </w:rPr>
        <w:t>3</w:t>
      </w:r>
      <w:r w:rsidR="000E2610">
        <w:t xml:space="preserve">. </w:t>
      </w:r>
    </w:p>
    <w:p w:rsidR="00662D3F" w:rsidRDefault="00E312E7" w:rsidP="00C514F3">
      <w:pPr>
        <w:ind w:left="360"/>
        <w:jc w:val="right"/>
        <w:rPr>
          <w:szCs w:val="24"/>
        </w:rPr>
      </w:pPr>
      <w:r w:rsidRPr="00627597">
        <w:rPr>
          <w:position w:val="-40"/>
        </w:rPr>
        <w:object w:dxaOrig="328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for the air free density calculation of water at the temperature specified with a list of variables shown in the text with their units.  a5 times quantity 1 minus the quotient where the numerator is t plus a1 squared times t plus a2, and denominator is a3 times quantity t plus a4.  List of a subscript values are in the text and not in a table." style="width:164.25pt;height:45.75pt" o:ole="">
            <v:imagedata r:id="rId8" o:title=""/>
          </v:shape>
          <o:OLEObject Type="Embed" ProgID="Equation.DSMT4" ShapeID="_x0000_i1025" DrawAspect="Content" ObjectID="_1618729212" r:id="rId9"/>
        </w:object>
      </w:r>
      <w:r w:rsidR="00F5726A">
        <w:tab/>
      </w:r>
      <w:r w:rsidR="00F5726A">
        <w:tab/>
      </w:r>
      <w:r w:rsidR="00F5726A">
        <w:tab/>
      </w:r>
      <w:r w:rsidR="00F5726A">
        <w:fldChar w:fldCharType="begin"/>
      </w:r>
      <w:r w:rsidR="00F5726A">
        <w:instrText xml:space="preserve"> MACROBUTTON MTPlaceRef \* MERGEFORMAT </w:instrText>
      </w:r>
      <w:r w:rsidR="00F5726A">
        <w:fldChar w:fldCharType="begin"/>
      </w:r>
      <w:r w:rsidR="00F5726A">
        <w:instrText xml:space="preserve"> SEQ MTEqn \h \* MERGEFORMAT </w:instrText>
      </w:r>
      <w:r w:rsidR="00F5726A">
        <w:fldChar w:fldCharType="end"/>
      </w:r>
      <w:r w:rsidR="00F5726A">
        <w:instrText>Eqn. (</w:instrText>
      </w:r>
      <w:r w:rsidR="008652CE">
        <w:rPr>
          <w:noProof/>
        </w:rPr>
        <w:fldChar w:fldCharType="begin"/>
      </w:r>
      <w:r w:rsidR="008652CE">
        <w:rPr>
          <w:noProof/>
        </w:rPr>
        <w:instrText xml:space="preserve"> SEQ MTEqn \c \* Arabic \* MERGEFORMAT </w:instrText>
      </w:r>
      <w:r w:rsidR="008652CE">
        <w:rPr>
          <w:noProof/>
        </w:rPr>
        <w:fldChar w:fldCharType="separate"/>
      </w:r>
      <w:r>
        <w:rPr>
          <w:noProof/>
        </w:rPr>
        <w:instrText>1</w:instrText>
      </w:r>
      <w:r w:rsidR="008652CE">
        <w:rPr>
          <w:noProof/>
        </w:rPr>
        <w:fldChar w:fldCharType="end"/>
      </w:r>
      <w:r w:rsidR="00F5726A">
        <w:instrText>)</w:instrText>
      </w:r>
      <w:r w:rsidR="00F5726A">
        <w:fldChar w:fldCharType="end"/>
      </w:r>
    </w:p>
    <w:p w:rsidR="00662D3F" w:rsidRPr="00581B66" w:rsidRDefault="00662D3F" w:rsidP="00C514F3">
      <w:pPr>
        <w:pStyle w:val="BodyText"/>
        <w:ind w:left="1440"/>
      </w:pPr>
      <w:r w:rsidRPr="00581B66">
        <w:t>where:</w:t>
      </w:r>
      <w:r w:rsidR="00A536E5">
        <w:tab/>
      </w:r>
    </w:p>
    <w:p w:rsidR="00C05A12" w:rsidRPr="00925702" w:rsidRDefault="00C05A12" w:rsidP="00C514F3">
      <w:pPr>
        <w:pStyle w:val="BodyText"/>
        <w:ind w:left="1440"/>
        <w:rPr>
          <w:rFonts w:ascii="TimesNewRomanPSMT" w:hAnsi="TimesNewRomanPSMT" w:cs="TimesNewRomanPSMT"/>
        </w:rPr>
      </w:pPr>
      <w:r w:rsidRPr="00A536E5">
        <w:rPr>
          <w:i/>
          <w:iCs/>
        </w:rPr>
        <w:t>a</w:t>
      </w:r>
      <w:r w:rsidRPr="00A536E5">
        <w:rPr>
          <w:i/>
          <w:iCs/>
          <w:vertAlign w:val="subscript"/>
        </w:rPr>
        <w:t>1</w:t>
      </w:r>
      <w:r w:rsidRPr="00A536E5">
        <w:rPr>
          <w:i/>
          <w:iCs/>
        </w:rPr>
        <w:t xml:space="preserve"> </w:t>
      </w:r>
      <w:r w:rsidRPr="00A536E5">
        <w:t xml:space="preserve">= -3.983 035 </w:t>
      </w:r>
      <w:r w:rsidRPr="00925702">
        <w:rPr>
          <w:rFonts w:ascii="Symbol" w:hAnsi="Symbol" w:cs="Symbol"/>
        </w:rPr>
        <w:t></w:t>
      </w:r>
      <w:r w:rsidRPr="00925702">
        <w:rPr>
          <w:rFonts w:ascii="TimesNewRomanPSMT" w:hAnsi="TimesNewRomanPSMT" w:cs="TimesNewRomanPSMT"/>
        </w:rPr>
        <w:t>C</w:t>
      </w:r>
    </w:p>
    <w:p w:rsidR="00C05A12" w:rsidRPr="00925702" w:rsidRDefault="00C05A12" w:rsidP="00C514F3">
      <w:pPr>
        <w:pStyle w:val="BodyText"/>
        <w:ind w:left="1440"/>
        <w:rPr>
          <w:rFonts w:ascii="TimesNewRomanPSMT" w:hAnsi="TimesNewRomanPSMT" w:cs="TimesNewRomanPSMT"/>
        </w:rPr>
      </w:pPr>
      <w:r w:rsidRPr="00A536E5">
        <w:rPr>
          <w:i/>
          <w:iCs/>
        </w:rPr>
        <w:t>a</w:t>
      </w:r>
      <w:r w:rsidRPr="00A536E5">
        <w:rPr>
          <w:i/>
          <w:iCs/>
          <w:vertAlign w:val="subscript"/>
        </w:rPr>
        <w:t>2</w:t>
      </w:r>
      <w:r w:rsidRPr="00A536E5">
        <w:rPr>
          <w:i/>
          <w:iCs/>
        </w:rPr>
        <w:t xml:space="preserve"> </w:t>
      </w:r>
      <w:r w:rsidRPr="00A536E5">
        <w:t xml:space="preserve">= 301.797 </w:t>
      </w:r>
      <w:r w:rsidRPr="00925702">
        <w:rPr>
          <w:rFonts w:ascii="Symbol" w:hAnsi="Symbol" w:cs="Symbol"/>
        </w:rPr>
        <w:t></w:t>
      </w:r>
      <w:r w:rsidRPr="00925702">
        <w:rPr>
          <w:rFonts w:ascii="TimesNewRomanPSMT" w:hAnsi="TimesNewRomanPSMT" w:cs="TimesNewRomanPSMT"/>
        </w:rPr>
        <w:t>C</w:t>
      </w:r>
    </w:p>
    <w:p w:rsidR="00C05A12" w:rsidRPr="00925702" w:rsidRDefault="00C05A12" w:rsidP="00C514F3">
      <w:pPr>
        <w:pStyle w:val="BodyText"/>
        <w:ind w:left="1440"/>
        <w:rPr>
          <w:rFonts w:ascii="TimesNewRomanPSMT" w:hAnsi="TimesNewRomanPSMT" w:cs="TimesNewRomanPSMT"/>
        </w:rPr>
      </w:pPr>
      <w:r w:rsidRPr="00A536E5">
        <w:rPr>
          <w:i/>
          <w:iCs/>
        </w:rPr>
        <w:t>a</w:t>
      </w:r>
      <w:r w:rsidRPr="00A536E5">
        <w:rPr>
          <w:i/>
          <w:iCs/>
          <w:vertAlign w:val="subscript"/>
        </w:rPr>
        <w:t>3</w:t>
      </w:r>
      <w:r w:rsidRPr="00A536E5">
        <w:rPr>
          <w:i/>
          <w:iCs/>
        </w:rPr>
        <w:t xml:space="preserve"> </w:t>
      </w:r>
      <w:r w:rsidRPr="00A536E5">
        <w:t xml:space="preserve">= 522528.9 </w:t>
      </w:r>
      <w:r w:rsidRPr="00925702">
        <w:rPr>
          <w:rFonts w:ascii="Symbol" w:hAnsi="Symbol" w:cs="Symbol"/>
        </w:rPr>
        <w:t></w:t>
      </w:r>
      <w:r w:rsidRPr="00925702">
        <w:rPr>
          <w:rFonts w:ascii="TimesNewRomanPSMT" w:hAnsi="TimesNewRomanPSMT" w:cs="TimesNewRomanPSMT"/>
        </w:rPr>
        <w:t>C</w:t>
      </w:r>
      <w:r w:rsidRPr="00925702">
        <w:rPr>
          <w:rFonts w:ascii="TimesNewRomanPSMT" w:hAnsi="TimesNewRomanPSMT" w:cs="TimesNewRomanPSMT"/>
          <w:vertAlign w:val="superscript"/>
        </w:rPr>
        <w:t>2</w:t>
      </w:r>
    </w:p>
    <w:p w:rsidR="00C05A12" w:rsidRPr="00925702" w:rsidRDefault="00C05A12" w:rsidP="00C514F3">
      <w:pPr>
        <w:pStyle w:val="BodyText"/>
        <w:ind w:left="1440"/>
        <w:rPr>
          <w:rFonts w:ascii="TimesNewRomanPSMT" w:hAnsi="TimesNewRomanPSMT" w:cs="TimesNewRomanPSMT"/>
        </w:rPr>
      </w:pPr>
      <w:r w:rsidRPr="00A536E5">
        <w:rPr>
          <w:i/>
          <w:iCs/>
        </w:rPr>
        <w:t>a</w:t>
      </w:r>
      <w:r w:rsidRPr="00A536E5">
        <w:rPr>
          <w:i/>
          <w:iCs/>
          <w:vertAlign w:val="subscript"/>
        </w:rPr>
        <w:t>4</w:t>
      </w:r>
      <w:r w:rsidRPr="00A536E5">
        <w:rPr>
          <w:i/>
          <w:iCs/>
        </w:rPr>
        <w:t xml:space="preserve"> </w:t>
      </w:r>
      <w:r w:rsidRPr="00A536E5">
        <w:t xml:space="preserve">= 69.348 81 </w:t>
      </w:r>
      <w:r w:rsidRPr="00925702">
        <w:rPr>
          <w:rFonts w:ascii="Symbol" w:hAnsi="Symbol" w:cs="Symbol"/>
        </w:rPr>
        <w:t></w:t>
      </w:r>
      <w:r w:rsidRPr="00925702">
        <w:rPr>
          <w:rFonts w:ascii="TimesNewRomanPSMT" w:hAnsi="TimesNewRomanPSMT" w:cs="TimesNewRomanPSMT"/>
        </w:rPr>
        <w:t>C</w:t>
      </w:r>
    </w:p>
    <w:p w:rsidR="00C05A12" w:rsidRPr="00925702" w:rsidRDefault="00C05A12" w:rsidP="00C514F3">
      <w:pPr>
        <w:pStyle w:val="BodyText"/>
        <w:ind w:left="1440"/>
        <w:rPr>
          <w:rFonts w:ascii="TimesNewRomanPSMT" w:hAnsi="TimesNewRomanPSMT" w:cs="TimesNewRomanPSMT"/>
        </w:rPr>
      </w:pPr>
      <w:r w:rsidRPr="00A536E5">
        <w:rPr>
          <w:i/>
          <w:iCs/>
        </w:rPr>
        <w:t>a</w:t>
      </w:r>
      <w:r w:rsidRPr="00A536E5">
        <w:rPr>
          <w:i/>
          <w:iCs/>
          <w:vertAlign w:val="subscript"/>
        </w:rPr>
        <w:t>5</w:t>
      </w:r>
      <w:r w:rsidRPr="00A536E5">
        <w:rPr>
          <w:i/>
          <w:iCs/>
        </w:rPr>
        <w:t xml:space="preserve"> </w:t>
      </w:r>
      <w:r w:rsidRPr="00A536E5">
        <w:t xml:space="preserve">= 999.974 950 </w:t>
      </w:r>
      <w:r w:rsidR="008D144C">
        <w:rPr>
          <w:rFonts w:ascii="TimesNewRomanPSMT" w:hAnsi="TimesNewRomanPSMT" w:cs="TimesNewRomanPSMT"/>
        </w:rPr>
        <w:t>kg</w:t>
      </w:r>
      <w:r w:rsidR="000E2610">
        <w:rPr>
          <w:rFonts w:ascii="TimesNewRomanPSMT" w:hAnsi="TimesNewRomanPSMT" w:cs="TimesNewRomanPSMT"/>
        </w:rPr>
        <w:t>/</w:t>
      </w:r>
      <w:r w:rsidR="008D144C">
        <w:rPr>
          <w:rFonts w:ascii="TimesNewRomanPSMT" w:hAnsi="TimesNewRomanPSMT" w:cs="TimesNewRomanPSMT"/>
        </w:rPr>
        <w:t>m</w:t>
      </w:r>
      <w:r w:rsidR="008D144C" w:rsidRPr="008D144C">
        <w:rPr>
          <w:rFonts w:ascii="TimesNewRomanPSMT" w:hAnsi="TimesNewRomanPSMT" w:cs="TimesNewRomanPSMT"/>
          <w:vertAlign w:val="superscript"/>
        </w:rPr>
        <w:t>3</w:t>
      </w:r>
    </w:p>
    <w:p w:rsidR="00C05A12" w:rsidRPr="00925702" w:rsidRDefault="00C05A12" w:rsidP="00C514F3">
      <w:pPr>
        <w:pStyle w:val="BodyText"/>
        <w:ind w:left="1440"/>
        <w:rPr>
          <w:rFonts w:ascii="TimesNewRomanPSMT" w:hAnsi="TimesNewRomanPSMT" w:cs="TimesNewRomanPSMT"/>
        </w:rPr>
      </w:pPr>
      <w:r w:rsidRPr="00A536E5">
        <w:rPr>
          <w:i/>
          <w:iCs/>
        </w:rPr>
        <w:t>t</w:t>
      </w:r>
      <w:r w:rsidRPr="00A536E5">
        <w:rPr>
          <w:i/>
          <w:iCs/>
          <w:vertAlign w:val="subscript"/>
        </w:rPr>
        <w:t>w</w:t>
      </w:r>
      <w:r w:rsidR="00DA3730">
        <w:rPr>
          <w:i/>
          <w:iCs/>
        </w:rPr>
        <w:t xml:space="preserve"> = </w:t>
      </w:r>
      <w:r w:rsidRPr="00A536E5">
        <w:t xml:space="preserve">the temperature of the water in </w:t>
      </w:r>
      <w:r w:rsidRPr="00925702">
        <w:rPr>
          <w:rFonts w:ascii="Symbol" w:hAnsi="Symbol" w:cs="Symbol"/>
        </w:rPr>
        <w:t></w:t>
      </w:r>
      <w:r w:rsidRPr="00925702">
        <w:rPr>
          <w:rFonts w:ascii="TimesNewRomanPSMT" w:hAnsi="TimesNewRomanPSMT" w:cs="TimesNewRomanPSMT"/>
        </w:rPr>
        <w:t>C.</w:t>
      </w:r>
    </w:p>
    <w:p w:rsidR="00C05A12" w:rsidRDefault="00C05A12" w:rsidP="00C514F3">
      <w:pPr>
        <w:pStyle w:val="BodyText"/>
        <w:ind w:left="1440"/>
      </w:pPr>
      <w:r w:rsidRPr="00925702">
        <w:t>In Excel Format</w:t>
      </w:r>
      <w:r w:rsidR="00366EE9">
        <w:t xml:space="preserve">, </w:t>
      </w:r>
      <w:r w:rsidR="00366EE9" w:rsidRPr="00925702">
        <w:t xml:space="preserve">where, G8 is the cell with the </w:t>
      </w:r>
      <w:r w:rsidR="00B4342B">
        <w:t xml:space="preserve">water </w:t>
      </w:r>
      <w:r w:rsidR="00366EE9" w:rsidRPr="00925702">
        <w:t xml:space="preserve">temperature </w:t>
      </w:r>
      <w:r w:rsidR="00B4342B">
        <w:t xml:space="preserve">in </w:t>
      </w:r>
      <w:r w:rsidR="00B4342B" w:rsidRPr="00925702">
        <w:rPr>
          <w:rFonts w:ascii="Symbol" w:hAnsi="Symbol" w:cs="Symbol"/>
        </w:rPr>
        <w:t></w:t>
      </w:r>
      <w:r w:rsidR="00B4342B" w:rsidRPr="00925702">
        <w:rPr>
          <w:rFonts w:ascii="TimesNewRomanPSMT" w:hAnsi="TimesNewRomanPSMT" w:cs="TimesNewRomanPSMT"/>
        </w:rPr>
        <w:t>C</w:t>
      </w:r>
      <w:r w:rsidR="00B4342B" w:rsidRPr="00925702">
        <w:t xml:space="preserve"> </w:t>
      </w:r>
      <w:r w:rsidR="00366EE9" w:rsidRPr="00925702">
        <w:t xml:space="preserve">and </w:t>
      </w:r>
      <w:r w:rsidR="00B4342B">
        <w:t xml:space="preserve">calculated water density is </w:t>
      </w:r>
      <w:r w:rsidR="00366EE9" w:rsidRPr="00925702">
        <w:t xml:space="preserve">given </w:t>
      </w:r>
      <w:r w:rsidR="00B4342B">
        <w:t xml:space="preserve">as </w:t>
      </w:r>
      <w:r w:rsidR="00366EE9" w:rsidRPr="00925702">
        <w:t>kg/m</w:t>
      </w:r>
      <w:r w:rsidR="00366EE9" w:rsidRPr="00925702">
        <w:rPr>
          <w:vertAlign w:val="superscript"/>
        </w:rPr>
        <w:t>3</w:t>
      </w:r>
      <w:r w:rsidR="00B4342B" w:rsidRPr="009E2097">
        <w:t>,</w:t>
      </w:r>
      <w:r w:rsidR="00366EE9">
        <w:rPr>
          <w:vertAlign w:val="superscript"/>
        </w:rPr>
        <w:t xml:space="preserve"> </w:t>
      </w:r>
      <w:r w:rsidR="00366EE9" w:rsidRPr="00366EE9">
        <w:t>the equation</w:t>
      </w:r>
      <w:r w:rsidR="00366EE9">
        <w:rPr>
          <w:vertAlign w:val="superscript"/>
        </w:rPr>
        <w:t xml:space="preserve"> </w:t>
      </w:r>
      <w:r w:rsidR="00366EE9">
        <w:t>will look like this</w:t>
      </w:r>
      <w:r w:rsidRPr="00925702">
        <w:t>:</w:t>
      </w:r>
    </w:p>
    <w:p w:rsidR="00366EE9" w:rsidRDefault="00366EE9" w:rsidP="00366EE9">
      <w:pPr>
        <w:pStyle w:val="MTDisplayEquation"/>
        <w:keepNext/>
      </w:pPr>
    </w:p>
    <w:p w:rsidR="00366EE9" w:rsidRDefault="00366EE9" w:rsidP="00937F1C">
      <w:pPr>
        <w:pStyle w:val="MTDisplayEquation"/>
        <w:keepNext/>
        <w:jc w:val="right"/>
      </w:pPr>
      <w:r>
        <w:tab/>
      </w:r>
      <w:r w:rsidR="00CD72DD" w:rsidRPr="00366EE9">
        <w:rPr>
          <w:position w:val="-10"/>
        </w:rPr>
        <w:object w:dxaOrig="8440" w:dyaOrig="360">
          <v:shape id="_x0000_i1026" type="#_x0000_t75" alt="Example Excel equation: where G8 is the cell with temperature: =999.97495*(1-(((G8-3.983035)^2*(G8+301.797))/(522528.9*(G8+69.34881))))" style="width:422.25pt;height:18pt" o:ole="">
            <v:imagedata r:id="rId10" o:title=""/>
          </v:shape>
          <o:OLEObject Type="Embed" ProgID="Equation.DSMT4" ShapeID="_x0000_i1026" DrawAspect="Content" ObjectID="_1618729213" r:id="rId11"/>
        </w:object>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8652CE">
        <w:rPr>
          <w:noProof/>
        </w:rPr>
        <w:fldChar w:fldCharType="begin"/>
      </w:r>
      <w:r w:rsidR="008652CE">
        <w:rPr>
          <w:noProof/>
        </w:rPr>
        <w:instrText xml:space="preserve"> SEQ MTEqn \c \* Arabic \* MERGEFORMAT </w:instrText>
      </w:r>
      <w:r w:rsidR="008652CE">
        <w:rPr>
          <w:noProof/>
        </w:rPr>
        <w:fldChar w:fldCharType="separate"/>
      </w:r>
      <w:r w:rsidR="00E312E7">
        <w:rPr>
          <w:noProof/>
        </w:rPr>
        <w:instrText>2</w:instrText>
      </w:r>
      <w:r w:rsidR="008652CE">
        <w:rPr>
          <w:noProof/>
        </w:rPr>
        <w:fldChar w:fldCharType="end"/>
      </w:r>
      <w:r>
        <w:instrText>)</w:instrText>
      </w:r>
      <w:r>
        <w:fldChar w:fldCharType="end"/>
      </w:r>
    </w:p>
    <w:p w:rsidR="00EC1BB7" w:rsidRDefault="00EC1BB7" w:rsidP="00C514F3">
      <w:pPr>
        <w:pStyle w:val="Heading2"/>
      </w:pPr>
      <w:r>
        <w:t>Air-saturat</w:t>
      </w:r>
      <w:r w:rsidR="00DA1C9A">
        <w:t>ion</w:t>
      </w:r>
      <w:r>
        <w:t xml:space="preserve"> correction for water density calculation</w:t>
      </w:r>
    </w:p>
    <w:p w:rsidR="0092266A" w:rsidRDefault="005F7E8F" w:rsidP="00C514F3">
      <w:pPr>
        <w:pStyle w:val="BodyText"/>
        <w:ind w:left="1440"/>
      </w:pPr>
      <w:r>
        <w:t>Pure water that is used in the laboratory is generally air-saturated, so the density must be corrected</w:t>
      </w:r>
      <w:r w:rsidR="00DF3136">
        <w:t xml:space="preserve">. </w:t>
      </w:r>
      <w:r>
        <w:t>The impact is approximately between 1 and 4 parts per million</w:t>
      </w:r>
      <w:r w:rsidR="00C325B5">
        <w:t xml:space="preserve"> (or several times the uncertainty of the water density calculation)</w:t>
      </w:r>
      <w:r w:rsidR="00DF3136">
        <w:t xml:space="preserve">. </w:t>
      </w:r>
      <w:r w:rsidR="0092266A">
        <w:t xml:space="preserve">To adjust the air-free water density in Equation 1 </w:t>
      </w:r>
      <w:r w:rsidR="00581B66">
        <w:t>be</w:t>
      </w:r>
      <w:r w:rsidR="000E2610">
        <w:t>t</w:t>
      </w:r>
      <w:r w:rsidR="00581B66">
        <w:t xml:space="preserve">ween 0 °C and </w:t>
      </w:r>
      <w:r w:rsidR="00951ECC">
        <w:t>40</w:t>
      </w:r>
      <w:r w:rsidR="00581B66">
        <w:t xml:space="preserve"> °C </w:t>
      </w:r>
      <w:r w:rsidR="0092266A">
        <w:t>to air-saturated water (the standard laboratory condition), use the following equation</w:t>
      </w:r>
      <w:r w:rsidR="00581B66">
        <w:t>,</w:t>
      </w:r>
    </w:p>
    <w:p w:rsidR="0092266A" w:rsidRDefault="00E312E7" w:rsidP="00C514F3">
      <w:pPr>
        <w:tabs>
          <w:tab w:val="left" w:pos="1580"/>
        </w:tabs>
        <w:jc w:val="right"/>
        <w:rPr>
          <w:szCs w:val="24"/>
        </w:rPr>
      </w:pPr>
      <w:r w:rsidRPr="00627597">
        <w:rPr>
          <w:position w:val="-12"/>
        </w:rPr>
        <w:object w:dxaOrig="2060" w:dyaOrig="380">
          <v:shape id="_x0000_i1027" type="#_x0000_t75" alt="air saturation correction (correction to the air free equation 1 and 2 in kg per cubic meters is s subscript x plus s subscript 1 times t where the values for s0 and s1 are given in the text (not in a table). In Excel format: =(-4.612+0.106xG8) where cell G8 is again the water temperature" style="width:102.75pt;height:18.75pt" o:ole="">
            <v:imagedata r:id="rId12" o:title=""/>
          </v:shape>
          <o:OLEObject Type="Embed" ProgID="Equation.DSMT4" ShapeID="_x0000_i1027" DrawAspect="Content" ObjectID="_1618729214" r:id="rId13"/>
        </w:object>
      </w:r>
      <w:r w:rsidR="00F5726A">
        <w:tab/>
      </w:r>
      <w:r w:rsidR="00F5726A">
        <w:tab/>
      </w:r>
      <w:r w:rsidR="00C514F3">
        <w:tab/>
      </w:r>
      <w:r w:rsidR="00C514F3">
        <w:tab/>
      </w:r>
      <w:r w:rsidR="00F5726A">
        <w:tab/>
      </w:r>
      <w:r w:rsidR="00F5726A">
        <w:fldChar w:fldCharType="begin"/>
      </w:r>
      <w:r w:rsidR="00F5726A">
        <w:instrText xml:space="preserve"> MACROBUTTON MTPlaceRef \* MERGEFORMAT </w:instrText>
      </w:r>
      <w:r w:rsidR="00F5726A">
        <w:fldChar w:fldCharType="begin"/>
      </w:r>
      <w:r w:rsidR="00F5726A">
        <w:instrText xml:space="preserve"> SEQ MTEqn \h \* MERGEFORMAT </w:instrText>
      </w:r>
      <w:r w:rsidR="00F5726A">
        <w:fldChar w:fldCharType="end"/>
      </w:r>
      <w:r w:rsidR="00F5726A">
        <w:instrText>Eqn. (</w:instrText>
      </w:r>
      <w:r w:rsidR="008652CE">
        <w:rPr>
          <w:noProof/>
        </w:rPr>
        <w:fldChar w:fldCharType="begin"/>
      </w:r>
      <w:r w:rsidR="008652CE">
        <w:rPr>
          <w:noProof/>
        </w:rPr>
        <w:instrText xml:space="preserve"> SEQ MTEqn \c \* Arabic \* MERGEFORMAT </w:instrText>
      </w:r>
      <w:r w:rsidR="008652CE">
        <w:rPr>
          <w:noProof/>
        </w:rPr>
        <w:fldChar w:fldCharType="separate"/>
      </w:r>
      <w:r>
        <w:rPr>
          <w:noProof/>
        </w:rPr>
        <w:instrText>3</w:instrText>
      </w:r>
      <w:r w:rsidR="008652CE">
        <w:rPr>
          <w:noProof/>
        </w:rPr>
        <w:fldChar w:fldCharType="end"/>
      </w:r>
      <w:r w:rsidR="00F5726A">
        <w:instrText>)</w:instrText>
      </w:r>
      <w:r w:rsidR="00F5726A">
        <w:fldChar w:fldCharType="end"/>
      </w:r>
    </w:p>
    <w:p w:rsidR="0092266A" w:rsidRDefault="00581B66" w:rsidP="00C514F3">
      <w:pPr>
        <w:pStyle w:val="BodyText"/>
        <w:ind w:left="1440"/>
        <w:rPr>
          <w:noProof/>
        </w:rPr>
      </w:pPr>
      <w:r>
        <w:rPr>
          <w:noProof/>
        </w:rPr>
        <w:t>w</w:t>
      </w:r>
      <w:r w:rsidR="0092266A">
        <w:rPr>
          <w:noProof/>
        </w:rPr>
        <w:t xml:space="preserve">here, </w:t>
      </w:r>
    </w:p>
    <w:p w:rsidR="0092266A" w:rsidRPr="00925702" w:rsidRDefault="00581B66" w:rsidP="00C514F3">
      <w:pPr>
        <w:pStyle w:val="BodyText"/>
        <w:ind w:left="1440"/>
        <w:rPr>
          <w:noProof/>
        </w:rPr>
      </w:pPr>
      <w:r w:rsidRPr="00925702">
        <w:rPr>
          <w:noProof/>
        </w:rPr>
        <w:t>S</w:t>
      </w:r>
      <w:r w:rsidRPr="00925702">
        <w:rPr>
          <w:noProof/>
          <w:vertAlign w:val="subscript"/>
        </w:rPr>
        <w:t>0</w:t>
      </w:r>
      <w:r w:rsidRPr="00925702">
        <w:rPr>
          <w:noProof/>
        </w:rPr>
        <w:t>/(10</w:t>
      </w:r>
      <w:r w:rsidRPr="00925702">
        <w:rPr>
          <w:noProof/>
          <w:vertAlign w:val="superscript"/>
        </w:rPr>
        <w:t>-3</w:t>
      </w:r>
      <w:r w:rsidRPr="00925702">
        <w:rPr>
          <w:noProof/>
        </w:rPr>
        <w:t xml:space="preserve"> kg m</w:t>
      </w:r>
      <w:r w:rsidRPr="00925702">
        <w:rPr>
          <w:noProof/>
          <w:vertAlign w:val="superscript"/>
        </w:rPr>
        <w:t>-3</w:t>
      </w:r>
      <w:r w:rsidRPr="00925702">
        <w:rPr>
          <w:noProof/>
        </w:rPr>
        <w:t>)</w:t>
      </w:r>
      <w:r w:rsidR="00DA3730">
        <w:rPr>
          <w:noProof/>
        </w:rPr>
        <w:t xml:space="preserve"> </w:t>
      </w:r>
      <w:r w:rsidRPr="00925702">
        <w:rPr>
          <w:noProof/>
        </w:rPr>
        <w:t xml:space="preserve">= </w:t>
      </w:r>
      <w:r w:rsidRPr="00925702">
        <w:rPr>
          <w:noProof/>
          <w:vertAlign w:val="superscript"/>
        </w:rPr>
        <w:t>-</w:t>
      </w:r>
      <w:r w:rsidRPr="00925702">
        <w:rPr>
          <w:noProof/>
        </w:rPr>
        <w:t>4.612</w:t>
      </w:r>
    </w:p>
    <w:p w:rsidR="00581B66" w:rsidRPr="00925702" w:rsidRDefault="00581B66" w:rsidP="00C514F3">
      <w:pPr>
        <w:pStyle w:val="BodyText"/>
        <w:ind w:left="1440"/>
        <w:rPr>
          <w:noProof/>
        </w:rPr>
      </w:pPr>
      <w:r w:rsidRPr="00925702">
        <w:rPr>
          <w:noProof/>
        </w:rPr>
        <w:t xml:space="preserve">and </w:t>
      </w:r>
    </w:p>
    <w:p w:rsidR="00581B66" w:rsidRPr="00925702" w:rsidRDefault="00581B66" w:rsidP="00C514F3">
      <w:pPr>
        <w:pStyle w:val="BodyText"/>
        <w:ind w:left="1440"/>
        <w:rPr>
          <w:noProof/>
        </w:rPr>
      </w:pPr>
      <w:r w:rsidRPr="00925702">
        <w:rPr>
          <w:noProof/>
        </w:rPr>
        <w:t>S</w:t>
      </w:r>
      <w:r w:rsidRPr="00925702">
        <w:rPr>
          <w:noProof/>
          <w:vertAlign w:val="subscript"/>
        </w:rPr>
        <w:t>1</w:t>
      </w:r>
      <w:r w:rsidRPr="00925702">
        <w:rPr>
          <w:noProof/>
        </w:rPr>
        <w:t>/(10</w:t>
      </w:r>
      <w:r w:rsidRPr="00925702">
        <w:rPr>
          <w:noProof/>
          <w:vertAlign w:val="superscript"/>
        </w:rPr>
        <w:t>-3</w:t>
      </w:r>
      <w:r w:rsidRPr="00925702">
        <w:rPr>
          <w:noProof/>
        </w:rPr>
        <w:t xml:space="preserve"> kg m</w:t>
      </w:r>
      <w:r w:rsidRPr="00925702">
        <w:rPr>
          <w:noProof/>
          <w:vertAlign w:val="superscript"/>
        </w:rPr>
        <w:t>-3</w:t>
      </w:r>
      <w:r w:rsidRPr="00925702">
        <w:rPr>
          <w:noProof/>
        </w:rPr>
        <w:t xml:space="preserve"> °C</w:t>
      </w:r>
      <w:r w:rsidRPr="00925702">
        <w:rPr>
          <w:noProof/>
          <w:vertAlign w:val="superscript"/>
        </w:rPr>
        <w:t>-1</w:t>
      </w:r>
      <w:r w:rsidRPr="00925702">
        <w:rPr>
          <w:noProof/>
        </w:rPr>
        <w:t>)</w:t>
      </w:r>
      <w:r w:rsidR="00DA3730">
        <w:rPr>
          <w:noProof/>
        </w:rPr>
        <w:t xml:space="preserve"> </w:t>
      </w:r>
      <w:r w:rsidRPr="00925702">
        <w:rPr>
          <w:noProof/>
        </w:rPr>
        <w:t>= 0.106.</w:t>
      </w:r>
    </w:p>
    <w:p w:rsidR="00F95DD9" w:rsidRPr="00925702" w:rsidRDefault="00F95DD9" w:rsidP="00C514F3">
      <w:pPr>
        <w:pStyle w:val="BodyText"/>
        <w:ind w:left="1440"/>
      </w:pPr>
      <w:r w:rsidRPr="00925702">
        <w:t>In Excel Form</w:t>
      </w:r>
      <w:r w:rsidR="008D144C">
        <w:t>a</w:t>
      </w:r>
      <w:r w:rsidRPr="00925702">
        <w:t>t:</w:t>
      </w:r>
    </w:p>
    <w:p w:rsidR="00F95DD9" w:rsidRPr="00925702" w:rsidRDefault="00F95DD9" w:rsidP="00C514F3">
      <w:pPr>
        <w:pStyle w:val="BodyText"/>
        <w:ind w:left="1440"/>
      </w:pPr>
      <w:r w:rsidRPr="00925702">
        <w:t>=</w:t>
      </w:r>
      <w:r w:rsidR="0070232C">
        <w:t xml:space="preserve"> </w:t>
      </w:r>
      <w:r w:rsidRPr="00925702">
        <w:t>(-4.612+0.106*G8)</w:t>
      </w:r>
    </w:p>
    <w:p w:rsidR="00F95DD9" w:rsidRPr="00925702" w:rsidRDefault="00F95DD9" w:rsidP="00C514F3">
      <w:pPr>
        <w:pStyle w:val="BodyText"/>
        <w:ind w:left="1440"/>
      </w:pPr>
      <w:r w:rsidRPr="00925702">
        <w:t>where, G8 is the cell with the Celsius temperature. (Add this value to the density</w:t>
      </w:r>
      <w:r w:rsidR="00E233DE">
        <w:t xml:space="preserve">. </w:t>
      </w:r>
      <w:r w:rsidRPr="00925702">
        <w:t>Air</w:t>
      </w:r>
      <w:r w:rsidR="00C40862">
        <w:t>-</w:t>
      </w:r>
      <w:r w:rsidRPr="00925702">
        <w:t xml:space="preserve">saturated water </w:t>
      </w:r>
      <w:r w:rsidR="00C40862">
        <w:t xml:space="preserve">density </w:t>
      </w:r>
      <w:r w:rsidRPr="00925702">
        <w:t>will be less than air</w:t>
      </w:r>
      <w:r w:rsidR="00C40862">
        <w:t>-</w:t>
      </w:r>
      <w:r w:rsidRPr="00925702">
        <w:t>free water</w:t>
      </w:r>
      <w:r w:rsidR="00C40862">
        <w:t xml:space="preserve"> density</w:t>
      </w:r>
      <w:r w:rsidRPr="00925702">
        <w:t>.)</w:t>
      </w:r>
    </w:p>
    <w:p w:rsidR="00EC1BB7" w:rsidRDefault="00C05A12" w:rsidP="00C514F3">
      <w:pPr>
        <w:pStyle w:val="BodyText"/>
        <w:ind w:left="1440"/>
      </w:pPr>
      <w:r w:rsidRPr="006E3372">
        <w:t xml:space="preserve">Note: </w:t>
      </w:r>
      <w:r w:rsidR="008D144C">
        <w:t xml:space="preserve">The </w:t>
      </w:r>
      <w:r w:rsidR="00951ECC">
        <w:t xml:space="preserve">units </w:t>
      </w:r>
      <w:r w:rsidR="008D144C">
        <w:t xml:space="preserve">in Equation 2 </w:t>
      </w:r>
      <w:r w:rsidR="00951ECC">
        <w:t xml:space="preserve">are </w:t>
      </w:r>
      <w:r w:rsidR="00E75BDD">
        <w:t>10</w:t>
      </w:r>
      <w:r w:rsidR="00E75BDD" w:rsidRPr="00E75BDD">
        <w:rPr>
          <w:vertAlign w:val="superscript"/>
        </w:rPr>
        <w:t>-3</w:t>
      </w:r>
      <w:r w:rsidR="00E75BDD">
        <w:t xml:space="preserve"> kg/m</w:t>
      </w:r>
      <w:r w:rsidR="00E75BDD" w:rsidRPr="00E75BDD">
        <w:rPr>
          <w:vertAlign w:val="superscript"/>
        </w:rPr>
        <w:t>3</w:t>
      </w:r>
      <w:r w:rsidR="00E75BDD">
        <w:t xml:space="preserve"> or </w:t>
      </w:r>
      <w:r w:rsidR="008D144C">
        <w:t>“parts per million,” so divide by 1</w:t>
      </w:r>
      <w:r w:rsidR="00E75BDD">
        <w:t> </w:t>
      </w:r>
      <w:r w:rsidR="008D144C">
        <w:t>000</w:t>
      </w:r>
      <w:r w:rsidR="00E75BDD">
        <w:t> </w:t>
      </w:r>
      <w:r w:rsidR="008D144C">
        <w:t>000 to find the change to the water density in g/cm</w:t>
      </w:r>
      <w:r w:rsidR="008D144C" w:rsidRPr="008D144C">
        <w:rPr>
          <w:vertAlign w:val="superscript"/>
        </w:rPr>
        <w:t>3</w:t>
      </w:r>
      <w:r w:rsidR="008D144C">
        <w:t xml:space="preserve">. </w:t>
      </w:r>
    </w:p>
    <w:p w:rsidR="00B4342B" w:rsidRDefault="00B4342B" w:rsidP="00B4342B">
      <w:pPr>
        <w:pStyle w:val="Heading2"/>
      </w:pPr>
      <w:r>
        <w:t xml:space="preserve">The </w:t>
      </w:r>
      <w:r w:rsidR="00E312E7">
        <w:t xml:space="preserve">following </w:t>
      </w:r>
      <w:r>
        <w:t>a</w:t>
      </w:r>
      <w:r w:rsidR="00EC1BB7">
        <w:t>ir-saturated water density calculation</w:t>
      </w:r>
      <w:r>
        <w:t xml:space="preserve"> is recommended for laboratory use </w:t>
      </w:r>
      <w:r w:rsidR="00E312E7">
        <w:t xml:space="preserve">with </w:t>
      </w:r>
      <w:r>
        <w:t xml:space="preserve">Eqn. 1 and Eqn. </w:t>
      </w:r>
      <w:r w:rsidR="00E312E7">
        <w:t>3</w:t>
      </w:r>
      <w:r>
        <w:t xml:space="preserve"> combined as follows, </w:t>
      </w:r>
      <w:r w:rsidR="00C325B5">
        <w:t>taking care to match units.</w:t>
      </w:r>
    </w:p>
    <w:p w:rsidR="00B4342B" w:rsidRDefault="00E312E7" w:rsidP="009E2097">
      <w:pPr>
        <w:pStyle w:val="MTDisplayEquation"/>
      </w:pPr>
      <w:r>
        <w:tab/>
      </w:r>
      <w:r w:rsidRPr="00E312E7">
        <w:rPr>
          <w:position w:val="-24"/>
        </w:rPr>
        <w:object w:dxaOrig="4720" w:dyaOrig="1180">
          <v:shape id="_x0000_i1028" type="#_x0000_t75" alt="Equation 4 is showing the addition of equations 1 and 3 where both are divided by appropriate divisors as noted in the text to provide resulting calculated water density in grams per cubic centimeter." style="width:236.25pt;height:59.25pt" o:ole="">
            <v:imagedata r:id="rId14" o:title=""/>
          </v:shape>
          <o:OLEObject Type="Embed" ProgID="Equation.DSMT4" ShapeID="_x0000_i1028" DrawAspect="Content" ObjectID="_1618729215" r:id="rId1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0C1FC7">
        <w:rPr>
          <w:noProof/>
        </w:rPr>
        <w:fldChar w:fldCharType="begin"/>
      </w:r>
      <w:r w:rsidR="000C1FC7">
        <w:rPr>
          <w:noProof/>
        </w:rPr>
        <w:instrText xml:space="preserve"> SEQ MTEqn \c \* Arabic \* MERGEFORMAT </w:instrText>
      </w:r>
      <w:r w:rsidR="000C1FC7">
        <w:rPr>
          <w:noProof/>
        </w:rPr>
        <w:fldChar w:fldCharType="separate"/>
      </w:r>
      <w:r>
        <w:rPr>
          <w:noProof/>
        </w:rPr>
        <w:instrText>4</w:instrText>
      </w:r>
      <w:r w:rsidR="000C1FC7">
        <w:rPr>
          <w:noProof/>
        </w:rPr>
        <w:fldChar w:fldCharType="end"/>
      </w:r>
      <w:r>
        <w:instrText>)</w:instrText>
      </w:r>
      <w:r>
        <w:fldChar w:fldCharType="end"/>
      </w:r>
    </w:p>
    <w:p w:rsidR="00B4342B" w:rsidRPr="00B4342B" w:rsidRDefault="00B4342B" w:rsidP="00B4342B"/>
    <w:p w:rsidR="000E2610" w:rsidRDefault="000E2610" w:rsidP="00C514F3">
      <w:pPr>
        <w:pStyle w:val="Heading1"/>
      </w:pPr>
      <w:r w:rsidRPr="000E2610">
        <w:t>Uncertainty in Water Density</w:t>
      </w:r>
      <w:r w:rsidR="00A51333">
        <w:t xml:space="preserve"> Values</w:t>
      </w:r>
    </w:p>
    <w:p w:rsidR="000E2610" w:rsidRDefault="000E2610" w:rsidP="00C514F3">
      <w:pPr>
        <w:pStyle w:val="BodyText"/>
        <w:ind w:left="720"/>
      </w:pPr>
      <w:r>
        <w:t>The uncertainty in water density given by the references for the equation itself may be calculated using Eqn. 3</w:t>
      </w:r>
      <w:r w:rsidR="009F7666">
        <w:t xml:space="preserve">. </w:t>
      </w:r>
      <w:r w:rsidR="00951ECC">
        <w:t>T</w:t>
      </w:r>
      <w:r>
        <w:t xml:space="preserve">he </w:t>
      </w:r>
      <w:r w:rsidR="00951ECC">
        <w:t xml:space="preserve">calculated </w:t>
      </w:r>
      <w:r>
        <w:t xml:space="preserve">uncertainty </w:t>
      </w:r>
      <w:r w:rsidR="005D3487">
        <w:t xml:space="preserve">for all the values in the example data shown below is </w:t>
      </w:r>
      <w:r>
        <w:t>0.000 00</w:t>
      </w:r>
      <w:r w:rsidR="005D3487">
        <w:t>0 83</w:t>
      </w:r>
      <w:r>
        <w:t> g/cm</w:t>
      </w:r>
      <w:r w:rsidRPr="000E2610">
        <w:rPr>
          <w:vertAlign w:val="superscript"/>
        </w:rPr>
        <w:t>3</w:t>
      </w:r>
      <w:r>
        <w:t>.</w:t>
      </w:r>
      <w:r w:rsidR="00E4461B">
        <w:t xml:space="preserve"> The uncertainty in water density associated with temperature measurements and temperature gradients must be included in addition to this factor. </w:t>
      </w:r>
    </w:p>
    <w:p w:rsidR="00E75BDD" w:rsidRDefault="0070232C" w:rsidP="00F5726A">
      <w:pPr>
        <w:tabs>
          <w:tab w:val="left" w:pos="1580"/>
        </w:tabs>
        <w:jc w:val="right"/>
        <w:rPr>
          <w:szCs w:val="24"/>
        </w:rPr>
      </w:pPr>
      <w:r w:rsidRPr="00627597">
        <w:rPr>
          <w:position w:val="-12"/>
        </w:rPr>
        <w:object w:dxaOrig="9060" w:dyaOrig="380">
          <v:shape id="_x0000_i1031" type="#_x0000_t75" alt="Equation for uncertainty in water density: 0.8394 - 0.00128 times temperature, plus 0.0011 times temperature squared, - 0.00000609 times temperature cubed, plus 0.000000116 times temperature to the fourth power. Units are 10 to the minus 3 kilogram per cubic meter." style="width:452.25pt;height:18.75pt" o:ole="">
            <v:imagedata r:id="rId16" o:title=""/>
          </v:shape>
          <o:OLEObject Type="Embed" ProgID="Equation.DSMT4" ShapeID="_x0000_i1031" DrawAspect="Content" ObjectID="_1618729216" r:id="rId17"/>
        </w:object>
      </w:r>
      <w:r w:rsidR="00F5726A">
        <w:rPr>
          <w:szCs w:val="24"/>
        </w:rPr>
        <w:fldChar w:fldCharType="begin"/>
      </w:r>
      <w:r w:rsidR="00F5726A">
        <w:rPr>
          <w:szCs w:val="24"/>
        </w:rPr>
        <w:instrText xml:space="preserve"> MACROBUTTON MTPlaceRef \* MERGEFORMAT </w:instrText>
      </w:r>
      <w:r w:rsidR="00F5726A">
        <w:rPr>
          <w:szCs w:val="24"/>
        </w:rPr>
        <w:fldChar w:fldCharType="begin"/>
      </w:r>
      <w:r w:rsidR="00F5726A">
        <w:rPr>
          <w:szCs w:val="24"/>
        </w:rPr>
        <w:instrText xml:space="preserve"> SEQ MTEqn \h \* MERGEFORMAT </w:instrText>
      </w:r>
      <w:r w:rsidR="00F5726A">
        <w:rPr>
          <w:szCs w:val="24"/>
        </w:rPr>
        <w:fldChar w:fldCharType="end"/>
      </w:r>
      <w:r w:rsidR="00F5726A">
        <w:rPr>
          <w:szCs w:val="24"/>
        </w:rPr>
        <w:instrText>Eqn. (</w:instrText>
      </w:r>
      <w:r w:rsidR="00F5726A">
        <w:rPr>
          <w:szCs w:val="24"/>
        </w:rPr>
        <w:fldChar w:fldCharType="begin"/>
      </w:r>
      <w:r w:rsidR="00F5726A">
        <w:rPr>
          <w:szCs w:val="24"/>
        </w:rPr>
        <w:instrText xml:space="preserve"> SEQ MTEqn \c \* Arabic \* MERGEFORMAT </w:instrText>
      </w:r>
      <w:r w:rsidR="00F5726A">
        <w:rPr>
          <w:szCs w:val="24"/>
        </w:rPr>
        <w:fldChar w:fldCharType="separate"/>
      </w:r>
      <w:r w:rsidR="00B36A40">
        <w:rPr>
          <w:noProof/>
          <w:szCs w:val="24"/>
        </w:rPr>
        <w:instrText>5</w:instrText>
      </w:r>
      <w:r w:rsidR="00F5726A">
        <w:rPr>
          <w:szCs w:val="24"/>
        </w:rPr>
        <w:fldChar w:fldCharType="end"/>
      </w:r>
      <w:r w:rsidR="00F5726A">
        <w:rPr>
          <w:szCs w:val="24"/>
        </w:rPr>
        <w:instrText>)</w:instrText>
      </w:r>
      <w:r w:rsidR="00F5726A">
        <w:rPr>
          <w:szCs w:val="24"/>
        </w:rPr>
        <w:fldChar w:fldCharType="end"/>
      </w:r>
    </w:p>
    <w:p w:rsidR="0092266A" w:rsidRPr="00E75BDD" w:rsidRDefault="00E75BDD" w:rsidP="00E4461B">
      <w:pPr>
        <w:pStyle w:val="Heading2"/>
      </w:pPr>
      <w:r w:rsidRPr="00E75BDD">
        <w:lastRenderedPageBreak/>
        <w:t xml:space="preserve">Example Data </w:t>
      </w:r>
    </w:p>
    <w:p w:rsidR="00DA3730" w:rsidRPr="00937F1C" w:rsidRDefault="00DA3730" w:rsidP="00E4461B">
      <w:pPr>
        <w:pStyle w:val="Table"/>
        <w:keepNext/>
      </w:pPr>
      <w:r w:rsidRPr="00937F1C">
        <w:t xml:space="preserve">Table </w:t>
      </w:r>
      <w:r w:rsidR="009D1442">
        <w:rPr>
          <w:noProof/>
        </w:rPr>
        <w:fldChar w:fldCharType="begin"/>
      </w:r>
      <w:r w:rsidR="009D1442">
        <w:rPr>
          <w:noProof/>
        </w:rPr>
        <w:instrText xml:space="preserve"> SEQ Table \* ARABIC </w:instrText>
      </w:r>
      <w:r w:rsidR="009D1442">
        <w:rPr>
          <w:noProof/>
        </w:rPr>
        <w:fldChar w:fldCharType="separate"/>
      </w:r>
      <w:r w:rsidR="00E312E7">
        <w:rPr>
          <w:noProof/>
        </w:rPr>
        <w:t>2</w:t>
      </w:r>
      <w:r w:rsidR="009D1442">
        <w:rPr>
          <w:noProof/>
        </w:rPr>
        <w:fldChar w:fldCharType="end"/>
      </w:r>
      <w:r w:rsidRPr="00937F1C">
        <w:t>. Example data for water density calculations.</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Example data sets for water density calculations"/>
        <w:tblDescription w:val="Four columns: Temperature (°C), Air-Free Water Density (g/cm3), Correction for Air Saturation, (g/cm3) Air-Saturated Water Density&#10;(g/cm3)&#10;10 0.999 702 70 -0.000 003 55 0.999 699 15&#10;15 0.999 102 57 -0.000 003 02 0.999 099 55&#10;20 0.998 206 75 -0.000 002 49 0.998 204 26&#10;25 0.997 047 02 -0.000 001 96 0.997 045 06&#10;"/>
      </w:tblPr>
      <w:tblGrid>
        <w:gridCol w:w="1992"/>
        <w:gridCol w:w="2682"/>
        <w:gridCol w:w="1981"/>
        <w:gridCol w:w="2675"/>
      </w:tblGrid>
      <w:tr w:rsidR="00E75BDD" w:rsidRPr="003C2AA3" w:rsidTr="00DA3730">
        <w:tc>
          <w:tcPr>
            <w:tcW w:w="1992" w:type="dxa"/>
            <w:tcBorders>
              <w:top w:val="double" w:sz="4" w:space="0" w:color="auto"/>
              <w:bottom w:val="double" w:sz="4" w:space="0" w:color="auto"/>
            </w:tcBorders>
            <w:shd w:val="clear" w:color="auto" w:fill="auto"/>
            <w:vAlign w:val="center"/>
          </w:tcPr>
          <w:p w:rsidR="00E75BDD" w:rsidRPr="003C2AA3" w:rsidRDefault="00E75BDD" w:rsidP="00E4461B">
            <w:pPr>
              <w:keepNext/>
              <w:tabs>
                <w:tab w:val="left" w:pos="1580"/>
              </w:tabs>
              <w:jc w:val="center"/>
              <w:rPr>
                <w:b/>
                <w:sz w:val="22"/>
                <w:szCs w:val="24"/>
              </w:rPr>
            </w:pPr>
            <w:r w:rsidRPr="003C2AA3">
              <w:rPr>
                <w:b/>
                <w:sz w:val="22"/>
                <w:szCs w:val="24"/>
              </w:rPr>
              <w:t>Temperature (°C)</w:t>
            </w:r>
          </w:p>
        </w:tc>
        <w:tc>
          <w:tcPr>
            <w:tcW w:w="2682" w:type="dxa"/>
            <w:tcBorders>
              <w:top w:val="double" w:sz="4" w:space="0" w:color="auto"/>
              <w:bottom w:val="double" w:sz="4" w:space="0" w:color="auto"/>
            </w:tcBorders>
            <w:shd w:val="clear" w:color="auto" w:fill="auto"/>
            <w:vAlign w:val="center"/>
          </w:tcPr>
          <w:p w:rsidR="00E75BDD" w:rsidRPr="003C2AA3" w:rsidRDefault="00E75BDD" w:rsidP="00E4461B">
            <w:pPr>
              <w:keepNext/>
              <w:tabs>
                <w:tab w:val="left" w:pos="1580"/>
              </w:tabs>
              <w:jc w:val="center"/>
              <w:rPr>
                <w:b/>
                <w:sz w:val="22"/>
                <w:szCs w:val="24"/>
              </w:rPr>
            </w:pPr>
            <w:r w:rsidRPr="003C2AA3">
              <w:rPr>
                <w:b/>
                <w:sz w:val="22"/>
                <w:szCs w:val="24"/>
              </w:rPr>
              <w:t>Air-Free Water Density</w:t>
            </w:r>
          </w:p>
          <w:p w:rsidR="00E75BDD" w:rsidRPr="003C2AA3" w:rsidRDefault="00E75BDD" w:rsidP="00E4461B">
            <w:pPr>
              <w:keepNext/>
              <w:tabs>
                <w:tab w:val="left" w:pos="1580"/>
              </w:tabs>
              <w:jc w:val="center"/>
              <w:rPr>
                <w:b/>
                <w:sz w:val="22"/>
                <w:szCs w:val="24"/>
              </w:rPr>
            </w:pPr>
            <w:r w:rsidRPr="003C2AA3">
              <w:rPr>
                <w:b/>
                <w:sz w:val="22"/>
                <w:szCs w:val="24"/>
              </w:rPr>
              <w:t>(g/cm</w:t>
            </w:r>
            <w:r w:rsidRPr="003C2AA3">
              <w:rPr>
                <w:b/>
                <w:sz w:val="22"/>
                <w:szCs w:val="24"/>
                <w:vertAlign w:val="superscript"/>
              </w:rPr>
              <w:t>3</w:t>
            </w:r>
            <w:r w:rsidRPr="003C2AA3">
              <w:rPr>
                <w:b/>
                <w:sz w:val="22"/>
                <w:szCs w:val="24"/>
              </w:rPr>
              <w:t>)</w:t>
            </w:r>
          </w:p>
        </w:tc>
        <w:tc>
          <w:tcPr>
            <w:tcW w:w="1981" w:type="dxa"/>
            <w:tcBorders>
              <w:top w:val="double" w:sz="4" w:space="0" w:color="auto"/>
              <w:bottom w:val="double" w:sz="4" w:space="0" w:color="auto"/>
            </w:tcBorders>
            <w:shd w:val="clear" w:color="auto" w:fill="auto"/>
            <w:vAlign w:val="center"/>
          </w:tcPr>
          <w:p w:rsidR="00E75BDD" w:rsidRPr="003C2AA3" w:rsidRDefault="00E75BDD" w:rsidP="00E4461B">
            <w:pPr>
              <w:keepNext/>
              <w:tabs>
                <w:tab w:val="left" w:pos="1580"/>
              </w:tabs>
              <w:jc w:val="center"/>
              <w:rPr>
                <w:b/>
                <w:sz w:val="22"/>
                <w:szCs w:val="24"/>
              </w:rPr>
            </w:pPr>
            <w:r w:rsidRPr="003C2AA3">
              <w:rPr>
                <w:b/>
                <w:sz w:val="22"/>
                <w:szCs w:val="24"/>
              </w:rPr>
              <w:t>Correction for Air Saturation</w:t>
            </w:r>
          </w:p>
          <w:p w:rsidR="00E75BDD" w:rsidRPr="003C2AA3" w:rsidRDefault="00E75BDD" w:rsidP="00E4461B">
            <w:pPr>
              <w:keepNext/>
              <w:tabs>
                <w:tab w:val="left" w:pos="1580"/>
              </w:tabs>
              <w:jc w:val="center"/>
              <w:rPr>
                <w:b/>
                <w:sz w:val="22"/>
                <w:szCs w:val="24"/>
              </w:rPr>
            </w:pPr>
            <w:r w:rsidRPr="003C2AA3">
              <w:rPr>
                <w:b/>
                <w:sz w:val="22"/>
                <w:szCs w:val="24"/>
              </w:rPr>
              <w:t>(g/cm</w:t>
            </w:r>
            <w:r w:rsidRPr="003C2AA3">
              <w:rPr>
                <w:b/>
                <w:sz w:val="22"/>
                <w:szCs w:val="24"/>
                <w:vertAlign w:val="superscript"/>
              </w:rPr>
              <w:t>3</w:t>
            </w:r>
            <w:r w:rsidRPr="003C2AA3">
              <w:rPr>
                <w:b/>
                <w:sz w:val="22"/>
                <w:szCs w:val="24"/>
              </w:rPr>
              <w:t>)</w:t>
            </w:r>
          </w:p>
        </w:tc>
        <w:tc>
          <w:tcPr>
            <w:tcW w:w="2675" w:type="dxa"/>
            <w:tcBorders>
              <w:top w:val="double" w:sz="4" w:space="0" w:color="auto"/>
              <w:bottom w:val="double" w:sz="4" w:space="0" w:color="auto"/>
            </w:tcBorders>
            <w:shd w:val="clear" w:color="auto" w:fill="auto"/>
            <w:vAlign w:val="center"/>
          </w:tcPr>
          <w:p w:rsidR="00E75BDD" w:rsidRPr="003C2AA3" w:rsidRDefault="00E75BDD" w:rsidP="00E4461B">
            <w:pPr>
              <w:keepNext/>
              <w:tabs>
                <w:tab w:val="left" w:pos="1580"/>
              </w:tabs>
              <w:jc w:val="center"/>
              <w:rPr>
                <w:b/>
                <w:sz w:val="22"/>
                <w:szCs w:val="24"/>
              </w:rPr>
            </w:pPr>
            <w:r w:rsidRPr="003C2AA3">
              <w:rPr>
                <w:b/>
                <w:sz w:val="22"/>
                <w:szCs w:val="24"/>
              </w:rPr>
              <w:t>Air-Saturated Water Density</w:t>
            </w:r>
          </w:p>
          <w:p w:rsidR="00E75BDD" w:rsidRPr="003C2AA3" w:rsidRDefault="00E75BDD" w:rsidP="00E4461B">
            <w:pPr>
              <w:keepNext/>
              <w:tabs>
                <w:tab w:val="left" w:pos="1580"/>
              </w:tabs>
              <w:jc w:val="center"/>
              <w:rPr>
                <w:b/>
                <w:sz w:val="22"/>
                <w:szCs w:val="24"/>
              </w:rPr>
            </w:pPr>
            <w:r w:rsidRPr="003C2AA3">
              <w:rPr>
                <w:b/>
                <w:sz w:val="22"/>
                <w:szCs w:val="24"/>
              </w:rPr>
              <w:t>(g/cm</w:t>
            </w:r>
            <w:r w:rsidRPr="003C2AA3">
              <w:rPr>
                <w:b/>
                <w:sz w:val="22"/>
                <w:szCs w:val="24"/>
                <w:vertAlign w:val="superscript"/>
              </w:rPr>
              <w:t>3</w:t>
            </w:r>
            <w:r w:rsidRPr="003C2AA3">
              <w:rPr>
                <w:b/>
                <w:sz w:val="22"/>
                <w:szCs w:val="24"/>
              </w:rPr>
              <w:t>)</w:t>
            </w:r>
          </w:p>
        </w:tc>
      </w:tr>
      <w:tr w:rsidR="00E75BDD" w:rsidRPr="003C2AA3" w:rsidTr="00DA3730">
        <w:tc>
          <w:tcPr>
            <w:tcW w:w="1992" w:type="dxa"/>
            <w:tcBorders>
              <w:top w:val="double" w:sz="4" w:space="0" w:color="auto"/>
            </w:tcBorders>
            <w:shd w:val="clear" w:color="auto" w:fill="auto"/>
          </w:tcPr>
          <w:p w:rsidR="00E75BDD" w:rsidRPr="003C2AA3" w:rsidRDefault="00E75BDD" w:rsidP="00E4461B">
            <w:pPr>
              <w:keepNext/>
              <w:tabs>
                <w:tab w:val="left" w:pos="1580"/>
              </w:tabs>
              <w:jc w:val="center"/>
              <w:rPr>
                <w:sz w:val="22"/>
                <w:szCs w:val="24"/>
              </w:rPr>
            </w:pPr>
            <w:r w:rsidRPr="003C2AA3">
              <w:rPr>
                <w:sz w:val="22"/>
                <w:szCs w:val="24"/>
              </w:rPr>
              <w:t>10</w:t>
            </w:r>
          </w:p>
        </w:tc>
        <w:tc>
          <w:tcPr>
            <w:tcW w:w="2682" w:type="dxa"/>
            <w:tcBorders>
              <w:top w:val="double" w:sz="4" w:space="0" w:color="auto"/>
            </w:tcBorders>
            <w:shd w:val="clear" w:color="auto" w:fill="auto"/>
          </w:tcPr>
          <w:p w:rsidR="00E75BDD" w:rsidRPr="003C2AA3" w:rsidRDefault="00E75BDD" w:rsidP="00E4461B">
            <w:pPr>
              <w:keepNext/>
              <w:tabs>
                <w:tab w:val="left" w:pos="1580"/>
              </w:tabs>
              <w:jc w:val="center"/>
              <w:rPr>
                <w:sz w:val="22"/>
                <w:szCs w:val="24"/>
              </w:rPr>
            </w:pPr>
            <w:r w:rsidRPr="003C2AA3">
              <w:rPr>
                <w:sz w:val="22"/>
                <w:szCs w:val="24"/>
              </w:rPr>
              <w:t>0.999</w:t>
            </w:r>
            <w:r w:rsidR="005D3487" w:rsidRPr="003C2AA3">
              <w:rPr>
                <w:sz w:val="22"/>
                <w:szCs w:val="24"/>
              </w:rPr>
              <w:t xml:space="preserve"> </w:t>
            </w:r>
            <w:r w:rsidRPr="003C2AA3">
              <w:rPr>
                <w:sz w:val="22"/>
                <w:szCs w:val="24"/>
              </w:rPr>
              <w:t>702</w:t>
            </w:r>
            <w:r w:rsidR="005D3487" w:rsidRPr="003C2AA3">
              <w:rPr>
                <w:sz w:val="22"/>
                <w:szCs w:val="24"/>
              </w:rPr>
              <w:t xml:space="preserve"> </w:t>
            </w:r>
            <w:r w:rsidRPr="003C2AA3">
              <w:rPr>
                <w:sz w:val="22"/>
                <w:szCs w:val="24"/>
              </w:rPr>
              <w:t>70</w:t>
            </w:r>
          </w:p>
        </w:tc>
        <w:tc>
          <w:tcPr>
            <w:tcW w:w="1981" w:type="dxa"/>
            <w:tcBorders>
              <w:top w:val="double" w:sz="4" w:space="0" w:color="auto"/>
            </w:tcBorders>
            <w:shd w:val="clear" w:color="auto" w:fill="auto"/>
          </w:tcPr>
          <w:p w:rsidR="00E75BDD" w:rsidRPr="003C2AA3" w:rsidRDefault="005D3487" w:rsidP="00E4461B">
            <w:pPr>
              <w:keepNext/>
              <w:tabs>
                <w:tab w:val="left" w:pos="1580"/>
              </w:tabs>
              <w:jc w:val="center"/>
              <w:rPr>
                <w:sz w:val="22"/>
                <w:szCs w:val="24"/>
              </w:rPr>
            </w:pPr>
            <w:r w:rsidRPr="003C2AA3">
              <w:rPr>
                <w:sz w:val="22"/>
                <w:szCs w:val="24"/>
              </w:rPr>
              <w:t>-0.000 003 55</w:t>
            </w:r>
          </w:p>
        </w:tc>
        <w:tc>
          <w:tcPr>
            <w:tcW w:w="2675" w:type="dxa"/>
            <w:tcBorders>
              <w:top w:val="double" w:sz="4" w:space="0" w:color="auto"/>
            </w:tcBorders>
            <w:shd w:val="clear" w:color="auto" w:fill="auto"/>
          </w:tcPr>
          <w:p w:rsidR="00E75BDD" w:rsidRPr="003C2AA3" w:rsidRDefault="005D3487" w:rsidP="00E4461B">
            <w:pPr>
              <w:keepNext/>
              <w:tabs>
                <w:tab w:val="left" w:pos="1580"/>
              </w:tabs>
              <w:jc w:val="center"/>
              <w:rPr>
                <w:sz w:val="22"/>
                <w:szCs w:val="24"/>
              </w:rPr>
            </w:pPr>
            <w:r w:rsidRPr="003C2AA3">
              <w:rPr>
                <w:sz w:val="22"/>
                <w:szCs w:val="24"/>
              </w:rPr>
              <w:t>0.999 699 15</w:t>
            </w:r>
          </w:p>
        </w:tc>
      </w:tr>
      <w:tr w:rsidR="00E75BDD" w:rsidRPr="003C2AA3" w:rsidTr="00DA3730">
        <w:tc>
          <w:tcPr>
            <w:tcW w:w="1992" w:type="dxa"/>
            <w:shd w:val="clear" w:color="auto" w:fill="auto"/>
          </w:tcPr>
          <w:p w:rsidR="00E75BDD" w:rsidRPr="003C2AA3" w:rsidRDefault="00E75BDD" w:rsidP="00E4461B">
            <w:pPr>
              <w:keepNext/>
              <w:tabs>
                <w:tab w:val="left" w:pos="1580"/>
              </w:tabs>
              <w:jc w:val="center"/>
              <w:rPr>
                <w:sz w:val="22"/>
                <w:szCs w:val="24"/>
              </w:rPr>
            </w:pPr>
            <w:r w:rsidRPr="003C2AA3">
              <w:rPr>
                <w:sz w:val="22"/>
                <w:szCs w:val="24"/>
              </w:rPr>
              <w:t>15</w:t>
            </w:r>
          </w:p>
        </w:tc>
        <w:tc>
          <w:tcPr>
            <w:tcW w:w="2682" w:type="dxa"/>
            <w:shd w:val="clear" w:color="auto" w:fill="auto"/>
          </w:tcPr>
          <w:p w:rsidR="00E75BDD" w:rsidRPr="003C2AA3" w:rsidRDefault="00E75BDD" w:rsidP="00E4461B">
            <w:pPr>
              <w:keepNext/>
              <w:tabs>
                <w:tab w:val="left" w:pos="1580"/>
              </w:tabs>
              <w:jc w:val="center"/>
              <w:rPr>
                <w:sz w:val="22"/>
                <w:szCs w:val="24"/>
              </w:rPr>
            </w:pPr>
            <w:r w:rsidRPr="003C2AA3">
              <w:rPr>
                <w:sz w:val="22"/>
                <w:szCs w:val="24"/>
              </w:rPr>
              <w:t>0.999</w:t>
            </w:r>
            <w:r w:rsidR="005D3487" w:rsidRPr="003C2AA3">
              <w:rPr>
                <w:sz w:val="22"/>
                <w:szCs w:val="24"/>
              </w:rPr>
              <w:t xml:space="preserve"> </w:t>
            </w:r>
            <w:r w:rsidRPr="003C2AA3">
              <w:rPr>
                <w:sz w:val="22"/>
                <w:szCs w:val="24"/>
              </w:rPr>
              <w:t>102</w:t>
            </w:r>
            <w:r w:rsidR="005D3487" w:rsidRPr="003C2AA3">
              <w:rPr>
                <w:sz w:val="22"/>
                <w:szCs w:val="24"/>
              </w:rPr>
              <w:t xml:space="preserve"> </w:t>
            </w:r>
            <w:r w:rsidRPr="003C2AA3">
              <w:rPr>
                <w:sz w:val="22"/>
                <w:szCs w:val="24"/>
              </w:rPr>
              <w:t>57</w:t>
            </w:r>
          </w:p>
        </w:tc>
        <w:tc>
          <w:tcPr>
            <w:tcW w:w="1981" w:type="dxa"/>
            <w:shd w:val="clear" w:color="auto" w:fill="auto"/>
          </w:tcPr>
          <w:p w:rsidR="00E75BDD" w:rsidRPr="003C2AA3" w:rsidRDefault="005D3487" w:rsidP="00E4461B">
            <w:pPr>
              <w:keepNext/>
              <w:tabs>
                <w:tab w:val="left" w:pos="1580"/>
              </w:tabs>
              <w:jc w:val="center"/>
              <w:rPr>
                <w:sz w:val="22"/>
                <w:szCs w:val="24"/>
              </w:rPr>
            </w:pPr>
            <w:r w:rsidRPr="003C2AA3">
              <w:rPr>
                <w:sz w:val="22"/>
                <w:szCs w:val="24"/>
              </w:rPr>
              <w:t>-0.000 003 02</w:t>
            </w:r>
          </w:p>
        </w:tc>
        <w:tc>
          <w:tcPr>
            <w:tcW w:w="2675" w:type="dxa"/>
            <w:shd w:val="clear" w:color="auto" w:fill="auto"/>
          </w:tcPr>
          <w:p w:rsidR="00E75BDD" w:rsidRPr="003C2AA3" w:rsidRDefault="005D3487" w:rsidP="00E4461B">
            <w:pPr>
              <w:keepNext/>
              <w:tabs>
                <w:tab w:val="left" w:pos="1580"/>
              </w:tabs>
              <w:jc w:val="center"/>
              <w:rPr>
                <w:sz w:val="22"/>
                <w:szCs w:val="24"/>
              </w:rPr>
            </w:pPr>
            <w:r w:rsidRPr="003C2AA3">
              <w:rPr>
                <w:sz w:val="22"/>
                <w:szCs w:val="24"/>
              </w:rPr>
              <w:t>0.999 099 55</w:t>
            </w:r>
          </w:p>
        </w:tc>
      </w:tr>
      <w:tr w:rsidR="00E75BDD" w:rsidRPr="003C2AA3" w:rsidTr="00DA3730">
        <w:tc>
          <w:tcPr>
            <w:tcW w:w="1992" w:type="dxa"/>
            <w:shd w:val="clear" w:color="auto" w:fill="auto"/>
          </w:tcPr>
          <w:p w:rsidR="00E75BDD" w:rsidRPr="003C2AA3" w:rsidRDefault="00E75BDD" w:rsidP="00E4461B">
            <w:pPr>
              <w:keepNext/>
              <w:tabs>
                <w:tab w:val="left" w:pos="1580"/>
              </w:tabs>
              <w:jc w:val="center"/>
              <w:rPr>
                <w:sz w:val="22"/>
                <w:szCs w:val="24"/>
              </w:rPr>
            </w:pPr>
            <w:r w:rsidRPr="003C2AA3">
              <w:rPr>
                <w:sz w:val="22"/>
                <w:szCs w:val="24"/>
              </w:rPr>
              <w:t>20</w:t>
            </w:r>
          </w:p>
        </w:tc>
        <w:tc>
          <w:tcPr>
            <w:tcW w:w="2682" w:type="dxa"/>
            <w:shd w:val="clear" w:color="auto" w:fill="auto"/>
          </w:tcPr>
          <w:p w:rsidR="00E75BDD" w:rsidRPr="003C2AA3" w:rsidRDefault="00E75BDD" w:rsidP="00E4461B">
            <w:pPr>
              <w:keepNext/>
              <w:tabs>
                <w:tab w:val="left" w:pos="1580"/>
              </w:tabs>
              <w:jc w:val="center"/>
              <w:rPr>
                <w:sz w:val="22"/>
                <w:szCs w:val="24"/>
              </w:rPr>
            </w:pPr>
            <w:r w:rsidRPr="003C2AA3">
              <w:rPr>
                <w:sz w:val="22"/>
                <w:szCs w:val="24"/>
              </w:rPr>
              <w:t>0.998</w:t>
            </w:r>
            <w:r w:rsidR="005D3487" w:rsidRPr="003C2AA3">
              <w:rPr>
                <w:sz w:val="22"/>
                <w:szCs w:val="24"/>
              </w:rPr>
              <w:t xml:space="preserve"> </w:t>
            </w:r>
            <w:r w:rsidRPr="003C2AA3">
              <w:rPr>
                <w:sz w:val="22"/>
                <w:szCs w:val="24"/>
              </w:rPr>
              <w:t>206</w:t>
            </w:r>
            <w:r w:rsidR="005D3487" w:rsidRPr="003C2AA3">
              <w:rPr>
                <w:sz w:val="22"/>
                <w:szCs w:val="24"/>
              </w:rPr>
              <w:t xml:space="preserve"> </w:t>
            </w:r>
            <w:r w:rsidRPr="003C2AA3">
              <w:rPr>
                <w:sz w:val="22"/>
                <w:szCs w:val="24"/>
              </w:rPr>
              <w:t>75</w:t>
            </w:r>
          </w:p>
        </w:tc>
        <w:tc>
          <w:tcPr>
            <w:tcW w:w="1981" w:type="dxa"/>
            <w:shd w:val="clear" w:color="auto" w:fill="auto"/>
          </w:tcPr>
          <w:p w:rsidR="00E75BDD" w:rsidRPr="003C2AA3" w:rsidRDefault="005D3487" w:rsidP="00E4461B">
            <w:pPr>
              <w:keepNext/>
              <w:tabs>
                <w:tab w:val="left" w:pos="1580"/>
              </w:tabs>
              <w:jc w:val="center"/>
              <w:rPr>
                <w:sz w:val="22"/>
                <w:szCs w:val="24"/>
              </w:rPr>
            </w:pPr>
            <w:r w:rsidRPr="003C2AA3">
              <w:rPr>
                <w:sz w:val="22"/>
                <w:szCs w:val="24"/>
              </w:rPr>
              <w:t>-0.000 002 49</w:t>
            </w:r>
          </w:p>
        </w:tc>
        <w:tc>
          <w:tcPr>
            <w:tcW w:w="2675" w:type="dxa"/>
            <w:shd w:val="clear" w:color="auto" w:fill="auto"/>
          </w:tcPr>
          <w:p w:rsidR="00E75BDD" w:rsidRPr="003C2AA3" w:rsidRDefault="005D3487" w:rsidP="00E4461B">
            <w:pPr>
              <w:keepNext/>
              <w:tabs>
                <w:tab w:val="left" w:pos="1580"/>
              </w:tabs>
              <w:jc w:val="center"/>
              <w:rPr>
                <w:sz w:val="22"/>
                <w:szCs w:val="24"/>
              </w:rPr>
            </w:pPr>
            <w:r w:rsidRPr="003C2AA3">
              <w:rPr>
                <w:sz w:val="22"/>
                <w:szCs w:val="24"/>
              </w:rPr>
              <w:t>0.998 204 2</w:t>
            </w:r>
            <w:r w:rsidR="00C40862" w:rsidRPr="003C2AA3">
              <w:rPr>
                <w:sz w:val="22"/>
                <w:szCs w:val="24"/>
              </w:rPr>
              <w:t>6</w:t>
            </w:r>
          </w:p>
        </w:tc>
      </w:tr>
      <w:tr w:rsidR="00E75BDD" w:rsidRPr="003C2AA3" w:rsidTr="00DA3730">
        <w:tc>
          <w:tcPr>
            <w:tcW w:w="1992" w:type="dxa"/>
            <w:shd w:val="clear" w:color="auto" w:fill="auto"/>
          </w:tcPr>
          <w:p w:rsidR="00E75BDD" w:rsidRPr="003C2AA3" w:rsidRDefault="00E75BDD" w:rsidP="00E4461B">
            <w:pPr>
              <w:keepNext/>
              <w:tabs>
                <w:tab w:val="left" w:pos="1580"/>
              </w:tabs>
              <w:jc w:val="center"/>
              <w:rPr>
                <w:sz w:val="22"/>
                <w:szCs w:val="24"/>
              </w:rPr>
            </w:pPr>
            <w:r w:rsidRPr="003C2AA3">
              <w:rPr>
                <w:sz w:val="22"/>
                <w:szCs w:val="24"/>
              </w:rPr>
              <w:t>25</w:t>
            </w:r>
          </w:p>
        </w:tc>
        <w:tc>
          <w:tcPr>
            <w:tcW w:w="2682" w:type="dxa"/>
            <w:shd w:val="clear" w:color="auto" w:fill="auto"/>
          </w:tcPr>
          <w:p w:rsidR="00E75BDD" w:rsidRPr="003C2AA3" w:rsidRDefault="005D3487" w:rsidP="00E4461B">
            <w:pPr>
              <w:keepNext/>
              <w:tabs>
                <w:tab w:val="left" w:pos="1580"/>
              </w:tabs>
              <w:jc w:val="center"/>
              <w:rPr>
                <w:sz w:val="22"/>
                <w:szCs w:val="24"/>
              </w:rPr>
            </w:pPr>
            <w:r w:rsidRPr="003C2AA3">
              <w:rPr>
                <w:sz w:val="22"/>
                <w:szCs w:val="24"/>
              </w:rPr>
              <w:t>0.997 047 02</w:t>
            </w:r>
          </w:p>
        </w:tc>
        <w:tc>
          <w:tcPr>
            <w:tcW w:w="1981" w:type="dxa"/>
            <w:shd w:val="clear" w:color="auto" w:fill="auto"/>
          </w:tcPr>
          <w:p w:rsidR="00E75BDD" w:rsidRPr="003C2AA3" w:rsidRDefault="005D3487" w:rsidP="00E4461B">
            <w:pPr>
              <w:keepNext/>
              <w:tabs>
                <w:tab w:val="left" w:pos="1580"/>
              </w:tabs>
              <w:jc w:val="center"/>
              <w:rPr>
                <w:sz w:val="22"/>
                <w:szCs w:val="24"/>
              </w:rPr>
            </w:pPr>
            <w:r w:rsidRPr="003C2AA3">
              <w:rPr>
                <w:sz w:val="22"/>
                <w:szCs w:val="24"/>
              </w:rPr>
              <w:t>-0.000 001 96</w:t>
            </w:r>
          </w:p>
        </w:tc>
        <w:tc>
          <w:tcPr>
            <w:tcW w:w="2675" w:type="dxa"/>
            <w:shd w:val="clear" w:color="auto" w:fill="auto"/>
          </w:tcPr>
          <w:p w:rsidR="00E75BDD" w:rsidRPr="003C2AA3" w:rsidRDefault="005D3487" w:rsidP="00E4461B">
            <w:pPr>
              <w:keepNext/>
              <w:tabs>
                <w:tab w:val="left" w:pos="1580"/>
              </w:tabs>
              <w:jc w:val="center"/>
              <w:rPr>
                <w:sz w:val="22"/>
                <w:szCs w:val="24"/>
              </w:rPr>
            </w:pPr>
            <w:r w:rsidRPr="003C2AA3">
              <w:rPr>
                <w:sz w:val="22"/>
                <w:szCs w:val="24"/>
              </w:rPr>
              <w:t>0.997 045 06</w:t>
            </w:r>
          </w:p>
        </w:tc>
      </w:tr>
    </w:tbl>
    <w:p w:rsidR="00E75BDD" w:rsidRDefault="00E75BDD" w:rsidP="00662D3F">
      <w:pPr>
        <w:tabs>
          <w:tab w:val="left" w:pos="1580"/>
        </w:tabs>
        <w:rPr>
          <w:szCs w:val="24"/>
        </w:rPr>
      </w:pPr>
    </w:p>
    <w:p w:rsidR="00407CCC" w:rsidRDefault="002139A1" w:rsidP="00C514F3">
      <w:pPr>
        <w:pStyle w:val="Heading1"/>
      </w:pPr>
      <w:r>
        <w:t xml:space="preserve">Non-mandatory </w:t>
      </w:r>
      <w:r w:rsidR="00407CCC" w:rsidRPr="00407CCC">
        <w:t>References</w:t>
      </w:r>
    </w:p>
    <w:p w:rsidR="00407CCC" w:rsidRDefault="00407CCC" w:rsidP="00C514F3">
      <w:pPr>
        <w:tabs>
          <w:tab w:val="left" w:pos="1580"/>
        </w:tabs>
        <w:ind w:left="720"/>
        <w:rPr>
          <w:szCs w:val="24"/>
        </w:rPr>
      </w:pPr>
      <w:r w:rsidRPr="00407CCC">
        <w:rPr>
          <w:szCs w:val="24"/>
        </w:rPr>
        <w:t>ASTM D 11</w:t>
      </w:r>
      <w:r>
        <w:rPr>
          <w:szCs w:val="24"/>
        </w:rPr>
        <w:t>25</w:t>
      </w:r>
      <w:r w:rsidR="00C05A12">
        <w:rPr>
          <w:szCs w:val="24"/>
        </w:rPr>
        <w:t>–</w:t>
      </w:r>
      <w:bookmarkStart w:id="0" w:name="_GoBack"/>
      <w:bookmarkEnd w:id="0"/>
      <w:r w:rsidR="0065716B">
        <w:rPr>
          <w:szCs w:val="24"/>
        </w:rPr>
        <w:t>2014</w:t>
      </w:r>
      <w:r w:rsidRPr="00407CCC">
        <w:rPr>
          <w:szCs w:val="24"/>
        </w:rPr>
        <w:t xml:space="preserve">, Standard </w:t>
      </w:r>
      <w:r>
        <w:rPr>
          <w:szCs w:val="24"/>
        </w:rPr>
        <w:t>Test Method for Electrical Conductivity and Resistivity of Water</w:t>
      </w:r>
      <w:r w:rsidRPr="00407CCC">
        <w:rPr>
          <w:szCs w:val="24"/>
        </w:rPr>
        <w:t xml:space="preserve">, ASTM, http://www.astm.org, 1916 Race St., Philadelphia, </w:t>
      </w:r>
      <w:smartTag w:uri="urn:schemas-microsoft-com:office:smarttags" w:element="State">
        <w:r w:rsidRPr="00407CCC">
          <w:rPr>
            <w:szCs w:val="24"/>
          </w:rPr>
          <w:t>PA</w:t>
        </w:r>
      </w:smartTag>
      <w:r w:rsidRPr="00407CCC">
        <w:rPr>
          <w:szCs w:val="24"/>
        </w:rPr>
        <w:t xml:space="preserve">  </w:t>
      </w:r>
      <w:smartTag w:uri="urn:schemas-microsoft-com:office:smarttags" w:element="PostalCode">
        <w:r w:rsidRPr="00407CCC">
          <w:rPr>
            <w:szCs w:val="24"/>
          </w:rPr>
          <w:t>19103</w:t>
        </w:r>
      </w:smartTag>
      <w:r w:rsidRPr="00407CCC">
        <w:rPr>
          <w:szCs w:val="24"/>
        </w:rPr>
        <w:t>.</w:t>
      </w:r>
    </w:p>
    <w:p w:rsidR="00F95DD9" w:rsidRDefault="00F95DD9" w:rsidP="00C514F3">
      <w:pPr>
        <w:tabs>
          <w:tab w:val="left" w:pos="1580"/>
        </w:tabs>
        <w:ind w:left="720"/>
        <w:rPr>
          <w:szCs w:val="24"/>
        </w:rPr>
      </w:pPr>
    </w:p>
    <w:p w:rsidR="00407CCC" w:rsidRDefault="00407CCC" w:rsidP="00C514F3">
      <w:pPr>
        <w:tabs>
          <w:tab w:val="left" w:pos="1580"/>
        </w:tabs>
        <w:ind w:left="720"/>
        <w:rPr>
          <w:szCs w:val="24"/>
        </w:rPr>
      </w:pPr>
      <w:r>
        <w:rPr>
          <w:szCs w:val="24"/>
        </w:rPr>
        <w:t>ISO 15212-1:</w:t>
      </w:r>
      <w:r w:rsidR="004C3C79">
        <w:rPr>
          <w:szCs w:val="24"/>
        </w:rPr>
        <w:t>1998</w:t>
      </w:r>
      <w:r>
        <w:rPr>
          <w:szCs w:val="24"/>
        </w:rPr>
        <w:t xml:space="preserve">, Oscillation-type density meters – Part 1: Laboratory instruments, ISO, </w:t>
      </w:r>
      <w:r w:rsidR="004C3C79">
        <w:rPr>
          <w:szCs w:val="24"/>
        </w:rPr>
        <w:t>1998</w:t>
      </w:r>
      <w:r w:rsidRPr="00925702">
        <w:rPr>
          <w:szCs w:val="24"/>
        </w:rPr>
        <w:t>.</w:t>
      </w:r>
    </w:p>
    <w:p w:rsidR="004C3C79" w:rsidRDefault="004C3C79" w:rsidP="00C514F3">
      <w:pPr>
        <w:tabs>
          <w:tab w:val="left" w:pos="1580"/>
        </w:tabs>
        <w:ind w:left="720"/>
        <w:rPr>
          <w:szCs w:val="24"/>
        </w:rPr>
      </w:pPr>
    </w:p>
    <w:p w:rsidR="004C3C79" w:rsidRDefault="004C3C79" w:rsidP="00C514F3">
      <w:pPr>
        <w:tabs>
          <w:tab w:val="left" w:pos="1580"/>
        </w:tabs>
        <w:ind w:left="720"/>
        <w:rPr>
          <w:szCs w:val="24"/>
        </w:rPr>
      </w:pPr>
      <w:r>
        <w:t>ISO 15212-2:2002, Oscillation-type density meters - Part 2: Process instruments for homogeneous liquids, 2002.</w:t>
      </w:r>
    </w:p>
    <w:sectPr w:rsidR="004C3C79">
      <w:headerReference w:type="default" r:id="rId18"/>
      <w:footerReference w:type="default" r:id="rId19"/>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442" w:rsidRDefault="009D1442">
      <w:r>
        <w:separator/>
      </w:r>
    </w:p>
  </w:endnote>
  <w:endnote w:type="continuationSeparator" w:id="0">
    <w:p w:rsidR="009D1442" w:rsidRDefault="009D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msRmn 10pt">
    <w:altName w:val="Calibri"/>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7" w:rsidRPr="00C514F3" w:rsidRDefault="006839E7">
    <w:pPr>
      <w:pStyle w:val="Footer"/>
      <w:rPr>
        <w:sz w:val="22"/>
      </w:rPr>
    </w:pPr>
    <w:r w:rsidRPr="00C514F3">
      <w:rPr>
        <w:sz w:val="22"/>
      </w:rPr>
      <w:t>GLP 10</w:t>
    </w:r>
    <w:r w:rsidR="000C649B" w:rsidRPr="00C514F3">
      <w:rPr>
        <w:sz w:val="22"/>
      </w:rPr>
      <w:t xml:space="preserve"> – 2019 </w:t>
    </w:r>
    <w:r w:rsidRPr="00C514F3">
      <w:rPr>
        <w:sz w:val="22"/>
      </w:rPr>
      <w:tab/>
      <w:t xml:space="preserve">Page </w:t>
    </w:r>
    <w:r w:rsidRPr="00C514F3">
      <w:rPr>
        <w:sz w:val="22"/>
      </w:rPr>
      <w:fldChar w:fldCharType="begin"/>
    </w:r>
    <w:r w:rsidRPr="00C514F3">
      <w:rPr>
        <w:sz w:val="22"/>
      </w:rPr>
      <w:instrText xml:space="preserve"> PAGE </w:instrText>
    </w:r>
    <w:r w:rsidRPr="00C514F3">
      <w:rPr>
        <w:sz w:val="22"/>
      </w:rPr>
      <w:fldChar w:fldCharType="separate"/>
    </w:r>
    <w:r w:rsidR="00512AE7" w:rsidRPr="00C514F3">
      <w:rPr>
        <w:noProof/>
        <w:sz w:val="22"/>
      </w:rPr>
      <w:t>5</w:t>
    </w:r>
    <w:r w:rsidRPr="00C514F3">
      <w:rPr>
        <w:sz w:val="22"/>
      </w:rPr>
      <w:fldChar w:fldCharType="end"/>
    </w:r>
    <w:r w:rsidRPr="00C514F3">
      <w:rPr>
        <w:sz w:val="22"/>
      </w:rPr>
      <w:t xml:space="preserve"> of </w:t>
    </w:r>
    <w:r w:rsidR="00CD72DD" w:rsidRPr="00C514F3">
      <w:rPr>
        <w:sz w:val="22"/>
      </w:rPr>
      <w:fldChar w:fldCharType="begin"/>
    </w:r>
    <w:r w:rsidR="00CD72DD" w:rsidRPr="00C514F3">
      <w:rPr>
        <w:sz w:val="22"/>
      </w:rPr>
      <w:instrText xml:space="preserve"> NUMPAGES </w:instrText>
    </w:r>
    <w:r w:rsidR="00CD72DD" w:rsidRPr="00C514F3">
      <w:rPr>
        <w:sz w:val="22"/>
      </w:rPr>
      <w:fldChar w:fldCharType="separate"/>
    </w:r>
    <w:r w:rsidR="00512AE7" w:rsidRPr="00C514F3">
      <w:rPr>
        <w:noProof/>
        <w:sz w:val="22"/>
      </w:rPr>
      <w:t>5</w:t>
    </w:r>
    <w:r w:rsidR="00CD72DD" w:rsidRPr="00C514F3">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442" w:rsidRDefault="009D1442">
      <w:r>
        <w:separator/>
      </w:r>
    </w:p>
  </w:footnote>
  <w:footnote w:type="continuationSeparator" w:id="0">
    <w:p w:rsidR="009D1442" w:rsidRDefault="009D1442">
      <w:r>
        <w:continuationSeparator/>
      </w:r>
    </w:p>
  </w:footnote>
  <w:footnote w:id="1">
    <w:p w:rsidR="0070232C" w:rsidRDefault="0070232C" w:rsidP="0070232C">
      <w:pPr>
        <w:pStyle w:val="ReferenceList"/>
      </w:pPr>
      <w:r>
        <w:rPr>
          <w:rStyle w:val="FootnoteReference"/>
        </w:rPr>
        <w:footnoteRef/>
      </w:r>
      <w:r w:rsidRPr="0070232C">
        <w:rPr>
          <w:sz w:val="16"/>
          <w:szCs w:val="16"/>
        </w:rPr>
        <w:t>ASTM D 1193 - (06)2018, Standard Specification for REAGENT WATER, ASTM, http://www.astm.org, 1916</w:t>
      </w:r>
      <w:r>
        <w:rPr>
          <w:sz w:val="16"/>
          <w:szCs w:val="16"/>
        </w:rPr>
        <w:t xml:space="preserve"> </w:t>
      </w:r>
      <w:r w:rsidRPr="0070232C">
        <w:rPr>
          <w:sz w:val="16"/>
          <w:szCs w:val="16"/>
        </w:rPr>
        <w:t>Race St., Philadelphia, PA 19103.</w:t>
      </w:r>
    </w:p>
  </w:footnote>
  <w:footnote w:id="2">
    <w:p w:rsidR="0070232C" w:rsidRDefault="0070232C">
      <w:pPr>
        <w:pStyle w:val="FootnoteText"/>
      </w:pPr>
      <w:r>
        <w:rPr>
          <w:rStyle w:val="FootnoteReference"/>
        </w:rPr>
        <w:footnoteRef/>
      </w:r>
      <w:r>
        <w:t xml:space="preserve"> </w:t>
      </w:r>
      <w:r w:rsidRPr="0070232C">
        <w:t>ISO 3696:1995 Water for Analytical Laboratory Use. Specification and Test Methods.</w:t>
      </w:r>
    </w:p>
  </w:footnote>
  <w:footnote w:id="3">
    <w:p w:rsidR="006839E7" w:rsidRDefault="006839E7">
      <w:pPr>
        <w:pStyle w:val="FootnoteText"/>
      </w:pPr>
      <w:r>
        <w:rPr>
          <w:rStyle w:val="FootnoteReference"/>
        </w:rPr>
        <w:footnoteRef/>
      </w:r>
      <w:r w:rsidRPr="00C514F3">
        <w:rPr>
          <w:sz w:val="20"/>
        </w:rPr>
        <w:t xml:space="preserve"> </w:t>
      </w:r>
      <w:r w:rsidR="00C05A12" w:rsidRPr="00C514F3">
        <w:rPr>
          <w:sz w:val="20"/>
        </w:rPr>
        <w:t>M. Tanaka, G. Girard, R. Davis, A. Peuto, and N. Bignell, Recommended table for the density of water between 0</w:t>
      </w:r>
      <w:r w:rsidR="00C40862" w:rsidRPr="00C514F3">
        <w:rPr>
          <w:sz w:val="20"/>
        </w:rPr>
        <w:t> </w:t>
      </w:r>
      <w:r w:rsidR="00C05A12" w:rsidRPr="00C514F3">
        <w:rPr>
          <w:sz w:val="20"/>
        </w:rPr>
        <w:t>°C and 40 °C based on recent experimental reports, Metrologia, 38, 301-309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7" w:rsidRPr="000C649B" w:rsidRDefault="00540093" w:rsidP="000C649B">
    <w:pPr>
      <w:pStyle w:val="Header"/>
    </w:pPr>
    <w:r>
      <w:rPr>
        <w:noProof/>
      </w:rPr>
      <mc:AlternateContent>
        <mc:Choice Requires="wps">
          <w:drawing>
            <wp:anchor distT="0" distB="0" distL="114300" distR="114300" simplePos="0" relativeHeight="251657216" behindDoc="1" locked="0" layoutInCell="1" allowOverlap="1">
              <wp:simplePos x="0" y="0"/>
              <wp:positionH relativeFrom="column">
                <wp:posOffset>-857250</wp:posOffset>
              </wp:positionH>
              <wp:positionV relativeFrom="page">
                <wp:posOffset>635</wp:posOffset>
              </wp:positionV>
              <wp:extent cx="428625" cy="10020300"/>
              <wp:effectExtent l="0" t="0" r="0" b="0"/>
              <wp:wrapSquare wrapText="bothSides"/>
              <wp:docPr id="33" name="Text Box 33" descr="this is the same information as on the cover to identify on-line location of the document" title="document locat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rsidR="000C649B" w:rsidRPr="00C514F3" w:rsidRDefault="000C649B" w:rsidP="000C649B">
                          <w:pPr>
                            <w:jc w:val="center"/>
                            <w:rPr>
                              <w:rFonts w:ascii="Arial" w:hAnsi="Arial" w:cs="Arial"/>
                              <w:color w:val="A6A6A6"/>
                              <w:sz w:val="20"/>
                              <w:szCs w:val="20"/>
                            </w:rPr>
                          </w:pPr>
                          <w:r w:rsidRPr="00C514F3">
                            <w:rPr>
                              <w:rFonts w:ascii="Arial" w:hAnsi="Arial" w:cs="Arial"/>
                              <w:color w:val="A6A6A6"/>
                              <w:sz w:val="20"/>
                              <w:szCs w:val="20"/>
                            </w:rPr>
                            <w:t>This publication is available free of charge from: https://doi.org/10.6028/NIST.IR.7383 -2019</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alt="Title: document locator - Description: this is the same information as on the cover to identify on-line location of the document" style="position:absolute;margin-left:-67.5pt;margin-top:.05pt;width:33.75pt;height: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" fillcolor="window" stroked="f" strokeweight=".5pt">
              <v:textbox style="layout-flow:vertical">
                <w:txbxContent>
                  <w:p w:rsidR="000C649B" w:rsidRPr="00C514F3" w:rsidRDefault="000C649B" w:rsidP="000C649B">
                    <w:pPr>
                      <w:jc w:val="center"/>
                      <w:rPr>
                        <w:rFonts w:ascii="Arial" w:hAnsi="Arial" w:cs="Arial"/>
                        <w:color w:val="A6A6A6"/>
                        <w:sz w:val="20"/>
                        <w:szCs w:val="20"/>
                      </w:rPr>
                    </w:pPr>
                    <w:r w:rsidRPr="00C514F3">
                      <w:rPr>
                        <w:rFonts w:ascii="Arial" w:hAnsi="Arial" w:cs="Arial"/>
                        <w:color w:val="A6A6A6"/>
                        <w:sz w:val="20"/>
                        <w:szCs w:val="20"/>
                      </w:rPr>
                      <w:t>This publication is available free of charge from: https://doi.org/10.6028/NIST.IR.7383 -2019</w:t>
                    </w:r>
                  </w:p>
                </w:txbxContent>
              </v:textbox>
              <w10:wrap type="square" anchory="page"/>
            </v:shape>
          </w:pict>
        </mc:Fallback>
      </mc:AlternateContent>
    </w:r>
    <w:r>
      <w:rPr>
        <w:noProof/>
      </w:rPr>
      <mc:AlternateContent>
        <mc:Choice Requires="wps">
          <w:drawing>
            <wp:anchor distT="0" distB="0" distL="114299" distR="114299" simplePos="0" relativeHeight="251658240" behindDoc="0" locked="1" layoutInCell="1" allowOverlap="1">
              <wp:simplePos x="0" y="0"/>
              <wp:positionH relativeFrom="column">
                <wp:posOffset>-365760</wp:posOffset>
              </wp:positionH>
              <wp:positionV relativeFrom="page">
                <wp:posOffset>914400</wp:posOffset>
              </wp:positionV>
              <wp:extent cx="0" cy="8229600"/>
              <wp:effectExtent l="0" t="0" r="38100" b="19050"/>
              <wp:wrapNone/>
              <wp:docPr id="62" name="Straight Connector 62" descr="decorative alignment image on left side for publication locator box" title="vertical line graphic"/>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2960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5DE1FF" id="Straight Connector 62" o:spid="_x0000_s1026" alt="Title: vertical line graphic - Description: decorative alignment image on left side for publication locator box"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28.8pt,1in" to="-28.8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" strokecolor="#a6a6a6" strokeweight=".5pt">
              <v:stroke joinstyle="miter"/>
              <o:lock v:ext="edit" shapetype="f"/>
              <w10:wrap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2AA6048"/>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4C34BA3"/>
    <w:multiLevelType w:val="hybridMultilevel"/>
    <w:tmpl w:val="F0C6A54E"/>
    <w:lvl w:ilvl="0" w:tplc="CA9443E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99030C"/>
    <w:multiLevelType w:val="multilevel"/>
    <w:tmpl w:val="2B6E6B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0CBF27E8"/>
    <w:multiLevelType w:val="multilevel"/>
    <w:tmpl w:val="3BCC8094"/>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2"/>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EE93A1D"/>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1A47DE6"/>
    <w:multiLevelType w:val="multilevel"/>
    <w:tmpl w:val="3C92161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1D8392B"/>
    <w:multiLevelType w:val="multilevel"/>
    <w:tmpl w:val="152A6BFC"/>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3C08FA"/>
    <w:multiLevelType w:val="multilevel"/>
    <w:tmpl w:val="A9104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1243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02520D"/>
    <w:multiLevelType w:val="multilevel"/>
    <w:tmpl w:val="1F7C42EA"/>
    <w:lvl w:ilvl="0">
      <w:start w:val="26"/>
      <w:numFmt w:val="decimal"/>
      <w:lvlText w:val="%1"/>
      <w:lvlJc w:val="left"/>
      <w:pPr>
        <w:ind w:left="540" w:hanging="540"/>
      </w:pPr>
      <w:rPr>
        <w:rFonts w:hint="default"/>
      </w:rPr>
    </w:lvl>
    <w:lvl w:ilvl="1">
      <w:start w:val="6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AD34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CC1B21"/>
    <w:multiLevelType w:val="multilevel"/>
    <w:tmpl w:val="4BB24F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8EA43DB"/>
    <w:multiLevelType w:val="multilevel"/>
    <w:tmpl w:val="E36E7DE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299F76BB"/>
    <w:multiLevelType w:val="multilevel"/>
    <w:tmpl w:val="4AE22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4"/>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46795BFC"/>
    <w:multiLevelType w:val="multilevel"/>
    <w:tmpl w:val="1996035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48971169"/>
    <w:multiLevelType w:val="multilevel"/>
    <w:tmpl w:val="65561CA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hint="default"/>
        <w:b w:val="0"/>
        <w:i w:val="0"/>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D0562C"/>
    <w:multiLevelType w:val="multilevel"/>
    <w:tmpl w:val="621092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B482B81"/>
    <w:multiLevelType w:val="multilevel"/>
    <w:tmpl w:val="81CE20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562E5D"/>
    <w:multiLevelType w:val="multilevel"/>
    <w:tmpl w:val="CAD833F6"/>
    <w:lvl w:ilvl="0">
      <w:start w:val="3"/>
      <w:numFmt w:val="decimal"/>
      <w:lvlText w:val="%1"/>
      <w:lvlJc w:val="left"/>
      <w:pPr>
        <w:tabs>
          <w:tab w:val="num" w:pos="675"/>
        </w:tabs>
        <w:ind w:left="675" w:hanging="675"/>
      </w:pPr>
      <w:rPr>
        <w:rFonts w:hint="default"/>
      </w:rPr>
    </w:lvl>
    <w:lvl w:ilvl="1">
      <w:start w:val="4"/>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5A83958"/>
    <w:multiLevelType w:val="multilevel"/>
    <w:tmpl w:val="6B18E5D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A686DAD"/>
    <w:multiLevelType w:val="multilevel"/>
    <w:tmpl w:val="9E06B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717E521D"/>
    <w:multiLevelType w:val="multilevel"/>
    <w:tmpl w:val="E092D24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DB25D0C"/>
    <w:multiLevelType w:val="multilevel"/>
    <w:tmpl w:val="AD567162"/>
    <w:lvl w:ilvl="0">
      <w:start w:val="1"/>
      <w:numFmt w:val="decimal"/>
      <w:lvlText w:val="%1"/>
      <w:lvlJc w:val="left"/>
      <w:pPr>
        <w:tabs>
          <w:tab w:val="num" w:pos="720"/>
        </w:tabs>
        <w:ind w:left="720" w:hanging="720"/>
      </w:pPr>
      <w:rPr>
        <w:rFonts w:hint="default"/>
      </w:rPr>
    </w:lvl>
    <w:lvl w:ilvl="1">
      <w:start w:val="4"/>
      <w:numFmt w:val="decimal"/>
      <w:isLgl/>
      <w:lvlText w:val="%1.%2"/>
      <w:lvlJc w:val="left"/>
      <w:pPr>
        <w:tabs>
          <w:tab w:val="num" w:pos="1380"/>
        </w:tabs>
        <w:ind w:left="1380" w:hanging="660"/>
      </w:pPr>
      <w:rPr>
        <w:rFonts w:hint="default"/>
      </w:rPr>
    </w:lvl>
    <w:lvl w:ilvl="2">
      <w:start w:val="5"/>
      <w:numFmt w:val="decimal"/>
      <w:isLgl/>
      <w:lvlText w:val="%1.%2.%3"/>
      <w:lvlJc w:val="left"/>
      <w:pPr>
        <w:tabs>
          <w:tab w:val="num" w:pos="2160"/>
        </w:tabs>
        <w:ind w:left="2160" w:hanging="720"/>
      </w:pPr>
      <w:rPr>
        <w:rFonts w:hint="default"/>
      </w:rPr>
    </w:lvl>
    <w:lvl w:ilvl="3">
      <w:start w:val="2"/>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4" w15:restartNumberingAfterBreak="0">
    <w:nsid w:val="7EC93317"/>
    <w:multiLevelType w:val="multilevel"/>
    <w:tmpl w:val="1084E0A6"/>
    <w:lvl w:ilvl="0">
      <w:start w:val="4"/>
      <w:numFmt w:val="decimal"/>
      <w:lvlText w:val="%1"/>
      <w:lvlJc w:val="left"/>
      <w:pPr>
        <w:tabs>
          <w:tab w:val="num" w:pos="1272"/>
        </w:tabs>
        <w:ind w:left="1272" w:hanging="720"/>
      </w:pPr>
      <w:rPr>
        <w:rFonts w:hint="default"/>
      </w:rPr>
    </w:lvl>
    <w:lvl w:ilvl="1">
      <w:start w:val="1"/>
      <w:numFmt w:val="decimal"/>
      <w:lvlText w:val="%1.%2"/>
      <w:lvlJc w:val="left"/>
      <w:pPr>
        <w:tabs>
          <w:tab w:val="num" w:pos="1992"/>
        </w:tabs>
        <w:ind w:left="1992" w:hanging="720"/>
      </w:pPr>
      <w:rPr>
        <w:rFonts w:hint="default"/>
      </w:rPr>
    </w:lvl>
    <w:lvl w:ilvl="2">
      <w:start w:val="1"/>
      <w:numFmt w:val="decimal"/>
      <w:lvlText w:val="%1.%2.%3"/>
      <w:lvlJc w:val="left"/>
      <w:pPr>
        <w:tabs>
          <w:tab w:val="num" w:pos="2712"/>
        </w:tabs>
        <w:ind w:left="2712" w:hanging="720"/>
      </w:pPr>
      <w:rPr>
        <w:rFonts w:hint="default"/>
      </w:rPr>
    </w:lvl>
    <w:lvl w:ilvl="3">
      <w:start w:val="1"/>
      <w:numFmt w:val="decimal"/>
      <w:lvlText w:val="%1.%2.%3.%4"/>
      <w:lvlJc w:val="left"/>
      <w:pPr>
        <w:tabs>
          <w:tab w:val="num" w:pos="3432"/>
        </w:tabs>
        <w:ind w:left="3432" w:hanging="720"/>
      </w:pPr>
      <w:rPr>
        <w:rFonts w:hint="default"/>
      </w:rPr>
    </w:lvl>
    <w:lvl w:ilvl="4">
      <w:start w:val="1"/>
      <w:numFmt w:val="decimal"/>
      <w:lvlText w:val="%1.%2.%3.%4.%5"/>
      <w:lvlJc w:val="left"/>
      <w:pPr>
        <w:tabs>
          <w:tab w:val="num" w:pos="4512"/>
        </w:tabs>
        <w:ind w:left="4512" w:hanging="1080"/>
      </w:pPr>
      <w:rPr>
        <w:rFonts w:hint="default"/>
      </w:rPr>
    </w:lvl>
    <w:lvl w:ilvl="5">
      <w:start w:val="1"/>
      <w:numFmt w:val="decimal"/>
      <w:lvlText w:val="%1.%2.%3.%4.%5.%6"/>
      <w:lvlJc w:val="left"/>
      <w:pPr>
        <w:tabs>
          <w:tab w:val="num" w:pos="5232"/>
        </w:tabs>
        <w:ind w:left="5232" w:hanging="1080"/>
      </w:pPr>
      <w:rPr>
        <w:rFonts w:hint="default"/>
      </w:rPr>
    </w:lvl>
    <w:lvl w:ilvl="6">
      <w:start w:val="1"/>
      <w:numFmt w:val="decimal"/>
      <w:lvlText w:val="%1.%2.%3.%4.%5.%6.%7"/>
      <w:lvlJc w:val="left"/>
      <w:pPr>
        <w:tabs>
          <w:tab w:val="num" w:pos="6312"/>
        </w:tabs>
        <w:ind w:left="6312" w:hanging="1440"/>
      </w:pPr>
      <w:rPr>
        <w:rFonts w:hint="default"/>
      </w:rPr>
    </w:lvl>
    <w:lvl w:ilvl="7">
      <w:start w:val="1"/>
      <w:numFmt w:val="decimal"/>
      <w:lvlText w:val="%1.%2.%3.%4.%5.%6.%7.%8"/>
      <w:lvlJc w:val="left"/>
      <w:pPr>
        <w:tabs>
          <w:tab w:val="num" w:pos="7032"/>
        </w:tabs>
        <w:ind w:left="7032" w:hanging="1440"/>
      </w:pPr>
      <w:rPr>
        <w:rFonts w:hint="default"/>
      </w:rPr>
    </w:lvl>
    <w:lvl w:ilvl="8">
      <w:start w:val="1"/>
      <w:numFmt w:val="decimal"/>
      <w:lvlText w:val="%1.%2.%3.%4.%5.%6.%7.%8.%9"/>
      <w:lvlJc w:val="left"/>
      <w:pPr>
        <w:tabs>
          <w:tab w:val="num" w:pos="8112"/>
        </w:tabs>
        <w:ind w:left="8112" w:hanging="1800"/>
      </w:pPr>
      <w:rPr>
        <w:rFonts w:hint="default"/>
      </w:rPr>
    </w:lvl>
  </w:abstractNum>
  <w:num w:numId="1">
    <w:abstractNumId w:val="28"/>
  </w:num>
  <w:num w:numId="2">
    <w:abstractNumId w:val="33"/>
  </w:num>
  <w:num w:numId="3">
    <w:abstractNumId w:val="31"/>
  </w:num>
  <w:num w:numId="4">
    <w:abstractNumId w:val="19"/>
  </w:num>
  <w:num w:numId="5">
    <w:abstractNumId w:val="34"/>
  </w:num>
  <w:num w:numId="6">
    <w:abstractNumId w:val="22"/>
  </w:num>
  <w:num w:numId="7">
    <w:abstractNumId w:val="3"/>
  </w:num>
  <w:num w:numId="8">
    <w:abstractNumId w:val="4"/>
  </w:num>
  <w:num w:numId="9">
    <w:abstractNumId w:val="15"/>
  </w:num>
  <w:num w:numId="10">
    <w:abstractNumId w:val="20"/>
  </w:num>
  <w:num w:numId="11">
    <w:abstractNumId w:val="27"/>
  </w:num>
  <w:num w:numId="12">
    <w:abstractNumId w:val="7"/>
  </w:num>
  <w:num w:numId="13">
    <w:abstractNumId w:val="6"/>
  </w:num>
  <w:num w:numId="14">
    <w:abstractNumId w:val="23"/>
  </w:num>
  <w:num w:numId="15">
    <w:abstractNumId w:val="14"/>
  </w:num>
  <w:num w:numId="16">
    <w:abstractNumId w:val="13"/>
  </w:num>
  <w:num w:numId="17">
    <w:abstractNumId w:val="5"/>
  </w:num>
  <w:num w:numId="18">
    <w:abstractNumId w:val="1"/>
  </w:num>
  <w:num w:numId="19">
    <w:abstractNumId w:val="11"/>
  </w:num>
  <w:num w:numId="20">
    <w:abstractNumId w:val="26"/>
  </w:num>
  <w:num w:numId="21">
    <w:abstractNumId w:val="17"/>
  </w:num>
  <w:num w:numId="22">
    <w:abstractNumId w:val="32"/>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0"/>
  </w:num>
  <w:num w:numId="27">
    <w:abstractNumId w:val="9"/>
  </w:num>
  <w:num w:numId="28">
    <w:abstractNumId w:val="2"/>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2"/>
  </w:num>
  <w:num w:numId="32">
    <w:abstractNumId w:val="18"/>
  </w:num>
  <w:num w:numId="33">
    <w:abstractNumId w:val="2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4"/>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BodyText"/>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CD"/>
    <w:rsid w:val="0006770A"/>
    <w:rsid w:val="00071DFC"/>
    <w:rsid w:val="000B4016"/>
    <w:rsid w:val="000C1FC7"/>
    <w:rsid w:val="000C649B"/>
    <w:rsid w:val="000C7A70"/>
    <w:rsid w:val="000E2610"/>
    <w:rsid w:val="00114457"/>
    <w:rsid w:val="001166B3"/>
    <w:rsid w:val="001D2EDC"/>
    <w:rsid w:val="001F1F71"/>
    <w:rsid w:val="00206202"/>
    <w:rsid w:val="002139A1"/>
    <w:rsid w:val="00215B97"/>
    <w:rsid w:val="0026244C"/>
    <w:rsid w:val="002A3647"/>
    <w:rsid w:val="002B705E"/>
    <w:rsid w:val="002C6FE8"/>
    <w:rsid w:val="0030761E"/>
    <w:rsid w:val="0032578B"/>
    <w:rsid w:val="00342AF1"/>
    <w:rsid w:val="00351609"/>
    <w:rsid w:val="00366EE9"/>
    <w:rsid w:val="003A27A9"/>
    <w:rsid w:val="003A38CE"/>
    <w:rsid w:val="003C2AA3"/>
    <w:rsid w:val="003F7CEE"/>
    <w:rsid w:val="00407CCC"/>
    <w:rsid w:val="004374B9"/>
    <w:rsid w:val="00440E70"/>
    <w:rsid w:val="00446A6A"/>
    <w:rsid w:val="00465F40"/>
    <w:rsid w:val="00483F65"/>
    <w:rsid w:val="00496874"/>
    <w:rsid w:val="004C3C79"/>
    <w:rsid w:val="004F6456"/>
    <w:rsid w:val="005029E3"/>
    <w:rsid w:val="00511193"/>
    <w:rsid w:val="00512AE7"/>
    <w:rsid w:val="00520EE7"/>
    <w:rsid w:val="00540093"/>
    <w:rsid w:val="00547EE6"/>
    <w:rsid w:val="00551314"/>
    <w:rsid w:val="00575E57"/>
    <w:rsid w:val="00581B66"/>
    <w:rsid w:val="005A628D"/>
    <w:rsid w:val="005C3486"/>
    <w:rsid w:val="005D3487"/>
    <w:rsid w:val="005D7B96"/>
    <w:rsid w:val="005F1D00"/>
    <w:rsid w:val="005F7E8F"/>
    <w:rsid w:val="00627597"/>
    <w:rsid w:val="00646B99"/>
    <w:rsid w:val="0065716B"/>
    <w:rsid w:val="00662D3F"/>
    <w:rsid w:val="006839E7"/>
    <w:rsid w:val="0068767F"/>
    <w:rsid w:val="006E094F"/>
    <w:rsid w:val="006E3372"/>
    <w:rsid w:val="0070232C"/>
    <w:rsid w:val="007349D3"/>
    <w:rsid w:val="00734B98"/>
    <w:rsid w:val="00735449"/>
    <w:rsid w:val="007F3982"/>
    <w:rsid w:val="007F6811"/>
    <w:rsid w:val="00801BE8"/>
    <w:rsid w:val="0082399A"/>
    <w:rsid w:val="008652CE"/>
    <w:rsid w:val="008D144C"/>
    <w:rsid w:val="008D41FA"/>
    <w:rsid w:val="008F7C86"/>
    <w:rsid w:val="0092266A"/>
    <w:rsid w:val="00925702"/>
    <w:rsid w:val="00933C74"/>
    <w:rsid w:val="00937F1C"/>
    <w:rsid w:val="00943418"/>
    <w:rsid w:val="00951ECC"/>
    <w:rsid w:val="00967339"/>
    <w:rsid w:val="00973101"/>
    <w:rsid w:val="00983D6B"/>
    <w:rsid w:val="009863CD"/>
    <w:rsid w:val="00995979"/>
    <w:rsid w:val="009A36EC"/>
    <w:rsid w:val="009A58AF"/>
    <w:rsid w:val="009D1442"/>
    <w:rsid w:val="009D2F34"/>
    <w:rsid w:val="009D6098"/>
    <w:rsid w:val="009E2097"/>
    <w:rsid w:val="009F7666"/>
    <w:rsid w:val="00A4326B"/>
    <w:rsid w:val="00A51333"/>
    <w:rsid w:val="00A536E5"/>
    <w:rsid w:val="00A56604"/>
    <w:rsid w:val="00A61F14"/>
    <w:rsid w:val="00A76EDC"/>
    <w:rsid w:val="00A93D76"/>
    <w:rsid w:val="00A97DFF"/>
    <w:rsid w:val="00AA710A"/>
    <w:rsid w:val="00B36A40"/>
    <w:rsid w:val="00B4342B"/>
    <w:rsid w:val="00B50A92"/>
    <w:rsid w:val="00B839D8"/>
    <w:rsid w:val="00BC3229"/>
    <w:rsid w:val="00BD1E21"/>
    <w:rsid w:val="00C05A12"/>
    <w:rsid w:val="00C325B5"/>
    <w:rsid w:val="00C36911"/>
    <w:rsid w:val="00C40862"/>
    <w:rsid w:val="00C46C5D"/>
    <w:rsid w:val="00C514F3"/>
    <w:rsid w:val="00C545BE"/>
    <w:rsid w:val="00C774BE"/>
    <w:rsid w:val="00C839F9"/>
    <w:rsid w:val="00CB7803"/>
    <w:rsid w:val="00CD2081"/>
    <w:rsid w:val="00CD72DD"/>
    <w:rsid w:val="00CE10D2"/>
    <w:rsid w:val="00CE2F03"/>
    <w:rsid w:val="00D126AD"/>
    <w:rsid w:val="00D13538"/>
    <w:rsid w:val="00D76B57"/>
    <w:rsid w:val="00DA1C9A"/>
    <w:rsid w:val="00DA3730"/>
    <w:rsid w:val="00DA3770"/>
    <w:rsid w:val="00DC04A0"/>
    <w:rsid w:val="00DF3136"/>
    <w:rsid w:val="00E02DE1"/>
    <w:rsid w:val="00E10324"/>
    <w:rsid w:val="00E10EE4"/>
    <w:rsid w:val="00E233DE"/>
    <w:rsid w:val="00E312E7"/>
    <w:rsid w:val="00E331CB"/>
    <w:rsid w:val="00E4461B"/>
    <w:rsid w:val="00E752F0"/>
    <w:rsid w:val="00E75BDD"/>
    <w:rsid w:val="00EC1BB7"/>
    <w:rsid w:val="00EE07E0"/>
    <w:rsid w:val="00F5726A"/>
    <w:rsid w:val="00F62157"/>
    <w:rsid w:val="00F95DD9"/>
    <w:rsid w:val="00FA0835"/>
    <w:rsid w:val="00FC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8193"/>
    <o:shapelayout v:ext="edit">
      <o:idmap v:ext="edit" data="1"/>
    </o:shapelayout>
  </w:shapeDefaults>
  <w:decimalSymbol w:val="."/>
  <w:listSeparator w:val=","/>
  <w14:docId w14:val="459419DC"/>
  <w15:chartTrackingRefBased/>
  <w15:docId w15:val="{22BC62BD-042A-4ED5-8E40-F1EF8EB6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iPriority="35" w:unhideWhenUsed="1" w:qFormat="1"/>
    <w:lsdException w:name="table of figures" w:uiPriority="99"/>
    <w:lsdException w:name="annotation reference" w:uiPriority="99"/>
    <w:lsdException w:name="Title" w:uiPriority="10" w:qFormat="1"/>
    <w:lsdException w:name="Default Paragraph Font" w:uiPriority="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0232C"/>
    <w:rPr>
      <w:rFonts w:eastAsiaTheme="minorHAnsi" w:cstheme="minorBidi"/>
      <w:sz w:val="24"/>
      <w:szCs w:val="22"/>
    </w:rPr>
  </w:style>
  <w:style w:type="paragraph" w:styleId="Heading1">
    <w:name w:val="heading 1"/>
    <w:basedOn w:val="Normal"/>
    <w:next w:val="Normal"/>
    <w:link w:val="Heading1Char"/>
    <w:uiPriority w:val="9"/>
    <w:qFormat/>
    <w:rsid w:val="0070232C"/>
    <w:pPr>
      <w:keepNext/>
      <w:keepLines/>
      <w:numPr>
        <w:numId w:val="38"/>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70232C"/>
    <w:pPr>
      <w:keepNext/>
      <w:keepLines/>
      <w:numPr>
        <w:ilvl w:val="1"/>
        <w:numId w:val="38"/>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70232C"/>
    <w:pPr>
      <w:keepNext/>
      <w:keepLines/>
      <w:numPr>
        <w:ilvl w:val="2"/>
        <w:numId w:val="38"/>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70232C"/>
    <w:pPr>
      <w:keepNext/>
      <w:keepLines/>
      <w:numPr>
        <w:ilvl w:val="3"/>
        <w:numId w:val="38"/>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unhideWhenUsed/>
    <w:qFormat/>
    <w:rsid w:val="0070232C"/>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70232C"/>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70232C"/>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70232C"/>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70232C"/>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7023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232C"/>
  </w:style>
  <w:style w:type="paragraph" w:styleId="Header">
    <w:name w:val="header"/>
    <w:basedOn w:val="Normal"/>
    <w:link w:val="HeaderChar"/>
    <w:unhideWhenUsed/>
    <w:rsid w:val="0070232C"/>
    <w:pPr>
      <w:tabs>
        <w:tab w:val="center" w:pos="4680"/>
        <w:tab w:val="right" w:pos="9360"/>
      </w:tabs>
    </w:pPr>
  </w:style>
  <w:style w:type="paragraph" w:styleId="Footer">
    <w:name w:val="footer"/>
    <w:basedOn w:val="Normal"/>
    <w:link w:val="FooterChar"/>
    <w:uiPriority w:val="99"/>
    <w:unhideWhenUsed/>
    <w:rsid w:val="0070232C"/>
    <w:pPr>
      <w:tabs>
        <w:tab w:val="center" w:pos="4680"/>
        <w:tab w:val="right" w:pos="9360"/>
      </w:tabs>
    </w:pPr>
  </w:style>
  <w:style w:type="paragraph" w:styleId="Title">
    <w:name w:val="Title"/>
    <w:aliases w:val="Title-Lab"/>
    <w:basedOn w:val="Normal"/>
    <w:next w:val="Normal"/>
    <w:link w:val="TitleChar"/>
    <w:uiPriority w:val="10"/>
    <w:qFormat/>
    <w:rsid w:val="0070232C"/>
    <w:pPr>
      <w:widowControl w:val="0"/>
      <w:autoSpaceDE w:val="0"/>
      <w:autoSpaceDN w:val="0"/>
      <w:adjustRightInd w:val="0"/>
      <w:spacing w:after="120"/>
      <w:jc w:val="center"/>
    </w:pPr>
    <w:rPr>
      <w:rFonts w:eastAsia="Times New Roman" w:cs="Times New Roman"/>
      <w:b/>
      <w:szCs w:val="24"/>
    </w:rPr>
  </w:style>
  <w:style w:type="paragraph" w:styleId="FootnoteText">
    <w:name w:val="footnote text"/>
    <w:basedOn w:val="Normal"/>
    <w:link w:val="FootnoteTextChar"/>
    <w:semiHidden/>
    <w:unhideWhenUsed/>
    <w:rsid w:val="0070232C"/>
    <w:rPr>
      <w:sz w:val="16"/>
      <w:szCs w:val="20"/>
    </w:rPr>
  </w:style>
  <w:style w:type="character" w:styleId="FootnoteReference">
    <w:name w:val="footnote reference"/>
    <w:basedOn w:val="DefaultParagraphFont"/>
    <w:semiHidden/>
    <w:unhideWhenUsed/>
    <w:rsid w:val="0070232C"/>
    <w:rPr>
      <w:vertAlign w:val="superscript"/>
    </w:rPr>
  </w:style>
  <w:style w:type="table" w:styleId="TableGrid">
    <w:name w:val="Table Grid"/>
    <w:basedOn w:val="TableNormal"/>
    <w:rsid w:val="00702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232C"/>
    <w:rPr>
      <w:color w:val="0563C1" w:themeColor="hyperlink"/>
      <w:u w:val="single"/>
    </w:rPr>
  </w:style>
  <w:style w:type="paragraph" w:styleId="BalloonText">
    <w:name w:val="Balloon Text"/>
    <w:basedOn w:val="Normal"/>
    <w:link w:val="BalloonTextChar"/>
    <w:uiPriority w:val="99"/>
    <w:unhideWhenUsed/>
    <w:rsid w:val="0070232C"/>
    <w:rPr>
      <w:rFonts w:ascii="Tahoma" w:hAnsi="Tahoma" w:cs="Tahoma"/>
      <w:sz w:val="16"/>
      <w:szCs w:val="16"/>
    </w:rPr>
  </w:style>
  <w:style w:type="paragraph" w:styleId="Caption">
    <w:name w:val="caption"/>
    <w:aliases w:val="Caption (Figure and Table Titles)"/>
    <w:basedOn w:val="BodyText"/>
    <w:next w:val="Normal"/>
    <w:uiPriority w:val="35"/>
    <w:unhideWhenUsed/>
    <w:qFormat/>
    <w:rsid w:val="0070232C"/>
    <w:pPr>
      <w:spacing w:after="0"/>
      <w:ind w:left="1872"/>
    </w:pPr>
    <w:rPr>
      <w:b/>
      <w:sz w:val="22"/>
    </w:rPr>
  </w:style>
  <w:style w:type="character" w:styleId="CommentReference">
    <w:name w:val="annotation reference"/>
    <w:basedOn w:val="DefaultParagraphFont"/>
    <w:uiPriority w:val="99"/>
    <w:unhideWhenUsed/>
    <w:rsid w:val="0070232C"/>
    <w:rPr>
      <w:sz w:val="16"/>
      <w:szCs w:val="16"/>
    </w:rPr>
  </w:style>
  <w:style w:type="paragraph" w:styleId="CommentText">
    <w:name w:val="annotation text"/>
    <w:basedOn w:val="Normal"/>
    <w:link w:val="CommentTextChar"/>
    <w:uiPriority w:val="99"/>
    <w:unhideWhenUsed/>
    <w:rsid w:val="0070232C"/>
    <w:rPr>
      <w:sz w:val="20"/>
      <w:szCs w:val="20"/>
    </w:rPr>
  </w:style>
  <w:style w:type="character" w:customStyle="1" w:styleId="CommentTextChar">
    <w:name w:val="Comment Text Char"/>
    <w:basedOn w:val="DefaultParagraphFont"/>
    <w:link w:val="CommentText"/>
    <w:uiPriority w:val="99"/>
    <w:rsid w:val="0070232C"/>
    <w:rPr>
      <w:rFonts w:eastAsiaTheme="minorHAnsi" w:cstheme="minorBidi"/>
    </w:rPr>
  </w:style>
  <w:style w:type="paragraph" w:styleId="CommentSubject">
    <w:name w:val="annotation subject"/>
    <w:basedOn w:val="CommentText"/>
    <w:next w:val="CommentText"/>
    <w:link w:val="CommentSubjectChar"/>
    <w:uiPriority w:val="99"/>
    <w:unhideWhenUsed/>
    <w:rsid w:val="0070232C"/>
    <w:rPr>
      <w:b/>
      <w:bCs/>
    </w:rPr>
  </w:style>
  <w:style w:type="character" w:customStyle="1" w:styleId="CommentSubjectChar">
    <w:name w:val="Comment Subject Char"/>
    <w:basedOn w:val="CommentTextChar"/>
    <w:link w:val="CommentSubject"/>
    <w:uiPriority w:val="99"/>
    <w:rsid w:val="0070232C"/>
    <w:rPr>
      <w:rFonts w:eastAsiaTheme="minorHAnsi" w:cstheme="minorBidi"/>
      <w:b/>
      <w:bCs/>
    </w:rPr>
  </w:style>
  <w:style w:type="character" w:customStyle="1" w:styleId="Heading1Char">
    <w:name w:val="Heading 1 Char"/>
    <w:basedOn w:val="DefaultParagraphFont"/>
    <w:link w:val="Heading1"/>
    <w:uiPriority w:val="9"/>
    <w:rsid w:val="0070232C"/>
    <w:rPr>
      <w:rFonts w:eastAsiaTheme="majorEastAsia"/>
      <w:sz w:val="24"/>
      <w:szCs w:val="24"/>
    </w:rPr>
  </w:style>
  <w:style w:type="character" w:customStyle="1" w:styleId="Heading2Char">
    <w:name w:val="Heading 2 Char"/>
    <w:basedOn w:val="DefaultParagraphFont"/>
    <w:link w:val="Heading2"/>
    <w:uiPriority w:val="9"/>
    <w:rsid w:val="0070232C"/>
    <w:rPr>
      <w:rFonts w:eastAsiaTheme="majorEastAsia"/>
      <w:sz w:val="24"/>
      <w:szCs w:val="24"/>
    </w:rPr>
  </w:style>
  <w:style w:type="character" w:customStyle="1" w:styleId="Heading3Char">
    <w:name w:val="Heading 3 Char"/>
    <w:basedOn w:val="DefaultParagraphFont"/>
    <w:link w:val="Heading3"/>
    <w:uiPriority w:val="9"/>
    <w:rsid w:val="0070232C"/>
    <w:rPr>
      <w:rFonts w:eastAsiaTheme="majorEastAsia"/>
      <w:sz w:val="24"/>
      <w:szCs w:val="24"/>
    </w:rPr>
  </w:style>
  <w:style w:type="character" w:customStyle="1" w:styleId="Heading4Char">
    <w:name w:val="Heading 4 Char"/>
    <w:basedOn w:val="DefaultParagraphFont"/>
    <w:link w:val="Heading4"/>
    <w:uiPriority w:val="9"/>
    <w:rsid w:val="0070232C"/>
    <w:rPr>
      <w:rFonts w:eastAsiaTheme="majorEastAsia"/>
      <w:iCs/>
      <w:sz w:val="24"/>
      <w:szCs w:val="24"/>
    </w:rPr>
  </w:style>
  <w:style w:type="character" w:customStyle="1" w:styleId="Heading5Char">
    <w:name w:val="Heading 5 Char"/>
    <w:basedOn w:val="DefaultParagraphFont"/>
    <w:link w:val="Heading5"/>
    <w:rsid w:val="0070232C"/>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rsid w:val="0070232C"/>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rsid w:val="0070232C"/>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rsid w:val="0070232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70232C"/>
    <w:rPr>
      <w:rFonts w:asciiTheme="majorHAnsi" w:eastAsiaTheme="majorEastAsia" w:hAnsiTheme="majorHAnsi" w:cstheme="majorBidi"/>
      <w:i/>
      <w:iCs/>
      <w:color w:val="272727" w:themeColor="text1" w:themeTint="D8"/>
      <w:sz w:val="21"/>
      <w:szCs w:val="21"/>
    </w:rPr>
  </w:style>
  <w:style w:type="character" w:styleId="EndnoteReference">
    <w:name w:val="endnote reference"/>
    <w:rsid w:val="00A4326B"/>
    <w:rPr>
      <w:vertAlign w:val="superscript"/>
    </w:rPr>
  </w:style>
  <w:style w:type="paragraph" w:styleId="BodyTextIndent">
    <w:name w:val="Body Text Indent"/>
    <w:basedOn w:val="Normal"/>
    <w:link w:val="BodyTextIndentChar"/>
    <w:rsid w:val="00A4326B"/>
    <w:pPr>
      <w:tabs>
        <w:tab w:val="left" w:pos="-1104"/>
        <w:tab w:val="left" w:pos="-552"/>
        <w:tab w:val="left" w:pos="1"/>
        <w:tab w:val="left" w:pos="552"/>
        <w:tab w:val="left" w:pos="1440"/>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jc w:val="both"/>
    </w:pPr>
  </w:style>
  <w:style w:type="character" w:customStyle="1" w:styleId="BodyTextIndentChar">
    <w:name w:val="Body Text Indent Char"/>
    <w:basedOn w:val="DefaultParagraphFont"/>
    <w:link w:val="BodyTextIndent"/>
    <w:rsid w:val="00540093"/>
    <w:rPr>
      <w:rFonts w:eastAsiaTheme="minorHAnsi" w:cstheme="minorBidi"/>
      <w:sz w:val="24"/>
      <w:szCs w:val="22"/>
    </w:rPr>
  </w:style>
  <w:style w:type="paragraph" w:styleId="BodyTextIndent2">
    <w:name w:val="Body Text Indent 2"/>
    <w:basedOn w:val="Normal"/>
    <w:link w:val="BodyTextIndent2Char"/>
    <w:rsid w:val="00A4326B"/>
    <w:pPr>
      <w:tabs>
        <w:tab w:val="left" w:pos="-1104"/>
        <w:tab w:val="left" w:pos="-552"/>
        <w:tab w:val="left" w:pos="1"/>
        <w:tab w:val="left" w:pos="552"/>
        <w:tab w:val="left" w:pos="1104"/>
        <w:tab w:val="left" w:pos="1656"/>
        <w:tab w:val="left" w:pos="2160"/>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2160"/>
      <w:jc w:val="both"/>
    </w:pPr>
  </w:style>
  <w:style w:type="character" w:customStyle="1" w:styleId="BodyTextIndent2Char">
    <w:name w:val="Body Text Indent 2 Char"/>
    <w:basedOn w:val="DefaultParagraphFont"/>
    <w:link w:val="BodyTextIndent2"/>
    <w:rsid w:val="00540093"/>
    <w:rPr>
      <w:rFonts w:eastAsiaTheme="minorHAnsi" w:cstheme="minorBidi"/>
      <w:sz w:val="24"/>
      <w:szCs w:val="22"/>
    </w:rPr>
  </w:style>
  <w:style w:type="paragraph" w:styleId="BodyTextIndent3">
    <w:name w:val="Body Text Indent 3"/>
    <w:basedOn w:val="Normal"/>
    <w:link w:val="BodyTextIndent3Char"/>
    <w:rsid w:val="00A4326B"/>
    <w:pPr>
      <w:tabs>
        <w:tab w:val="left" w:pos="-1104"/>
        <w:tab w:val="left" w:pos="-552"/>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hanging="336"/>
      <w:jc w:val="both"/>
    </w:pPr>
  </w:style>
  <w:style w:type="character" w:customStyle="1" w:styleId="BodyTextIndent3Char">
    <w:name w:val="Body Text Indent 3 Char"/>
    <w:basedOn w:val="DefaultParagraphFont"/>
    <w:link w:val="BodyTextIndent3"/>
    <w:rsid w:val="00540093"/>
    <w:rPr>
      <w:rFonts w:eastAsiaTheme="minorHAnsi" w:cstheme="minorBidi"/>
      <w:sz w:val="24"/>
      <w:szCs w:val="22"/>
    </w:rPr>
  </w:style>
  <w:style w:type="paragraph" w:customStyle="1" w:styleId="a1Technical">
    <w:name w:val="a1Technical"/>
    <w:basedOn w:val="Normal"/>
    <w:rsid w:val="00A4326B"/>
    <w:rPr>
      <w:rFonts w:ascii="TmsRmn 10pt" w:hAnsi="TmsRmn 10pt"/>
    </w:rPr>
  </w:style>
  <w:style w:type="paragraph" w:styleId="BodyText">
    <w:name w:val="Body Text"/>
    <w:basedOn w:val="Normal"/>
    <w:link w:val="BodyTextChar"/>
    <w:uiPriority w:val="1"/>
    <w:unhideWhenUsed/>
    <w:qFormat/>
    <w:rsid w:val="0070232C"/>
    <w:pPr>
      <w:spacing w:after="180"/>
      <w:jc w:val="both"/>
    </w:pPr>
    <w:rPr>
      <w:rFonts w:cs="Times New Roman"/>
      <w:szCs w:val="24"/>
    </w:rPr>
  </w:style>
  <w:style w:type="character" w:customStyle="1" w:styleId="BodyTextChar">
    <w:name w:val="Body Text Char"/>
    <w:basedOn w:val="DefaultParagraphFont"/>
    <w:link w:val="BodyText"/>
    <w:uiPriority w:val="1"/>
    <w:rsid w:val="0070232C"/>
    <w:rPr>
      <w:rFonts w:eastAsiaTheme="minorHAnsi"/>
      <w:sz w:val="24"/>
      <w:szCs w:val="24"/>
    </w:rPr>
  </w:style>
  <w:style w:type="paragraph" w:customStyle="1" w:styleId="a2Technical">
    <w:name w:val="a2Technical"/>
    <w:basedOn w:val="Normal"/>
    <w:rsid w:val="00A4326B"/>
    <w:pPr>
      <w:ind w:left="720"/>
    </w:pPr>
    <w:rPr>
      <w:rFonts w:ascii="TmsRmn 10pt" w:hAnsi="TmsRmn 10pt"/>
    </w:rPr>
  </w:style>
  <w:style w:type="paragraph" w:styleId="ListParagraph">
    <w:name w:val="List Paragraph"/>
    <w:basedOn w:val="Normal"/>
    <w:uiPriority w:val="34"/>
    <w:qFormat/>
    <w:rsid w:val="0070232C"/>
    <w:pPr>
      <w:ind w:left="720"/>
      <w:contextualSpacing/>
    </w:pPr>
  </w:style>
  <w:style w:type="paragraph" w:customStyle="1" w:styleId="1Technical">
    <w:name w:val="1Technical"/>
    <w:rsid w:val="00A4326B"/>
    <w:pPr>
      <w:tabs>
        <w:tab w:val="left" w:pos="720"/>
      </w:tabs>
      <w:ind w:left="720" w:hanging="720"/>
    </w:pPr>
    <w:rPr>
      <w:rFonts w:ascii="TmsRmn 10pt" w:hAnsi="TmsRmn 10pt"/>
      <w:snapToGrid w:val="0"/>
      <w:sz w:val="24"/>
    </w:rPr>
  </w:style>
  <w:style w:type="paragraph" w:customStyle="1" w:styleId="2Technical">
    <w:name w:val="2Technical"/>
    <w:rsid w:val="00A4326B"/>
    <w:pPr>
      <w:tabs>
        <w:tab w:val="left" w:pos="720"/>
        <w:tab w:val="left" w:pos="1440"/>
      </w:tabs>
      <w:ind w:left="1440" w:hanging="720"/>
    </w:pPr>
    <w:rPr>
      <w:rFonts w:ascii="TmsRmn 10pt" w:hAnsi="TmsRmn 10pt"/>
      <w:snapToGrid w:val="0"/>
      <w:sz w:val="24"/>
    </w:rPr>
  </w:style>
  <w:style w:type="character" w:customStyle="1" w:styleId="BalloonTextChar">
    <w:name w:val="Balloon Text Char"/>
    <w:basedOn w:val="DefaultParagraphFont"/>
    <w:link w:val="BalloonText"/>
    <w:uiPriority w:val="99"/>
    <w:rsid w:val="0070232C"/>
    <w:rPr>
      <w:rFonts w:ascii="Tahoma" w:eastAsiaTheme="minorHAnsi" w:hAnsi="Tahoma" w:cs="Tahoma"/>
      <w:sz w:val="16"/>
      <w:szCs w:val="16"/>
    </w:rPr>
  </w:style>
  <w:style w:type="paragraph" w:customStyle="1" w:styleId="Default">
    <w:name w:val="Default"/>
    <w:rsid w:val="0070232C"/>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unhideWhenUsed/>
    <w:rsid w:val="0070232C"/>
    <w:rPr>
      <w:color w:val="954F72" w:themeColor="followedHyperlink"/>
      <w:u w:val="single"/>
    </w:rPr>
  </w:style>
  <w:style w:type="character" w:customStyle="1" w:styleId="FooterChar">
    <w:name w:val="Footer Char"/>
    <w:basedOn w:val="DefaultParagraphFont"/>
    <w:link w:val="Footer"/>
    <w:uiPriority w:val="99"/>
    <w:rsid w:val="0070232C"/>
    <w:rPr>
      <w:rFonts w:eastAsiaTheme="minorHAnsi" w:cstheme="minorBidi"/>
      <w:sz w:val="24"/>
      <w:szCs w:val="22"/>
    </w:rPr>
  </w:style>
  <w:style w:type="paragraph" w:customStyle="1" w:styleId="FrontMatterTOC">
    <w:name w:val="Front Matter (TOC"/>
    <w:aliases w:val="foreword,preface,etc.)"/>
    <w:basedOn w:val="BodyText"/>
    <w:qFormat/>
    <w:rsid w:val="0070232C"/>
    <w:rPr>
      <w:b/>
    </w:rPr>
  </w:style>
  <w:style w:type="character" w:customStyle="1" w:styleId="HeaderChar">
    <w:name w:val="Header Char"/>
    <w:basedOn w:val="DefaultParagraphFont"/>
    <w:link w:val="Header"/>
    <w:rsid w:val="0070232C"/>
    <w:rPr>
      <w:rFonts w:eastAsiaTheme="minorHAnsi" w:cstheme="minorBidi"/>
      <w:sz w:val="24"/>
      <w:szCs w:val="22"/>
    </w:rPr>
  </w:style>
  <w:style w:type="paragraph" w:styleId="NormalWeb">
    <w:name w:val="Normal (Web)"/>
    <w:basedOn w:val="Normal"/>
    <w:uiPriority w:val="99"/>
    <w:unhideWhenUsed/>
    <w:rsid w:val="0070232C"/>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70232C"/>
    <w:rPr>
      <w:sz w:val="20"/>
    </w:rPr>
  </w:style>
  <w:style w:type="paragraph" w:customStyle="1" w:styleId="TableandFigureFootnotes">
    <w:name w:val="Table and Figure Footnotes"/>
    <w:basedOn w:val="Normal"/>
    <w:qFormat/>
    <w:rsid w:val="0070232C"/>
    <w:rPr>
      <w:sz w:val="20"/>
      <w:szCs w:val="20"/>
    </w:rPr>
  </w:style>
  <w:style w:type="paragraph" w:styleId="TOC1">
    <w:name w:val="toc 1"/>
    <w:basedOn w:val="Normal"/>
    <w:next w:val="Normal"/>
    <w:autoRedefine/>
    <w:uiPriority w:val="39"/>
    <w:unhideWhenUsed/>
    <w:rsid w:val="0070232C"/>
    <w:pPr>
      <w:tabs>
        <w:tab w:val="left" w:pos="440"/>
        <w:tab w:val="right" w:leader="dot" w:pos="8990"/>
      </w:tabs>
      <w:spacing w:after="100"/>
    </w:pPr>
    <w:rPr>
      <w:b/>
    </w:rPr>
  </w:style>
  <w:style w:type="paragraph" w:styleId="TOC2">
    <w:name w:val="toc 2"/>
    <w:basedOn w:val="Normal"/>
    <w:next w:val="Normal"/>
    <w:autoRedefine/>
    <w:uiPriority w:val="39"/>
    <w:unhideWhenUsed/>
    <w:rsid w:val="0070232C"/>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70232C"/>
    <w:pPr>
      <w:tabs>
        <w:tab w:val="left" w:pos="1170"/>
        <w:tab w:val="right" w:leader="dot" w:pos="8990"/>
      </w:tabs>
      <w:spacing w:after="100"/>
      <w:ind w:left="440"/>
    </w:pPr>
  </w:style>
  <w:style w:type="paragraph" w:styleId="TOC4">
    <w:name w:val="toc 4"/>
    <w:basedOn w:val="Normal"/>
    <w:next w:val="Normal"/>
    <w:autoRedefine/>
    <w:uiPriority w:val="39"/>
    <w:unhideWhenUsed/>
    <w:rsid w:val="0070232C"/>
    <w:pPr>
      <w:tabs>
        <w:tab w:val="left" w:pos="1530"/>
        <w:tab w:val="right" w:leader="dot" w:pos="8990"/>
      </w:tabs>
      <w:spacing w:after="100"/>
      <w:ind w:left="660"/>
    </w:pPr>
    <w:rPr>
      <w:noProof/>
    </w:rPr>
  </w:style>
  <w:style w:type="character" w:customStyle="1" w:styleId="FootnoteTextChar">
    <w:name w:val="Footnote Text Char"/>
    <w:basedOn w:val="DefaultParagraphFont"/>
    <w:link w:val="FootnoteText"/>
    <w:semiHidden/>
    <w:rsid w:val="0070232C"/>
    <w:rPr>
      <w:rFonts w:eastAsiaTheme="minorHAnsi" w:cstheme="minorBidi"/>
      <w:sz w:val="16"/>
    </w:rPr>
  </w:style>
  <w:style w:type="character" w:customStyle="1" w:styleId="ReferenceListChar">
    <w:name w:val="Reference List Char"/>
    <w:basedOn w:val="DefaultParagraphFont"/>
    <w:link w:val="ReferenceList"/>
    <w:rsid w:val="0070232C"/>
    <w:rPr>
      <w:rFonts w:eastAsiaTheme="minorHAnsi" w:cstheme="minorBidi"/>
    </w:rPr>
  </w:style>
  <w:style w:type="paragraph" w:customStyle="1" w:styleId="ReferenceList0">
    <w:name w:val="ReferenceList"/>
    <w:basedOn w:val="BodyText"/>
    <w:link w:val="ReferenceListChar0"/>
    <w:rsid w:val="0070232C"/>
    <w:pPr>
      <w:spacing w:after="0"/>
      <w:ind w:left="360" w:hanging="360"/>
    </w:pPr>
  </w:style>
  <w:style w:type="character" w:customStyle="1" w:styleId="ReferenceListChar0">
    <w:name w:val="ReferenceList Char"/>
    <w:basedOn w:val="BodyTextChar"/>
    <w:link w:val="ReferenceList0"/>
    <w:rsid w:val="0070232C"/>
    <w:rPr>
      <w:rFonts w:eastAsiaTheme="minorHAnsi"/>
      <w:sz w:val="24"/>
      <w:szCs w:val="24"/>
    </w:rPr>
  </w:style>
  <w:style w:type="paragraph" w:styleId="TableofFigures">
    <w:name w:val="table of figures"/>
    <w:basedOn w:val="Normal"/>
    <w:next w:val="Normal"/>
    <w:uiPriority w:val="99"/>
    <w:unhideWhenUsed/>
    <w:rsid w:val="0070232C"/>
  </w:style>
  <w:style w:type="paragraph" w:customStyle="1" w:styleId="MTDisplayEquation">
    <w:name w:val="MTDisplayEquation"/>
    <w:basedOn w:val="BodyText"/>
    <w:next w:val="Normal"/>
    <w:link w:val="MTDisplayEquationChar"/>
    <w:rsid w:val="0070232C"/>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70232C"/>
    <w:rPr>
      <w:rFonts w:eastAsiaTheme="minorHAnsi"/>
      <w:bCs/>
      <w:sz w:val="24"/>
      <w:szCs w:val="24"/>
    </w:rPr>
  </w:style>
  <w:style w:type="character" w:customStyle="1" w:styleId="TitleChar">
    <w:name w:val="Title Char"/>
    <w:aliases w:val="Title-Lab Char"/>
    <w:link w:val="Title"/>
    <w:uiPriority w:val="10"/>
    <w:rsid w:val="0070232C"/>
    <w:rPr>
      <w:b/>
      <w:sz w:val="24"/>
      <w:szCs w:val="24"/>
    </w:rPr>
  </w:style>
  <w:style w:type="paragraph" w:customStyle="1" w:styleId="Table">
    <w:name w:val="Table"/>
    <w:basedOn w:val="Caption"/>
    <w:qFormat/>
    <w:rsid w:val="0070232C"/>
    <w:pPr>
      <w:ind w:left="0"/>
    </w:pPr>
  </w:style>
  <w:style w:type="paragraph" w:customStyle="1" w:styleId="TitleAppendix">
    <w:name w:val="Title &amp; Appendix"/>
    <w:basedOn w:val="Title"/>
    <w:link w:val="TitleAppendixChar"/>
    <w:qFormat/>
    <w:rsid w:val="00A4326B"/>
  </w:style>
  <w:style w:type="paragraph" w:styleId="TOCHeading">
    <w:name w:val="TOC Heading"/>
    <w:basedOn w:val="Heading1"/>
    <w:next w:val="Normal"/>
    <w:uiPriority w:val="39"/>
    <w:semiHidden/>
    <w:unhideWhenUsed/>
    <w:qFormat/>
    <w:rsid w:val="00A4326B"/>
    <w:pPr>
      <w:numPr>
        <w:numId w:val="0"/>
      </w:numPr>
      <w:spacing w:before="240" w:after="0"/>
      <w:outlineLvl w:val="9"/>
    </w:pPr>
    <w:rPr>
      <w:rFonts w:asciiTheme="majorHAnsi" w:hAnsiTheme="majorHAnsi" w:cstheme="majorBidi"/>
      <w:b/>
      <w:color w:val="2F5496" w:themeColor="accent1" w:themeShade="BF"/>
      <w:sz w:val="32"/>
      <w:szCs w:val="32"/>
    </w:rPr>
  </w:style>
  <w:style w:type="paragraph" w:customStyle="1" w:styleId="HeadingG">
    <w:name w:val="Heading G"/>
    <w:basedOn w:val="TitleAppendix"/>
    <w:link w:val="HeadingGChar"/>
    <w:rsid w:val="00A4326B"/>
  </w:style>
  <w:style w:type="character" w:customStyle="1" w:styleId="TitleAppendixChar">
    <w:name w:val="Title &amp; Appendix Char"/>
    <w:basedOn w:val="TitleChar"/>
    <w:link w:val="TitleAppendix"/>
    <w:rsid w:val="00A4326B"/>
    <w:rPr>
      <w:b/>
      <w:sz w:val="24"/>
      <w:szCs w:val="24"/>
    </w:rPr>
  </w:style>
  <w:style w:type="paragraph" w:customStyle="1" w:styleId="Title-NISTIR">
    <w:name w:val="Title-NISTIR"/>
    <w:basedOn w:val="HeadingG"/>
    <w:link w:val="Title-NISTIRChar"/>
    <w:qFormat/>
    <w:rsid w:val="00A4326B"/>
  </w:style>
  <w:style w:type="character" w:customStyle="1" w:styleId="HeadingGChar">
    <w:name w:val="Heading G Char"/>
    <w:basedOn w:val="TitleAppendixChar"/>
    <w:link w:val="HeadingG"/>
    <w:rsid w:val="00A4326B"/>
    <w:rPr>
      <w:b/>
      <w:sz w:val="24"/>
      <w:szCs w:val="24"/>
    </w:rPr>
  </w:style>
  <w:style w:type="character" w:customStyle="1" w:styleId="Title-NISTIRChar">
    <w:name w:val="Title-NISTIR Char"/>
    <w:basedOn w:val="HeadingGChar"/>
    <w:link w:val="Title-NISTIR"/>
    <w:rsid w:val="00A4326B"/>
    <w:rPr>
      <w:b/>
      <w:sz w:val="24"/>
      <w:szCs w:val="24"/>
    </w:rPr>
  </w:style>
  <w:style w:type="character" w:customStyle="1" w:styleId="MTEquationSection">
    <w:name w:val="MTEquationSection"/>
    <w:basedOn w:val="DefaultParagraphFont"/>
    <w:rsid w:val="0070232C"/>
    <w:rPr>
      <w:vanish/>
      <w:color w:val="FF0000"/>
    </w:rPr>
  </w:style>
  <w:style w:type="character" w:customStyle="1" w:styleId="MTConvertedEquation">
    <w:name w:val="MTConvertedEquation"/>
    <w:basedOn w:val="DefaultParagraphFont"/>
    <w:rsid w:val="00627597"/>
  </w:style>
  <w:style w:type="paragraph" w:customStyle="1" w:styleId="Eqn">
    <w:name w:val="Eqn"/>
    <w:basedOn w:val="MTDisplayEquation"/>
    <w:link w:val="EqnChar"/>
    <w:qFormat/>
    <w:rsid w:val="0070232C"/>
    <w:pPr>
      <w:spacing w:before="240" w:after="240"/>
      <w:jc w:val="right"/>
    </w:pPr>
  </w:style>
  <w:style w:type="character" w:customStyle="1" w:styleId="EqnChar">
    <w:name w:val="Eqn Char"/>
    <w:basedOn w:val="MTDisplayEquationChar"/>
    <w:link w:val="Eqn"/>
    <w:rsid w:val="0070232C"/>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A8C7-0F7C-46A2-A4FB-F9774588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11</TotalTime>
  <Pages>6</Pages>
  <Words>2004</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GLP 10, Purity of Water</vt:lpstr>
    </vt:vector>
  </TitlesOfParts>
  <Company>NIST</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GLP 10, Purity of Water</dc:title>
  <dc:subject>water quality, volume calibrations</dc:subject>
  <dc:creator>Georgia L Harris</dc:creator>
  <cp:keywords>water quality, water purity, water for gravimetric and volume transfer calibrations</cp:keywords>
  <dc:description>none</dc:description>
  <cp:lastModifiedBy>Harris, Georgia L. (Fed)</cp:lastModifiedBy>
  <cp:revision>4</cp:revision>
  <cp:lastPrinted>2013-08-12T18:22:00Z</cp:lastPrinted>
  <dcterms:created xsi:type="dcterms:W3CDTF">2019-05-07T14:00:00Z</dcterms:created>
  <dcterms:modified xsi:type="dcterms:W3CDTF">2019-05-07T14:14:00Z</dcterms:modified>
  <cp:category>water quality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Eqn. (#E1)</vt:lpwstr>
  </property>
  <property fmtid="{D5CDD505-2E9C-101B-9397-08002B2CF9AE}" pid="5" name="MTCustomEquationNumber">
    <vt:lpwstr>1</vt:lpwstr>
  </property>
</Properties>
</file>