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BA8E" w14:textId="77777777" w:rsidR="00E63D4D" w:rsidRDefault="00E63D4D">
      <w:pPr>
        <w:jc w:val="center"/>
        <w:rPr>
          <w:b/>
        </w:rPr>
      </w:pPr>
      <w:r>
        <w:rPr>
          <w:b/>
        </w:rPr>
        <w:t xml:space="preserve">GLP 11 </w:t>
      </w:r>
    </w:p>
    <w:p w14:paraId="1296BAC5" w14:textId="77777777" w:rsidR="00E63D4D" w:rsidRDefault="00E63D4D">
      <w:pPr>
        <w:jc w:val="center"/>
        <w:rPr>
          <w:b/>
        </w:rPr>
      </w:pPr>
      <w:r>
        <w:t xml:space="preserve"> </w:t>
      </w:r>
    </w:p>
    <w:p w14:paraId="3B87E199" w14:textId="77777777" w:rsidR="00E63D4D" w:rsidRDefault="00E63D4D">
      <w:pPr>
        <w:jc w:val="center"/>
        <w:rPr>
          <w:b/>
        </w:rPr>
      </w:pPr>
      <w:r>
        <w:rPr>
          <w:b/>
        </w:rPr>
        <w:t>Good Laboratory Practice</w:t>
      </w:r>
    </w:p>
    <w:p w14:paraId="66E66FBD" w14:textId="77777777" w:rsidR="00E63D4D" w:rsidRDefault="00E63D4D">
      <w:pPr>
        <w:jc w:val="center"/>
        <w:rPr>
          <w:b/>
        </w:rPr>
      </w:pPr>
      <w:r>
        <w:rPr>
          <w:b/>
        </w:rPr>
        <w:t>for</w:t>
      </w:r>
    </w:p>
    <w:p w14:paraId="3159989A" w14:textId="47832FA9" w:rsidR="00E63D4D" w:rsidRDefault="00E63D4D" w:rsidP="00A57294">
      <w:pPr>
        <w:spacing w:after="240"/>
        <w:jc w:val="center"/>
        <w:rPr>
          <w:b/>
        </w:rPr>
      </w:pPr>
      <w:r>
        <w:rPr>
          <w:b/>
        </w:rPr>
        <w:t>Painting Cast Iron Weights</w:t>
      </w:r>
    </w:p>
    <w:p w14:paraId="16DFB9C0" w14:textId="12BA0DB4" w:rsidR="00E63D4D" w:rsidRDefault="00E63D4D" w:rsidP="00A57294">
      <w:pPr>
        <w:pStyle w:val="BodyText"/>
      </w:pPr>
      <w:r>
        <w:t>Large cast iron or steel weights should be painted both for their protection and to preserve their mass integrity</w:t>
      </w:r>
      <w:r w:rsidR="00595DBF">
        <w:t xml:space="preserve">. </w:t>
      </w:r>
      <w:r>
        <w:t>Unprotected weights are subject to corrosion</w:t>
      </w:r>
      <w:r w:rsidR="00595DBF">
        <w:t xml:space="preserve">. </w:t>
      </w:r>
      <w:r>
        <w:t xml:space="preserve">Furthermore, when corrosion is present, the extent and any changes resulting from it may be difficult to estimate. </w:t>
      </w:r>
    </w:p>
    <w:p w14:paraId="492BBAD0" w14:textId="2EEB924F" w:rsidR="00E63D4D" w:rsidRDefault="00E63D4D" w:rsidP="00A57294">
      <w:pPr>
        <w:pStyle w:val="BodyText"/>
      </w:pPr>
      <w:r>
        <w:t xml:space="preserve">Thin even coats of aluminum paint are recommended for this purpose. Spray applications are best if large weights or </w:t>
      </w:r>
      <w:r w:rsidR="006D14E4">
        <w:t>many</w:t>
      </w:r>
      <w:r>
        <w:t xml:space="preserve"> small weights are to be painted</w:t>
      </w:r>
      <w:r w:rsidR="00595DBF">
        <w:t xml:space="preserve">. </w:t>
      </w:r>
      <w:r>
        <w:t>In preparation for painting, a weight should be cleaned</w:t>
      </w:r>
      <w:r w:rsidR="00DF6739">
        <w:t>,</w:t>
      </w:r>
      <w:r>
        <w:t xml:space="preserve"> and loose scale should be removed using a wire brush (DO NOT remove old paint and corrosion by means of sand blasting or pressure washing</w:t>
      </w:r>
      <w:r w:rsidR="00595DBF">
        <w:t xml:space="preserve">. </w:t>
      </w:r>
      <w:r>
        <w:t>Severe damage may result.)</w:t>
      </w:r>
      <w:r w:rsidR="00595DBF">
        <w:t xml:space="preserve">. </w:t>
      </w:r>
      <w:r>
        <w:t>The painting should be done before the weights are calibrated, unless arrangements are made to obtain "as found" values</w:t>
      </w:r>
      <w:r w:rsidR="00595DBF">
        <w:t xml:space="preserve">. </w:t>
      </w:r>
      <w:r>
        <w:t xml:space="preserve">If “as found” values are desired, two </w:t>
      </w:r>
      <w:r w:rsidR="00A16120">
        <w:t xml:space="preserve">calibrations </w:t>
      </w:r>
      <w:r>
        <w:t>may be required</w:t>
      </w:r>
      <w:r w:rsidR="00A16120">
        <w:t xml:space="preserve"> (one before painting as the “as found” values and one after painting and after any adjustments as the “as left” values)</w:t>
      </w:r>
      <w:r w:rsidR="00595DBF">
        <w:t xml:space="preserve">. </w:t>
      </w:r>
    </w:p>
    <w:p w14:paraId="02CFEF7E" w14:textId="767716C5" w:rsidR="001C3AF9" w:rsidRDefault="00E63D4D" w:rsidP="00A57294">
      <w:pPr>
        <w:pStyle w:val="BodyText"/>
      </w:pPr>
      <w:r>
        <w:t>Painting should be done in an area reserved for this purpose, or at least in a place which is removed from laboratory measurement operations</w:t>
      </w:r>
      <w:r w:rsidR="00595DBF">
        <w:t xml:space="preserve">. </w:t>
      </w:r>
      <w:r>
        <w:t xml:space="preserve">Painting operations must </w:t>
      </w:r>
      <w:r w:rsidR="006D14E4">
        <w:t>follow</w:t>
      </w:r>
      <w:r>
        <w:t xml:space="preserve"> applicable safety standards</w:t>
      </w:r>
      <w:r w:rsidR="00A16120">
        <w:t xml:space="preserve"> with appropriate Safety Data Sheets available and </w:t>
      </w:r>
      <w:r w:rsidR="001A1D42">
        <w:t xml:space="preserve">using </w:t>
      </w:r>
      <w:r w:rsidR="00A16120">
        <w:t>appropriate Personal Protective Equipment (PPE)</w:t>
      </w:r>
      <w:r w:rsidR="00595DBF">
        <w:t xml:space="preserve">. </w:t>
      </w:r>
      <w:r>
        <w:t>The weights should be protected from dust or dirt contamination while the coating is drying.</w:t>
      </w:r>
      <w:r w:rsidR="00544543">
        <w:t xml:space="preserve"> </w:t>
      </w:r>
      <w:bookmarkStart w:id="0" w:name="_GoBack"/>
      <w:bookmarkEnd w:id="0"/>
    </w:p>
    <w:sectPr w:rsidR="001C3AF9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8DD7" w14:textId="77777777" w:rsidR="00FF6A07" w:rsidRDefault="00FF6A07">
      <w:r>
        <w:separator/>
      </w:r>
    </w:p>
  </w:endnote>
  <w:endnote w:type="continuationSeparator" w:id="0">
    <w:p w14:paraId="5A3B19EA" w14:textId="77777777" w:rsidR="00FF6A07" w:rsidRDefault="00F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02E5" w14:textId="3AED3C86" w:rsidR="004E06E1" w:rsidRPr="00160524" w:rsidRDefault="004E06E1">
    <w:pPr>
      <w:pStyle w:val="Footer"/>
      <w:rPr>
        <w:sz w:val="22"/>
      </w:rPr>
    </w:pPr>
    <w:r w:rsidRPr="00160524">
      <w:rPr>
        <w:sz w:val="22"/>
      </w:rPr>
      <w:t>GLP 11</w:t>
    </w:r>
    <w:r w:rsidR="006D14E4" w:rsidRPr="00160524">
      <w:rPr>
        <w:sz w:val="22"/>
      </w:rPr>
      <w:t xml:space="preserve"> </w:t>
    </w:r>
    <w:r w:rsidR="00160524" w:rsidRPr="00160524">
      <w:rPr>
        <w:sz w:val="22"/>
      </w:rPr>
      <w:t>–</w:t>
    </w:r>
    <w:r w:rsidR="006D14E4" w:rsidRPr="00160524">
      <w:rPr>
        <w:sz w:val="22"/>
      </w:rPr>
      <w:t xml:space="preserve"> 201</w:t>
    </w:r>
    <w:r w:rsidR="00772F89">
      <w:rPr>
        <w:sz w:val="22"/>
      </w:rPr>
      <w:t>9</w:t>
    </w:r>
    <w:r w:rsidR="00160524" w:rsidRPr="00160524">
      <w:rPr>
        <w:sz w:val="22"/>
      </w:rPr>
      <w:t xml:space="preserve"> </w:t>
    </w:r>
    <w:r w:rsidRPr="00160524">
      <w:rPr>
        <w:sz w:val="22"/>
      </w:rPr>
      <w:tab/>
    </w:r>
    <w:r w:rsidRPr="00160524">
      <w:rPr>
        <w:snapToGrid w:val="0"/>
        <w:sz w:val="22"/>
      </w:rPr>
      <w:t xml:space="preserve">Page </w:t>
    </w:r>
    <w:r w:rsidRPr="00160524">
      <w:rPr>
        <w:snapToGrid w:val="0"/>
        <w:sz w:val="22"/>
      </w:rPr>
      <w:fldChar w:fldCharType="begin"/>
    </w:r>
    <w:r w:rsidRPr="00160524">
      <w:rPr>
        <w:snapToGrid w:val="0"/>
        <w:sz w:val="22"/>
      </w:rPr>
      <w:instrText xml:space="preserve"> PAGE </w:instrText>
    </w:r>
    <w:r w:rsidRPr="00160524">
      <w:rPr>
        <w:snapToGrid w:val="0"/>
        <w:sz w:val="22"/>
      </w:rPr>
      <w:fldChar w:fldCharType="separate"/>
    </w:r>
    <w:r w:rsidR="007457C7">
      <w:rPr>
        <w:noProof/>
        <w:snapToGrid w:val="0"/>
        <w:sz w:val="22"/>
      </w:rPr>
      <w:t>1</w:t>
    </w:r>
    <w:r w:rsidRPr="00160524">
      <w:rPr>
        <w:snapToGrid w:val="0"/>
        <w:sz w:val="22"/>
      </w:rPr>
      <w:fldChar w:fldCharType="end"/>
    </w:r>
    <w:r w:rsidRPr="00160524">
      <w:rPr>
        <w:snapToGrid w:val="0"/>
        <w:sz w:val="22"/>
      </w:rPr>
      <w:t xml:space="preserve"> of </w:t>
    </w:r>
    <w:r w:rsidRPr="00160524">
      <w:rPr>
        <w:snapToGrid w:val="0"/>
        <w:sz w:val="22"/>
      </w:rPr>
      <w:fldChar w:fldCharType="begin"/>
    </w:r>
    <w:r w:rsidRPr="00160524">
      <w:rPr>
        <w:snapToGrid w:val="0"/>
        <w:sz w:val="22"/>
      </w:rPr>
      <w:instrText xml:space="preserve"> NUMPAGES </w:instrText>
    </w:r>
    <w:r w:rsidRPr="00160524">
      <w:rPr>
        <w:snapToGrid w:val="0"/>
        <w:sz w:val="22"/>
      </w:rPr>
      <w:fldChar w:fldCharType="separate"/>
    </w:r>
    <w:r w:rsidR="007457C7">
      <w:rPr>
        <w:noProof/>
        <w:snapToGrid w:val="0"/>
        <w:sz w:val="22"/>
      </w:rPr>
      <w:t>1</w:t>
    </w:r>
    <w:r w:rsidRPr="00160524">
      <w:rPr>
        <w:snapToGrid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AA33" w14:textId="77777777" w:rsidR="00FF6A07" w:rsidRDefault="00FF6A07">
      <w:r>
        <w:separator/>
      </w:r>
    </w:p>
  </w:footnote>
  <w:footnote w:type="continuationSeparator" w:id="0">
    <w:p w14:paraId="1205E791" w14:textId="77777777" w:rsidR="00FF6A07" w:rsidRDefault="00FF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E02F" w14:textId="77777777" w:rsidR="00ED08B3" w:rsidRDefault="00ED08B3" w:rsidP="00ED08B3">
    <w:bookmarkStart w:id="1" w:name="_Hlk505397962"/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DE14BC" wp14:editId="4ECE49D6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ADF77" w14:textId="3531381C" w:rsidR="00ED08B3" w:rsidRPr="00A57294" w:rsidRDefault="00ED08B3" w:rsidP="00ED08B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57294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This publication is available free of charge from: https://doi.org/10.6028/NIST.IR.6969-201</w:t>
                          </w:r>
                          <w:r w:rsidR="00374140" w:rsidRPr="00A57294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9</w:t>
                          </w:r>
                        </w:p>
                        <w:p w14:paraId="7B7B9A04" w14:textId="77777777" w:rsidR="00ED08B3" w:rsidRPr="00A57294" w:rsidRDefault="00ED08B3" w:rsidP="00ED08B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E14B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63pt;margin-top:.75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" fillcolor="white [3201]" stroked="f" strokeweight=".5pt">
              <v:textbox style="layout-flow:vertical">
                <w:txbxContent>
                  <w:p w14:paraId="279ADF77" w14:textId="3531381C" w:rsidR="00ED08B3" w:rsidRPr="00A57294" w:rsidRDefault="00ED08B3" w:rsidP="00ED08B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57294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This publication is available free of charge from: https://doi.org/10.6028/NIST.IR.6969-201</w:t>
                    </w:r>
                    <w:r w:rsidR="00374140" w:rsidRPr="00A57294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9</w:t>
                    </w:r>
                  </w:p>
                  <w:p w14:paraId="7B7B9A04" w14:textId="77777777" w:rsidR="00ED08B3" w:rsidRPr="00A57294" w:rsidRDefault="00ED08B3" w:rsidP="00ED08B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372E7" wp14:editId="488BF1CB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4EEA0" id="Straight Connector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" strokecolor="#a5a5a5 [2092]" strokeweight=".5pt">
              <v:stroke joinstyle="miter"/>
            </v:line>
          </w:pict>
        </mc:Fallback>
      </mc:AlternateContent>
    </w:r>
  </w:p>
  <w:bookmarkEnd w:id="1"/>
  <w:p w14:paraId="3BD63ADB" w14:textId="77777777" w:rsidR="004E06E1" w:rsidRPr="00ED08B3" w:rsidRDefault="004E06E1" w:rsidP="00ED0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F9"/>
    <w:rsid w:val="00002DAD"/>
    <w:rsid w:val="00160524"/>
    <w:rsid w:val="001A1D42"/>
    <w:rsid w:val="001C3AF9"/>
    <w:rsid w:val="0025606E"/>
    <w:rsid w:val="002E6C20"/>
    <w:rsid w:val="002F20AB"/>
    <w:rsid w:val="0030170E"/>
    <w:rsid w:val="00344AA8"/>
    <w:rsid w:val="0035355E"/>
    <w:rsid w:val="00357436"/>
    <w:rsid w:val="00365435"/>
    <w:rsid w:val="00374140"/>
    <w:rsid w:val="003744B6"/>
    <w:rsid w:val="00374C04"/>
    <w:rsid w:val="00391ED7"/>
    <w:rsid w:val="003952E8"/>
    <w:rsid w:val="003A1C29"/>
    <w:rsid w:val="003C63FD"/>
    <w:rsid w:val="004C1388"/>
    <w:rsid w:val="004D195F"/>
    <w:rsid w:val="004D3592"/>
    <w:rsid w:val="004D57D5"/>
    <w:rsid w:val="004E06E1"/>
    <w:rsid w:val="00544543"/>
    <w:rsid w:val="0056479D"/>
    <w:rsid w:val="00595DBF"/>
    <w:rsid w:val="005C08CB"/>
    <w:rsid w:val="006D14E4"/>
    <w:rsid w:val="00711241"/>
    <w:rsid w:val="007457C7"/>
    <w:rsid w:val="00772F89"/>
    <w:rsid w:val="00785AB1"/>
    <w:rsid w:val="007A6976"/>
    <w:rsid w:val="007C4E61"/>
    <w:rsid w:val="0081568B"/>
    <w:rsid w:val="00890B98"/>
    <w:rsid w:val="00996DF6"/>
    <w:rsid w:val="00A13BB2"/>
    <w:rsid w:val="00A14FE9"/>
    <w:rsid w:val="00A16120"/>
    <w:rsid w:val="00A57294"/>
    <w:rsid w:val="00A573EB"/>
    <w:rsid w:val="00AC6850"/>
    <w:rsid w:val="00AE203A"/>
    <w:rsid w:val="00B77BAE"/>
    <w:rsid w:val="00BA633E"/>
    <w:rsid w:val="00BF25F9"/>
    <w:rsid w:val="00D12835"/>
    <w:rsid w:val="00D80E7C"/>
    <w:rsid w:val="00DF6739"/>
    <w:rsid w:val="00E0175A"/>
    <w:rsid w:val="00E06045"/>
    <w:rsid w:val="00E14B76"/>
    <w:rsid w:val="00E53045"/>
    <w:rsid w:val="00E63D4D"/>
    <w:rsid w:val="00ED08B3"/>
    <w:rsid w:val="00EE4E77"/>
    <w:rsid w:val="00F640A4"/>
    <w:rsid w:val="00F97352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9D37FB"/>
  <w15:chartTrackingRefBased/>
  <w15:docId w15:val="{B5672EB7-BFC8-45BC-9F5A-5613D205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80E7C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E7C"/>
    <w:pPr>
      <w:keepNext/>
      <w:keepLines/>
      <w:numPr>
        <w:numId w:val="12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E7C"/>
    <w:pPr>
      <w:keepNext/>
      <w:keepLines/>
      <w:numPr>
        <w:ilvl w:val="1"/>
        <w:numId w:val="12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E7C"/>
    <w:pPr>
      <w:keepNext/>
      <w:keepLines/>
      <w:numPr>
        <w:ilvl w:val="2"/>
        <w:numId w:val="12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E7C"/>
    <w:pPr>
      <w:keepNext/>
      <w:keepLines/>
      <w:numPr>
        <w:ilvl w:val="3"/>
        <w:numId w:val="12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0E7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0E7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0E7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0E7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0E7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80E7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0E7C"/>
  </w:style>
  <w:style w:type="paragraph" w:styleId="Header">
    <w:name w:val="header"/>
    <w:basedOn w:val="Normal"/>
    <w:link w:val="HeaderChar"/>
    <w:unhideWhenUsed/>
    <w:rsid w:val="00D80E7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80E7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80E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0E7C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80E7C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0E7C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0E7C"/>
    <w:rPr>
      <w:rFonts w:eastAsiaTheme="majorEastAsia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80E7C"/>
    <w:rPr>
      <w:rFonts w:asciiTheme="majorHAnsi" w:eastAsiaTheme="majorEastAsia" w:hAnsiTheme="majorHAnsi" w:cstheme="majorBidi"/>
      <w:color w:val="2F5496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D80E7C"/>
    <w:rPr>
      <w:rFonts w:asciiTheme="majorHAnsi" w:eastAsiaTheme="majorEastAsia" w:hAnsiTheme="majorHAnsi" w:cstheme="majorBidi"/>
      <w:color w:val="1F3763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80E7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D80E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80E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0E7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D80E7C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E7C"/>
    <w:rPr>
      <w:rFonts w:eastAsiaTheme="minorHAnsi"/>
      <w:sz w:val="24"/>
      <w:szCs w:val="24"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D80E7C"/>
    <w:pPr>
      <w:spacing w:after="0"/>
      <w:ind w:left="1872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8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7C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7C"/>
    <w:rPr>
      <w:rFonts w:eastAsiaTheme="minorHAnsi" w:cstheme="minorBidi"/>
      <w:b/>
      <w:bCs/>
    </w:rPr>
  </w:style>
  <w:style w:type="paragraph" w:customStyle="1" w:styleId="Default">
    <w:name w:val="Default"/>
    <w:rsid w:val="00D80E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0E7C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0E7C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D80E7C"/>
    <w:rPr>
      <w:b/>
    </w:rPr>
  </w:style>
  <w:style w:type="character" w:customStyle="1" w:styleId="HeaderChar">
    <w:name w:val="Header Char"/>
    <w:basedOn w:val="DefaultParagraphFont"/>
    <w:link w:val="Header"/>
    <w:rsid w:val="00D80E7C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80E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E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0E7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D80E7C"/>
    <w:rPr>
      <w:sz w:val="20"/>
    </w:rPr>
  </w:style>
  <w:style w:type="paragraph" w:customStyle="1" w:styleId="TableandFigureFootnotes">
    <w:name w:val="Table and Figure Footnotes"/>
    <w:basedOn w:val="Normal"/>
    <w:qFormat/>
    <w:rsid w:val="00D80E7C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80E7C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0E7C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80E7C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80E7C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styleId="FootnoteReference">
    <w:name w:val="footnote reference"/>
    <w:basedOn w:val="DefaultParagraphFont"/>
    <w:semiHidden/>
    <w:unhideWhenUsed/>
    <w:rsid w:val="00D80E7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D80E7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0E7C"/>
    <w:rPr>
      <w:rFonts w:eastAsiaTheme="minorHAnsi" w:cstheme="minorBidi"/>
      <w:sz w:val="16"/>
    </w:rPr>
  </w:style>
  <w:style w:type="character" w:customStyle="1" w:styleId="ReferenceListChar">
    <w:name w:val="Reference List Char"/>
    <w:basedOn w:val="DefaultParagraphFont"/>
    <w:link w:val="ReferenceList"/>
    <w:rsid w:val="00D80E7C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D80E7C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D80E7C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80E7C"/>
  </w:style>
  <w:style w:type="paragraph" w:customStyle="1" w:styleId="MTDisplayEquation">
    <w:name w:val="MTDisplayEquation"/>
    <w:basedOn w:val="BodyText"/>
    <w:next w:val="Normal"/>
    <w:link w:val="MTDisplayEquationChar"/>
    <w:rsid w:val="00D80E7C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80E7C"/>
    <w:rPr>
      <w:rFonts w:eastAsiaTheme="minorHAnsi"/>
      <w:bCs/>
      <w:sz w:val="24"/>
      <w:szCs w:val="24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D80E7C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D80E7C"/>
    <w:rPr>
      <w:b/>
      <w:sz w:val="24"/>
      <w:szCs w:val="24"/>
    </w:rPr>
  </w:style>
  <w:style w:type="table" w:styleId="TableGrid">
    <w:name w:val="Table Grid"/>
    <w:basedOn w:val="TableNormal"/>
    <w:rsid w:val="00D8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Caption"/>
    <w:qFormat/>
    <w:rsid w:val="00D80E7C"/>
    <w:pPr>
      <w:ind w:left="0"/>
    </w:pPr>
  </w:style>
  <w:style w:type="character" w:customStyle="1" w:styleId="MTEquationSection">
    <w:name w:val="MTEquationSection"/>
    <w:basedOn w:val="DefaultParagraphFont"/>
    <w:rsid w:val="00D80E7C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D80E7C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D80E7C"/>
    <w:rPr>
      <w:rFonts w:eastAsiaTheme="min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5</TotalTime>
  <Pages>1</Pages>
  <Words>227</Words>
  <Characters>1205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GLP 11 Painting Cast Iron Weights</vt:lpstr>
    </vt:vector>
  </TitlesOfParts>
  <Company>NIST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GLP 11 Painting Cast Iron Weights</dc:title>
  <dc:subject>weights, mass standards, cast iron weights</dc:subject>
  <dc:creator>g.harris@nist.gov</dc:creator>
  <cp:keywords>mass standards</cp:keywords>
  <cp:lastModifiedBy>Harris, Georgia L. (Fed)</cp:lastModifiedBy>
  <cp:revision>5</cp:revision>
  <cp:lastPrinted>2014-09-26T13:08:00Z</cp:lastPrinted>
  <dcterms:created xsi:type="dcterms:W3CDTF">2019-03-12T17:39:00Z</dcterms:created>
  <dcterms:modified xsi:type="dcterms:W3CDTF">2019-05-06T15:49:00Z</dcterms:modified>
  <cp:category>weights and measures, mass standards</cp:category>
</cp:coreProperties>
</file>