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AB2E1" w14:textId="3E5216D6" w:rsidR="007A0721" w:rsidRDefault="007A0721" w:rsidP="00B56390">
      <w:pPr>
        <w:pStyle w:val="Title-NISTIR"/>
      </w:pPr>
      <w:r>
        <w:t>GLP 13</w:t>
      </w:r>
    </w:p>
    <w:p w14:paraId="5C5FB6EA" w14:textId="77777777" w:rsidR="007A0721" w:rsidRDefault="007A0721" w:rsidP="00766457">
      <w:pPr>
        <w:pStyle w:val="Title-NISTIR"/>
        <w:spacing w:after="0"/>
      </w:pPr>
      <w:r>
        <w:t>Good Laboratory Practice</w:t>
      </w:r>
    </w:p>
    <w:p w14:paraId="5EF9205F" w14:textId="77777777" w:rsidR="007A0721" w:rsidRDefault="007A0721" w:rsidP="00766457">
      <w:pPr>
        <w:pStyle w:val="Title-NISTIR"/>
        <w:spacing w:after="0"/>
      </w:pPr>
      <w:r>
        <w:t>for</w:t>
      </w:r>
    </w:p>
    <w:p w14:paraId="165BD5E6" w14:textId="2795B647" w:rsidR="007A0721" w:rsidRDefault="007A0721" w:rsidP="00766457">
      <w:pPr>
        <w:pStyle w:val="Title-NISTIR"/>
      </w:pPr>
      <w:r>
        <w:t xml:space="preserve">Drying </w:t>
      </w:r>
      <w:r w:rsidR="00547DAF">
        <w:t>“To Contain” Volume Standards</w:t>
      </w:r>
    </w:p>
    <w:p w14:paraId="5D1C00B9" w14:textId="476DBFCC" w:rsidR="00DE49CB" w:rsidRDefault="00DE49CB" w:rsidP="00E2307A">
      <w:pPr>
        <w:pStyle w:val="Heading1"/>
        <w:spacing w:before="240"/>
      </w:pPr>
      <w:r>
        <w:t>Purpose for drying</w:t>
      </w:r>
    </w:p>
    <w:p w14:paraId="16549286" w14:textId="36174D43" w:rsidR="007A0721" w:rsidRPr="00F367CD" w:rsidRDefault="007A0721" w:rsidP="001D2EA6">
      <w:pPr>
        <w:pStyle w:val="BodyText"/>
        <w:ind w:left="720"/>
      </w:pPr>
      <w:r w:rsidRPr="00F367CD">
        <w:t>Vessels calibrated "</w:t>
      </w:r>
      <w:r w:rsidR="00E2307A">
        <w:t>T</w:t>
      </w:r>
      <w:r w:rsidRPr="00F367CD">
        <w:t xml:space="preserve">o </w:t>
      </w:r>
      <w:r w:rsidR="00E2307A">
        <w:t>C</w:t>
      </w:r>
      <w:r w:rsidRPr="00F367CD">
        <w:t>ontain"</w:t>
      </w:r>
      <w:r w:rsidR="00E2307A">
        <w:t xml:space="preserve">(TC) </w:t>
      </w:r>
      <w:r w:rsidRPr="00F367CD">
        <w:t xml:space="preserve"> must be dried of all measurable water to obtain an "empty" weight</w:t>
      </w:r>
      <w:r w:rsidR="00E233DE" w:rsidRPr="00F367CD">
        <w:t xml:space="preserve">. </w:t>
      </w:r>
      <w:r w:rsidRPr="00F367CD">
        <w:t>The drying process should not contaminate the container</w:t>
      </w:r>
      <w:r w:rsidR="003B4EDC" w:rsidRPr="00F367CD">
        <w:t>;</w:t>
      </w:r>
      <w:r w:rsidRPr="00F367CD">
        <w:t xml:space="preserve"> otherwise</w:t>
      </w:r>
      <w:r w:rsidR="003B4EDC" w:rsidRPr="00F367CD">
        <w:t>,</w:t>
      </w:r>
      <w:r w:rsidRPr="00F367CD">
        <w:t xml:space="preserve"> it will need to be re-cleaned before further calibration or volumetric use</w:t>
      </w:r>
      <w:r w:rsidR="00E233DE" w:rsidRPr="00F367CD">
        <w:t xml:space="preserve">. </w:t>
      </w:r>
      <w:r w:rsidRPr="00F367CD">
        <w:t xml:space="preserve">The following is presented as guidance when drying is required. </w:t>
      </w:r>
    </w:p>
    <w:p w14:paraId="4585E5F0" w14:textId="77777777" w:rsidR="00DE49CB" w:rsidRDefault="00DE49CB" w:rsidP="00DE49CB">
      <w:pPr>
        <w:pStyle w:val="Heading1"/>
      </w:pPr>
      <w:r>
        <w:t>Methods for drying</w:t>
      </w:r>
    </w:p>
    <w:p w14:paraId="3CD2F810" w14:textId="77777777" w:rsidR="007A0721" w:rsidRDefault="007A0721" w:rsidP="001D2EA6">
      <w:pPr>
        <w:pStyle w:val="BodyText"/>
        <w:ind w:left="720"/>
      </w:pPr>
      <w:r>
        <w:t>Drain as much of the residual water as practical before starting any drying process</w:t>
      </w:r>
      <w:r w:rsidR="00E233DE">
        <w:t xml:space="preserve">. </w:t>
      </w:r>
      <w:r>
        <w:t xml:space="preserve">If time is not a consideration, a glass tube may be inserted into the container to </w:t>
      </w:r>
      <w:r w:rsidR="0013335C">
        <w:t xml:space="preserve">blow </w:t>
      </w:r>
      <w:r>
        <w:t xml:space="preserve">clean dry air </w:t>
      </w:r>
      <w:r w:rsidR="00323163">
        <w:t xml:space="preserve">(or nitrogen) </w:t>
      </w:r>
      <w:r>
        <w:t>through it to evaporate the residual water film</w:t>
      </w:r>
      <w:r w:rsidR="00E233DE">
        <w:t xml:space="preserve">. </w:t>
      </w:r>
      <w:r>
        <w:t>A filter or dust trap may be necessary to pre</w:t>
      </w:r>
      <w:r>
        <w:noBreakHyphen/>
        <w:t>clean the air used</w:t>
      </w:r>
      <w:r w:rsidR="00A72093">
        <w:t xml:space="preserve">. Air lines must be selected to ensure that aging and wear do not introduce </w:t>
      </w:r>
      <w:r w:rsidR="0013335C">
        <w:t>c</w:t>
      </w:r>
      <w:r w:rsidR="00A72093">
        <w:t>ontaminants</w:t>
      </w:r>
      <w:r w:rsidR="00E233DE">
        <w:t xml:space="preserve">. </w:t>
      </w:r>
      <w:r w:rsidR="00A72093">
        <w:t>A</w:t>
      </w:r>
      <w:r>
        <w:t xml:space="preserve">ir may be </w:t>
      </w:r>
      <w:r w:rsidR="0013335C">
        <w:t>drawn</w:t>
      </w:r>
      <w:r>
        <w:t xml:space="preserve"> through </w:t>
      </w:r>
      <w:r w:rsidR="000A5B33">
        <w:t>a</w:t>
      </w:r>
      <w:r>
        <w:t xml:space="preserve"> tube connected to a vacuum pump</w:t>
      </w:r>
      <w:r w:rsidR="0013335C">
        <w:t xml:space="preserve">, but </w:t>
      </w:r>
      <w:r>
        <w:t>with some danger of drawing in dirty air from the surroundings</w:t>
      </w:r>
      <w:r w:rsidR="00E233DE">
        <w:t xml:space="preserve">. </w:t>
      </w:r>
      <w:r>
        <w:t>Clean absorbent cotton placed at the neck opening can minimize the entrance of foreign matter</w:t>
      </w:r>
      <w:r w:rsidR="00E233DE">
        <w:t xml:space="preserve">. </w:t>
      </w:r>
      <w:r w:rsidR="00A72093">
        <w:t>Compressed air systems may introduce finely atomized oils or moisture into the air which may not be visible</w:t>
      </w:r>
      <w:r w:rsidR="00E233DE">
        <w:t xml:space="preserve">. </w:t>
      </w:r>
      <w:r w:rsidR="00A72093">
        <w:t>If laboratory quality air is not available</w:t>
      </w:r>
      <w:r w:rsidR="003B4EDC">
        <w:t>,</w:t>
      </w:r>
      <w:r w:rsidR="00A72093">
        <w:t xml:space="preserve"> nitrogen may be used</w:t>
      </w:r>
      <w:r w:rsidR="00E233DE">
        <w:t xml:space="preserve">. </w:t>
      </w:r>
    </w:p>
    <w:p w14:paraId="0483496B" w14:textId="77777777" w:rsidR="007A0721" w:rsidRDefault="00DD6F22" w:rsidP="001D2EA6">
      <w:pPr>
        <w:pStyle w:val="BodyText"/>
        <w:ind w:left="720"/>
      </w:pPr>
      <w:r>
        <w:t>Cleaning with s</w:t>
      </w:r>
      <w:r w:rsidR="007A0721">
        <w:t>olvent</w:t>
      </w:r>
      <w:r>
        <w:t>s</w:t>
      </w:r>
      <w:r w:rsidR="007A0721">
        <w:t xml:space="preserve"> </w:t>
      </w:r>
      <w:r>
        <w:t xml:space="preserve">may be performed; ethanol is the preferred medium. </w:t>
      </w:r>
      <w:r w:rsidR="007A0721">
        <w:t>Preliminary rinsing with acetone will remove large amounts of water, with which it is infinitely miscible, but this solvent often contains impurities such as traces of oils that could deposit on the container walls</w:t>
      </w:r>
      <w:r w:rsidR="0013335C">
        <w:t xml:space="preserve"> and be a disposal problem</w:t>
      </w:r>
      <w:r w:rsidR="00E233DE">
        <w:t xml:space="preserve">. </w:t>
      </w:r>
      <w:r w:rsidR="000A5B33">
        <w:t>Thus</w:t>
      </w:r>
      <w:r w:rsidR="007A0721">
        <w:t xml:space="preserve">, a final alcohol </w:t>
      </w:r>
      <w:r w:rsidR="00547DAF">
        <w:t>(preferably ethanol</w:t>
      </w:r>
      <w:r w:rsidR="00323163">
        <w:t xml:space="preserve"> or methanol</w:t>
      </w:r>
      <w:r w:rsidR="00547DAF">
        <w:t xml:space="preserve">) </w:t>
      </w:r>
      <w:r w:rsidR="007A0721">
        <w:t>rinse is recommended, even if acetone is used to remove most of the water</w:t>
      </w:r>
      <w:r w:rsidR="00E233DE">
        <w:t xml:space="preserve">. </w:t>
      </w:r>
      <w:r w:rsidR="00323163">
        <w:t xml:space="preserve">Care must be taken to ensure that the alcohol </w:t>
      </w:r>
      <w:r w:rsidR="0013335C">
        <w:t xml:space="preserve">is not mixed with acetone, and that the alcohol </w:t>
      </w:r>
      <w:r w:rsidR="00323163">
        <w:t xml:space="preserve">is not denatured with oils to an extent that will leave residue on the standard. </w:t>
      </w:r>
      <w:r w:rsidR="007A0721">
        <w:t>The alcohol is drain</w:t>
      </w:r>
      <w:r w:rsidR="00076145">
        <w:t>ed</w:t>
      </w:r>
      <w:r w:rsidR="007A0721">
        <w:t xml:space="preserve"> as much as possible, followed by air drying as </w:t>
      </w:r>
      <w:r w:rsidR="000A5B33">
        <w:t>described above</w:t>
      </w:r>
      <w:r w:rsidR="00E233DE">
        <w:t xml:space="preserve">. </w:t>
      </w:r>
    </w:p>
    <w:p w14:paraId="3BA44BEA" w14:textId="77777777" w:rsidR="007A0721" w:rsidRDefault="007A0721" w:rsidP="001D2EA6">
      <w:pPr>
        <w:pStyle w:val="BodyText"/>
        <w:ind w:left="720"/>
      </w:pPr>
      <w:r>
        <w:t xml:space="preserve">Some metal containers </w:t>
      </w:r>
      <w:r w:rsidR="0013335C">
        <w:t xml:space="preserve">may be </w:t>
      </w:r>
      <w:r>
        <w:t>internally coated to minimize corrosion</w:t>
      </w:r>
      <w:r w:rsidR="00E233DE">
        <w:t xml:space="preserve">. </w:t>
      </w:r>
      <w:r w:rsidR="000A5B33">
        <w:t>When present</w:t>
      </w:r>
      <w:r>
        <w:t>, it should be ascertained that such coatings</w:t>
      </w:r>
      <w:r w:rsidR="000A5B33">
        <w:t xml:space="preserve"> </w:t>
      </w:r>
      <w:r>
        <w:t>are not affected by alcohol or acetone</w:t>
      </w:r>
      <w:r w:rsidR="003B4EDC">
        <w:t xml:space="preserve">; </w:t>
      </w:r>
      <w:r>
        <w:t xml:space="preserve">otherwise, solvent treatments should not be used. </w:t>
      </w:r>
    </w:p>
    <w:p w14:paraId="290112C5" w14:textId="77777777" w:rsidR="007A0721" w:rsidRDefault="007A0721" w:rsidP="001D2EA6">
      <w:pPr>
        <w:pStyle w:val="BodyText"/>
        <w:ind w:left="720"/>
      </w:pPr>
      <w:r>
        <w:t>The external surfaces of all containers should be clean when gravimetric calibration</w:t>
      </w:r>
      <w:r w:rsidR="0013335C">
        <w:t>s</w:t>
      </w:r>
      <w:r>
        <w:t xml:space="preserve"> </w:t>
      </w:r>
      <w:r w:rsidR="0013335C">
        <w:t xml:space="preserve">are performed. </w:t>
      </w:r>
      <w:r>
        <w:t>Otherwise, any removal of external dust or dirt during the measurement process could cause errors of unknown magnitude</w:t>
      </w:r>
      <w:r w:rsidR="00E233DE">
        <w:t xml:space="preserve">. </w:t>
      </w:r>
    </w:p>
    <w:p w14:paraId="2939E357" w14:textId="77777777" w:rsidR="00DB7801" w:rsidRDefault="00DB7801" w:rsidP="001D2EA6">
      <w:pPr>
        <w:pStyle w:val="BodyText"/>
        <w:ind w:left="720"/>
      </w:pPr>
      <w:r>
        <w:t>Analytical glassware should not be dried by heating in an oven as the glass may suffer non-elastic expansion and put the glassware out of calibration.</w:t>
      </w:r>
    </w:p>
    <w:p w14:paraId="3DEF1663" w14:textId="2A08924C" w:rsidR="00DE49CB" w:rsidRDefault="00547DAF" w:rsidP="00DE49CB">
      <w:pPr>
        <w:pStyle w:val="Heading2"/>
      </w:pPr>
      <w:r>
        <w:t>Calibration Tip</w:t>
      </w:r>
      <w:bookmarkStart w:id="0" w:name="_GoBack"/>
      <w:bookmarkEnd w:id="0"/>
    </w:p>
    <w:p w14:paraId="183AAA36" w14:textId="77777777" w:rsidR="00547DAF" w:rsidRPr="00DE49CB" w:rsidRDefault="0013335C" w:rsidP="001D2EA6">
      <w:pPr>
        <w:pStyle w:val="BodyText"/>
        <w:ind w:left="1440"/>
      </w:pPr>
      <w:r w:rsidRPr="00DE49CB">
        <w:t xml:space="preserve">Cover a vessel after it is </w:t>
      </w:r>
      <w:r w:rsidR="00323163" w:rsidRPr="00DE49CB">
        <w:t>clean and dry</w:t>
      </w:r>
      <w:r w:rsidRPr="00DE49CB">
        <w:t xml:space="preserve"> </w:t>
      </w:r>
      <w:r w:rsidR="00323163" w:rsidRPr="00DE49CB">
        <w:t xml:space="preserve">to minimize contaminants from collecting inside the vessel. </w:t>
      </w:r>
      <w:r w:rsidR="00547DAF" w:rsidRPr="00DE49CB">
        <w:t xml:space="preserve">Clean and dry the flask one to two days prior to the calibration </w:t>
      </w:r>
      <w:r w:rsidR="00547DAF" w:rsidRPr="00DE49CB">
        <w:lastRenderedPageBreak/>
        <w:t>and allow the flask to come to equilibrium with the environment</w:t>
      </w:r>
      <w:r w:rsidR="00E233DE" w:rsidRPr="00DE49CB">
        <w:t xml:space="preserve">. </w:t>
      </w:r>
      <w:r w:rsidR="00547DAF" w:rsidRPr="00DE49CB">
        <w:t>Obtain an initial baseline “dry weight” of the clean container for use as a dry reference weight on subsequent weighing</w:t>
      </w:r>
      <w:r w:rsidR="000A5B33" w:rsidRPr="00DE49CB">
        <w:t xml:space="preserve"> and drying cycles</w:t>
      </w:r>
      <w:r w:rsidR="00547DAF" w:rsidRPr="00DE49CB">
        <w:t>.</w:t>
      </w:r>
    </w:p>
    <w:p w14:paraId="33B63EDE" w14:textId="035615F5" w:rsidR="00DE49CB" w:rsidRDefault="00DE49CB" w:rsidP="00DE49CB">
      <w:pPr>
        <w:pStyle w:val="Heading2"/>
      </w:pPr>
      <w:r>
        <w:t>Safety Note</w:t>
      </w:r>
    </w:p>
    <w:p w14:paraId="719686E3" w14:textId="44055CF1" w:rsidR="00DE49CB" w:rsidRDefault="00DE49CB" w:rsidP="001D2EA6">
      <w:pPr>
        <w:pStyle w:val="BodyText"/>
        <w:ind w:left="1440"/>
      </w:pPr>
      <w:r>
        <w:t>Safety Data Sheets (SDSs) must be available in the laboratory and should be reviewed to ensure safe handling and disposal of all chemicals noted in this procedure</w:t>
      </w:r>
      <w:r w:rsidR="00115A8D">
        <w:t xml:space="preserve">. </w:t>
      </w:r>
      <w:r>
        <w:t>Care must be taken to avoid mixing chemicals such as acetone and alcohols in the laboratory.</w:t>
      </w:r>
    </w:p>
    <w:sectPr w:rsidR="00DE49CB">
      <w:headerReference w:type="default" r:id="rId7"/>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F79EC" w14:textId="77777777" w:rsidR="00AC1510" w:rsidRDefault="00AC1510">
      <w:r>
        <w:separator/>
      </w:r>
    </w:p>
  </w:endnote>
  <w:endnote w:type="continuationSeparator" w:id="0">
    <w:p w14:paraId="548AB0CE" w14:textId="77777777" w:rsidR="00AC1510" w:rsidRDefault="00AC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msRmn 10p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09D53" w14:textId="77777777" w:rsidR="00100F0F" w:rsidRPr="001D2EA6" w:rsidRDefault="00100F0F">
    <w:pPr>
      <w:pStyle w:val="Footer"/>
      <w:rPr>
        <w:sz w:val="22"/>
      </w:rPr>
    </w:pPr>
    <w:r w:rsidRPr="001D2EA6">
      <w:rPr>
        <w:sz w:val="22"/>
      </w:rPr>
      <w:t>GLP 13</w:t>
    </w:r>
    <w:r w:rsidR="00487826" w:rsidRPr="001D2EA6">
      <w:rPr>
        <w:sz w:val="22"/>
      </w:rPr>
      <w:t xml:space="preserve"> – 2019 </w:t>
    </w:r>
    <w:r w:rsidRPr="001D2EA6">
      <w:rPr>
        <w:sz w:val="22"/>
      </w:rPr>
      <w:tab/>
      <w:t xml:space="preserve">Page </w:t>
    </w:r>
    <w:r w:rsidRPr="001D2EA6">
      <w:rPr>
        <w:sz w:val="22"/>
      </w:rPr>
      <w:fldChar w:fldCharType="begin"/>
    </w:r>
    <w:r w:rsidRPr="001D2EA6">
      <w:rPr>
        <w:sz w:val="22"/>
      </w:rPr>
      <w:instrText xml:space="preserve"> PAGE </w:instrText>
    </w:r>
    <w:r w:rsidRPr="001D2EA6">
      <w:rPr>
        <w:sz w:val="22"/>
      </w:rPr>
      <w:fldChar w:fldCharType="separate"/>
    </w:r>
    <w:r w:rsidR="00076145" w:rsidRPr="001D2EA6">
      <w:rPr>
        <w:noProof/>
        <w:sz w:val="22"/>
      </w:rPr>
      <w:t>1</w:t>
    </w:r>
    <w:r w:rsidRPr="001D2EA6">
      <w:rPr>
        <w:sz w:val="22"/>
      </w:rPr>
      <w:fldChar w:fldCharType="end"/>
    </w:r>
    <w:r w:rsidR="00A76319" w:rsidRPr="001D2EA6">
      <w:rPr>
        <w:sz w:val="22"/>
      </w:rPr>
      <w:t xml:space="preserve"> of </w:t>
    </w:r>
    <w:r w:rsidR="00B56390" w:rsidRPr="001D2EA6">
      <w:rPr>
        <w:noProof/>
        <w:sz w:val="22"/>
      </w:rPr>
      <w:fldChar w:fldCharType="begin"/>
    </w:r>
    <w:r w:rsidR="00B56390" w:rsidRPr="001D2EA6">
      <w:rPr>
        <w:noProof/>
        <w:sz w:val="22"/>
      </w:rPr>
      <w:instrText xml:space="preserve"> NUMPAGES </w:instrText>
    </w:r>
    <w:r w:rsidR="00B56390" w:rsidRPr="001D2EA6">
      <w:rPr>
        <w:noProof/>
        <w:sz w:val="22"/>
      </w:rPr>
      <w:fldChar w:fldCharType="separate"/>
    </w:r>
    <w:r w:rsidR="00076145" w:rsidRPr="001D2EA6">
      <w:rPr>
        <w:noProof/>
        <w:sz w:val="22"/>
      </w:rPr>
      <w:t>2</w:t>
    </w:r>
    <w:r w:rsidR="00B56390" w:rsidRPr="001D2EA6">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9B87B" w14:textId="77777777" w:rsidR="00AC1510" w:rsidRDefault="00AC1510">
      <w:r>
        <w:separator/>
      </w:r>
    </w:p>
  </w:footnote>
  <w:footnote w:type="continuationSeparator" w:id="0">
    <w:p w14:paraId="1394FD81" w14:textId="77777777" w:rsidR="00AC1510" w:rsidRDefault="00AC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49AF" w14:textId="77777777" w:rsidR="00100F0F" w:rsidRPr="00487826" w:rsidRDefault="006C1408" w:rsidP="00487826">
    <w:pPr>
      <w:pStyle w:val="Header"/>
    </w:pPr>
    <w:r>
      <w:rPr>
        <w:noProof/>
      </w:rPr>
      <mc:AlternateContent>
        <mc:Choice Requires="wps">
          <w:drawing>
            <wp:anchor distT="0" distB="0" distL="114299" distR="114299" simplePos="0" relativeHeight="251658240" behindDoc="0" locked="0" layoutInCell="1" allowOverlap="1" wp14:anchorId="4B68B305" wp14:editId="0AA896B2">
              <wp:simplePos x="0" y="0"/>
              <wp:positionH relativeFrom="column">
                <wp:posOffset>-353061</wp:posOffset>
              </wp:positionH>
              <wp:positionV relativeFrom="paragraph">
                <wp:posOffset>434975</wp:posOffset>
              </wp:positionV>
              <wp:extent cx="0" cy="8229600"/>
              <wp:effectExtent l="0" t="0" r="1905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C8EF26" id="Straight Connector 6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pt,34.25pt" to="-27.8pt,6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" strokecolor="#a6a6a6" strokeweight=".5pt">
              <v:stroke joinstyle="miter"/>
              <o:lock v:ext="edit" shapetype="f"/>
            </v:line>
          </w:pict>
        </mc:Fallback>
      </mc:AlternateContent>
    </w:r>
    <w:r>
      <w:rPr>
        <w:noProof/>
      </w:rPr>
      <mc:AlternateContent>
        <mc:Choice Requires="wps">
          <w:drawing>
            <wp:anchor distT="0" distB="0" distL="114300" distR="114300" simplePos="0" relativeHeight="251657216" behindDoc="1" locked="0" layoutInCell="1" allowOverlap="1" wp14:anchorId="00A9CFE8" wp14:editId="0D99B553">
              <wp:simplePos x="0" y="0"/>
              <wp:positionH relativeFrom="column">
                <wp:posOffset>-857250</wp:posOffset>
              </wp:positionH>
              <wp:positionV relativeFrom="page">
                <wp:posOffset>635</wp:posOffset>
              </wp:positionV>
              <wp:extent cx="428625" cy="100203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5CCDF3EA" w14:textId="77777777" w:rsidR="00487826" w:rsidRPr="001D2EA6" w:rsidRDefault="00487826" w:rsidP="00487826">
                          <w:pPr>
                            <w:jc w:val="center"/>
                            <w:rPr>
                              <w:rFonts w:ascii="Arial" w:hAnsi="Arial" w:cs="Arial"/>
                              <w:color w:val="A6A6A6"/>
                              <w:sz w:val="20"/>
                            </w:rPr>
                          </w:pPr>
                          <w:r w:rsidRPr="001D2EA6">
                            <w:rPr>
                              <w:rFonts w:ascii="Arial" w:hAnsi="Arial" w:cs="Arial"/>
                              <w:color w:val="A6A6A6"/>
                              <w:sz w:val="20"/>
                            </w:rPr>
                            <w:t>This publication is available free of charge from: https://doi.org/10.6028/NIST.IR.7383 -2019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9CFE8" id="_x0000_t202" coordsize="21600,21600" o:spt="202" path="m,l,21600r21600,l21600,xe">
              <v:stroke joinstyle="miter"/>
              <v:path gradientshapeok="t" o:connecttype="rect"/>
            </v:shapetype>
            <v:shape id="Text Box 33" o:spid="_x0000_s1026" type="#_x0000_t202" style="position:absolute;margin-left:-67.5pt;margin-top:.05pt;width:33.75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" fillcolor="window" stroked="f" strokeweight=".5pt">
              <v:textbox style="layout-flow:vertical">
                <w:txbxContent>
                  <w:p w14:paraId="5CCDF3EA" w14:textId="77777777" w:rsidR="00487826" w:rsidRPr="001D2EA6" w:rsidRDefault="00487826" w:rsidP="00487826">
                    <w:pPr>
                      <w:jc w:val="center"/>
                      <w:rPr>
                        <w:rFonts w:ascii="Arial" w:hAnsi="Arial" w:cs="Arial"/>
                        <w:color w:val="A6A6A6"/>
                        <w:sz w:val="20"/>
                      </w:rPr>
                    </w:pPr>
                    <w:r w:rsidRPr="001D2EA6">
                      <w:rPr>
                        <w:rFonts w:ascii="Arial" w:hAnsi="Arial" w:cs="Arial"/>
                        <w:color w:val="A6A6A6"/>
                        <w:sz w:val="20"/>
                      </w:rPr>
                      <w:t>This publication is available free of charge from: https://doi.org/10.6028/NIST.IR.7383 -2019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AA6048"/>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4C34BA3"/>
    <w:multiLevelType w:val="hybridMultilevel"/>
    <w:tmpl w:val="F0C6A54E"/>
    <w:lvl w:ilvl="0" w:tplc="CA9443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99030C"/>
    <w:multiLevelType w:val="multilevel"/>
    <w:tmpl w:val="2B6E6B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CBF27E8"/>
    <w:multiLevelType w:val="multilevel"/>
    <w:tmpl w:val="3BCC809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E93A1D"/>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1A47DE6"/>
    <w:multiLevelType w:val="multilevel"/>
    <w:tmpl w:val="3C92161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1D8392B"/>
    <w:multiLevelType w:val="multilevel"/>
    <w:tmpl w:val="152A6BFC"/>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3C08FA"/>
    <w:multiLevelType w:val="multilevel"/>
    <w:tmpl w:val="A9104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02520D"/>
    <w:multiLevelType w:val="multilevel"/>
    <w:tmpl w:val="1F7C42EA"/>
    <w:lvl w:ilvl="0">
      <w:start w:val="26"/>
      <w:numFmt w:val="decimal"/>
      <w:lvlText w:val="%1"/>
      <w:lvlJc w:val="left"/>
      <w:pPr>
        <w:ind w:left="540" w:hanging="540"/>
      </w:pPr>
      <w:rPr>
        <w:rFonts w:hint="default"/>
      </w:rPr>
    </w:lvl>
    <w:lvl w:ilvl="1">
      <w:start w:val="6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C1B21"/>
    <w:multiLevelType w:val="multilevel"/>
    <w:tmpl w:val="4BB24F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8EA43DB"/>
    <w:multiLevelType w:val="multilevel"/>
    <w:tmpl w:val="E36E7D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99F76BB"/>
    <w:multiLevelType w:val="multilevel"/>
    <w:tmpl w:val="4AE22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4"/>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46795BFC"/>
    <w:multiLevelType w:val="multilevel"/>
    <w:tmpl w:val="1996035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48971169"/>
    <w:multiLevelType w:val="multilevel"/>
    <w:tmpl w:val="65561CA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D0562C"/>
    <w:multiLevelType w:val="multilevel"/>
    <w:tmpl w:val="621092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B482B81"/>
    <w:multiLevelType w:val="multilevel"/>
    <w:tmpl w:val="81CE20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2840B4"/>
    <w:multiLevelType w:val="multilevel"/>
    <w:tmpl w:val="EDB00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562E5D"/>
    <w:multiLevelType w:val="multilevel"/>
    <w:tmpl w:val="CAD833F6"/>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5A83958"/>
    <w:multiLevelType w:val="multilevel"/>
    <w:tmpl w:val="6B18E5D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17E521D"/>
    <w:multiLevelType w:val="multilevel"/>
    <w:tmpl w:val="E092D24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DB25D0C"/>
    <w:multiLevelType w:val="multilevel"/>
    <w:tmpl w:val="AD567162"/>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1380"/>
        </w:tabs>
        <w:ind w:left="1380" w:hanging="660"/>
      </w:pPr>
      <w:rPr>
        <w:rFonts w:hint="default"/>
      </w:rPr>
    </w:lvl>
    <w:lvl w:ilvl="2">
      <w:start w:val="5"/>
      <w:numFmt w:val="decimal"/>
      <w:isLgl/>
      <w:lvlText w:val="%1.%2.%3"/>
      <w:lvlJc w:val="left"/>
      <w:pPr>
        <w:tabs>
          <w:tab w:val="num" w:pos="2160"/>
        </w:tabs>
        <w:ind w:left="2160" w:hanging="720"/>
      </w:pPr>
      <w:rPr>
        <w:rFonts w:hint="default"/>
      </w:rPr>
    </w:lvl>
    <w:lvl w:ilvl="3">
      <w:start w:val="2"/>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7EC93317"/>
    <w:multiLevelType w:val="multilevel"/>
    <w:tmpl w:val="1084E0A6"/>
    <w:lvl w:ilvl="0">
      <w:start w:val="4"/>
      <w:numFmt w:val="decimal"/>
      <w:lvlText w:val="%1"/>
      <w:lvlJc w:val="left"/>
      <w:pPr>
        <w:tabs>
          <w:tab w:val="num" w:pos="1272"/>
        </w:tabs>
        <w:ind w:left="1272" w:hanging="720"/>
      </w:pPr>
      <w:rPr>
        <w:rFonts w:hint="default"/>
      </w:rPr>
    </w:lvl>
    <w:lvl w:ilvl="1">
      <w:start w:val="1"/>
      <w:numFmt w:val="decimal"/>
      <w:lvlText w:val="%1.%2"/>
      <w:lvlJc w:val="left"/>
      <w:pPr>
        <w:tabs>
          <w:tab w:val="num" w:pos="1992"/>
        </w:tabs>
        <w:ind w:left="1992" w:hanging="720"/>
      </w:pPr>
      <w:rPr>
        <w:rFonts w:hint="default"/>
      </w:rPr>
    </w:lvl>
    <w:lvl w:ilvl="2">
      <w:start w:val="1"/>
      <w:numFmt w:val="decimal"/>
      <w:lvlText w:val="%1.%2.%3"/>
      <w:lvlJc w:val="left"/>
      <w:pPr>
        <w:tabs>
          <w:tab w:val="num" w:pos="2712"/>
        </w:tabs>
        <w:ind w:left="2712" w:hanging="720"/>
      </w:pPr>
      <w:rPr>
        <w:rFonts w:hint="default"/>
      </w:rPr>
    </w:lvl>
    <w:lvl w:ilvl="3">
      <w:start w:val="1"/>
      <w:numFmt w:val="decimal"/>
      <w:lvlText w:val="%1.%2.%3.%4"/>
      <w:lvlJc w:val="left"/>
      <w:pPr>
        <w:tabs>
          <w:tab w:val="num" w:pos="3432"/>
        </w:tabs>
        <w:ind w:left="3432"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232"/>
        </w:tabs>
        <w:ind w:left="5232" w:hanging="1080"/>
      </w:pPr>
      <w:rPr>
        <w:rFonts w:hint="default"/>
      </w:rPr>
    </w:lvl>
    <w:lvl w:ilvl="6">
      <w:start w:val="1"/>
      <w:numFmt w:val="decimal"/>
      <w:lvlText w:val="%1.%2.%3.%4.%5.%6.%7"/>
      <w:lvlJc w:val="left"/>
      <w:pPr>
        <w:tabs>
          <w:tab w:val="num" w:pos="6312"/>
        </w:tabs>
        <w:ind w:left="6312" w:hanging="1440"/>
      </w:pPr>
      <w:rPr>
        <w:rFonts w:hint="default"/>
      </w:rPr>
    </w:lvl>
    <w:lvl w:ilvl="7">
      <w:start w:val="1"/>
      <w:numFmt w:val="decimal"/>
      <w:lvlText w:val="%1.%2.%3.%4.%5.%6.%7.%8"/>
      <w:lvlJc w:val="left"/>
      <w:pPr>
        <w:tabs>
          <w:tab w:val="num" w:pos="7032"/>
        </w:tabs>
        <w:ind w:left="7032" w:hanging="1440"/>
      </w:pPr>
      <w:rPr>
        <w:rFonts w:hint="default"/>
      </w:rPr>
    </w:lvl>
    <w:lvl w:ilvl="8">
      <w:start w:val="1"/>
      <w:numFmt w:val="decimal"/>
      <w:lvlText w:val="%1.%2.%3.%4.%5.%6.%7.%8.%9"/>
      <w:lvlJc w:val="left"/>
      <w:pPr>
        <w:tabs>
          <w:tab w:val="num" w:pos="8112"/>
        </w:tabs>
        <w:ind w:left="8112" w:hanging="1800"/>
      </w:pPr>
      <w:rPr>
        <w:rFonts w:hint="default"/>
      </w:rPr>
    </w:lvl>
  </w:abstractNum>
  <w:num w:numId="1">
    <w:abstractNumId w:val="27"/>
  </w:num>
  <w:num w:numId="2">
    <w:abstractNumId w:val="31"/>
  </w:num>
  <w:num w:numId="3">
    <w:abstractNumId w:val="29"/>
  </w:num>
  <w:num w:numId="4">
    <w:abstractNumId w:val="17"/>
  </w:num>
  <w:num w:numId="5">
    <w:abstractNumId w:val="32"/>
  </w:num>
  <w:num w:numId="6">
    <w:abstractNumId w:val="20"/>
  </w:num>
  <w:num w:numId="7">
    <w:abstractNumId w:val="3"/>
  </w:num>
  <w:num w:numId="8">
    <w:abstractNumId w:val="4"/>
  </w:num>
  <w:num w:numId="9">
    <w:abstractNumId w:val="13"/>
  </w:num>
  <w:num w:numId="10">
    <w:abstractNumId w:val="18"/>
  </w:num>
  <w:num w:numId="11">
    <w:abstractNumId w:val="26"/>
  </w:num>
  <w:num w:numId="12">
    <w:abstractNumId w:val="7"/>
  </w:num>
  <w:num w:numId="13">
    <w:abstractNumId w:val="6"/>
  </w:num>
  <w:num w:numId="14">
    <w:abstractNumId w:val="21"/>
  </w:num>
  <w:num w:numId="15">
    <w:abstractNumId w:val="12"/>
  </w:num>
  <w:num w:numId="16">
    <w:abstractNumId w:val="11"/>
  </w:num>
  <w:num w:numId="17">
    <w:abstractNumId w:val="5"/>
  </w:num>
  <w:num w:numId="18">
    <w:abstractNumId w:val="1"/>
  </w:num>
  <w:num w:numId="19">
    <w:abstractNumId w:val="10"/>
  </w:num>
  <w:num w:numId="20">
    <w:abstractNumId w:val="25"/>
  </w:num>
  <w:num w:numId="21">
    <w:abstractNumId w:val="15"/>
  </w:num>
  <w:num w:numId="22">
    <w:abstractNumId w:val="30"/>
  </w:num>
  <w:num w:numId="23">
    <w:abstractNumId w:val="2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8"/>
  </w:num>
  <w:num w:numId="27">
    <w:abstractNumId w:val="9"/>
  </w:num>
  <w:num w:numId="28">
    <w:abstractNumId w:val="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2"/>
  </w:num>
  <w:num w:numId="35">
    <w:abstractNumId w:val="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21"/>
    <w:rsid w:val="00010ADE"/>
    <w:rsid w:val="00051716"/>
    <w:rsid w:val="00076145"/>
    <w:rsid w:val="000A5B33"/>
    <w:rsid w:val="00100F0F"/>
    <w:rsid w:val="00115A8D"/>
    <w:rsid w:val="0013335C"/>
    <w:rsid w:val="001750EB"/>
    <w:rsid w:val="0017705B"/>
    <w:rsid w:val="00186DF2"/>
    <w:rsid w:val="001A7B22"/>
    <w:rsid w:val="001D2EA6"/>
    <w:rsid w:val="002463D8"/>
    <w:rsid w:val="002A3B08"/>
    <w:rsid w:val="00323163"/>
    <w:rsid w:val="00352A22"/>
    <w:rsid w:val="00384437"/>
    <w:rsid w:val="00393A17"/>
    <w:rsid w:val="003B4EDC"/>
    <w:rsid w:val="003C7F97"/>
    <w:rsid w:val="00487826"/>
    <w:rsid w:val="004D0A8E"/>
    <w:rsid w:val="00547DAF"/>
    <w:rsid w:val="005F617C"/>
    <w:rsid w:val="00615210"/>
    <w:rsid w:val="006432EB"/>
    <w:rsid w:val="006C1408"/>
    <w:rsid w:val="006F37A5"/>
    <w:rsid w:val="00706909"/>
    <w:rsid w:val="00722F62"/>
    <w:rsid w:val="00766457"/>
    <w:rsid w:val="007A0721"/>
    <w:rsid w:val="00811D8B"/>
    <w:rsid w:val="008676AA"/>
    <w:rsid w:val="008C2101"/>
    <w:rsid w:val="009C7732"/>
    <w:rsid w:val="009D75AE"/>
    <w:rsid w:val="00A05224"/>
    <w:rsid w:val="00A72093"/>
    <w:rsid w:val="00A722BE"/>
    <w:rsid w:val="00A74AA8"/>
    <w:rsid w:val="00A76319"/>
    <w:rsid w:val="00AC1510"/>
    <w:rsid w:val="00AC456F"/>
    <w:rsid w:val="00B24225"/>
    <w:rsid w:val="00B41E02"/>
    <w:rsid w:val="00B42ACE"/>
    <w:rsid w:val="00B56390"/>
    <w:rsid w:val="00BA372D"/>
    <w:rsid w:val="00BE692A"/>
    <w:rsid w:val="00C17794"/>
    <w:rsid w:val="00C73A9D"/>
    <w:rsid w:val="00D06261"/>
    <w:rsid w:val="00D23A26"/>
    <w:rsid w:val="00DB7801"/>
    <w:rsid w:val="00DC60BC"/>
    <w:rsid w:val="00DD6F22"/>
    <w:rsid w:val="00DD7C20"/>
    <w:rsid w:val="00DE49CB"/>
    <w:rsid w:val="00E042C0"/>
    <w:rsid w:val="00E10149"/>
    <w:rsid w:val="00E22BA1"/>
    <w:rsid w:val="00E2307A"/>
    <w:rsid w:val="00E233DE"/>
    <w:rsid w:val="00E83CFA"/>
    <w:rsid w:val="00E844E6"/>
    <w:rsid w:val="00F367CD"/>
    <w:rsid w:val="00FE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533E99"/>
  <w15:chartTrackingRefBased/>
  <w15:docId w15:val="{0355F79D-9877-4482-B621-CEB2A278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iPriority="35" w:unhideWhenUsed="1"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2307A"/>
    <w:rPr>
      <w:rFonts w:eastAsiaTheme="minorHAnsi" w:cstheme="minorBidi"/>
      <w:sz w:val="24"/>
      <w:szCs w:val="22"/>
    </w:rPr>
  </w:style>
  <w:style w:type="paragraph" w:styleId="Heading1">
    <w:name w:val="heading 1"/>
    <w:basedOn w:val="Normal"/>
    <w:next w:val="Normal"/>
    <w:link w:val="Heading1Char"/>
    <w:uiPriority w:val="9"/>
    <w:qFormat/>
    <w:rsid w:val="00E2307A"/>
    <w:pPr>
      <w:keepNext/>
      <w:keepLines/>
      <w:numPr>
        <w:numId w:val="36"/>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E2307A"/>
    <w:pPr>
      <w:keepNext/>
      <w:keepLines/>
      <w:numPr>
        <w:ilvl w:val="1"/>
        <w:numId w:val="36"/>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E2307A"/>
    <w:pPr>
      <w:keepNext/>
      <w:keepLines/>
      <w:numPr>
        <w:ilvl w:val="2"/>
        <w:numId w:val="36"/>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E2307A"/>
    <w:pPr>
      <w:keepNext/>
      <w:keepLines/>
      <w:numPr>
        <w:ilvl w:val="3"/>
        <w:numId w:val="36"/>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E2307A"/>
    <w:pPr>
      <w:keepNext/>
      <w:keepLines/>
      <w:numPr>
        <w:ilvl w:val="4"/>
        <w:numId w:val="3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E2307A"/>
    <w:pPr>
      <w:keepNext/>
      <w:keepLines/>
      <w:numPr>
        <w:ilvl w:val="5"/>
        <w:numId w:val="3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E2307A"/>
    <w:pPr>
      <w:keepNext/>
      <w:keepLines/>
      <w:numPr>
        <w:ilvl w:val="6"/>
        <w:numId w:val="3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E2307A"/>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2307A"/>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230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307A"/>
  </w:style>
  <w:style w:type="paragraph" w:styleId="Header">
    <w:name w:val="header"/>
    <w:basedOn w:val="Normal"/>
    <w:link w:val="HeaderChar"/>
    <w:unhideWhenUsed/>
    <w:rsid w:val="00E2307A"/>
    <w:pPr>
      <w:tabs>
        <w:tab w:val="center" w:pos="4680"/>
        <w:tab w:val="right" w:pos="9360"/>
      </w:tabs>
    </w:pPr>
  </w:style>
  <w:style w:type="paragraph" w:styleId="Footer">
    <w:name w:val="footer"/>
    <w:basedOn w:val="Normal"/>
    <w:link w:val="FooterChar"/>
    <w:uiPriority w:val="99"/>
    <w:unhideWhenUsed/>
    <w:rsid w:val="00E2307A"/>
    <w:pPr>
      <w:tabs>
        <w:tab w:val="center" w:pos="4680"/>
        <w:tab w:val="right" w:pos="9360"/>
      </w:tabs>
    </w:pPr>
  </w:style>
  <w:style w:type="paragraph" w:styleId="Title">
    <w:name w:val="Title"/>
    <w:aliases w:val="Title-Lab"/>
    <w:basedOn w:val="Normal"/>
    <w:next w:val="Normal"/>
    <w:link w:val="TitleChar"/>
    <w:uiPriority w:val="10"/>
    <w:qFormat/>
    <w:rsid w:val="00E2307A"/>
    <w:pPr>
      <w:widowControl w:val="0"/>
      <w:autoSpaceDE w:val="0"/>
      <w:autoSpaceDN w:val="0"/>
      <w:adjustRightInd w:val="0"/>
      <w:spacing w:after="120"/>
      <w:jc w:val="center"/>
    </w:pPr>
    <w:rPr>
      <w:rFonts w:eastAsia="Times New Roman" w:cs="Times New Roman"/>
      <w:b/>
      <w:szCs w:val="24"/>
    </w:rPr>
  </w:style>
  <w:style w:type="paragraph" w:styleId="BalloonText">
    <w:name w:val="Balloon Text"/>
    <w:basedOn w:val="Normal"/>
    <w:link w:val="BalloonTextChar"/>
    <w:uiPriority w:val="99"/>
    <w:unhideWhenUsed/>
    <w:rsid w:val="00E2307A"/>
    <w:rPr>
      <w:rFonts w:ascii="Tahoma" w:hAnsi="Tahoma" w:cs="Tahoma"/>
      <w:sz w:val="16"/>
      <w:szCs w:val="16"/>
    </w:rPr>
  </w:style>
  <w:style w:type="character" w:styleId="CommentReference">
    <w:name w:val="annotation reference"/>
    <w:basedOn w:val="DefaultParagraphFont"/>
    <w:uiPriority w:val="99"/>
    <w:unhideWhenUsed/>
    <w:rsid w:val="00E2307A"/>
    <w:rPr>
      <w:sz w:val="16"/>
      <w:szCs w:val="16"/>
    </w:rPr>
  </w:style>
  <w:style w:type="paragraph" w:styleId="CommentText">
    <w:name w:val="annotation text"/>
    <w:basedOn w:val="Normal"/>
    <w:link w:val="CommentTextChar"/>
    <w:uiPriority w:val="99"/>
    <w:unhideWhenUsed/>
    <w:rsid w:val="00E2307A"/>
    <w:rPr>
      <w:sz w:val="20"/>
      <w:szCs w:val="20"/>
    </w:rPr>
  </w:style>
  <w:style w:type="character" w:customStyle="1" w:styleId="CommentTextChar">
    <w:name w:val="Comment Text Char"/>
    <w:basedOn w:val="DefaultParagraphFont"/>
    <w:link w:val="CommentText"/>
    <w:uiPriority w:val="99"/>
    <w:rsid w:val="00E2307A"/>
    <w:rPr>
      <w:rFonts w:eastAsiaTheme="minorHAnsi" w:cstheme="minorBidi"/>
    </w:rPr>
  </w:style>
  <w:style w:type="paragraph" w:styleId="CommentSubject">
    <w:name w:val="annotation subject"/>
    <w:basedOn w:val="CommentText"/>
    <w:next w:val="CommentText"/>
    <w:link w:val="CommentSubjectChar"/>
    <w:uiPriority w:val="99"/>
    <w:unhideWhenUsed/>
    <w:rsid w:val="00E2307A"/>
    <w:rPr>
      <w:b/>
      <w:bCs/>
    </w:rPr>
  </w:style>
  <w:style w:type="character" w:customStyle="1" w:styleId="CommentSubjectChar">
    <w:name w:val="Comment Subject Char"/>
    <w:basedOn w:val="CommentTextChar"/>
    <w:link w:val="CommentSubject"/>
    <w:uiPriority w:val="99"/>
    <w:rsid w:val="00E2307A"/>
    <w:rPr>
      <w:rFonts w:eastAsiaTheme="minorHAnsi" w:cstheme="minorBidi"/>
      <w:b/>
      <w:bCs/>
    </w:rPr>
  </w:style>
  <w:style w:type="character" w:customStyle="1" w:styleId="Heading1Char">
    <w:name w:val="Heading 1 Char"/>
    <w:basedOn w:val="DefaultParagraphFont"/>
    <w:link w:val="Heading1"/>
    <w:uiPriority w:val="9"/>
    <w:rsid w:val="00E2307A"/>
    <w:rPr>
      <w:rFonts w:eastAsiaTheme="majorEastAsia"/>
      <w:sz w:val="24"/>
      <w:szCs w:val="24"/>
    </w:rPr>
  </w:style>
  <w:style w:type="character" w:customStyle="1" w:styleId="Heading2Char">
    <w:name w:val="Heading 2 Char"/>
    <w:basedOn w:val="DefaultParagraphFont"/>
    <w:link w:val="Heading2"/>
    <w:uiPriority w:val="9"/>
    <w:rsid w:val="00E2307A"/>
    <w:rPr>
      <w:rFonts w:eastAsiaTheme="majorEastAsia"/>
      <w:sz w:val="24"/>
      <w:szCs w:val="24"/>
    </w:rPr>
  </w:style>
  <w:style w:type="character" w:customStyle="1" w:styleId="Heading3Char">
    <w:name w:val="Heading 3 Char"/>
    <w:basedOn w:val="DefaultParagraphFont"/>
    <w:link w:val="Heading3"/>
    <w:uiPriority w:val="9"/>
    <w:rsid w:val="00E2307A"/>
    <w:rPr>
      <w:rFonts w:eastAsiaTheme="majorEastAsia"/>
      <w:sz w:val="24"/>
      <w:szCs w:val="24"/>
    </w:rPr>
  </w:style>
  <w:style w:type="character" w:customStyle="1" w:styleId="Heading4Char">
    <w:name w:val="Heading 4 Char"/>
    <w:basedOn w:val="DefaultParagraphFont"/>
    <w:link w:val="Heading4"/>
    <w:uiPriority w:val="9"/>
    <w:rsid w:val="00E2307A"/>
    <w:rPr>
      <w:rFonts w:eastAsiaTheme="majorEastAsia"/>
      <w:iCs/>
      <w:sz w:val="24"/>
      <w:szCs w:val="24"/>
    </w:rPr>
  </w:style>
  <w:style w:type="character" w:customStyle="1" w:styleId="Heading5Char">
    <w:name w:val="Heading 5 Char"/>
    <w:basedOn w:val="DefaultParagraphFont"/>
    <w:link w:val="Heading5"/>
    <w:rsid w:val="00E2307A"/>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rsid w:val="00E2307A"/>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rsid w:val="00E2307A"/>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rsid w:val="00E230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2307A"/>
    <w:rPr>
      <w:rFonts w:asciiTheme="majorHAnsi" w:eastAsiaTheme="majorEastAsia" w:hAnsiTheme="majorHAnsi" w:cstheme="majorBidi"/>
      <w:i/>
      <w:iCs/>
      <w:color w:val="272727" w:themeColor="text1" w:themeTint="D8"/>
      <w:sz w:val="21"/>
      <w:szCs w:val="21"/>
    </w:rPr>
  </w:style>
  <w:style w:type="character" w:styleId="EndnoteReference">
    <w:name w:val="endnote reference"/>
    <w:rsid w:val="00F367CD"/>
    <w:rPr>
      <w:vertAlign w:val="superscript"/>
    </w:rPr>
  </w:style>
  <w:style w:type="paragraph" w:styleId="BodyTextIndent">
    <w:name w:val="Body Text Indent"/>
    <w:basedOn w:val="Normal"/>
    <w:link w:val="BodyTextIndentChar"/>
    <w:rsid w:val="00F367CD"/>
    <w:pPr>
      <w:tabs>
        <w:tab w:val="left" w:pos="-1104"/>
        <w:tab w:val="left" w:pos="-552"/>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jc w:val="both"/>
    </w:pPr>
  </w:style>
  <w:style w:type="character" w:customStyle="1" w:styleId="BodyTextIndentChar">
    <w:name w:val="Body Text Indent Char"/>
    <w:basedOn w:val="DefaultParagraphFont"/>
    <w:link w:val="BodyTextIndent"/>
    <w:rsid w:val="00C17794"/>
    <w:rPr>
      <w:rFonts w:eastAsiaTheme="minorHAnsi" w:cstheme="minorBidi"/>
      <w:sz w:val="24"/>
      <w:szCs w:val="22"/>
    </w:rPr>
  </w:style>
  <w:style w:type="character" w:styleId="FootnoteReference">
    <w:name w:val="footnote reference"/>
    <w:basedOn w:val="DefaultParagraphFont"/>
    <w:unhideWhenUsed/>
    <w:rsid w:val="00E2307A"/>
    <w:rPr>
      <w:vertAlign w:val="superscript"/>
    </w:rPr>
  </w:style>
  <w:style w:type="paragraph" w:styleId="FootnoteText">
    <w:name w:val="footnote text"/>
    <w:basedOn w:val="Normal"/>
    <w:link w:val="FootnoteTextChar"/>
    <w:unhideWhenUsed/>
    <w:rsid w:val="00E2307A"/>
    <w:rPr>
      <w:sz w:val="16"/>
      <w:szCs w:val="20"/>
    </w:rPr>
  </w:style>
  <w:style w:type="character" w:customStyle="1" w:styleId="FootnoteTextChar">
    <w:name w:val="Footnote Text Char"/>
    <w:basedOn w:val="DefaultParagraphFont"/>
    <w:link w:val="FootnoteText"/>
    <w:rsid w:val="00E2307A"/>
    <w:rPr>
      <w:rFonts w:eastAsiaTheme="minorHAnsi" w:cstheme="minorBidi"/>
      <w:sz w:val="16"/>
    </w:rPr>
  </w:style>
  <w:style w:type="paragraph" w:styleId="BodyTextIndent2">
    <w:name w:val="Body Text Indent 2"/>
    <w:basedOn w:val="Normal"/>
    <w:link w:val="BodyTextIndent2Char"/>
    <w:rsid w:val="00F367CD"/>
    <w:pPr>
      <w:tabs>
        <w:tab w:val="left" w:pos="-1104"/>
        <w:tab w:val="left" w:pos="-552"/>
        <w:tab w:val="left" w:pos="1"/>
        <w:tab w:val="left" w:pos="552"/>
        <w:tab w:val="left" w:pos="1104"/>
        <w:tab w:val="left" w:pos="1656"/>
        <w:tab w:val="left" w:pos="2160"/>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60"/>
      <w:jc w:val="both"/>
    </w:pPr>
  </w:style>
  <w:style w:type="character" w:customStyle="1" w:styleId="BodyTextIndent2Char">
    <w:name w:val="Body Text Indent 2 Char"/>
    <w:basedOn w:val="DefaultParagraphFont"/>
    <w:link w:val="BodyTextIndent2"/>
    <w:rsid w:val="00C17794"/>
    <w:rPr>
      <w:rFonts w:eastAsiaTheme="minorHAnsi" w:cstheme="minorBidi"/>
      <w:sz w:val="24"/>
      <w:szCs w:val="22"/>
    </w:rPr>
  </w:style>
  <w:style w:type="paragraph" w:styleId="BodyTextIndent3">
    <w:name w:val="Body Text Indent 3"/>
    <w:basedOn w:val="Normal"/>
    <w:link w:val="BodyTextIndent3Char"/>
    <w:rsid w:val="00F367CD"/>
    <w:pPr>
      <w:tabs>
        <w:tab w:val="left" w:pos="-1104"/>
        <w:tab w:val="left" w:pos="-552"/>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336"/>
      <w:jc w:val="both"/>
    </w:pPr>
  </w:style>
  <w:style w:type="character" w:customStyle="1" w:styleId="BodyTextIndent3Char">
    <w:name w:val="Body Text Indent 3 Char"/>
    <w:basedOn w:val="DefaultParagraphFont"/>
    <w:link w:val="BodyTextIndent3"/>
    <w:rsid w:val="00C17794"/>
    <w:rPr>
      <w:rFonts w:eastAsiaTheme="minorHAnsi" w:cstheme="minorBidi"/>
      <w:sz w:val="24"/>
      <w:szCs w:val="22"/>
    </w:rPr>
  </w:style>
  <w:style w:type="paragraph" w:customStyle="1" w:styleId="a1Technical">
    <w:name w:val="a1Technical"/>
    <w:basedOn w:val="Normal"/>
    <w:rsid w:val="00F367CD"/>
    <w:rPr>
      <w:rFonts w:ascii="TmsRmn 10pt" w:hAnsi="TmsRmn 10pt"/>
    </w:rPr>
  </w:style>
  <w:style w:type="paragraph" w:styleId="BodyText">
    <w:name w:val="Body Text"/>
    <w:basedOn w:val="Normal"/>
    <w:link w:val="BodyTextChar"/>
    <w:uiPriority w:val="1"/>
    <w:unhideWhenUsed/>
    <w:qFormat/>
    <w:rsid w:val="00E2307A"/>
    <w:pPr>
      <w:spacing w:after="180"/>
      <w:jc w:val="both"/>
    </w:pPr>
    <w:rPr>
      <w:rFonts w:cs="Times New Roman"/>
      <w:szCs w:val="24"/>
    </w:rPr>
  </w:style>
  <w:style w:type="character" w:customStyle="1" w:styleId="BodyTextChar">
    <w:name w:val="Body Text Char"/>
    <w:basedOn w:val="DefaultParagraphFont"/>
    <w:link w:val="BodyText"/>
    <w:uiPriority w:val="1"/>
    <w:rsid w:val="00E2307A"/>
    <w:rPr>
      <w:rFonts w:eastAsiaTheme="minorHAnsi"/>
      <w:sz w:val="24"/>
      <w:szCs w:val="24"/>
    </w:rPr>
  </w:style>
  <w:style w:type="paragraph" w:styleId="Caption">
    <w:name w:val="caption"/>
    <w:aliases w:val="Caption (Figure and Table Titles)"/>
    <w:basedOn w:val="BodyText"/>
    <w:next w:val="Normal"/>
    <w:uiPriority w:val="35"/>
    <w:unhideWhenUsed/>
    <w:qFormat/>
    <w:rsid w:val="00E2307A"/>
    <w:pPr>
      <w:spacing w:after="0"/>
      <w:ind w:left="1872"/>
    </w:pPr>
    <w:rPr>
      <w:b/>
      <w:sz w:val="22"/>
    </w:rPr>
  </w:style>
  <w:style w:type="paragraph" w:customStyle="1" w:styleId="a2Technical">
    <w:name w:val="a2Technical"/>
    <w:basedOn w:val="Normal"/>
    <w:rsid w:val="00F367CD"/>
    <w:pPr>
      <w:ind w:left="720"/>
    </w:pPr>
    <w:rPr>
      <w:rFonts w:ascii="TmsRmn 10pt" w:hAnsi="TmsRmn 10pt"/>
    </w:rPr>
  </w:style>
  <w:style w:type="table" w:styleId="TableGrid">
    <w:name w:val="Table Grid"/>
    <w:basedOn w:val="TableNormal"/>
    <w:rsid w:val="00E23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07A"/>
    <w:pPr>
      <w:ind w:left="720"/>
      <w:contextualSpacing/>
    </w:pPr>
  </w:style>
  <w:style w:type="paragraph" w:customStyle="1" w:styleId="1Technical">
    <w:name w:val="1Technical"/>
    <w:rsid w:val="00F367CD"/>
    <w:pPr>
      <w:tabs>
        <w:tab w:val="left" w:pos="720"/>
      </w:tabs>
      <w:ind w:left="720" w:hanging="720"/>
    </w:pPr>
    <w:rPr>
      <w:rFonts w:ascii="TmsRmn 10pt" w:hAnsi="TmsRmn 10pt"/>
      <w:snapToGrid w:val="0"/>
      <w:sz w:val="24"/>
    </w:rPr>
  </w:style>
  <w:style w:type="paragraph" w:customStyle="1" w:styleId="2Technical">
    <w:name w:val="2Technical"/>
    <w:rsid w:val="00F367CD"/>
    <w:pPr>
      <w:tabs>
        <w:tab w:val="left" w:pos="720"/>
        <w:tab w:val="left" w:pos="1440"/>
      </w:tabs>
      <w:ind w:left="1440" w:hanging="720"/>
    </w:pPr>
    <w:rPr>
      <w:rFonts w:ascii="TmsRmn 10pt" w:hAnsi="TmsRmn 10pt"/>
      <w:snapToGrid w:val="0"/>
      <w:sz w:val="24"/>
    </w:rPr>
  </w:style>
  <w:style w:type="character" w:styleId="Hyperlink">
    <w:name w:val="Hyperlink"/>
    <w:basedOn w:val="DefaultParagraphFont"/>
    <w:uiPriority w:val="99"/>
    <w:unhideWhenUsed/>
    <w:rsid w:val="00E2307A"/>
    <w:rPr>
      <w:color w:val="0563C1" w:themeColor="hyperlink"/>
      <w:u w:val="single"/>
    </w:rPr>
  </w:style>
  <w:style w:type="character" w:customStyle="1" w:styleId="BalloonTextChar">
    <w:name w:val="Balloon Text Char"/>
    <w:basedOn w:val="DefaultParagraphFont"/>
    <w:link w:val="BalloonText"/>
    <w:uiPriority w:val="99"/>
    <w:rsid w:val="00E2307A"/>
    <w:rPr>
      <w:rFonts w:ascii="Tahoma" w:eastAsiaTheme="minorHAnsi" w:hAnsi="Tahoma" w:cs="Tahoma"/>
      <w:sz w:val="16"/>
      <w:szCs w:val="16"/>
    </w:rPr>
  </w:style>
  <w:style w:type="paragraph" w:customStyle="1" w:styleId="Default">
    <w:name w:val="Default"/>
    <w:rsid w:val="00E2307A"/>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E2307A"/>
    <w:rPr>
      <w:color w:val="954F72" w:themeColor="followedHyperlink"/>
      <w:u w:val="single"/>
    </w:rPr>
  </w:style>
  <w:style w:type="character" w:customStyle="1" w:styleId="FooterChar">
    <w:name w:val="Footer Char"/>
    <w:basedOn w:val="DefaultParagraphFont"/>
    <w:link w:val="Footer"/>
    <w:uiPriority w:val="99"/>
    <w:rsid w:val="00E2307A"/>
    <w:rPr>
      <w:rFonts w:eastAsiaTheme="minorHAnsi" w:cstheme="minorBidi"/>
      <w:sz w:val="24"/>
      <w:szCs w:val="22"/>
    </w:rPr>
  </w:style>
  <w:style w:type="paragraph" w:customStyle="1" w:styleId="FrontMatterTOC">
    <w:name w:val="Front Matter (TOC"/>
    <w:aliases w:val="foreword,preface,etc.)"/>
    <w:basedOn w:val="BodyText"/>
    <w:qFormat/>
    <w:rsid w:val="00E2307A"/>
    <w:rPr>
      <w:b/>
    </w:rPr>
  </w:style>
  <w:style w:type="character" w:customStyle="1" w:styleId="HeaderChar">
    <w:name w:val="Header Char"/>
    <w:basedOn w:val="DefaultParagraphFont"/>
    <w:link w:val="Header"/>
    <w:rsid w:val="00E2307A"/>
    <w:rPr>
      <w:rFonts w:eastAsiaTheme="minorHAnsi" w:cstheme="minorBidi"/>
      <w:sz w:val="24"/>
      <w:szCs w:val="22"/>
    </w:rPr>
  </w:style>
  <w:style w:type="paragraph" w:styleId="NormalWeb">
    <w:name w:val="Normal (Web)"/>
    <w:basedOn w:val="Normal"/>
    <w:uiPriority w:val="99"/>
    <w:unhideWhenUsed/>
    <w:rsid w:val="00E2307A"/>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E2307A"/>
    <w:rPr>
      <w:sz w:val="20"/>
    </w:rPr>
  </w:style>
  <w:style w:type="paragraph" w:customStyle="1" w:styleId="TableandFigureFootnotes">
    <w:name w:val="Table and Figure Footnotes"/>
    <w:basedOn w:val="Normal"/>
    <w:qFormat/>
    <w:rsid w:val="00E2307A"/>
    <w:rPr>
      <w:sz w:val="20"/>
      <w:szCs w:val="20"/>
    </w:rPr>
  </w:style>
  <w:style w:type="paragraph" w:styleId="TOC1">
    <w:name w:val="toc 1"/>
    <w:basedOn w:val="Normal"/>
    <w:next w:val="Normal"/>
    <w:autoRedefine/>
    <w:uiPriority w:val="39"/>
    <w:unhideWhenUsed/>
    <w:rsid w:val="00E2307A"/>
    <w:pPr>
      <w:tabs>
        <w:tab w:val="left" w:pos="440"/>
        <w:tab w:val="right" w:leader="dot" w:pos="8990"/>
      </w:tabs>
      <w:spacing w:after="100"/>
    </w:pPr>
    <w:rPr>
      <w:b/>
    </w:rPr>
  </w:style>
  <w:style w:type="paragraph" w:styleId="TOC2">
    <w:name w:val="toc 2"/>
    <w:basedOn w:val="Normal"/>
    <w:next w:val="Normal"/>
    <w:autoRedefine/>
    <w:uiPriority w:val="39"/>
    <w:unhideWhenUsed/>
    <w:rsid w:val="00E2307A"/>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E2307A"/>
    <w:pPr>
      <w:tabs>
        <w:tab w:val="left" w:pos="1170"/>
        <w:tab w:val="right" w:leader="dot" w:pos="8990"/>
      </w:tabs>
      <w:spacing w:after="100"/>
      <w:ind w:left="440"/>
    </w:pPr>
  </w:style>
  <w:style w:type="paragraph" w:styleId="TOC4">
    <w:name w:val="toc 4"/>
    <w:basedOn w:val="Normal"/>
    <w:next w:val="Normal"/>
    <w:autoRedefine/>
    <w:uiPriority w:val="39"/>
    <w:unhideWhenUsed/>
    <w:rsid w:val="00E2307A"/>
    <w:pPr>
      <w:tabs>
        <w:tab w:val="left" w:pos="1530"/>
        <w:tab w:val="right" w:leader="dot" w:pos="8990"/>
      </w:tabs>
      <w:spacing w:after="100"/>
      <w:ind w:left="660"/>
    </w:pPr>
    <w:rPr>
      <w:noProof/>
    </w:rPr>
  </w:style>
  <w:style w:type="character" w:customStyle="1" w:styleId="ReferenceListChar">
    <w:name w:val="Reference List Char"/>
    <w:basedOn w:val="DefaultParagraphFont"/>
    <w:link w:val="ReferenceList"/>
    <w:rsid w:val="00E2307A"/>
    <w:rPr>
      <w:rFonts w:eastAsiaTheme="minorHAnsi" w:cstheme="minorBidi"/>
    </w:rPr>
  </w:style>
  <w:style w:type="paragraph" w:customStyle="1" w:styleId="ReferenceList0">
    <w:name w:val="ReferenceList"/>
    <w:basedOn w:val="BodyText"/>
    <w:link w:val="ReferenceListChar0"/>
    <w:rsid w:val="00E2307A"/>
    <w:pPr>
      <w:spacing w:after="0"/>
      <w:ind w:left="360" w:hanging="360"/>
    </w:pPr>
  </w:style>
  <w:style w:type="character" w:customStyle="1" w:styleId="ReferenceListChar0">
    <w:name w:val="ReferenceList Char"/>
    <w:basedOn w:val="BodyTextChar"/>
    <w:link w:val="ReferenceList0"/>
    <w:rsid w:val="00E2307A"/>
    <w:rPr>
      <w:rFonts w:eastAsiaTheme="minorHAnsi"/>
      <w:sz w:val="24"/>
      <w:szCs w:val="24"/>
    </w:rPr>
  </w:style>
  <w:style w:type="paragraph" w:styleId="TableofFigures">
    <w:name w:val="table of figures"/>
    <w:basedOn w:val="Normal"/>
    <w:next w:val="Normal"/>
    <w:uiPriority w:val="99"/>
    <w:unhideWhenUsed/>
    <w:rsid w:val="00E2307A"/>
  </w:style>
  <w:style w:type="paragraph" w:customStyle="1" w:styleId="MTDisplayEquation">
    <w:name w:val="MTDisplayEquation"/>
    <w:basedOn w:val="BodyText"/>
    <w:next w:val="Normal"/>
    <w:link w:val="MTDisplayEquationChar"/>
    <w:rsid w:val="00E2307A"/>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E2307A"/>
    <w:rPr>
      <w:rFonts w:eastAsiaTheme="minorHAnsi"/>
      <w:bCs/>
      <w:sz w:val="24"/>
      <w:szCs w:val="24"/>
    </w:rPr>
  </w:style>
  <w:style w:type="character" w:customStyle="1" w:styleId="TitleChar">
    <w:name w:val="Title Char"/>
    <w:aliases w:val="Title-Lab Char"/>
    <w:link w:val="Title"/>
    <w:uiPriority w:val="10"/>
    <w:rsid w:val="00E2307A"/>
    <w:rPr>
      <w:b/>
      <w:sz w:val="24"/>
      <w:szCs w:val="24"/>
    </w:rPr>
  </w:style>
  <w:style w:type="paragraph" w:customStyle="1" w:styleId="Table">
    <w:name w:val="Table"/>
    <w:basedOn w:val="Caption"/>
    <w:qFormat/>
    <w:rsid w:val="00E2307A"/>
    <w:pPr>
      <w:ind w:left="0"/>
    </w:pPr>
  </w:style>
  <w:style w:type="paragraph" w:customStyle="1" w:styleId="TitleAppendix">
    <w:name w:val="Title &amp; Appendix"/>
    <w:basedOn w:val="Title"/>
    <w:link w:val="TitleAppendixChar"/>
    <w:qFormat/>
    <w:rsid w:val="00F367CD"/>
  </w:style>
  <w:style w:type="paragraph" w:styleId="TOCHeading">
    <w:name w:val="TOC Heading"/>
    <w:basedOn w:val="Heading1"/>
    <w:next w:val="Normal"/>
    <w:uiPriority w:val="39"/>
    <w:semiHidden/>
    <w:unhideWhenUsed/>
    <w:qFormat/>
    <w:rsid w:val="00F367CD"/>
    <w:pPr>
      <w:numPr>
        <w:numId w:val="0"/>
      </w:numPr>
      <w:spacing w:before="240" w:after="0"/>
      <w:outlineLvl w:val="9"/>
    </w:pPr>
    <w:rPr>
      <w:rFonts w:asciiTheme="majorHAnsi" w:hAnsiTheme="majorHAnsi" w:cstheme="majorBidi"/>
      <w:b/>
      <w:color w:val="2F5496" w:themeColor="accent1" w:themeShade="BF"/>
      <w:sz w:val="32"/>
      <w:szCs w:val="32"/>
    </w:rPr>
  </w:style>
  <w:style w:type="paragraph" w:customStyle="1" w:styleId="HeadingG">
    <w:name w:val="Heading G"/>
    <w:basedOn w:val="TitleAppendix"/>
    <w:link w:val="HeadingGChar"/>
    <w:rsid w:val="00F367CD"/>
  </w:style>
  <w:style w:type="character" w:customStyle="1" w:styleId="TitleAppendixChar">
    <w:name w:val="Title &amp; Appendix Char"/>
    <w:basedOn w:val="TitleChar"/>
    <w:link w:val="TitleAppendix"/>
    <w:rsid w:val="00F367CD"/>
    <w:rPr>
      <w:b/>
      <w:sz w:val="24"/>
      <w:szCs w:val="24"/>
    </w:rPr>
  </w:style>
  <w:style w:type="paragraph" w:customStyle="1" w:styleId="Title-NISTIR">
    <w:name w:val="Title-NISTIR"/>
    <w:basedOn w:val="HeadingG"/>
    <w:link w:val="Title-NISTIRChar"/>
    <w:qFormat/>
    <w:rsid w:val="00F367CD"/>
  </w:style>
  <w:style w:type="character" w:customStyle="1" w:styleId="HeadingGChar">
    <w:name w:val="Heading G Char"/>
    <w:basedOn w:val="TitleAppendixChar"/>
    <w:link w:val="HeadingG"/>
    <w:rsid w:val="00F367CD"/>
    <w:rPr>
      <w:b/>
      <w:sz w:val="24"/>
      <w:szCs w:val="24"/>
    </w:rPr>
  </w:style>
  <w:style w:type="character" w:customStyle="1" w:styleId="Title-NISTIRChar">
    <w:name w:val="Title-NISTIR Char"/>
    <w:basedOn w:val="HeadingGChar"/>
    <w:link w:val="Title-NISTIR"/>
    <w:rsid w:val="00F367CD"/>
    <w:rPr>
      <w:b/>
      <w:sz w:val="24"/>
      <w:szCs w:val="24"/>
    </w:rPr>
  </w:style>
  <w:style w:type="character" w:customStyle="1" w:styleId="MTEquationSection">
    <w:name w:val="MTEquationSection"/>
    <w:basedOn w:val="DefaultParagraphFont"/>
    <w:rsid w:val="00E2307A"/>
    <w:rPr>
      <w:vanish/>
      <w:color w:val="FF0000"/>
    </w:rPr>
  </w:style>
  <w:style w:type="paragraph" w:customStyle="1" w:styleId="Eqn">
    <w:name w:val="Eqn"/>
    <w:basedOn w:val="MTDisplayEquation"/>
    <w:link w:val="EqnChar"/>
    <w:qFormat/>
    <w:rsid w:val="00E2307A"/>
    <w:pPr>
      <w:spacing w:before="240" w:after="240"/>
      <w:jc w:val="right"/>
    </w:pPr>
  </w:style>
  <w:style w:type="character" w:customStyle="1" w:styleId="EqnChar">
    <w:name w:val="Eqn Char"/>
    <w:basedOn w:val="MTDisplayEquationChar"/>
    <w:link w:val="Eqn"/>
    <w:rsid w:val="00E2307A"/>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SOP-Template-20181220.dotx</Template>
  <TotalTime>22</TotalTime>
  <Pages>2</Pages>
  <Words>529</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GLP 13 Drying “To Contain” Volume Standards</vt:lpstr>
    </vt:vector>
  </TitlesOfParts>
  <Company>NIST</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GLP 13 Drying “To Contain” Volume Standards</dc:title>
  <dc:subject>volume calibration</dc:subject>
  <dc:creator>Georgia L Harris</dc:creator>
  <cp:keywords>volume calibration</cp:keywords>
  <cp:lastModifiedBy>Harris, Georgia L. (Fed)</cp:lastModifiedBy>
  <cp:revision>7</cp:revision>
  <cp:lastPrinted>2013-08-12T18:32:00Z</cp:lastPrinted>
  <dcterms:created xsi:type="dcterms:W3CDTF">2018-12-28T12:45:00Z</dcterms:created>
  <dcterms:modified xsi:type="dcterms:W3CDTF">2019-05-07T14:20:00Z</dcterms:modified>
  <cp:category>volume calibration, containers</cp:category>
</cp:coreProperties>
</file>