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03F10" w14:textId="77777777" w:rsidR="00816F23" w:rsidRDefault="00816F23">
      <w:pPr>
        <w:pStyle w:val="Title"/>
      </w:pPr>
      <w:r>
        <w:t xml:space="preserve">GLP 9 </w:t>
      </w:r>
    </w:p>
    <w:p w14:paraId="11B02966" w14:textId="77777777" w:rsidR="00816F23" w:rsidRDefault="00816F23">
      <w:pPr>
        <w:jc w:val="center"/>
        <w:rPr>
          <w:b/>
        </w:rPr>
      </w:pPr>
      <w:r>
        <w:rPr>
          <w:b/>
        </w:rPr>
        <w:t xml:space="preserve"> </w:t>
      </w:r>
    </w:p>
    <w:p w14:paraId="2E30E6C7" w14:textId="77777777" w:rsidR="00816F23" w:rsidRDefault="00816F23">
      <w:pPr>
        <w:jc w:val="center"/>
        <w:rPr>
          <w:b/>
        </w:rPr>
      </w:pPr>
      <w:r>
        <w:rPr>
          <w:b/>
        </w:rPr>
        <w:t>Good Laboratory Practice</w:t>
      </w:r>
    </w:p>
    <w:p w14:paraId="25122707" w14:textId="77777777" w:rsidR="00816F23" w:rsidRDefault="00816F23">
      <w:pPr>
        <w:jc w:val="center"/>
        <w:rPr>
          <w:b/>
        </w:rPr>
      </w:pPr>
      <w:r>
        <w:rPr>
          <w:b/>
        </w:rPr>
        <w:t>for</w:t>
      </w:r>
    </w:p>
    <w:p w14:paraId="446FFD00" w14:textId="77777777" w:rsidR="00816F23" w:rsidRDefault="00816F23">
      <w:pPr>
        <w:jc w:val="center"/>
        <w:rPr>
          <w:b/>
        </w:rPr>
      </w:pPr>
      <w:r>
        <w:rPr>
          <w:b/>
        </w:rPr>
        <w:t>Rounding Expanded Uncertainties and Calibration Values</w:t>
      </w:r>
    </w:p>
    <w:p w14:paraId="05F50A90" w14:textId="141CE66E" w:rsidR="00816F23" w:rsidRDefault="00816F23">
      <w:pPr>
        <w:jc w:val="both"/>
      </w:pPr>
    </w:p>
    <w:p w14:paraId="24A2EB5D" w14:textId="319A2BD1" w:rsidR="00816F23" w:rsidRDefault="00816F23" w:rsidP="009D3031">
      <w:pPr>
        <w:pStyle w:val="BodyText"/>
      </w:pPr>
      <w:r>
        <w:t>A calibration is not complete until the expanded uncertainty associated with the calibration is determined and reported</w:t>
      </w:r>
      <w:r w:rsidR="00435D20">
        <w:t xml:space="preserve">. </w:t>
      </w:r>
      <w:r>
        <w:t>Each Standard Operating Procedure (SOP) includes information regarding the calculation of uncertainties</w:t>
      </w:r>
      <w:r w:rsidR="00435D20">
        <w:t xml:space="preserve">. </w:t>
      </w:r>
      <w:r>
        <w:t>The expanded uncertainty is generally reported with approximately a 95</w:t>
      </w:r>
      <w:r w:rsidR="002D4B8F">
        <w:t xml:space="preserve"> % </w:t>
      </w:r>
      <w:r>
        <w:t>confidence interval</w:t>
      </w:r>
      <w:r w:rsidR="00985573">
        <w:t xml:space="preserve"> (95.45</w:t>
      </w:r>
      <w:r w:rsidR="00B74443">
        <w:t> </w:t>
      </w:r>
      <w:r w:rsidR="00985573">
        <w:t>%)</w:t>
      </w:r>
      <w:r>
        <w:t>. The confidence interval is determined by multiplying a coverage factor (</w:t>
      </w:r>
      <w:r w:rsidR="000D795E">
        <w:t xml:space="preserve">often </w:t>
      </w:r>
      <w:r>
        <w:t>2</w:t>
      </w:r>
      <w:r w:rsidR="000D795E">
        <w:t>,</w:t>
      </w:r>
      <w:r w:rsidR="00D77353">
        <w:t xml:space="preserve"> but based on the degrees of freedom</w:t>
      </w:r>
      <w:r w:rsidR="000D795E">
        <w:t xml:space="preserve"> or effective degrees of freedom</w:t>
      </w:r>
      <w:r>
        <w:t xml:space="preserve">) times the </w:t>
      </w:r>
      <w:r w:rsidR="00985573">
        <w:t>combined uncertainty, u</w:t>
      </w:r>
      <w:r w:rsidR="00985573" w:rsidRPr="00985573">
        <w:rPr>
          <w:vertAlign w:val="subscript"/>
        </w:rPr>
        <w:t>c</w:t>
      </w:r>
      <w:r w:rsidR="00985573">
        <w:t xml:space="preserve">; the combined uncertainty is usually the </w:t>
      </w:r>
      <w:r>
        <w:t>root sum square of properly combined Type A and Type B evaluated c</w:t>
      </w:r>
      <w:r w:rsidRPr="00AF74DA">
        <w:t xml:space="preserve">omponents according to the </w:t>
      </w:r>
      <w:r w:rsidR="00985573">
        <w:t xml:space="preserve">calibration procedure and </w:t>
      </w:r>
      <w:r w:rsidR="00871FAF">
        <w:t xml:space="preserve">rounded according to this GLP, </w:t>
      </w:r>
      <w:r w:rsidRPr="00AF74DA">
        <w:t>ISO/IEC Guide to the Expression of Uncertainty in Measurement (GUM</w:t>
      </w:r>
      <w:r w:rsidR="007376D4">
        <w:t>, 2008</w:t>
      </w:r>
      <w:r w:rsidRPr="00AF74DA">
        <w:t>)</w:t>
      </w:r>
      <w:r w:rsidR="002961E5">
        <w:t xml:space="preserve">, Section 7, </w:t>
      </w:r>
      <w:r w:rsidR="00AF74DA" w:rsidRPr="00AF74DA">
        <w:t xml:space="preserve">and </w:t>
      </w:r>
      <w:r w:rsidR="00AF74DA" w:rsidRPr="00AF74DA">
        <w:rPr>
          <w:rFonts w:cs="Arial"/>
        </w:rPr>
        <w:t xml:space="preserve">ISO 80000-1:2009, </w:t>
      </w:r>
      <w:r w:rsidR="00AF74DA" w:rsidRPr="00AF74DA">
        <w:rPr>
          <w:rFonts w:cs="Arial"/>
          <w:i/>
        </w:rPr>
        <w:t>Quantities and units, Part 1</w:t>
      </w:r>
      <w:r>
        <w:t>.</w:t>
      </w:r>
      <w:r w:rsidR="00871FAF">
        <w:t xml:space="preserve"> </w:t>
      </w:r>
      <w:r w:rsidR="00871FAF" w:rsidRPr="00871FAF">
        <w:t xml:space="preserve">Three Options for rounding </w:t>
      </w:r>
      <w:r w:rsidR="0071491D">
        <w:t xml:space="preserve">presented </w:t>
      </w:r>
      <w:r w:rsidR="00871FAF" w:rsidRPr="00871FAF">
        <w:t>in this GLP</w:t>
      </w:r>
      <w:r w:rsidR="0071491D">
        <w:t xml:space="preserve"> that are all commonly used by calibration and testing laboratories</w:t>
      </w:r>
      <w:r w:rsidR="00871FAF" w:rsidRPr="00871FAF">
        <w:t>. The laboratory should document which method(s) will be used.</w:t>
      </w:r>
    </w:p>
    <w:p w14:paraId="4BD4EE2E" w14:textId="10B49F36" w:rsidR="00BA18C3" w:rsidRPr="003E74FE" w:rsidRDefault="00BA18C3" w:rsidP="009D3031">
      <w:pPr>
        <w:pStyle w:val="BodyText"/>
        <w:rPr>
          <w:i/>
        </w:rPr>
      </w:pPr>
      <w:r w:rsidRPr="003E74FE">
        <w:rPr>
          <w:i/>
        </w:rPr>
        <w:t xml:space="preserve">Note:  </w:t>
      </w:r>
      <w:r w:rsidR="00580B0B" w:rsidRPr="003E74FE">
        <w:rPr>
          <w:i/>
        </w:rPr>
        <w:t xml:space="preserve">do not round </w:t>
      </w:r>
      <w:r w:rsidRPr="003E74FE">
        <w:rPr>
          <w:i/>
        </w:rPr>
        <w:t xml:space="preserve">intermediate </w:t>
      </w:r>
      <w:r w:rsidR="00580B0B" w:rsidRPr="003E74FE">
        <w:rPr>
          <w:i/>
        </w:rPr>
        <w:t xml:space="preserve">calculations; </w:t>
      </w:r>
      <w:r w:rsidRPr="003E74FE">
        <w:rPr>
          <w:i/>
        </w:rPr>
        <w:t xml:space="preserve">rounding intermediate values </w:t>
      </w:r>
      <w:r w:rsidR="00580B0B" w:rsidRPr="003E74FE">
        <w:rPr>
          <w:i/>
        </w:rPr>
        <w:t xml:space="preserve">can cause rounding errors in the final results and </w:t>
      </w:r>
      <w:r w:rsidRPr="003E74FE">
        <w:rPr>
          <w:i/>
        </w:rPr>
        <w:t xml:space="preserve">should </w:t>
      </w:r>
      <w:r w:rsidR="00580B0B" w:rsidRPr="003E74FE">
        <w:rPr>
          <w:i/>
        </w:rPr>
        <w:t xml:space="preserve">only </w:t>
      </w:r>
      <w:r w:rsidRPr="003E74FE">
        <w:rPr>
          <w:i/>
        </w:rPr>
        <w:t xml:space="preserve">take place </w:t>
      </w:r>
      <w:r w:rsidR="00580B0B" w:rsidRPr="003E74FE">
        <w:rPr>
          <w:i/>
        </w:rPr>
        <w:t xml:space="preserve">after </w:t>
      </w:r>
      <w:r w:rsidRPr="003E74FE">
        <w:rPr>
          <w:i/>
        </w:rPr>
        <w:t xml:space="preserve">the final expanded uncertainty </w:t>
      </w:r>
      <w:r w:rsidR="009D3031">
        <w:rPr>
          <w:i/>
        </w:rPr>
        <w:t>h</w:t>
      </w:r>
      <w:r w:rsidRPr="003E74FE">
        <w:rPr>
          <w:i/>
        </w:rPr>
        <w:t>as been determined.</w:t>
      </w:r>
    </w:p>
    <w:p w14:paraId="2ED71D5D" w14:textId="77777777" w:rsidR="00985573" w:rsidRDefault="00580B0B" w:rsidP="004563A3">
      <w:pPr>
        <w:pStyle w:val="Heading1"/>
        <w:keepNext w:val="0"/>
        <w:keepLines w:val="0"/>
      </w:pPr>
      <w:r w:rsidRPr="005A3784">
        <w:t>Rounding Steps</w:t>
      </w:r>
      <w:r w:rsidR="006033A3" w:rsidRPr="005A3784">
        <w:t xml:space="preserve">. </w:t>
      </w:r>
      <w:r w:rsidR="00985573" w:rsidRPr="005A3784">
        <w:t xml:space="preserve">The steps for reporting corrections and uncertainties are as follows: </w:t>
      </w:r>
    </w:p>
    <w:p w14:paraId="2455C038" w14:textId="77777777" w:rsidR="005A3784" w:rsidRDefault="00871FAF" w:rsidP="004563A3">
      <w:pPr>
        <w:pStyle w:val="Heading2"/>
        <w:keepNext w:val="0"/>
        <w:keepLines w:val="0"/>
      </w:pPr>
      <w:r>
        <w:t>Identify the first two significant digits</w:t>
      </w:r>
      <w:r w:rsidR="003E74FE">
        <w:t xml:space="preserve"> in the expanded uncertainty</w:t>
      </w:r>
      <w:r>
        <w:t>. Moving from left to right, the first non-zero number is considered the first significant digit. Zeros, which follow a decimal point, when there are only zeros ahead of the decimal point, are not considered significant figures.</w:t>
      </w:r>
    </w:p>
    <w:p w14:paraId="08BBE05D" w14:textId="77777777" w:rsidR="00871FAF" w:rsidRDefault="00871FAF" w:rsidP="004563A3">
      <w:pPr>
        <w:pStyle w:val="Heading2"/>
        <w:keepNext w:val="0"/>
        <w:keepLines w:val="0"/>
      </w:pPr>
      <w:r w:rsidRPr="005A3784">
        <w:t xml:space="preserve">Round the </w:t>
      </w:r>
      <w:r w:rsidR="003E74FE" w:rsidRPr="005A3784">
        <w:t xml:space="preserve">expanded </w:t>
      </w:r>
      <w:r w:rsidRPr="005A3784">
        <w:t>uncertainty following Option A, B, or C.</w:t>
      </w:r>
    </w:p>
    <w:p w14:paraId="2A9B1638" w14:textId="77777777" w:rsidR="00985573" w:rsidRPr="005A3784" w:rsidRDefault="00985573" w:rsidP="004563A3">
      <w:pPr>
        <w:pStyle w:val="Heading2"/>
        <w:keepNext w:val="0"/>
        <w:keepLines w:val="0"/>
      </w:pPr>
      <w:r w:rsidRPr="005A3784">
        <w:t xml:space="preserve">Round the </w:t>
      </w:r>
      <w:r w:rsidR="00871FAF" w:rsidRPr="005A3784">
        <w:t xml:space="preserve">reported measurement result, </w:t>
      </w:r>
      <w:r w:rsidRPr="005A3784">
        <w:t>correction</w:t>
      </w:r>
      <w:r w:rsidR="00871FAF" w:rsidRPr="005A3784">
        <w:t xml:space="preserve">, or </w:t>
      </w:r>
      <w:r w:rsidRPr="005A3784">
        <w:t xml:space="preserve">error to the </w:t>
      </w:r>
      <w:r w:rsidR="000D5594" w:rsidRPr="005A3784">
        <w:t xml:space="preserve">same number of decimal places as the least significant digit of </w:t>
      </w:r>
      <w:r w:rsidRPr="005A3784">
        <w:t>the uncertainty</w:t>
      </w:r>
      <w:r w:rsidR="000D5594" w:rsidRPr="005A3784">
        <w:t xml:space="preserve"> with both value and uncertainty being in the same units</w:t>
      </w:r>
      <w:r w:rsidR="006033A3" w:rsidRPr="005A3784">
        <w:t xml:space="preserve">. </w:t>
      </w:r>
      <w:r w:rsidR="00871FAF" w:rsidRPr="005A3784">
        <w:t xml:space="preserve">Both the measurement result and </w:t>
      </w:r>
      <w:r w:rsidRPr="005A3784">
        <w:t xml:space="preserve">uncertainty </w:t>
      </w:r>
      <w:r w:rsidR="00871FAF" w:rsidRPr="005A3784">
        <w:t xml:space="preserve">will be rounded </w:t>
      </w:r>
      <w:r w:rsidRPr="005A3784">
        <w:t>to the same level of significance.</w:t>
      </w:r>
    </w:p>
    <w:p w14:paraId="748639D0" w14:textId="77777777" w:rsidR="00580B0B" w:rsidRDefault="00580B0B" w:rsidP="004563A3">
      <w:pPr>
        <w:pStyle w:val="Heading1"/>
        <w:keepNext w:val="0"/>
        <w:keepLines w:val="0"/>
      </w:pPr>
      <w:r>
        <w:t>Rounding Methods</w:t>
      </w:r>
    </w:p>
    <w:p w14:paraId="2606C5D4" w14:textId="77777777" w:rsidR="001B3806" w:rsidRDefault="001B3806" w:rsidP="004563A3">
      <w:pPr>
        <w:pStyle w:val="Heading2"/>
        <w:keepNext w:val="0"/>
        <w:keepLines w:val="0"/>
      </w:pPr>
      <w:r>
        <w:t>Option A</w:t>
      </w:r>
      <w:r w:rsidR="006033A3">
        <w:t xml:space="preserve">. </w:t>
      </w:r>
      <w:r>
        <w:t>Even/Odd Method</w:t>
      </w:r>
      <w:r>
        <w:rPr>
          <w:rStyle w:val="FootnoteReference"/>
        </w:rPr>
        <w:footnoteReference w:id="1"/>
      </w:r>
      <w:r>
        <w:t>.</w:t>
      </w:r>
    </w:p>
    <w:p w14:paraId="6CE02D3B" w14:textId="77777777" w:rsidR="001B3806" w:rsidRDefault="001B3806" w:rsidP="004563A3">
      <w:pPr>
        <w:pStyle w:val="Heading3"/>
        <w:keepNext w:val="0"/>
        <w:keepLines w:val="0"/>
      </w:pPr>
      <w:r w:rsidRPr="00DD2FE3">
        <w:t xml:space="preserve">Use the following rules to round measurement data using the even/odd rounding rules, consistent with the level of significance: </w:t>
      </w:r>
    </w:p>
    <w:p w14:paraId="6F341AC1" w14:textId="77777777" w:rsidR="001B3806" w:rsidRDefault="001B3806" w:rsidP="004563A3">
      <w:pPr>
        <w:pStyle w:val="Heading3"/>
        <w:keepNext w:val="0"/>
        <w:keepLines w:val="0"/>
      </w:pPr>
      <w:r w:rsidRPr="00DD2FE3">
        <w:lastRenderedPageBreak/>
        <w:t>When the digit next beyond the one to be retained is less than five, keep the retained figure unchanged. For example: 2.541 becomes 2.5 to two significant figures.</w:t>
      </w:r>
    </w:p>
    <w:p w14:paraId="3CF354BA" w14:textId="77777777" w:rsidR="00DD2FE3" w:rsidRDefault="001B3806" w:rsidP="004563A3">
      <w:pPr>
        <w:pStyle w:val="Heading3"/>
        <w:keepNext w:val="0"/>
        <w:keepLines w:val="0"/>
      </w:pPr>
      <w:r w:rsidRPr="00DD2FE3">
        <w:t>When the digit next beyond the one to be retained is greater than five, increase the retained figure by one. For example: 2.453 becomes 2.5 to two significant figures.</w:t>
      </w:r>
    </w:p>
    <w:p w14:paraId="5E062BBA" w14:textId="77777777" w:rsidR="00DD2FE3" w:rsidRPr="00DD2FE3" w:rsidRDefault="001B3806" w:rsidP="004563A3">
      <w:pPr>
        <w:pStyle w:val="Heading3"/>
        <w:keepNext w:val="0"/>
        <w:keepLines w:val="0"/>
      </w:pPr>
      <w:r w:rsidRPr="00DD2FE3">
        <w:t xml:space="preserve">When the digit next beyond the one to be retained is exactly five, and the retained digit is even, leave it unchanged; conversely if the digit is odd, increase the retained figure by one (even/odd rounding). Thus, 3.450 becomes 3.4 but 3.550 becomes 3.6 to two significant figures. </w:t>
      </w:r>
    </w:p>
    <w:p w14:paraId="2DC85557" w14:textId="77777777" w:rsidR="001B3806" w:rsidRPr="00DD2FE3" w:rsidRDefault="00DD2FE3" w:rsidP="004563A3">
      <w:pPr>
        <w:pStyle w:val="Heading3"/>
        <w:keepNext w:val="0"/>
        <w:keepLines w:val="0"/>
      </w:pPr>
      <w:r w:rsidRPr="00DD2FE3">
        <w:t>W</w:t>
      </w:r>
      <w:r w:rsidR="001B3806" w:rsidRPr="00DD2FE3">
        <w:t>hen two or more figures are to the right of the last figure to be retained, consider them as a group in rounding deci</w:t>
      </w:r>
      <w:r w:rsidR="001B3806" w:rsidRPr="00DD2FE3">
        <w:softHyphen/>
        <w:t xml:space="preserve">sions. Thus, in 2.4(501), the group (501) </w:t>
      </w:r>
      <w:r w:rsidR="002D021B" w:rsidRPr="00DD2FE3">
        <w:t>is</w:t>
      </w:r>
      <w:r w:rsidR="001B3806" w:rsidRPr="00DD2FE3">
        <w:t xml:space="preserve"> greater than 5 while for 2.5(499), (499) </w:t>
      </w:r>
      <w:r w:rsidR="002D021B" w:rsidRPr="00DD2FE3">
        <w:t>is</w:t>
      </w:r>
      <w:r w:rsidR="001B3806" w:rsidRPr="00DD2FE3">
        <w:t xml:space="preserve"> less than 5.</w:t>
      </w:r>
    </w:p>
    <w:p w14:paraId="0B7786CD" w14:textId="77777777" w:rsidR="00985573" w:rsidRDefault="00985573" w:rsidP="004563A3">
      <w:pPr>
        <w:pStyle w:val="Heading2"/>
        <w:keepNext w:val="0"/>
        <w:keepLines w:val="0"/>
      </w:pPr>
      <w:r>
        <w:t xml:space="preserve">Option </w:t>
      </w:r>
      <w:r w:rsidR="001B3806">
        <w:t>B</w:t>
      </w:r>
      <w:r>
        <w:t xml:space="preserve">. Standard Spreadsheet Rounding. </w:t>
      </w:r>
      <w:r>
        <w:tab/>
      </w:r>
    </w:p>
    <w:p w14:paraId="26543D4B" w14:textId="77777777" w:rsidR="00985573" w:rsidRDefault="00985573" w:rsidP="009D3031">
      <w:pPr>
        <w:pStyle w:val="BodyText"/>
        <w:ind w:left="1440"/>
      </w:pPr>
      <w:r>
        <w:t>Use standard rounding practices that are used in spreadsheet software such as Microsoft Excel</w:t>
      </w:r>
      <w:r w:rsidR="00871FAF">
        <w:t xml:space="preserve"> and </w:t>
      </w:r>
      <w:r w:rsidR="00733C38">
        <w:t xml:space="preserve">by </w:t>
      </w:r>
      <w:r w:rsidR="00871FAF">
        <w:t>follow</w:t>
      </w:r>
      <w:r w:rsidR="00733C38">
        <w:t>ing</w:t>
      </w:r>
      <w:r w:rsidR="00871FAF">
        <w:t xml:space="preserve"> the steps for rounding shown above</w:t>
      </w:r>
      <w:r>
        <w:t>.</w:t>
      </w:r>
      <w:r w:rsidR="003E74FE">
        <w:t xml:space="preserve"> (This will generally round up</w:t>
      </w:r>
      <w:r w:rsidR="006033A3">
        <w:t xml:space="preserve">. </w:t>
      </w:r>
      <w:r w:rsidR="003E74FE">
        <w:t>Do not use truncations.)</w:t>
      </w:r>
    </w:p>
    <w:p w14:paraId="5073342B" w14:textId="77777777" w:rsidR="00985573" w:rsidRDefault="00985573" w:rsidP="009D3031">
      <w:pPr>
        <w:pStyle w:val="Heading2"/>
      </w:pPr>
      <w:r w:rsidRPr="00580B0B">
        <w:t xml:space="preserve">Option </w:t>
      </w:r>
      <w:r w:rsidR="001B3806" w:rsidRPr="00580B0B">
        <w:t>C</w:t>
      </w:r>
      <w:r w:rsidRPr="00580B0B">
        <w:t xml:space="preserve">. Round </w:t>
      </w:r>
      <w:r w:rsidR="00580B0B">
        <w:t xml:space="preserve">Uncertainties </w:t>
      </w:r>
      <w:r w:rsidRPr="00580B0B">
        <w:t>Up.</w:t>
      </w:r>
    </w:p>
    <w:p w14:paraId="504328BF" w14:textId="77777777" w:rsidR="00580B0B" w:rsidRDefault="00985573" w:rsidP="009D3031">
      <w:pPr>
        <w:pStyle w:val="BodyText"/>
        <w:ind w:left="1440"/>
      </w:pPr>
      <w:r>
        <w:t xml:space="preserve">Round uncertainties up to the next larger value </w:t>
      </w:r>
      <w:r w:rsidR="001B3806">
        <w:t xml:space="preserve">when there are any digits beyond the </w:t>
      </w:r>
      <w:r w:rsidR="00A0034C">
        <w:t>second significant digit</w:t>
      </w:r>
      <w:r w:rsidR="00733C38">
        <w:t xml:space="preserve">. This </w:t>
      </w:r>
      <w:r w:rsidR="00183FA6">
        <w:t xml:space="preserve">conservative </w:t>
      </w:r>
      <w:r w:rsidR="00733C38">
        <w:t xml:space="preserve">approach may be </w:t>
      </w:r>
      <w:r>
        <w:t xml:space="preserve">used for </w:t>
      </w:r>
      <w:r w:rsidR="00580B0B">
        <w:t xml:space="preserve">reporting uncertainties, for </w:t>
      </w:r>
      <w:r>
        <w:t>evaluating compliance of the uncertainties against maximum permissible errors (mpe), tolerances, or risk assessments (including guard banding)</w:t>
      </w:r>
      <w:r w:rsidR="00871FAF">
        <w:t xml:space="preserve"> and </w:t>
      </w:r>
      <w:r w:rsidR="00183FA6">
        <w:t xml:space="preserve">may </w:t>
      </w:r>
      <w:r w:rsidR="00580B0B">
        <w:t xml:space="preserve">also </w:t>
      </w:r>
      <w:r w:rsidR="00183FA6">
        <w:t>be used when reporting values on an accreditation Scope</w:t>
      </w:r>
      <w:r w:rsidR="006033A3">
        <w:t xml:space="preserve">. </w:t>
      </w:r>
      <w:r w:rsidR="00183FA6">
        <w:t>F</w:t>
      </w:r>
      <w:r w:rsidR="00871FAF">
        <w:t>ollow the steps for rounding shown above</w:t>
      </w:r>
      <w:r>
        <w:t>.</w:t>
      </w:r>
    </w:p>
    <w:p w14:paraId="3B7F189B" w14:textId="0EF0BB1F" w:rsidR="00580B0B" w:rsidRPr="00DD2FE3" w:rsidRDefault="00580B0B" w:rsidP="009D3031">
      <w:pPr>
        <w:pStyle w:val="Heading1"/>
      </w:pPr>
      <w:r w:rsidRPr="00DD2FE3">
        <w:t>Examples</w:t>
      </w:r>
      <w:r w:rsidR="00082C5D">
        <w:t xml:space="preserve"> of Rounding</w:t>
      </w:r>
    </w:p>
    <w:p w14:paraId="428B634D" w14:textId="77777777" w:rsidR="00816F23" w:rsidRDefault="00816F23" w:rsidP="009D3031">
      <w:pPr>
        <w:pStyle w:val="BodyText"/>
        <w:ind w:left="720"/>
      </w:pPr>
      <w:r>
        <w:t>Several examples to illustrate the proper method of reporting corrections and uncertainties follow</w:t>
      </w:r>
      <w:r w:rsidR="006033A3">
        <w:t xml:space="preserve">. </w:t>
      </w:r>
      <w:r w:rsidR="00AE4651">
        <w:t xml:space="preserve">The number of significant digits will be identical </w:t>
      </w:r>
      <w:r w:rsidR="00733C38">
        <w:t xml:space="preserve">for </w:t>
      </w:r>
      <w:r w:rsidR="00AE4651">
        <w:t>these examples for all three options.</w:t>
      </w:r>
    </w:p>
    <w:p w14:paraId="02E43A97" w14:textId="77777777" w:rsidR="00816F23" w:rsidRDefault="00816F23" w:rsidP="00921A77">
      <w:pPr>
        <w:pStyle w:val="Heading2"/>
      </w:pPr>
      <w:r>
        <w:t xml:space="preserve">Example 1 </w:t>
      </w:r>
    </w:p>
    <w:p w14:paraId="3D1D5711" w14:textId="6878EBC4" w:rsidR="00816F23" w:rsidRDefault="00816F23" w:rsidP="009D3031">
      <w:pPr>
        <w:pStyle w:val="BodyText"/>
        <w:ind w:left="1440"/>
      </w:pPr>
      <w:r>
        <w:t>Suppose the correction for a weight is computed to be 1.357</w:t>
      </w:r>
      <w:r w:rsidR="00D77353">
        <w:t xml:space="preserve"> </w:t>
      </w:r>
      <w:r>
        <w:t>8 mg and the uncertainty is 0.577</w:t>
      </w:r>
      <w:r w:rsidR="00871FAF">
        <w:t> </w:t>
      </w:r>
      <w:r>
        <w:t>5</w:t>
      </w:r>
      <w:r w:rsidR="00D77353">
        <w:t> </w:t>
      </w:r>
      <w:r>
        <w:t>mg</w:t>
      </w:r>
      <w:r w:rsidR="00435D20">
        <w:t xml:space="preserve">. </w:t>
      </w:r>
      <w:r>
        <w:t>First, round the uncertainty to two significant figures, that is, 0.58 mg</w:t>
      </w:r>
      <w:r w:rsidR="00435D20">
        <w:t xml:space="preserve">. </w:t>
      </w:r>
      <w:r>
        <w:t>Then state the correction as 1.36 mg. Notice that the uncertainty and the correction express the same number of decimal places</w:t>
      </w:r>
      <w:r w:rsidR="00435D20">
        <w:t xml:space="preserve">. </w:t>
      </w:r>
      <w:r>
        <w:t xml:space="preserve">Report the correction as 1.36 mg ± 0.58 mg. </w:t>
      </w:r>
      <w:r w:rsidR="00871FAF">
        <w:t xml:space="preserve">This </w:t>
      </w:r>
      <w:r w:rsidR="00733C38">
        <w:t xml:space="preserve">result </w:t>
      </w:r>
      <w:r w:rsidR="00871FAF">
        <w:t xml:space="preserve">will be </w:t>
      </w:r>
      <w:r w:rsidR="00733C38">
        <w:t xml:space="preserve">identical </w:t>
      </w:r>
      <w:r w:rsidR="00871FAF">
        <w:t>for Options A, B, and C.</w:t>
      </w:r>
    </w:p>
    <w:p w14:paraId="44CE85FA" w14:textId="77777777" w:rsidR="00816F23" w:rsidRDefault="00816F23" w:rsidP="00921A77">
      <w:pPr>
        <w:pStyle w:val="Heading2"/>
      </w:pPr>
      <w:r>
        <w:lastRenderedPageBreak/>
        <w:t xml:space="preserve">Example 2 </w:t>
      </w:r>
    </w:p>
    <w:p w14:paraId="300BC664" w14:textId="2312E07B" w:rsidR="00816F23" w:rsidRDefault="00816F23" w:rsidP="009D3031">
      <w:pPr>
        <w:pStyle w:val="BodyText"/>
        <w:ind w:left="1440"/>
      </w:pPr>
      <w:r>
        <w:t>The volume of a given flask is computed to be 2000.714</w:t>
      </w:r>
      <w:r w:rsidR="00D77353">
        <w:t xml:space="preserve"> </w:t>
      </w:r>
      <w:r>
        <w:t>431 mL and the uncertainty is 0.084</w:t>
      </w:r>
      <w:r w:rsidR="00D77353">
        <w:t> </w:t>
      </w:r>
      <w:r>
        <w:t>024</w:t>
      </w:r>
      <w:r w:rsidR="00871FAF">
        <w:t> </w:t>
      </w:r>
      <w:r>
        <w:t>mL</w:t>
      </w:r>
      <w:r w:rsidR="00435D20">
        <w:t xml:space="preserve">. </w:t>
      </w:r>
      <w:r>
        <w:t>First, round the uncertainty to two significant figures, that is, 0.084 mL</w:t>
      </w:r>
      <w:r w:rsidR="00435D20">
        <w:t xml:space="preserve">. </w:t>
      </w:r>
      <w:r>
        <w:t>(Do not count the first zero after the decimal point.) Round the calculated volume to the same number of decimal places as the uncertainty statement, that is, 2000.714 mL</w:t>
      </w:r>
      <w:r w:rsidR="00435D20">
        <w:t xml:space="preserve">. </w:t>
      </w:r>
      <w:r>
        <w:t>Report the volume as 2000.714 mL ± 0.084 mL</w:t>
      </w:r>
      <w:r w:rsidR="006033A3">
        <w:t xml:space="preserve">. </w:t>
      </w:r>
      <w:r w:rsidR="00871FAF">
        <w:t xml:space="preserve">Options A and </w:t>
      </w:r>
      <w:r w:rsidR="001B3806">
        <w:t>B</w:t>
      </w:r>
      <w:r w:rsidR="00871FAF">
        <w:t xml:space="preserve"> follow this example</w:t>
      </w:r>
      <w:r w:rsidR="006033A3">
        <w:t xml:space="preserve">. </w:t>
      </w:r>
      <w:r w:rsidR="00871FAF">
        <w:t xml:space="preserve">Option </w:t>
      </w:r>
      <w:r w:rsidR="001B3806">
        <w:t>C</w:t>
      </w:r>
      <w:r w:rsidR="00871FAF">
        <w:t xml:space="preserve"> will round the uncertainty to 0.085 mL since it rounds up for evaluation.</w:t>
      </w:r>
      <w:r w:rsidR="00AE4651">
        <w:t xml:space="preserve"> </w:t>
      </w:r>
      <w:r w:rsidR="00733C38">
        <w:t xml:space="preserve">The result for Option </w:t>
      </w:r>
      <w:r w:rsidR="001B3806">
        <w:t>C</w:t>
      </w:r>
      <w:r w:rsidR="00733C38">
        <w:t xml:space="preserve"> will be 2000.714 mL ± 0.085 mL.</w:t>
      </w:r>
    </w:p>
    <w:p w14:paraId="3A60774B" w14:textId="77777777" w:rsidR="00816F23" w:rsidRDefault="00816F23" w:rsidP="00F96396">
      <w:pPr>
        <w:pStyle w:val="Heading2"/>
      </w:pPr>
      <w:r>
        <w:t xml:space="preserve">Example 3 </w:t>
      </w:r>
    </w:p>
    <w:p w14:paraId="5CC1A870" w14:textId="112B0724" w:rsidR="00816F23" w:rsidRDefault="00816F23" w:rsidP="009D3031">
      <w:pPr>
        <w:pStyle w:val="BodyText"/>
        <w:ind w:left="1440"/>
      </w:pPr>
      <w:r>
        <w:t>The correction for a weight is computed to be 4.3415 mg and the uncertainty is 2.0478 mg</w:t>
      </w:r>
      <w:r w:rsidR="00435D20">
        <w:t xml:space="preserve">. </w:t>
      </w:r>
      <w:r>
        <w:t>First, round the uncertainty to two significant figures, that is, 2.0 mg</w:t>
      </w:r>
      <w:r w:rsidR="00435D20">
        <w:t xml:space="preserve">. </w:t>
      </w:r>
      <w:r>
        <w:t>(Notice that two significant figures are shown</w:t>
      </w:r>
      <w:r w:rsidR="00435D20">
        <w:t xml:space="preserve">. </w:t>
      </w:r>
      <w:r>
        <w:t>The zero is a significant figure since it follows a non</w:t>
      </w:r>
      <w:r>
        <w:noBreakHyphen/>
        <w:t>zero number.)  Then, round the correction to the same number of decimal places as the uncer</w:t>
      </w:r>
      <w:r>
        <w:softHyphen/>
        <w:t>tainty statement, that is, 4.3 mg</w:t>
      </w:r>
      <w:r w:rsidR="00435D20">
        <w:t xml:space="preserve">. </w:t>
      </w:r>
      <w:r>
        <w:t>Report the correction as 4.3 mg ± 2.0 mg</w:t>
      </w:r>
      <w:r w:rsidR="00733C38">
        <w:t xml:space="preserve"> for Options A and </w:t>
      </w:r>
      <w:r w:rsidR="001B3806">
        <w:t>B</w:t>
      </w:r>
      <w:r w:rsidR="00733C38">
        <w:t xml:space="preserve">. Option </w:t>
      </w:r>
      <w:r w:rsidR="001B3806">
        <w:t>C</w:t>
      </w:r>
      <w:r w:rsidR="00733C38">
        <w:t xml:space="preserve"> will be 4.3 mg ± 2.1 mg since </w:t>
      </w:r>
      <w:r w:rsidR="001B3806">
        <w:t xml:space="preserve">any value after the 0 in 2.0 </w:t>
      </w:r>
      <w:r w:rsidR="00733C38">
        <w:t xml:space="preserve">will </w:t>
      </w:r>
      <w:r w:rsidR="001B3806">
        <w:t xml:space="preserve">cause it to be </w:t>
      </w:r>
      <w:r w:rsidR="00733C38">
        <w:t>round</w:t>
      </w:r>
      <w:r w:rsidR="001B3806">
        <w:t>ed</w:t>
      </w:r>
      <w:r w:rsidR="00733C38">
        <w:t xml:space="preserve"> up</w:t>
      </w:r>
      <w:r w:rsidR="001B3806">
        <w:t xml:space="preserve"> to 2.1.</w:t>
      </w:r>
    </w:p>
    <w:p w14:paraId="03A924D1" w14:textId="77777777" w:rsidR="00816F23" w:rsidRDefault="00816F23" w:rsidP="00F96396">
      <w:pPr>
        <w:pStyle w:val="Heading2"/>
      </w:pPr>
      <w:r>
        <w:t xml:space="preserve">Example 4 </w:t>
      </w:r>
    </w:p>
    <w:p w14:paraId="1F4789EF" w14:textId="1AB68A8E" w:rsidR="00816F23" w:rsidRDefault="00816F23" w:rsidP="009D3031">
      <w:pPr>
        <w:pStyle w:val="BodyText"/>
        <w:ind w:left="1440"/>
      </w:pPr>
      <w:r>
        <w:t>The correction for a weight is computed to be 285.41 mg and the uncertainty is 102.98 mg</w:t>
      </w:r>
      <w:r w:rsidR="00435D20">
        <w:t xml:space="preserve">. </w:t>
      </w:r>
      <w:r>
        <w:t>Because this uncertainty is a large number, we first convert both values to the next larger commonly reported unit (i.e., 0.28541 g and 0.10298 g respectively)</w:t>
      </w:r>
      <w:r w:rsidR="00435D20">
        <w:t xml:space="preserve">. </w:t>
      </w:r>
      <w:r>
        <w:t>First, round the uncertainty to 0.10 g</w:t>
      </w:r>
      <w:r w:rsidR="00435D20">
        <w:t xml:space="preserve">. </w:t>
      </w:r>
      <w:r>
        <w:t>(The first nonzero digit (1) is the first significant figure and the remaining digits are rounded to the nearest number following the first nonzero digit.) Then, round the correction to the point where the rounding occurred in the uncertainty statement</w:t>
      </w:r>
      <w:r w:rsidR="00435D20">
        <w:t xml:space="preserve">. </w:t>
      </w:r>
      <w:r>
        <w:t>Round the correction to 0.29 g</w:t>
      </w:r>
      <w:r w:rsidR="00435D20">
        <w:t xml:space="preserve">. </w:t>
      </w:r>
      <w:r>
        <w:t>Report the correction as 0.29 g ± 0.10 g</w:t>
      </w:r>
      <w:r w:rsidR="001B3806">
        <w:t xml:space="preserve"> </w:t>
      </w:r>
      <w:r w:rsidR="006B3986">
        <w:t xml:space="preserve">(290 mg ± 100 mg) </w:t>
      </w:r>
      <w:r w:rsidR="001B3806">
        <w:t>for Options A and B</w:t>
      </w:r>
      <w:r w:rsidR="006033A3">
        <w:t xml:space="preserve">. </w:t>
      </w:r>
      <w:r w:rsidR="001B3806">
        <w:t>Option C will be reported as 0.29 g ± 0.11 g</w:t>
      </w:r>
      <w:r w:rsidR="006B3986">
        <w:t xml:space="preserve"> (290 mg ± 110 mg)</w:t>
      </w:r>
      <w:r w:rsidR="001B3806">
        <w:t>.</w:t>
      </w:r>
    </w:p>
    <w:p w14:paraId="4ABEA5AC" w14:textId="77777777" w:rsidR="00816F23" w:rsidRDefault="00816F23" w:rsidP="00F96396">
      <w:pPr>
        <w:pStyle w:val="Heading2"/>
      </w:pPr>
      <w:r>
        <w:t xml:space="preserve">Example 5 </w:t>
      </w:r>
    </w:p>
    <w:p w14:paraId="3E67AE91" w14:textId="3450E6D3" w:rsidR="00816F23" w:rsidRDefault="00816F23" w:rsidP="009D3031">
      <w:pPr>
        <w:pStyle w:val="BodyText"/>
        <w:ind w:left="1440"/>
      </w:pPr>
      <w:r>
        <w:t>The correction for a weight is computed to be 285.41 mg and the uncertainty is 33.4875 mg</w:t>
      </w:r>
      <w:r w:rsidR="00435D20">
        <w:t xml:space="preserve">. </w:t>
      </w:r>
      <w:r>
        <w:t>First, round the uncertainty to two significant figures, that is 33 mg</w:t>
      </w:r>
      <w:r w:rsidR="00435D20">
        <w:t xml:space="preserve">. </w:t>
      </w:r>
      <w:r>
        <w:t>Then, round the correction to the same number of decimal places as the uncertainty statement, that is, 285 mg</w:t>
      </w:r>
      <w:r w:rsidR="00435D20">
        <w:t xml:space="preserve">. </w:t>
      </w:r>
      <w:r>
        <w:t>Report the correction as 285 mg ± 33 mg</w:t>
      </w:r>
      <w:r w:rsidR="001B3806">
        <w:t xml:space="preserve"> for Options A and B</w:t>
      </w:r>
      <w:r>
        <w:t xml:space="preserve">. </w:t>
      </w:r>
      <w:r w:rsidR="001B3806">
        <w:t xml:space="preserve">Report the correction as 285 mg ± 34 mg for Option C. </w:t>
      </w:r>
    </w:p>
    <w:p w14:paraId="74388AA0" w14:textId="77777777" w:rsidR="00816F23" w:rsidRDefault="00816F23" w:rsidP="00F96396">
      <w:pPr>
        <w:pStyle w:val="Heading2"/>
      </w:pPr>
      <w:r>
        <w:t xml:space="preserve">Example 6 </w:t>
      </w:r>
    </w:p>
    <w:p w14:paraId="65BFF8BB" w14:textId="6771CE8D" w:rsidR="00816F23" w:rsidRDefault="00816F23" w:rsidP="009D3031">
      <w:pPr>
        <w:pStyle w:val="BodyText"/>
        <w:ind w:left="1440"/>
      </w:pPr>
      <w:r>
        <w:t>The length of a calibrated interval is computed to be 9.999</w:t>
      </w:r>
      <w:r w:rsidR="00D77353">
        <w:t> </w:t>
      </w:r>
      <w:r>
        <w:t>455</w:t>
      </w:r>
      <w:r w:rsidR="00D77353">
        <w:t> </w:t>
      </w:r>
      <w:r>
        <w:t>8 ft and the uncertainty is 0.003</w:t>
      </w:r>
      <w:r w:rsidR="00D77353">
        <w:t> </w:t>
      </w:r>
      <w:r>
        <w:t>561</w:t>
      </w:r>
      <w:r w:rsidR="00D77353">
        <w:t> </w:t>
      </w:r>
      <w:r>
        <w:t>7 in</w:t>
      </w:r>
      <w:r w:rsidR="00435D20">
        <w:t xml:space="preserve">. </w:t>
      </w:r>
      <w:r>
        <w:t>First, make sure both values are reported in the same unit (i.e., convert the uncertainty to ft, 0.000</w:t>
      </w:r>
      <w:r w:rsidR="00D77353">
        <w:t> </w:t>
      </w:r>
      <w:r>
        <w:t>296</w:t>
      </w:r>
      <w:r w:rsidR="00D77353">
        <w:t> </w:t>
      </w:r>
      <w:r>
        <w:t>808 ft.)  Then, round the value to two significant figures, that is, 0.000</w:t>
      </w:r>
      <w:r w:rsidR="00D77353">
        <w:t> </w:t>
      </w:r>
      <w:r>
        <w:t>30 ft</w:t>
      </w:r>
      <w:r w:rsidR="00435D20">
        <w:t xml:space="preserve">. </w:t>
      </w:r>
      <w:r>
        <w:t>Then, round the length of the interval to the same number of decimal places as the uncertainty value, that is, 9.999</w:t>
      </w:r>
      <w:r w:rsidR="00D77353">
        <w:t> </w:t>
      </w:r>
      <w:r>
        <w:t>46 ft. Report the length of the interval as 9.999</w:t>
      </w:r>
      <w:r w:rsidR="00D77353">
        <w:t> </w:t>
      </w:r>
      <w:r>
        <w:t>46 ft ± 0.000</w:t>
      </w:r>
      <w:r w:rsidR="00D77353">
        <w:t> </w:t>
      </w:r>
      <w:r>
        <w:t>30</w:t>
      </w:r>
      <w:r w:rsidR="00D77353">
        <w:t> </w:t>
      </w:r>
      <w:r>
        <w:t xml:space="preserve">ft. </w:t>
      </w:r>
      <w:r w:rsidR="001B3806">
        <w:t>This result will be identical for Options A, B, and C.</w:t>
      </w:r>
    </w:p>
    <w:p w14:paraId="329879F4" w14:textId="0FEA9984" w:rsidR="00452716" w:rsidRDefault="00816F23" w:rsidP="009D3031">
      <w:pPr>
        <w:pStyle w:val="BodyText"/>
      </w:pPr>
      <w:r>
        <w:lastRenderedPageBreak/>
        <w:t>Rather than stating the uncertainty value with each correction, it is also proper to place the correction values in a column headed by the words "Correction" or "Error," etc., and place the uncertainties (without plus</w:t>
      </w:r>
      <w:r w:rsidR="00DD2FE3">
        <w:t>-</w:t>
      </w:r>
      <w:r>
        <w:t>minus signs</w:t>
      </w:r>
      <w:r w:rsidR="00DD2FE3">
        <w:t>, ±</w:t>
      </w:r>
      <w:r>
        <w:t>) in a column headed "Expanded Uncertainty".</w:t>
      </w:r>
      <w:r w:rsidR="00A17E7F">
        <w:t xml:space="preserve"> </w:t>
      </w:r>
      <w:bookmarkStart w:id="0" w:name="_GoBack"/>
      <w:bookmarkEnd w:id="0"/>
    </w:p>
    <w:sectPr w:rsidR="00452716">
      <w:headerReference w:type="default" r:id="rId8"/>
      <w:footerReference w:type="default" r:id="rId9"/>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CFF31" w14:textId="77777777" w:rsidR="005F574C" w:rsidRDefault="005F574C">
      <w:r>
        <w:separator/>
      </w:r>
    </w:p>
  </w:endnote>
  <w:endnote w:type="continuationSeparator" w:id="0">
    <w:p w14:paraId="25616609" w14:textId="77777777" w:rsidR="005F574C" w:rsidRDefault="005F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06ACE" w14:textId="233B07B6" w:rsidR="00432ADF" w:rsidRPr="00082C5D" w:rsidRDefault="00432ADF">
    <w:pPr>
      <w:pStyle w:val="Footer"/>
      <w:rPr>
        <w:sz w:val="22"/>
      </w:rPr>
    </w:pPr>
    <w:r w:rsidRPr="00082C5D">
      <w:rPr>
        <w:sz w:val="22"/>
      </w:rPr>
      <w:t>GLP 9</w:t>
    </w:r>
    <w:r w:rsidR="005248D2" w:rsidRPr="00082C5D">
      <w:rPr>
        <w:sz w:val="22"/>
      </w:rPr>
      <w:t xml:space="preserve"> </w:t>
    </w:r>
    <w:r w:rsidR="00082C5D" w:rsidRPr="00082C5D">
      <w:rPr>
        <w:sz w:val="22"/>
      </w:rPr>
      <w:t>–</w:t>
    </w:r>
    <w:r w:rsidR="005248D2" w:rsidRPr="00082C5D">
      <w:rPr>
        <w:sz w:val="22"/>
      </w:rPr>
      <w:t xml:space="preserve"> 201</w:t>
    </w:r>
    <w:r w:rsidR="00921A77">
      <w:rPr>
        <w:sz w:val="22"/>
      </w:rPr>
      <w:t>9</w:t>
    </w:r>
    <w:r w:rsidR="00082C5D" w:rsidRPr="00082C5D">
      <w:rPr>
        <w:sz w:val="22"/>
      </w:rPr>
      <w:t xml:space="preserve"> </w:t>
    </w:r>
    <w:r w:rsidRPr="00082C5D">
      <w:rPr>
        <w:sz w:val="22"/>
      </w:rPr>
      <w:tab/>
    </w:r>
    <w:r w:rsidRPr="00082C5D">
      <w:rPr>
        <w:snapToGrid w:val="0"/>
        <w:sz w:val="22"/>
      </w:rPr>
      <w:t xml:space="preserve">Page </w:t>
    </w:r>
    <w:r w:rsidRPr="00082C5D">
      <w:rPr>
        <w:snapToGrid w:val="0"/>
        <w:sz w:val="22"/>
      </w:rPr>
      <w:fldChar w:fldCharType="begin"/>
    </w:r>
    <w:r w:rsidRPr="00082C5D">
      <w:rPr>
        <w:snapToGrid w:val="0"/>
        <w:sz w:val="22"/>
      </w:rPr>
      <w:instrText xml:space="preserve"> PAGE </w:instrText>
    </w:r>
    <w:r w:rsidRPr="00082C5D">
      <w:rPr>
        <w:snapToGrid w:val="0"/>
        <w:sz w:val="22"/>
      </w:rPr>
      <w:fldChar w:fldCharType="separate"/>
    </w:r>
    <w:r w:rsidR="00FD5DCE">
      <w:rPr>
        <w:noProof/>
        <w:snapToGrid w:val="0"/>
        <w:sz w:val="22"/>
      </w:rPr>
      <w:t>1</w:t>
    </w:r>
    <w:r w:rsidRPr="00082C5D">
      <w:rPr>
        <w:snapToGrid w:val="0"/>
        <w:sz w:val="22"/>
      </w:rPr>
      <w:fldChar w:fldCharType="end"/>
    </w:r>
    <w:r w:rsidRPr="00082C5D">
      <w:rPr>
        <w:snapToGrid w:val="0"/>
        <w:sz w:val="22"/>
      </w:rPr>
      <w:t xml:space="preserve"> of </w:t>
    </w:r>
    <w:r w:rsidRPr="00082C5D">
      <w:rPr>
        <w:snapToGrid w:val="0"/>
        <w:sz w:val="22"/>
      </w:rPr>
      <w:fldChar w:fldCharType="begin"/>
    </w:r>
    <w:r w:rsidRPr="00082C5D">
      <w:rPr>
        <w:snapToGrid w:val="0"/>
        <w:sz w:val="22"/>
      </w:rPr>
      <w:instrText xml:space="preserve"> NUMPAGES </w:instrText>
    </w:r>
    <w:r w:rsidRPr="00082C5D">
      <w:rPr>
        <w:snapToGrid w:val="0"/>
        <w:sz w:val="22"/>
      </w:rPr>
      <w:fldChar w:fldCharType="separate"/>
    </w:r>
    <w:r w:rsidR="00FD5DCE">
      <w:rPr>
        <w:noProof/>
        <w:snapToGrid w:val="0"/>
        <w:sz w:val="22"/>
      </w:rPr>
      <w:t>4</w:t>
    </w:r>
    <w:r w:rsidRPr="00082C5D">
      <w:rPr>
        <w:snapToGrid w:val="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B4D6D" w14:textId="77777777" w:rsidR="005F574C" w:rsidRDefault="005F574C">
      <w:r>
        <w:separator/>
      </w:r>
    </w:p>
  </w:footnote>
  <w:footnote w:type="continuationSeparator" w:id="0">
    <w:p w14:paraId="0A3BA3CD" w14:textId="77777777" w:rsidR="005F574C" w:rsidRDefault="005F574C">
      <w:r>
        <w:continuationSeparator/>
      </w:r>
    </w:p>
  </w:footnote>
  <w:footnote w:id="1">
    <w:p w14:paraId="7D06FA95" w14:textId="77777777" w:rsidR="001B3806" w:rsidRDefault="001B3806" w:rsidP="001B3806">
      <w:pPr>
        <w:pStyle w:val="FootnoteText"/>
      </w:pPr>
      <w:r>
        <w:rPr>
          <w:rStyle w:val="FootnoteReference"/>
        </w:rPr>
        <w:footnoteRef/>
      </w:r>
      <w:r w:rsidRPr="00921A77">
        <w:rPr>
          <w:rStyle w:val="ReferenceListChar"/>
          <w:sz w:val="20"/>
        </w:rPr>
        <w:t xml:space="preserve"> This is the historical method used in this GLP. Where statistics matter, and where numbers that end with the 5 are common, this method is preferred, because it avoids </w:t>
      </w:r>
      <w:r w:rsidR="00A0034C" w:rsidRPr="00921A77">
        <w:rPr>
          <w:rStyle w:val="ReferenceListChar"/>
          <w:sz w:val="20"/>
        </w:rPr>
        <w:t xml:space="preserve">asymmetry </w:t>
      </w:r>
      <w:r w:rsidRPr="00921A77">
        <w:rPr>
          <w:rStyle w:val="ReferenceListChar"/>
          <w:sz w:val="20"/>
        </w:rPr>
        <w:t xml:space="preserve">due to rounding up. Normally there are 5 situations when you round up (0.5 </w:t>
      </w:r>
      <w:r w:rsidR="00643591" w:rsidRPr="00921A77">
        <w:rPr>
          <w:rStyle w:val="ReferenceListChar"/>
          <w:sz w:val="20"/>
        </w:rPr>
        <w:t xml:space="preserve">to </w:t>
      </w:r>
      <w:r w:rsidRPr="00921A77">
        <w:rPr>
          <w:rStyle w:val="ReferenceListChar"/>
          <w:sz w:val="20"/>
        </w:rPr>
        <w:t xml:space="preserve">0.9) but only 4 to round down (0.1 </w:t>
      </w:r>
      <w:r w:rsidR="00643591" w:rsidRPr="00921A77">
        <w:rPr>
          <w:rStyle w:val="ReferenceListChar"/>
          <w:sz w:val="20"/>
        </w:rPr>
        <w:t xml:space="preserve">to </w:t>
      </w:r>
      <w:r w:rsidRPr="00921A77">
        <w:rPr>
          <w:rStyle w:val="ReferenceListChar"/>
          <w:sz w:val="20"/>
        </w:rPr>
        <w:t xml:space="preserve">0.4). By using the even/odd method you introduce more balance in the final results that </w:t>
      </w:r>
      <w:r w:rsidR="00643591" w:rsidRPr="00921A77">
        <w:rPr>
          <w:rStyle w:val="ReferenceListChar"/>
          <w:sz w:val="20"/>
        </w:rPr>
        <w:t xml:space="preserve">may avoid bias in mean values </w:t>
      </w:r>
      <w:r w:rsidRPr="00921A77">
        <w:rPr>
          <w:rStyle w:val="ReferenceListChar"/>
          <w:sz w:val="20"/>
        </w:rPr>
        <w:t>over the long term.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04380" w14:textId="027DE31B" w:rsidR="00432ADF" w:rsidRPr="00427FD6" w:rsidRDefault="00082C5D" w:rsidP="00F96396">
    <w:r>
      <w:rPr>
        <w:noProof/>
      </w:rPr>
      <mc:AlternateContent>
        <mc:Choice Requires="wps">
          <w:drawing>
            <wp:anchor distT="0" distB="0" distL="114300" distR="114300" simplePos="0" relativeHeight="251659264" behindDoc="1" locked="0" layoutInCell="1" allowOverlap="1" wp14:anchorId="25BC45C7" wp14:editId="4A3649D3">
              <wp:simplePos x="0" y="0"/>
              <wp:positionH relativeFrom="column">
                <wp:posOffset>-800100</wp:posOffset>
              </wp:positionH>
              <wp:positionV relativeFrom="page">
                <wp:posOffset>9525</wp:posOffset>
              </wp:positionV>
              <wp:extent cx="428625" cy="10020300"/>
              <wp:effectExtent l="0" t="0" r="0" b="0"/>
              <wp:wrapSquare wrapText="bothSides"/>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020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8428584" w14:textId="463CCD15" w:rsidR="00082C5D" w:rsidRPr="00E77F0C" w:rsidRDefault="00082C5D" w:rsidP="00082C5D">
                          <w:pPr>
                            <w:jc w:val="center"/>
                            <w:rPr>
                              <w:rFonts w:ascii="Arial" w:hAnsi="Arial" w:cs="Arial"/>
                              <w:color w:val="A6A6A6"/>
                              <w:sz w:val="20"/>
                            </w:rPr>
                          </w:pPr>
                          <w:r w:rsidRPr="00E77F0C">
                            <w:rPr>
                              <w:rFonts w:ascii="Arial" w:hAnsi="Arial" w:cs="Arial"/>
                              <w:color w:val="A6A6A6"/>
                              <w:sz w:val="20"/>
                            </w:rPr>
                            <w:t>This publication is available free of charge from: https://doi.org/10.6028/NIST.IR.6969-201</w:t>
                          </w:r>
                          <w:r w:rsidR="00F96396" w:rsidRPr="00E77F0C">
                            <w:rPr>
                              <w:rFonts w:ascii="Arial" w:hAnsi="Arial" w:cs="Arial"/>
                              <w:color w:val="A6A6A6"/>
                              <w:sz w:val="20"/>
                            </w:rPr>
                            <w:t>9</w:t>
                          </w:r>
                        </w:p>
                        <w:p w14:paraId="5B090034" w14:textId="77777777" w:rsidR="00082C5D" w:rsidRPr="00E77F0C" w:rsidRDefault="00082C5D" w:rsidP="00082C5D">
                          <w:pPr>
                            <w:jc w:val="center"/>
                            <w:rPr>
                              <w:rFonts w:ascii="Arial" w:hAnsi="Arial" w:cs="Arial"/>
                              <w:color w:val="A6A6A6"/>
                              <w:sz w:val="18"/>
                            </w:rPr>
                          </w:pP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BC45C7" id="_x0000_t202" coordsize="21600,21600" o:spt="202" path="m,l,21600r21600,l21600,xe">
              <v:stroke joinstyle="miter"/>
              <v:path gradientshapeok="t" o:connecttype="rect"/>
            </v:shapetype>
            <v:shape id="Text Box 33" o:spid="_x0000_s1026" type="#_x0000_t202" style="position:absolute;margin-left:-63pt;margin-top:.75pt;width:33.75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" stroked="f" strokeweight=".5pt">
              <v:textbox style="layout-flow:vertical">
                <w:txbxContent>
                  <w:p w14:paraId="68428584" w14:textId="463CCD15" w:rsidR="00082C5D" w:rsidRPr="00E77F0C" w:rsidRDefault="00082C5D" w:rsidP="00082C5D">
                    <w:pPr>
                      <w:jc w:val="center"/>
                      <w:rPr>
                        <w:rFonts w:ascii="Arial" w:hAnsi="Arial" w:cs="Arial"/>
                        <w:color w:val="A6A6A6"/>
                        <w:sz w:val="20"/>
                      </w:rPr>
                    </w:pPr>
                    <w:r w:rsidRPr="00E77F0C">
                      <w:rPr>
                        <w:rFonts w:ascii="Arial" w:hAnsi="Arial" w:cs="Arial"/>
                        <w:color w:val="A6A6A6"/>
                        <w:sz w:val="20"/>
                      </w:rPr>
                      <w:t>This publication is available free of charge from: https://doi.org/10.6028/NIST.IR.6969-201</w:t>
                    </w:r>
                    <w:r w:rsidR="00F96396" w:rsidRPr="00E77F0C">
                      <w:rPr>
                        <w:rFonts w:ascii="Arial" w:hAnsi="Arial" w:cs="Arial"/>
                        <w:color w:val="A6A6A6"/>
                        <w:sz w:val="20"/>
                      </w:rPr>
                      <w:t>9</w:t>
                    </w:r>
                  </w:p>
                  <w:p w14:paraId="5B090034" w14:textId="77777777" w:rsidR="00082C5D" w:rsidRPr="00E77F0C" w:rsidRDefault="00082C5D" w:rsidP="00082C5D">
                    <w:pPr>
                      <w:jc w:val="center"/>
                      <w:rPr>
                        <w:rFonts w:ascii="Arial" w:hAnsi="Arial" w:cs="Arial"/>
                        <w:color w:val="A6A6A6"/>
                        <w:sz w:val="18"/>
                      </w:rPr>
                    </w:pPr>
                  </w:p>
                </w:txbxContent>
              </v:textbox>
              <w10:wrap type="square" anchory="page"/>
            </v:shape>
          </w:pict>
        </mc:Fallback>
      </mc:AlternateContent>
    </w:r>
    <w:bookmarkStart w:id="1" w:name="_Hlk505397962"/>
    <w:r>
      <w:rPr>
        <w:noProof/>
      </w:rPr>
      <mc:AlternateContent>
        <mc:Choice Requires="wps">
          <w:drawing>
            <wp:anchor distT="0" distB="0" distL="114300" distR="114300" simplePos="0" relativeHeight="251660288" behindDoc="0" locked="0" layoutInCell="1" allowOverlap="1" wp14:anchorId="42CDB26B" wp14:editId="539D1406">
              <wp:simplePos x="0" y="0"/>
              <wp:positionH relativeFrom="column">
                <wp:posOffset>-371475</wp:posOffset>
              </wp:positionH>
              <wp:positionV relativeFrom="paragraph">
                <wp:posOffset>438150</wp:posOffset>
              </wp:positionV>
              <wp:extent cx="0" cy="8229600"/>
              <wp:effectExtent l="0" t="0" r="0" b="0"/>
              <wp:wrapNone/>
              <wp:docPr id="1"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0"/>
                      </a:xfrm>
                      <a:prstGeom prst="line">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60F1D" id="Straight Connector 6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34.5pt" to="-29.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" strokecolor="#a5a5a5"/>
          </w:pict>
        </mc:Fallback>
      </mc:AlternateConten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CE6081"/>
    <w:multiLevelType w:val="multilevel"/>
    <w:tmpl w:val="8690BDCE"/>
    <w:lvl w:ilvl="0">
      <w:start w:val="2"/>
      <w:numFmt w:val="decimal"/>
      <w:lvlText w:val="%1."/>
      <w:lvlJc w:val="left"/>
      <w:pPr>
        <w:ind w:left="360" w:hanging="360"/>
      </w:pPr>
      <w:rPr>
        <w:rFonts w:hint="default"/>
      </w:rPr>
    </w:lvl>
    <w:lvl w:ilvl="1">
      <w:start w:val="1"/>
      <w:numFmt w:val="decimal"/>
      <w:pStyle w:val="Heading2NISTIR"/>
      <w:lvlText w:val="%1.%2."/>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4405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2E8F5658"/>
    <w:multiLevelType w:val="multilevel"/>
    <w:tmpl w:val="49582A0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3EC312F8"/>
    <w:multiLevelType w:val="hybridMultilevel"/>
    <w:tmpl w:val="BA746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3E392A"/>
    <w:multiLevelType w:val="hybridMultilevel"/>
    <w:tmpl w:val="26E6A090"/>
    <w:lvl w:ilvl="0" w:tplc="7F625B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E7050D"/>
    <w:multiLevelType w:val="multilevel"/>
    <w:tmpl w:val="AB4C12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4A5886"/>
    <w:multiLevelType w:val="hybridMultilevel"/>
    <w:tmpl w:val="2278CE0A"/>
    <w:lvl w:ilvl="0" w:tplc="6B4EEAF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A94315"/>
    <w:multiLevelType w:val="hybridMultilevel"/>
    <w:tmpl w:val="9C1AF71C"/>
    <w:lvl w:ilvl="0" w:tplc="0409000F">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4"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E93037"/>
    <w:multiLevelType w:val="multilevel"/>
    <w:tmpl w:val="E6C8217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3"/>
  </w:num>
  <w:num w:numId="3">
    <w:abstractNumId w:val="9"/>
  </w:num>
  <w:num w:numId="4">
    <w:abstractNumId w:val="13"/>
  </w:num>
  <w:num w:numId="5">
    <w:abstractNumId w:val="5"/>
  </w:num>
  <w:num w:numId="6">
    <w:abstractNumId w:val="15"/>
  </w:num>
  <w:num w:numId="7">
    <w:abstractNumId w:val="2"/>
  </w:num>
  <w:num w:numId="8">
    <w:abstractNumId w:val="8"/>
  </w:num>
  <w:num w:numId="9">
    <w:abstractNumId w:val="10"/>
  </w:num>
  <w:num w:numId="10">
    <w:abstractNumId w:val="17"/>
  </w:num>
  <w:num w:numId="11">
    <w:abstractNumId w:val="6"/>
  </w:num>
  <w:num w:numId="12">
    <w:abstractNumId w:val="19"/>
  </w:num>
  <w:num w:numId="13">
    <w:abstractNumId w:val="1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8"/>
  </w:num>
  <w:num w:numId="17">
    <w:abstractNumId w:val="7"/>
  </w:num>
  <w:num w:numId="18">
    <w:abstractNumId w:val="4"/>
  </w:num>
  <w:num w:numId="19">
    <w:abstractNumId w:val="14"/>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8C9"/>
    <w:rsid w:val="00021345"/>
    <w:rsid w:val="00021737"/>
    <w:rsid w:val="00031299"/>
    <w:rsid w:val="00082C5D"/>
    <w:rsid w:val="000905EC"/>
    <w:rsid w:val="000D3DDC"/>
    <w:rsid w:val="000D5594"/>
    <w:rsid w:val="000D7820"/>
    <w:rsid w:val="000D795E"/>
    <w:rsid w:val="000F00CB"/>
    <w:rsid w:val="0012050E"/>
    <w:rsid w:val="00143D77"/>
    <w:rsid w:val="001476A8"/>
    <w:rsid w:val="0016111E"/>
    <w:rsid w:val="00170B03"/>
    <w:rsid w:val="00183FA6"/>
    <w:rsid w:val="0019366D"/>
    <w:rsid w:val="0019722C"/>
    <w:rsid w:val="001B3806"/>
    <w:rsid w:val="001E369B"/>
    <w:rsid w:val="002718C9"/>
    <w:rsid w:val="002961E5"/>
    <w:rsid w:val="002D021B"/>
    <w:rsid w:val="002D0A09"/>
    <w:rsid w:val="002D4B8F"/>
    <w:rsid w:val="00374A02"/>
    <w:rsid w:val="00393989"/>
    <w:rsid w:val="003B3C98"/>
    <w:rsid w:val="003C1281"/>
    <w:rsid w:val="003E74FE"/>
    <w:rsid w:val="00427FD6"/>
    <w:rsid w:val="00432ADF"/>
    <w:rsid w:val="00435D20"/>
    <w:rsid w:val="00452716"/>
    <w:rsid w:val="004563A3"/>
    <w:rsid w:val="004B74D8"/>
    <w:rsid w:val="005248D2"/>
    <w:rsid w:val="00580B0B"/>
    <w:rsid w:val="005A3784"/>
    <w:rsid w:val="005B1690"/>
    <w:rsid w:val="005C00CF"/>
    <w:rsid w:val="005D6B4D"/>
    <w:rsid w:val="005F574C"/>
    <w:rsid w:val="005F5DB6"/>
    <w:rsid w:val="005F72AA"/>
    <w:rsid w:val="006033A3"/>
    <w:rsid w:val="0063342A"/>
    <w:rsid w:val="00643591"/>
    <w:rsid w:val="0065152B"/>
    <w:rsid w:val="00680E44"/>
    <w:rsid w:val="006A1EEC"/>
    <w:rsid w:val="006A29F5"/>
    <w:rsid w:val="006B3986"/>
    <w:rsid w:val="0071491D"/>
    <w:rsid w:val="00723A50"/>
    <w:rsid w:val="00733C38"/>
    <w:rsid w:val="007376D4"/>
    <w:rsid w:val="00762F53"/>
    <w:rsid w:val="00776448"/>
    <w:rsid w:val="007E650D"/>
    <w:rsid w:val="00816F23"/>
    <w:rsid w:val="00871FAF"/>
    <w:rsid w:val="008A27D4"/>
    <w:rsid w:val="008B13BD"/>
    <w:rsid w:val="008B3201"/>
    <w:rsid w:val="008B689C"/>
    <w:rsid w:val="008E3F29"/>
    <w:rsid w:val="008E7FCA"/>
    <w:rsid w:val="00921A77"/>
    <w:rsid w:val="00933195"/>
    <w:rsid w:val="00985573"/>
    <w:rsid w:val="009A76F9"/>
    <w:rsid w:val="009C3843"/>
    <w:rsid w:val="009C5393"/>
    <w:rsid w:val="009D3031"/>
    <w:rsid w:val="00A0034C"/>
    <w:rsid w:val="00A17E7F"/>
    <w:rsid w:val="00A3318B"/>
    <w:rsid w:val="00A61040"/>
    <w:rsid w:val="00AA6A0A"/>
    <w:rsid w:val="00AE4651"/>
    <w:rsid w:val="00AF74DA"/>
    <w:rsid w:val="00B74443"/>
    <w:rsid w:val="00B85EB6"/>
    <w:rsid w:val="00B921E6"/>
    <w:rsid w:val="00BA18C3"/>
    <w:rsid w:val="00BF41F1"/>
    <w:rsid w:val="00C12A83"/>
    <w:rsid w:val="00C93C7A"/>
    <w:rsid w:val="00CA2257"/>
    <w:rsid w:val="00CB1B64"/>
    <w:rsid w:val="00D06307"/>
    <w:rsid w:val="00D13304"/>
    <w:rsid w:val="00D77353"/>
    <w:rsid w:val="00DB73DA"/>
    <w:rsid w:val="00DC78B5"/>
    <w:rsid w:val="00DD2FE3"/>
    <w:rsid w:val="00E02847"/>
    <w:rsid w:val="00E05F4F"/>
    <w:rsid w:val="00E41D4B"/>
    <w:rsid w:val="00E77F0C"/>
    <w:rsid w:val="00E910F7"/>
    <w:rsid w:val="00EC42F3"/>
    <w:rsid w:val="00ED3B0B"/>
    <w:rsid w:val="00F135F6"/>
    <w:rsid w:val="00F51A34"/>
    <w:rsid w:val="00F71694"/>
    <w:rsid w:val="00F96396"/>
    <w:rsid w:val="00FD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444AFF0"/>
  <w15:chartTrackingRefBased/>
  <w15:docId w15:val="{0E8DB521-3E84-4793-A7B7-BBB2EE73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17E7F"/>
    <w:rPr>
      <w:rFonts w:eastAsiaTheme="minorHAnsi" w:cstheme="minorBidi"/>
      <w:sz w:val="24"/>
      <w:szCs w:val="22"/>
    </w:rPr>
  </w:style>
  <w:style w:type="paragraph" w:styleId="Heading1">
    <w:name w:val="heading 1"/>
    <w:basedOn w:val="Normal"/>
    <w:next w:val="Normal"/>
    <w:link w:val="Heading1Char"/>
    <w:uiPriority w:val="9"/>
    <w:qFormat/>
    <w:rsid w:val="00A17E7F"/>
    <w:pPr>
      <w:keepNext/>
      <w:keepLines/>
      <w:numPr>
        <w:numId w:val="21"/>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A17E7F"/>
    <w:pPr>
      <w:keepNext/>
      <w:keepLines/>
      <w:numPr>
        <w:ilvl w:val="1"/>
        <w:numId w:val="21"/>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A17E7F"/>
    <w:pPr>
      <w:keepNext/>
      <w:keepLines/>
      <w:numPr>
        <w:ilvl w:val="2"/>
        <w:numId w:val="21"/>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A17E7F"/>
    <w:pPr>
      <w:keepNext/>
      <w:keepLines/>
      <w:numPr>
        <w:ilvl w:val="3"/>
        <w:numId w:val="21"/>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semiHidden/>
    <w:unhideWhenUsed/>
    <w:qFormat/>
    <w:rsid w:val="00A17E7F"/>
    <w:pPr>
      <w:keepNext/>
      <w:keepLines/>
      <w:numPr>
        <w:ilvl w:val="4"/>
        <w:numId w:val="2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A17E7F"/>
    <w:pPr>
      <w:keepNext/>
      <w:keepLines/>
      <w:numPr>
        <w:ilvl w:val="5"/>
        <w:numId w:val="2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A17E7F"/>
    <w:pPr>
      <w:keepNext/>
      <w:keepLines/>
      <w:numPr>
        <w:ilvl w:val="6"/>
        <w:numId w:val="2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A17E7F"/>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17E7F"/>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A17E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7E7F"/>
  </w:style>
  <w:style w:type="paragraph" w:styleId="BodyTextIndent">
    <w:name w:val="Body Text Indent"/>
    <w:basedOn w:val="Normal"/>
    <w:pPr>
      <w:ind w:left="1440" w:hanging="720"/>
      <w:jc w:val="both"/>
    </w:pPr>
  </w:style>
  <w:style w:type="paragraph" w:styleId="Header">
    <w:name w:val="header"/>
    <w:basedOn w:val="Normal"/>
    <w:link w:val="HeaderChar"/>
    <w:unhideWhenUsed/>
    <w:rsid w:val="00A17E7F"/>
    <w:pPr>
      <w:tabs>
        <w:tab w:val="center" w:pos="4680"/>
        <w:tab w:val="right" w:pos="9360"/>
      </w:tabs>
    </w:pPr>
  </w:style>
  <w:style w:type="paragraph" w:styleId="Footer">
    <w:name w:val="footer"/>
    <w:basedOn w:val="Normal"/>
    <w:link w:val="FooterChar"/>
    <w:uiPriority w:val="99"/>
    <w:unhideWhenUsed/>
    <w:rsid w:val="00A17E7F"/>
    <w:pPr>
      <w:tabs>
        <w:tab w:val="center" w:pos="4680"/>
        <w:tab w:val="right" w:pos="9360"/>
      </w:tabs>
    </w:pPr>
  </w:style>
  <w:style w:type="paragraph" w:styleId="Title">
    <w:name w:val="Title"/>
    <w:aliases w:val="Title-Lab"/>
    <w:basedOn w:val="Normal"/>
    <w:next w:val="Normal"/>
    <w:link w:val="TitleChar"/>
    <w:uiPriority w:val="10"/>
    <w:qFormat/>
    <w:rsid w:val="00A17E7F"/>
    <w:pPr>
      <w:widowControl w:val="0"/>
      <w:autoSpaceDE w:val="0"/>
      <w:autoSpaceDN w:val="0"/>
      <w:adjustRightInd w:val="0"/>
      <w:spacing w:after="120"/>
      <w:jc w:val="center"/>
    </w:pPr>
    <w:rPr>
      <w:rFonts w:eastAsia="Times New Roman" w:cs="Times New Roman"/>
      <w:b/>
      <w:szCs w:val="24"/>
    </w:rPr>
  </w:style>
  <w:style w:type="character" w:styleId="CommentReference">
    <w:name w:val="annotation reference"/>
    <w:basedOn w:val="DefaultParagraphFont"/>
    <w:uiPriority w:val="99"/>
    <w:semiHidden/>
    <w:unhideWhenUsed/>
    <w:rsid w:val="00A17E7F"/>
    <w:rPr>
      <w:sz w:val="16"/>
      <w:szCs w:val="16"/>
    </w:rPr>
  </w:style>
  <w:style w:type="paragraph" w:styleId="CommentText">
    <w:name w:val="annotation text"/>
    <w:basedOn w:val="Normal"/>
    <w:link w:val="CommentTextChar"/>
    <w:uiPriority w:val="99"/>
    <w:semiHidden/>
    <w:unhideWhenUsed/>
    <w:rsid w:val="00A17E7F"/>
    <w:rPr>
      <w:sz w:val="20"/>
      <w:szCs w:val="20"/>
    </w:rPr>
  </w:style>
  <w:style w:type="paragraph" w:styleId="BalloonText">
    <w:name w:val="Balloon Text"/>
    <w:basedOn w:val="Normal"/>
    <w:link w:val="BalloonTextChar"/>
    <w:uiPriority w:val="99"/>
    <w:unhideWhenUsed/>
    <w:rsid w:val="00A17E7F"/>
    <w:rPr>
      <w:rFonts w:ascii="Tahoma" w:hAnsi="Tahoma" w:cs="Tahoma"/>
      <w:sz w:val="16"/>
      <w:szCs w:val="16"/>
    </w:rPr>
  </w:style>
  <w:style w:type="paragraph" w:styleId="FootnoteText">
    <w:name w:val="footnote text"/>
    <w:basedOn w:val="Normal"/>
    <w:link w:val="FootnoteTextChar"/>
    <w:semiHidden/>
    <w:unhideWhenUsed/>
    <w:rsid w:val="00A17E7F"/>
    <w:rPr>
      <w:sz w:val="16"/>
      <w:szCs w:val="20"/>
    </w:rPr>
  </w:style>
  <w:style w:type="character" w:customStyle="1" w:styleId="FootnoteTextChar">
    <w:name w:val="Footnote Text Char"/>
    <w:basedOn w:val="DefaultParagraphFont"/>
    <w:link w:val="FootnoteText"/>
    <w:semiHidden/>
    <w:rsid w:val="00A17E7F"/>
    <w:rPr>
      <w:rFonts w:eastAsiaTheme="minorHAnsi" w:cstheme="minorBidi"/>
      <w:sz w:val="16"/>
    </w:rPr>
  </w:style>
  <w:style w:type="character" w:styleId="FootnoteReference">
    <w:name w:val="footnote reference"/>
    <w:basedOn w:val="DefaultParagraphFont"/>
    <w:semiHidden/>
    <w:unhideWhenUsed/>
    <w:rsid w:val="00A17E7F"/>
    <w:rPr>
      <w:vertAlign w:val="superscript"/>
    </w:rPr>
  </w:style>
  <w:style w:type="paragraph" w:styleId="CommentSubject">
    <w:name w:val="annotation subject"/>
    <w:basedOn w:val="CommentText"/>
    <w:next w:val="CommentText"/>
    <w:link w:val="CommentSubjectChar"/>
    <w:uiPriority w:val="99"/>
    <w:semiHidden/>
    <w:unhideWhenUsed/>
    <w:rsid w:val="00A17E7F"/>
    <w:rPr>
      <w:b/>
      <w:bCs/>
    </w:rPr>
  </w:style>
  <w:style w:type="character" w:customStyle="1" w:styleId="CommentTextChar">
    <w:name w:val="Comment Text Char"/>
    <w:basedOn w:val="DefaultParagraphFont"/>
    <w:link w:val="CommentText"/>
    <w:uiPriority w:val="99"/>
    <w:semiHidden/>
    <w:rsid w:val="00A17E7F"/>
    <w:rPr>
      <w:rFonts w:eastAsiaTheme="minorHAnsi" w:cstheme="minorBidi"/>
    </w:rPr>
  </w:style>
  <w:style w:type="character" w:customStyle="1" w:styleId="CommentSubjectChar">
    <w:name w:val="Comment Subject Char"/>
    <w:basedOn w:val="CommentTextChar"/>
    <w:link w:val="CommentSubject"/>
    <w:uiPriority w:val="99"/>
    <w:semiHidden/>
    <w:rsid w:val="00A17E7F"/>
    <w:rPr>
      <w:rFonts w:eastAsiaTheme="minorHAnsi" w:cstheme="minorBidi"/>
      <w:b/>
      <w:bCs/>
    </w:rPr>
  </w:style>
  <w:style w:type="character" w:customStyle="1" w:styleId="Heading1Char">
    <w:name w:val="Heading 1 Char"/>
    <w:basedOn w:val="DefaultParagraphFont"/>
    <w:link w:val="Heading1"/>
    <w:uiPriority w:val="9"/>
    <w:rsid w:val="00A17E7F"/>
    <w:rPr>
      <w:rFonts w:eastAsiaTheme="majorEastAsia"/>
      <w:sz w:val="24"/>
      <w:szCs w:val="24"/>
    </w:rPr>
  </w:style>
  <w:style w:type="paragraph" w:customStyle="1" w:styleId="Heading2NISTIR">
    <w:name w:val="Heading 2 (NISTIR)"/>
    <w:basedOn w:val="Normal"/>
    <w:link w:val="Heading2NISTIRChar"/>
    <w:qFormat/>
    <w:rsid w:val="00DD2FE3"/>
    <w:pPr>
      <w:numPr>
        <w:ilvl w:val="1"/>
        <w:numId w:val="7"/>
      </w:numPr>
      <w:jc w:val="both"/>
    </w:pPr>
  </w:style>
  <w:style w:type="paragraph" w:styleId="ListParagraph">
    <w:name w:val="List Paragraph"/>
    <w:basedOn w:val="Normal"/>
    <w:uiPriority w:val="34"/>
    <w:qFormat/>
    <w:rsid w:val="00A17E7F"/>
    <w:pPr>
      <w:ind w:left="720"/>
      <w:contextualSpacing/>
    </w:pPr>
  </w:style>
  <w:style w:type="character" w:customStyle="1" w:styleId="Heading2NISTIRChar">
    <w:name w:val="Heading 2 (NISTIR) Char"/>
    <w:link w:val="Heading2NISTIR"/>
    <w:rsid w:val="00DD2FE3"/>
    <w:rPr>
      <w:sz w:val="24"/>
    </w:rPr>
  </w:style>
  <w:style w:type="character" w:customStyle="1" w:styleId="Heading2Char">
    <w:name w:val="Heading 2 Char"/>
    <w:basedOn w:val="DefaultParagraphFont"/>
    <w:link w:val="Heading2"/>
    <w:uiPriority w:val="9"/>
    <w:rsid w:val="00A17E7F"/>
    <w:rPr>
      <w:rFonts w:eastAsiaTheme="majorEastAsia"/>
      <w:sz w:val="24"/>
      <w:szCs w:val="24"/>
    </w:rPr>
  </w:style>
  <w:style w:type="character" w:customStyle="1" w:styleId="Heading3Char">
    <w:name w:val="Heading 3 Char"/>
    <w:basedOn w:val="DefaultParagraphFont"/>
    <w:link w:val="Heading3"/>
    <w:uiPriority w:val="9"/>
    <w:rsid w:val="00A17E7F"/>
    <w:rPr>
      <w:rFonts w:eastAsiaTheme="majorEastAsia"/>
      <w:sz w:val="24"/>
      <w:szCs w:val="24"/>
    </w:rPr>
  </w:style>
  <w:style w:type="character" w:customStyle="1" w:styleId="Heading4Char">
    <w:name w:val="Heading 4 Char"/>
    <w:basedOn w:val="DefaultParagraphFont"/>
    <w:link w:val="Heading4"/>
    <w:uiPriority w:val="9"/>
    <w:rsid w:val="00A17E7F"/>
    <w:rPr>
      <w:rFonts w:eastAsiaTheme="majorEastAsia"/>
      <w:iCs/>
      <w:sz w:val="24"/>
      <w:szCs w:val="24"/>
    </w:rPr>
  </w:style>
  <w:style w:type="character" w:customStyle="1" w:styleId="Heading5Char">
    <w:name w:val="Heading 5 Char"/>
    <w:basedOn w:val="DefaultParagraphFont"/>
    <w:link w:val="Heading5"/>
    <w:semiHidden/>
    <w:rsid w:val="00A17E7F"/>
    <w:rPr>
      <w:rFonts w:asciiTheme="majorHAnsi" w:eastAsiaTheme="majorEastAsia" w:hAnsiTheme="majorHAnsi" w:cstheme="majorBidi"/>
      <w:color w:val="2F5496" w:themeColor="accent1" w:themeShade="BF"/>
      <w:sz w:val="24"/>
      <w:szCs w:val="22"/>
    </w:rPr>
  </w:style>
  <w:style w:type="character" w:customStyle="1" w:styleId="Heading6Char">
    <w:name w:val="Heading 6 Char"/>
    <w:basedOn w:val="DefaultParagraphFont"/>
    <w:link w:val="Heading6"/>
    <w:semiHidden/>
    <w:rsid w:val="00A17E7F"/>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semiHidden/>
    <w:rsid w:val="00A17E7F"/>
    <w:rPr>
      <w:rFonts w:asciiTheme="majorHAnsi" w:eastAsiaTheme="majorEastAsia" w:hAnsiTheme="majorHAnsi" w:cstheme="majorBidi"/>
      <w:i/>
      <w:iCs/>
      <w:color w:val="1F3763" w:themeColor="accent1" w:themeShade="7F"/>
      <w:sz w:val="24"/>
      <w:szCs w:val="22"/>
    </w:rPr>
  </w:style>
  <w:style w:type="character" w:customStyle="1" w:styleId="Heading8Char">
    <w:name w:val="Heading 8 Char"/>
    <w:basedOn w:val="DefaultParagraphFont"/>
    <w:link w:val="Heading8"/>
    <w:semiHidden/>
    <w:rsid w:val="00A17E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A17E7F"/>
    <w:rPr>
      <w:rFonts w:asciiTheme="majorHAnsi" w:eastAsiaTheme="majorEastAsia" w:hAnsiTheme="majorHAnsi" w:cstheme="majorBidi"/>
      <w:i/>
      <w:iCs/>
      <w:color w:val="272727" w:themeColor="text1" w:themeTint="D8"/>
      <w:sz w:val="21"/>
      <w:szCs w:val="21"/>
    </w:rPr>
  </w:style>
  <w:style w:type="character" w:customStyle="1" w:styleId="BalloonTextChar">
    <w:name w:val="Balloon Text Char"/>
    <w:basedOn w:val="DefaultParagraphFont"/>
    <w:link w:val="BalloonText"/>
    <w:uiPriority w:val="99"/>
    <w:rsid w:val="00A17E7F"/>
    <w:rPr>
      <w:rFonts w:ascii="Tahoma" w:eastAsiaTheme="minorHAnsi" w:hAnsi="Tahoma" w:cs="Tahoma"/>
      <w:sz w:val="16"/>
      <w:szCs w:val="16"/>
    </w:rPr>
  </w:style>
  <w:style w:type="paragraph" w:styleId="BodyText">
    <w:name w:val="Body Text"/>
    <w:basedOn w:val="Normal"/>
    <w:link w:val="BodyTextChar"/>
    <w:uiPriority w:val="1"/>
    <w:unhideWhenUsed/>
    <w:qFormat/>
    <w:rsid w:val="00A17E7F"/>
    <w:pPr>
      <w:spacing w:after="180"/>
      <w:jc w:val="both"/>
    </w:pPr>
    <w:rPr>
      <w:rFonts w:cs="Times New Roman"/>
      <w:szCs w:val="24"/>
    </w:rPr>
  </w:style>
  <w:style w:type="character" w:customStyle="1" w:styleId="BodyTextChar">
    <w:name w:val="Body Text Char"/>
    <w:basedOn w:val="DefaultParagraphFont"/>
    <w:link w:val="BodyText"/>
    <w:uiPriority w:val="1"/>
    <w:rsid w:val="00A17E7F"/>
    <w:rPr>
      <w:rFonts w:eastAsiaTheme="minorHAnsi"/>
      <w:sz w:val="24"/>
      <w:szCs w:val="24"/>
    </w:rPr>
  </w:style>
  <w:style w:type="paragraph" w:styleId="Caption">
    <w:name w:val="caption"/>
    <w:aliases w:val="Caption (Figure and Table Titles)"/>
    <w:basedOn w:val="BodyText"/>
    <w:next w:val="Normal"/>
    <w:uiPriority w:val="35"/>
    <w:unhideWhenUsed/>
    <w:qFormat/>
    <w:rsid w:val="00A17E7F"/>
    <w:pPr>
      <w:spacing w:after="0"/>
      <w:ind w:left="1872"/>
    </w:pPr>
    <w:rPr>
      <w:b/>
      <w:sz w:val="22"/>
    </w:rPr>
  </w:style>
  <w:style w:type="paragraph" w:customStyle="1" w:styleId="Default">
    <w:name w:val="Default"/>
    <w:rsid w:val="00A17E7F"/>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A17E7F"/>
    <w:rPr>
      <w:color w:val="954F72" w:themeColor="followedHyperlink"/>
      <w:u w:val="single"/>
    </w:rPr>
  </w:style>
  <w:style w:type="character" w:customStyle="1" w:styleId="FooterChar">
    <w:name w:val="Footer Char"/>
    <w:basedOn w:val="DefaultParagraphFont"/>
    <w:link w:val="Footer"/>
    <w:uiPriority w:val="99"/>
    <w:rsid w:val="00A17E7F"/>
    <w:rPr>
      <w:rFonts w:eastAsiaTheme="minorHAnsi" w:cstheme="minorBidi"/>
      <w:sz w:val="24"/>
      <w:szCs w:val="22"/>
    </w:rPr>
  </w:style>
  <w:style w:type="paragraph" w:customStyle="1" w:styleId="FrontMatterTOC">
    <w:name w:val="Front Matter (TOC"/>
    <w:aliases w:val="foreword,preface,etc.)"/>
    <w:basedOn w:val="BodyText"/>
    <w:qFormat/>
    <w:rsid w:val="00A17E7F"/>
    <w:rPr>
      <w:b/>
    </w:rPr>
  </w:style>
  <w:style w:type="character" w:customStyle="1" w:styleId="HeaderChar">
    <w:name w:val="Header Char"/>
    <w:basedOn w:val="DefaultParagraphFont"/>
    <w:link w:val="Header"/>
    <w:rsid w:val="00A17E7F"/>
    <w:rPr>
      <w:rFonts w:eastAsiaTheme="minorHAnsi" w:cstheme="minorBidi"/>
      <w:sz w:val="24"/>
      <w:szCs w:val="22"/>
    </w:rPr>
  </w:style>
  <w:style w:type="character" w:styleId="Hyperlink">
    <w:name w:val="Hyperlink"/>
    <w:basedOn w:val="DefaultParagraphFont"/>
    <w:uiPriority w:val="99"/>
    <w:unhideWhenUsed/>
    <w:rsid w:val="00A17E7F"/>
    <w:rPr>
      <w:color w:val="0563C1" w:themeColor="hyperlink"/>
      <w:u w:val="single"/>
    </w:rPr>
  </w:style>
  <w:style w:type="paragraph" w:styleId="NormalWeb">
    <w:name w:val="Normal (Web)"/>
    <w:basedOn w:val="Normal"/>
    <w:uiPriority w:val="99"/>
    <w:semiHidden/>
    <w:unhideWhenUsed/>
    <w:rsid w:val="00A17E7F"/>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A17E7F"/>
    <w:rPr>
      <w:sz w:val="20"/>
    </w:rPr>
  </w:style>
  <w:style w:type="paragraph" w:customStyle="1" w:styleId="TableandFigureFootnotes">
    <w:name w:val="Table and Figure Footnotes"/>
    <w:basedOn w:val="Normal"/>
    <w:qFormat/>
    <w:rsid w:val="00A17E7F"/>
    <w:rPr>
      <w:sz w:val="20"/>
      <w:szCs w:val="20"/>
    </w:rPr>
  </w:style>
  <w:style w:type="paragraph" w:styleId="TOC1">
    <w:name w:val="toc 1"/>
    <w:basedOn w:val="Normal"/>
    <w:next w:val="Normal"/>
    <w:autoRedefine/>
    <w:uiPriority w:val="39"/>
    <w:unhideWhenUsed/>
    <w:rsid w:val="00A17E7F"/>
    <w:pPr>
      <w:tabs>
        <w:tab w:val="left" w:pos="440"/>
        <w:tab w:val="right" w:leader="dot" w:pos="8990"/>
      </w:tabs>
      <w:spacing w:after="100"/>
    </w:pPr>
    <w:rPr>
      <w:b/>
    </w:rPr>
  </w:style>
  <w:style w:type="paragraph" w:styleId="TOC2">
    <w:name w:val="toc 2"/>
    <w:basedOn w:val="Normal"/>
    <w:next w:val="Normal"/>
    <w:autoRedefine/>
    <w:uiPriority w:val="39"/>
    <w:unhideWhenUsed/>
    <w:rsid w:val="00A17E7F"/>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A17E7F"/>
    <w:pPr>
      <w:tabs>
        <w:tab w:val="left" w:pos="1170"/>
        <w:tab w:val="right" w:leader="dot" w:pos="8990"/>
      </w:tabs>
      <w:spacing w:after="100"/>
      <w:ind w:left="440"/>
    </w:pPr>
  </w:style>
  <w:style w:type="paragraph" w:styleId="TOC4">
    <w:name w:val="toc 4"/>
    <w:basedOn w:val="Normal"/>
    <w:next w:val="Normal"/>
    <w:autoRedefine/>
    <w:uiPriority w:val="39"/>
    <w:unhideWhenUsed/>
    <w:rsid w:val="00A17E7F"/>
    <w:pPr>
      <w:tabs>
        <w:tab w:val="left" w:pos="1530"/>
        <w:tab w:val="right" w:leader="dot" w:pos="8990"/>
      </w:tabs>
      <w:spacing w:after="100"/>
      <w:ind w:left="660"/>
    </w:pPr>
    <w:rPr>
      <w:noProof/>
    </w:rPr>
  </w:style>
  <w:style w:type="character" w:customStyle="1" w:styleId="ReferenceListChar">
    <w:name w:val="Reference List Char"/>
    <w:basedOn w:val="DefaultParagraphFont"/>
    <w:link w:val="ReferenceList"/>
    <w:rsid w:val="00A17E7F"/>
    <w:rPr>
      <w:rFonts w:eastAsiaTheme="minorHAnsi" w:cstheme="minorBidi"/>
    </w:rPr>
  </w:style>
  <w:style w:type="paragraph" w:customStyle="1" w:styleId="ReferenceList0">
    <w:name w:val="ReferenceList"/>
    <w:basedOn w:val="BodyText"/>
    <w:link w:val="ReferenceListChar0"/>
    <w:rsid w:val="00A17E7F"/>
    <w:pPr>
      <w:spacing w:after="0"/>
      <w:ind w:left="360" w:hanging="360"/>
    </w:pPr>
  </w:style>
  <w:style w:type="character" w:customStyle="1" w:styleId="ReferenceListChar0">
    <w:name w:val="ReferenceList Char"/>
    <w:basedOn w:val="BodyTextChar"/>
    <w:link w:val="ReferenceList0"/>
    <w:rsid w:val="00A17E7F"/>
    <w:rPr>
      <w:rFonts w:eastAsiaTheme="minorHAnsi"/>
      <w:sz w:val="24"/>
      <w:szCs w:val="24"/>
    </w:rPr>
  </w:style>
  <w:style w:type="paragraph" w:styleId="TableofFigures">
    <w:name w:val="table of figures"/>
    <w:basedOn w:val="Normal"/>
    <w:next w:val="Normal"/>
    <w:uiPriority w:val="99"/>
    <w:unhideWhenUsed/>
    <w:rsid w:val="00A17E7F"/>
  </w:style>
  <w:style w:type="paragraph" w:customStyle="1" w:styleId="MTDisplayEquation">
    <w:name w:val="MTDisplayEquation"/>
    <w:basedOn w:val="BodyText"/>
    <w:next w:val="Normal"/>
    <w:link w:val="MTDisplayEquationChar"/>
    <w:rsid w:val="00A17E7F"/>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A17E7F"/>
    <w:rPr>
      <w:rFonts w:eastAsiaTheme="minorHAnsi"/>
      <w:bCs/>
      <w:sz w:val="24"/>
      <w:szCs w:val="24"/>
    </w:rPr>
  </w:style>
  <w:style w:type="character" w:customStyle="1" w:styleId="TitleChar">
    <w:name w:val="Title Char"/>
    <w:aliases w:val="Title-Lab Char"/>
    <w:link w:val="Title"/>
    <w:uiPriority w:val="10"/>
    <w:rsid w:val="00A17E7F"/>
    <w:rPr>
      <w:b/>
      <w:sz w:val="24"/>
      <w:szCs w:val="24"/>
    </w:rPr>
  </w:style>
  <w:style w:type="table" w:styleId="TableGrid">
    <w:name w:val="Table Grid"/>
    <w:basedOn w:val="TableNormal"/>
    <w:rsid w:val="00A1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Caption"/>
    <w:qFormat/>
    <w:rsid w:val="00A17E7F"/>
    <w:pPr>
      <w:ind w:left="0"/>
    </w:pPr>
  </w:style>
  <w:style w:type="character" w:customStyle="1" w:styleId="MTEquationSection">
    <w:name w:val="MTEquationSection"/>
    <w:basedOn w:val="DefaultParagraphFont"/>
    <w:rsid w:val="00A17E7F"/>
    <w:rPr>
      <w:vanish/>
      <w:color w:val="FF0000"/>
    </w:rPr>
  </w:style>
  <w:style w:type="paragraph" w:customStyle="1" w:styleId="Eqn">
    <w:name w:val="Eqn"/>
    <w:basedOn w:val="MTDisplayEquation"/>
    <w:link w:val="EqnChar"/>
    <w:qFormat/>
    <w:rsid w:val="00A17E7F"/>
    <w:pPr>
      <w:spacing w:before="240" w:after="240"/>
      <w:jc w:val="right"/>
    </w:pPr>
  </w:style>
  <w:style w:type="character" w:customStyle="1" w:styleId="EqnChar">
    <w:name w:val="Eqn Char"/>
    <w:basedOn w:val="MTDisplayEquationChar"/>
    <w:link w:val="Eqn"/>
    <w:rsid w:val="00A17E7F"/>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87AAD-EB6E-41C4-A58F-7B9CDB4F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12</TotalTime>
  <Pages>4</Pages>
  <Words>1287</Words>
  <Characters>6253</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GLP 9 Rounding Expanded Uncertainties and Calibration Values</vt:lpstr>
    </vt:vector>
  </TitlesOfParts>
  <Company>NIST</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GLP 9 Rounding Expanded Uncertainties and Calibration Values</dc:title>
  <dc:subject>rounding</dc:subject>
  <dc:creator>Georgia L. Harris;g.harris@nist.gov</dc:creator>
  <cp:keywords>rounding rules, rounding</cp:keywords>
  <cp:lastModifiedBy>Harris, Georgia L. (Fed)</cp:lastModifiedBy>
  <cp:revision>5</cp:revision>
  <cp:lastPrinted>2016-01-21T19:52:00Z</cp:lastPrinted>
  <dcterms:created xsi:type="dcterms:W3CDTF">2019-01-09T20:14:00Z</dcterms:created>
  <dcterms:modified xsi:type="dcterms:W3CDTF">2019-05-06T15:47:00Z</dcterms:modified>
  <cp:category>rounding, weights and measures, rounding uncertainties</cp:category>
</cp:coreProperties>
</file>