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CC0" w:rsidRDefault="009A7CC0" w:rsidP="00FF55E5">
      <w:pPr>
        <w:pStyle w:val="StyleMainTOC1Centered1"/>
        <w:spacing w:before="240" w:after="360"/>
      </w:pPr>
      <w:r>
        <w:t>I.  Introduction</w:t>
      </w:r>
    </w:p>
    <w:p w:rsidR="009A7CC0" w:rsidRDefault="009A7CC0" w:rsidP="009A7CC0">
      <w:pPr>
        <w:pStyle w:val="Heading6"/>
        <w:ind w:left="360" w:hanging="360"/>
      </w:pPr>
      <w:bookmarkStart w:id="0" w:name="_Toc173377899"/>
      <w:bookmarkStart w:id="1" w:name="_Toc173379112"/>
      <w:bookmarkStart w:id="2" w:name="_Toc173380980"/>
      <w:bookmarkStart w:id="3" w:name="_Toc173382941"/>
      <w:bookmarkStart w:id="4" w:name="_Toc173384624"/>
      <w:bookmarkStart w:id="5" w:name="_Toc173385155"/>
      <w:bookmarkStart w:id="6" w:name="_Toc173386187"/>
      <w:bookmarkStart w:id="7" w:name="_Toc173392976"/>
      <w:bookmarkStart w:id="8" w:name="_Toc173393851"/>
      <w:bookmarkStart w:id="9" w:name="_Toc173408470"/>
      <w:bookmarkStart w:id="10" w:name="_Toc173472537"/>
      <w:bookmarkStart w:id="11" w:name="_Toc173752178"/>
      <w:bookmarkStart w:id="12" w:name="_Toc173770877"/>
      <w:bookmarkStart w:id="13" w:name="_Toc174456582"/>
      <w:bookmarkStart w:id="14" w:name="_Toc174458383"/>
      <w:r>
        <w:rPr>
          <w:rFonts w:ascii="ZWAdobeF" w:hAnsi="ZWAdobeF" w:cs="ZWAdobeF"/>
          <w:b w:val="0"/>
          <w:sz w:val="2"/>
          <w:szCs w:val="2"/>
        </w:rPr>
        <w:t>0B</w:t>
      </w:r>
      <w:bookmarkStart w:id="15" w:name="I_A_Source"/>
      <w:r>
        <w:t>A.</w:t>
      </w:r>
      <w:r>
        <w:tab/>
        <w:t>Source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9A7CC0" w:rsidRDefault="009A7CC0" w:rsidP="009A7CC0">
      <w:pPr>
        <w:autoSpaceDE w:val="0"/>
        <w:spacing w:after="240"/>
      </w:pPr>
      <w:r>
        <w:t>The Uniform Laws and Regulations</w:t>
      </w:r>
      <w:r>
        <w:rPr>
          <w:rFonts w:ascii="ZWAdobeF" w:hAnsi="ZWAdobeF" w:cs="ZWAdobeF"/>
          <w:sz w:val="2"/>
          <w:szCs w:val="2"/>
        </w:rPr>
        <w:t>0F0F</w:t>
      </w:r>
      <w:r>
        <w:rPr>
          <w:rStyle w:val="FootnoteReference"/>
        </w:rPr>
        <w:footnoteReference w:id="1"/>
      </w:r>
      <w:r>
        <w:t xml:space="preserve"> in this handbook comprise all of those adopted by the National Conference on Weights and Measures, Inc. (NCWM).  Contact NCWM at:</w:t>
      </w:r>
    </w:p>
    <w:p w:rsidR="009A7CC0" w:rsidRDefault="009A7CC0" w:rsidP="009A7CC0">
      <w:r>
        <w:t>1135 M Street, Suite 100</w:t>
      </w:r>
      <w:r>
        <w:tab/>
      </w:r>
      <w:r>
        <w:tab/>
        <w:t>Phone:</w:t>
      </w:r>
      <w:r>
        <w:tab/>
        <w:t>(402) 434-4880</w:t>
      </w:r>
      <w:r>
        <w:tab/>
      </w:r>
      <w:r>
        <w:tab/>
        <w:t xml:space="preserve">E-mail:  </w:t>
      </w:r>
      <w:hyperlink r:id="rId6" w:history="1">
        <w:r w:rsidRPr="00744221">
          <w:rPr>
            <w:rStyle w:val="Hyperlink"/>
          </w:rPr>
          <w:t>info@ncwm.net</w:t>
        </w:r>
      </w:hyperlink>
    </w:p>
    <w:p w:rsidR="009A7CC0" w:rsidRDefault="009A7CC0" w:rsidP="009A7CC0">
      <w:pPr>
        <w:autoSpaceDE w:val="0"/>
        <w:spacing w:after="240"/>
      </w:pPr>
      <w:r>
        <w:t>Lincoln, NE 68508</w:t>
      </w:r>
      <w:r>
        <w:tab/>
      </w:r>
      <w:r>
        <w:tab/>
        <w:t>Fax:</w:t>
      </w:r>
      <w:r>
        <w:tab/>
        <w:t>(402) 434-4878</w:t>
      </w:r>
      <w:r>
        <w:tab/>
      </w:r>
      <w:r>
        <w:tab/>
        <w:t xml:space="preserve">URL:  </w:t>
      </w:r>
      <w:hyperlink r:id="rId7" w:history="1">
        <w:r w:rsidRPr="00290FC2">
          <w:rPr>
            <w:rStyle w:val="Hyperlink1BChar"/>
          </w:rPr>
          <w:t>www.ncwm.net</w:t>
        </w:r>
      </w:hyperlink>
    </w:p>
    <w:p w:rsidR="009A7CC0" w:rsidRDefault="009A7CC0" w:rsidP="009A7CC0">
      <w:pPr>
        <w:spacing w:after="240"/>
      </w:pPr>
      <w:r w:rsidRPr="00756778">
        <w:t>The NCWM is supported by the National Institute of Standards and Technology (NIST), which provides its Executive Secretary and publishes its documents.  NIST also develops technical publications for use by weights and measures agencies; these publications may subsequently be endorsed or adopted by the NCWM</w:t>
      </w:r>
      <w:r>
        <w:t xml:space="preserve"> or its members</w:t>
      </w:r>
      <w:r w:rsidRPr="00756778">
        <w:t>.</w:t>
      </w:r>
    </w:p>
    <w:p w:rsidR="009A7CC0" w:rsidRDefault="009A7CC0" w:rsidP="009A7CC0">
      <w:proofErr w:type="gramStart"/>
      <w:r>
        <w:t>All of</w:t>
      </w:r>
      <w:proofErr w:type="gramEnd"/>
      <w:r>
        <w:t xml:space="preserve"> the Uniform Laws and Regulations given herein are recommended by NCWM for adoption by states when reviewing or amending their official laws and regulations in the areas covered.  A similar recommendation is made </w:t>
      </w:r>
      <w:proofErr w:type="gramStart"/>
      <w:r>
        <w:t>with regard to</w:t>
      </w:r>
      <w:proofErr w:type="gramEnd"/>
      <w:r>
        <w:t xml:space="preserve"> the local jurisdictions within a state in the absence of the promulgation of such laws and regulations at the state level.</w:t>
      </w:r>
    </w:p>
    <w:p w:rsidR="009A7CC0" w:rsidRDefault="009A7CC0" w:rsidP="009A7CC0">
      <w:pPr>
        <w:spacing w:before="60"/>
      </w:pPr>
      <w:r>
        <w:t>(Amended 2015)</w:t>
      </w:r>
    </w:p>
    <w:p w:rsidR="009A7CC0" w:rsidRDefault="009A7CC0" w:rsidP="009A7CC0">
      <w:pPr>
        <w:pStyle w:val="Heading6"/>
        <w:ind w:left="360" w:hanging="360"/>
      </w:pPr>
      <w:bookmarkStart w:id="16" w:name="I_B_Purpose"/>
      <w:bookmarkStart w:id="17" w:name="_Toc173377900"/>
      <w:bookmarkStart w:id="18" w:name="_Toc173379113"/>
      <w:bookmarkStart w:id="19" w:name="_Toc173380981"/>
      <w:bookmarkStart w:id="20" w:name="_Toc173382942"/>
      <w:bookmarkStart w:id="21" w:name="_Toc173384625"/>
      <w:bookmarkStart w:id="22" w:name="_Toc173385156"/>
      <w:bookmarkStart w:id="23" w:name="_Toc173386188"/>
      <w:bookmarkStart w:id="24" w:name="_Toc173392977"/>
      <w:bookmarkStart w:id="25" w:name="_Toc173393852"/>
      <w:bookmarkStart w:id="26" w:name="_Toc173408471"/>
      <w:bookmarkStart w:id="27" w:name="_Toc173472538"/>
      <w:bookmarkStart w:id="28" w:name="_Toc173752179"/>
      <w:bookmarkStart w:id="29" w:name="_Toc173770878"/>
      <w:bookmarkStart w:id="30" w:name="_Toc174456583"/>
      <w:bookmarkStart w:id="31" w:name="_Toc174458384"/>
      <w:bookmarkEnd w:id="16"/>
      <w:r>
        <w:rPr>
          <w:rFonts w:ascii="ZWAdobeF" w:hAnsi="ZWAdobeF" w:cs="ZWAdobeF"/>
          <w:b w:val="0"/>
          <w:sz w:val="2"/>
          <w:szCs w:val="2"/>
        </w:rPr>
        <w:t>1B</w:t>
      </w:r>
      <w:r>
        <w:t>B.</w:t>
      </w:r>
      <w:r>
        <w:tab/>
        <w:t>Purpose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9A7CC0" w:rsidRDefault="009A7CC0" w:rsidP="009A7CC0">
      <w:r>
        <w:t xml:space="preserve">The purpose of these Uniform Laws and Regulations is to achieve, to the </w:t>
      </w:r>
      <w:proofErr w:type="gramStart"/>
      <w:r>
        <w:t>maximum</w:t>
      </w:r>
      <w:proofErr w:type="gramEnd"/>
      <w:r>
        <w:t xml:space="preserve"> extent possible, uniformity in weights and measures laws and regulations among the various states and local jurisdictions in order to facilitate trade between the states, permit fair competition among businesses, and provide uniform and sufficient protection to all consumers in commercial weights and measures practices.</w:t>
      </w:r>
    </w:p>
    <w:p w:rsidR="009A7CC0" w:rsidRDefault="009A7CC0" w:rsidP="009A7CC0">
      <w:pPr>
        <w:pStyle w:val="Heading6"/>
        <w:ind w:left="360" w:hanging="360"/>
      </w:pPr>
      <w:bookmarkStart w:id="32" w:name="_Toc173377901"/>
      <w:bookmarkStart w:id="33" w:name="_Toc173379114"/>
      <w:bookmarkStart w:id="34" w:name="_Toc173380982"/>
      <w:bookmarkStart w:id="35" w:name="_Toc173382943"/>
      <w:bookmarkStart w:id="36" w:name="_Toc173384626"/>
      <w:bookmarkStart w:id="37" w:name="_Toc173385157"/>
      <w:bookmarkStart w:id="38" w:name="_Toc173386189"/>
      <w:bookmarkStart w:id="39" w:name="_Toc173392978"/>
      <w:bookmarkStart w:id="40" w:name="_Toc173393853"/>
      <w:bookmarkStart w:id="41" w:name="_Toc173408472"/>
      <w:bookmarkStart w:id="42" w:name="_Toc173472539"/>
      <w:bookmarkStart w:id="43" w:name="_Toc173752180"/>
      <w:bookmarkStart w:id="44" w:name="_Toc173770879"/>
      <w:bookmarkStart w:id="45" w:name="_Toc174456584"/>
      <w:bookmarkStart w:id="46" w:name="_Toc174458385"/>
      <w:r>
        <w:rPr>
          <w:rFonts w:ascii="ZWAdobeF" w:hAnsi="ZWAdobeF" w:cs="ZWAdobeF"/>
          <w:b w:val="0"/>
          <w:sz w:val="2"/>
          <w:szCs w:val="2"/>
        </w:rPr>
        <w:t>2B</w:t>
      </w:r>
      <w:bookmarkStart w:id="47" w:name="I_C_Amendments"/>
      <w:r>
        <w:t>C.</w:t>
      </w:r>
      <w:r>
        <w:tab/>
        <w:t>Amendments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9A7CC0" w:rsidRDefault="009A7CC0" w:rsidP="009A7CC0">
      <w:pPr>
        <w:spacing w:after="240"/>
      </w:pPr>
      <w:r>
        <w:t>Proposed amendments to NIST Handbook 130 are deliberated and developed by NCWM’s Committee on Laws and Regulations before presentation to the general membership for vote.  In some instances, amendments that significantly affect other NIST Handbooks may be processed jointly by two or more committees.</w:t>
      </w:r>
    </w:p>
    <w:p w:rsidR="009A7CC0" w:rsidRDefault="009A7CC0" w:rsidP="009A7CC0">
      <w:pPr>
        <w:spacing w:after="240"/>
      </w:pPr>
      <w:r>
        <w:t>Amendments to the handbooks are made in accordance with NCWM procedures and policies.  The process begins at the regional weights and measures association meetings in the fall of each year and it is culminated at the NCWM Annual Meeting in July.  After passing through one or more of the regional associations, the proposed amendment is placed on the agenda of the appropriate NCWM committee for consideration at the NCWM’s Interim Meeting in January, and after final deliberation and development by the committee the amendment may be presented to the membership for a vote at the annual NCWM meeting in July.  NCWM policy provides for exceptions to the process to accommodate urgent or priority items.  NIST staff provides technical assistance and advice throughout the process.</w:t>
      </w:r>
    </w:p>
    <w:p w:rsidR="009A7CC0" w:rsidRDefault="009A7CC0" w:rsidP="009A7CC0">
      <w:pPr>
        <w:autoSpaceDE w:val="0"/>
      </w:pPr>
      <w:r>
        <w:t xml:space="preserve">The policy is available on the NCWM website at </w:t>
      </w:r>
      <w:hyperlink r:id="rId8" w:history="1">
        <w:r w:rsidRPr="00290FC2">
          <w:rPr>
            <w:rStyle w:val="Hyperlink1BChar"/>
          </w:rPr>
          <w:t>www.ncwm.net</w:t>
        </w:r>
      </w:hyperlink>
      <w:r>
        <w:t xml:space="preserve">.  For information on the regional weights </w:t>
      </w:r>
      <w:r w:rsidRPr="00742FFB">
        <w:t xml:space="preserve">and measures associations, visit </w:t>
      </w:r>
      <w:hyperlink r:id="rId9" w:history="1">
        <w:r w:rsidRPr="00290FC2">
          <w:rPr>
            <w:rStyle w:val="Hyperlink1BChar"/>
          </w:rPr>
          <w:t>www.ncwm.net/meetings/regions</w:t>
        </w:r>
      </w:hyperlink>
      <w:r>
        <w:t>.</w:t>
      </w:r>
    </w:p>
    <w:p w:rsidR="009A7CC0" w:rsidRDefault="009A7CC0" w:rsidP="009A7CC0">
      <w:pPr>
        <w:spacing w:before="60"/>
      </w:pPr>
      <w:r>
        <w:t>(Amended 2015)</w:t>
      </w:r>
    </w:p>
    <w:p w:rsidR="009A7CC0" w:rsidRDefault="009A7CC0" w:rsidP="009A7CC0">
      <w:pPr>
        <w:pStyle w:val="Heading6"/>
        <w:keepLines/>
        <w:ind w:left="360" w:hanging="360"/>
      </w:pPr>
      <w:bookmarkStart w:id="48" w:name="_Toc173377902"/>
      <w:bookmarkStart w:id="49" w:name="_Toc173379115"/>
      <w:bookmarkStart w:id="50" w:name="_Toc173380983"/>
      <w:bookmarkStart w:id="51" w:name="_Toc173382944"/>
      <w:bookmarkStart w:id="52" w:name="_Toc173384627"/>
      <w:bookmarkStart w:id="53" w:name="_Toc173385158"/>
      <w:bookmarkStart w:id="54" w:name="_Toc173386190"/>
      <w:bookmarkStart w:id="55" w:name="_Toc173392979"/>
      <w:bookmarkStart w:id="56" w:name="_Toc173393854"/>
      <w:bookmarkStart w:id="57" w:name="_Toc173408473"/>
      <w:bookmarkStart w:id="58" w:name="_Toc173472540"/>
      <w:bookmarkStart w:id="59" w:name="_Toc173752181"/>
      <w:bookmarkStart w:id="60" w:name="_Toc173770880"/>
      <w:bookmarkStart w:id="61" w:name="_Toc174456585"/>
      <w:bookmarkStart w:id="62" w:name="_Toc174458386"/>
      <w:r>
        <w:rPr>
          <w:rFonts w:ascii="ZWAdobeF" w:hAnsi="ZWAdobeF" w:cs="ZWAdobeF"/>
          <w:b w:val="0"/>
          <w:sz w:val="2"/>
          <w:szCs w:val="2"/>
        </w:rPr>
        <w:lastRenderedPageBreak/>
        <w:t>3B</w:t>
      </w:r>
      <w:bookmarkStart w:id="63" w:name="I_D_Annual_Mtg"/>
      <w:r>
        <w:t>D.</w:t>
      </w:r>
      <w:r>
        <w:tab/>
      </w:r>
      <w:bookmarkStart w:id="64" w:name="I_CommitteeAgenda"/>
      <w:bookmarkStart w:id="65" w:name="_Toc173377913"/>
      <w:bookmarkStart w:id="66" w:name="_Toc173379126"/>
      <w:bookmarkStart w:id="67" w:name="_Toc173380994"/>
      <w:bookmarkStart w:id="68" w:name="_Toc173382955"/>
      <w:bookmarkStart w:id="69" w:name="_Toc173384638"/>
      <w:bookmarkStart w:id="70" w:name="_Toc173385169"/>
      <w:bookmarkStart w:id="71" w:name="_Toc173386201"/>
      <w:bookmarkStart w:id="72" w:name="_Toc173392990"/>
      <w:bookmarkStart w:id="73" w:name="_Toc173393865"/>
      <w:bookmarkStart w:id="74" w:name="_Toc173408484"/>
      <w:bookmarkStart w:id="75" w:name="_Toc173472551"/>
      <w:bookmarkStart w:id="76" w:name="_Toc173752192"/>
      <w:bookmarkStart w:id="77" w:name="_Toc173770891"/>
      <w:bookmarkStart w:id="78" w:name="_Toc174456596"/>
      <w:bookmarkStart w:id="79" w:name="_Toc17445839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4"/>
      <w:r>
        <w:t>Annual Meeting</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63"/>
    </w:p>
    <w:p w:rsidR="009A7CC0" w:rsidRDefault="009A7CC0" w:rsidP="009A7CC0">
      <w:pPr>
        <w:keepNext/>
        <w:keepLines/>
        <w:spacing w:after="240"/>
        <w:ind w:left="720" w:hanging="360"/>
      </w:pPr>
      <w:r>
        <w:t>1.</w:t>
      </w:r>
      <w:r>
        <w:tab/>
        <w:t>The Committee will hold a public hearing at the Annual Meeting to discuss items on its agenda.</w:t>
      </w:r>
    </w:p>
    <w:p w:rsidR="009A7CC0" w:rsidRDefault="009A7CC0" w:rsidP="009A7CC0">
      <w:pPr>
        <w:ind w:left="720" w:hanging="360"/>
      </w:pPr>
      <w:r>
        <w:t>2.</w:t>
      </w:r>
      <w:r>
        <w:tab/>
        <w:t>Those who want to speak on an item during the public hearing should request time from the Committee Chairman.  The Committee Chairman may impose time limits on presentations, the discussion of a question, or the discussion of a proposed amendment.</w:t>
      </w:r>
    </w:p>
    <w:p w:rsidR="009A7CC0" w:rsidRDefault="009A7CC0" w:rsidP="009A7CC0">
      <w:pPr>
        <w:pStyle w:val="Heading6"/>
        <w:ind w:left="360" w:hanging="360"/>
      </w:pPr>
      <w:bookmarkStart w:id="80" w:name="_Toc173377914"/>
      <w:bookmarkStart w:id="81" w:name="_Toc173379127"/>
      <w:bookmarkStart w:id="82" w:name="_Toc173380995"/>
      <w:bookmarkStart w:id="83" w:name="_Toc173382956"/>
      <w:bookmarkStart w:id="84" w:name="_Toc173384639"/>
      <w:bookmarkStart w:id="85" w:name="_Toc173385170"/>
      <w:bookmarkStart w:id="86" w:name="_Toc173386202"/>
      <w:bookmarkStart w:id="87" w:name="_Toc173392991"/>
      <w:bookmarkStart w:id="88" w:name="_Toc173393866"/>
      <w:bookmarkStart w:id="89" w:name="_Toc173408485"/>
      <w:bookmarkStart w:id="90" w:name="_Toc173472552"/>
      <w:bookmarkStart w:id="91" w:name="_Toc173752193"/>
      <w:bookmarkStart w:id="92" w:name="_Toc173770892"/>
      <w:bookmarkStart w:id="93" w:name="_Toc174456597"/>
      <w:bookmarkStart w:id="94" w:name="_Toc174458398"/>
      <w:r>
        <w:rPr>
          <w:rFonts w:ascii="ZWAdobeF" w:hAnsi="ZWAdobeF" w:cs="ZWAdobeF"/>
          <w:b w:val="0"/>
          <w:sz w:val="2"/>
          <w:szCs w:val="2"/>
        </w:rPr>
        <w:t>4B</w:t>
      </w:r>
      <w:bookmarkStart w:id="95" w:name="I_E_FinCommReports"/>
      <w:r>
        <w:t>E.</w:t>
      </w:r>
      <w:r>
        <w:tab/>
        <w:t>Final Committee Reports and Conference Action</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9A7CC0" w:rsidRDefault="009A7CC0" w:rsidP="009A7CC0">
      <w:pPr>
        <w:spacing w:after="240"/>
        <w:ind w:left="720" w:hanging="360"/>
      </w:pPr>
      <w:r>
        <w:t>1.</w:t>
      </w:r>
      <w:r>
        <w:tab/>
        <w:t>Following the public hearings, the Committee will prepare its final report for action by the voting membership of the Conference.  Copies of the final report will be provided to the membership prior to the voting session for that report.</w:t>
      </w:r>
    </w:p>
    <w:p w:rsidR="009A7CC0" w:rsidRDefault="009A7CC0" w:rsidP="009A7CC0">
      <w:pPr>
        <w:ind w:left="720" w:hanging="360"/>
      </w:pPr>
      <w:r>
        <w:t>2.</w:t>
      </w:r>
      <w:r>
        <w:tab/>
        <w:t>The Chairman of the Committee will present the final report of the Committee to the Conference body.  A vote will be taken on items, proposals, or sections in the report as circumstances require.  The Conference will vote on the entire final report as presented in accordance with established Conference voting procedures.  Parliamentary procedures according to Robert’s Rules of Order, as amended by NCWM Bylaws, must be adhered to in the presentation of, and any action on, a Standing Committee report.</w:t>
      </w:r>
    </w:p>
    <w:p w:rsidR="009A7CC0" w:rsidRDefault="009A7CC0" w:rsidP="009A7CC0">
      <w:pPr>
        <w:pStyle w:val="Left050"/>
        <w:spacing w:after="240"/>
      </w:pPr>
      <w:r>
        <w:t>(Amended 1998)</w:t>
      </w:r>
    </w:p>
    <w:p w:rsidR="009A7CC0" w:rsidRPr="00B35F71" w:rsidRDefault="009A7CC0" w:rsidP="009A7CC0">
      <w:pPr>
        <w:pStyle w:val="Heading6"/>
      </w:pPr>
      <w:bookmarkStart w:id="96" w:name="_Toc173377915"/>
      <w:bookmarkStart w:id="97" w:name="_Toc173379128"/>
      <w:bookmarkStart w:id="98" w:name="_Toc173380996"/>
      <w:bookmarkStart w:id="99" w:name="_Toc173382957"/>
      <w:bookmarkStart w:id="100" w:name="_Toc173384640"/>
      <w:bookmarkStart w:id="101" w:name="_Toc173385171"/>
      <w:bookmarkStart w:id="102" w:name="_Toc173386203"/>
      <w:bookmarkStart w:id="103" w:name="_Toc173392992"/>
      <w:bookmarkStart w:id="104" w:name="_Toc173393867"/>
      <w:bookmarkStart w:id="105" w:name="_Toc173408486"/>
      <w:bookmarkStart w:id="106" w:name="_Toc173472553"/>
      <w:bookmarkStart w:id="107" w:name="_Toc173752194"/>
      <w:bookmarkStart w:id="108" w:name="_Toc173770893"/>
      <w:bookmarkStart w:id="109" w:name="_Toc174456598"/>
      <w:bookmarkStart w:id="110" w:name="_Toc174458399"/>
      <w:bookmarkStart w:id="111" w:name="I_F_Revisions"/>
      <w:r w:rsidRPr="00E624D3">
        <w:t>F.</w:t>
      </w:r>
      <w:r w:rsidRPr="00E624D3">
        <w:tab/>
        <w:t>Revisions to the Handbook</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C96A7C">
        <w:fldChar w:fldCharType="begin"/>
      </w:r>
      <w:r w:rsidRPr="00C96A7C">
        <w:instrText>xe "Handbooks:Revisions"</w:instrText>
      </w:r>
      <w:r w:rsidRPr="00C96A7C">
        <w:fldChar w:fldCharType="end"/>
      </w:r>
    </w:p>
    <w:p w:rsidR="009A7CC0" w:rsidRDefault="009A7CC0" w:rsidP="009A7CC0">
      <w:r>
        <w:t>NIST may not publish a new edition if it determines that it is reasonable to forego an annual publication (e.g., amendments were minor or editorial in nature) to save printing, mailing, and other costs.  If this occurs, NIST will issue a notice that the current edition is still valid and will explain its action.  (</w:t>
      </w:r>
      <w:r w:rsidRPr="00DE17F2">
        <w:rPr>
          <w:b/>
          <w:i/>
        </w:rPr>
        <w:t>NOTE:</w:t>
      </w:r>
      <w:r w:rsidRPr="00DE17F2">
        <w:rPr>
          <w:i/>
        </w:rPr>
        <w:t xml:space="preserve">  Section numbering may be changed from one edition of the handbook to another to accommodate additions or deletions.</w:t>
      </w:r>
      <w:r>
        <w:t>)</w:t>
      </w:r>
    </w:p>
    <w:p w:rsidR="009A7CC0" w:rsidRDefault="009A7CC0" w:rsidP="009A7CC0">
      <w:pPr>
        <w:spacing w:before="60"/>
      </w:pPr>
      <w:r>
        <w:t>(Amended 2008)</w:t>
      </w:r>
    </w:p>
    <w:p w:rsidR="009A7CC0" w:rsidRDefault="009A7CC0" w:rsidP="009A7CC0">
      <w:pPr>
        <w:pStyle w:val="Heading6"/>
      </w:pPr>
      <w:bookmarkStart w:id="112" w:name="_Toc173377916"/>
      <w:bookmarkStart w:id="113" w:name="_Toc173379129"/>
      <w:bookmarkStart w:id="114" w:name="_Toc173380997"/>
      <w:bookmarkStart w:id="115" w:name="_Toc173382958"/>
      <w:bookmarkStart w:id="116" w:name="_Toc173384641"/>
      <w:bookmarkStart w:id="117" w:name="_Toc173385172"/>
      <w:bookmarkStart w:id="118" w:name="_Toc173386204"/>
      <w:bookmarkStart w:id="119" w:name="_Toc173392993"/>
      <w:bookmarkStart w:id="120" w:name="_Toc173393868"/>
      <w:bookmarkStart w:id="121" w:name="_Toc173408487"/>
      <w:bookmarkStart w:id="122" w:name="_Toc173472554"/>
      <w:bookmarkStart w:id="123" w:name="_Toc173752195"/>
      <w:bookmarkStart w:id="124" w:name="_Toc173770894"/>
      <w:bookmarkStart w:id="125" w:name="_Toc174456599"/>
      <w:bookmarkStart w:id="126" w:name="_Toc174458400"/>
      <w:r>
        <w:rPr>
          <w:rFonts w:ascii="ZWAdobeF" w:hAnsi="ZWAdobeF" w:cs="ZWAdobeF"/>
          <w:b w:val="0"/>
          <w:sz w:val="2"/>
          <w:szCs w:val="2"/>
        </w:rPr>
        <w:t>5B</w:t>
      </w:r>
      <w:bookmarkStart w:id="127" w:name="I_G_Annotation"/>
      <w:r>
        <w:t>G.</w:t>
      </w:r>
      <w:r>
        <w:tab/>
        <w:t>Annotation</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9A7CC0" w:rsidRDefault="009A7CC0" w:rsidP="009A7CC0">
      <w:r>
        <w:t>Beginning in 1971, amendments or additions to sections in the Uniform Laws and Regulations are delineated at the end of each section (e.g., “amended 1982”) as a service to those states that are planning to update their own laws or regulations.  The references to each revision and the year will enable legislators and rule makers to study the actual wording and rationale for changes (appearing in the Annual Report of NCWM for that year) and subsequently adopt changes in their own laws and regulations, modeling them after the Uniform Laws and Regulations.</w:t>
      </w:r>
    </w:p>
    <w:p w:rsidR="009A7CC0" w:rsidRDefault="009A7CC0" w:rsidP="009A7CC0">
      <w:pPr>
        <w:pStyle w:val="Heading6"/>
        <w:widowControl w:val="0"/>
        <w:ind w:left="360" w:hanging="360"/>
      </w:pPr>
      <w:bookmarkStart w:id="128" w:name="_Toc173377917"/>
      <w:bookmarkStart w:id="129" w:name="_Toc173379130"/>
      <w:bookmarkStart w:id="130" w:name="_Toc173380998"/>
      <w:bookmarkStart w:id="131" w:name="_Toc173382959"/>
      <w:bookmarkStart w:id="132" w:name="_Toc173384642"/>
      <w:bookmarkStart w:id="133" w:name="_Toc173385173"/>
      <w:bookmarkStart w:id="134" w:name="_Toc173386205"/>
      <w:bookmarkStart w:id="135" w:name="_Toc173392994"/>
      <w:bookmarkStart w:id="136" w:name="_Toc173393869"/>
      <w:bookmarkStart w:id="137" w:name="_Toc173408488"/>
      <w:bookmarkStart w:id="138" w:name="_Toc173472555"/>
      <w:bookmarkStart w:id="139" w:name="_Toc173752196"/>
      <w:bookmarkStart w:id="140" w:name="_Toc173770895"/>
      <w:bookmarkStart w:id="141" w:name="_Toc174456600"/>
      <w:bookmarkStart w:id="142" w:name="_Toc174458401"/>
      <w:r>
        <w:rPr>
          <w:rFonts w:ascii="ZWAdobeF" w:hAnsi="ZWAdobeF" w:cs="ZWAdobeF"/>
          <w:b w:val="0"/>
          <w:sz w:val="2"/>
          <w:szCs w:val="2"/>
        </w:rPr>
        <w:t>6B</w:t>
      </w:r>
      <w:bookmarkStart w:id="143" w:name="I_H_EffectiveEnforcement"/>
      <w:r>
        <w:t>H.</w:t>
      </w:r>
      <w:r>
        <w:tab/>
        <w:t>Effective Enforcement Dates of Regulations</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9A7CC0" w:rsidRDefault="009A7CC0" w:rsidP="009A7CC0">
      <w:pPr>
        <w:widowControl w:val="0"/>
        <w:spacing w:after="240"/>
      </w:pPr>
      <w:r>
        <w:t>Unless otherwise specified, the new or amended regulations listed in this section are intended to become effective and subject to enforcement on January 1 of the year following adoption by NCWM.</w:t>
      </w:r>
    </w:p>
    <w:p w:rsidR="009A7CC0" w:rsidRDefault="009A7CC0" w:rsidP="009A7CC0">
      <w:pPr>
        <w:spacing w:after="240"/>
        <w:ind w:left="720" w:hanging="360"/>
      </w:pPr>
      <w:r>
        <w:t>1.</w:t>
      </w:r>
      <w:r>
        <w:tab/>
        <w:t>Uniform Packaging and Labeling Regulation</w:t>
      </w:r>
      <w:r>
        <w:fldChar w:fldCharType="begin"/>
      </w:r>
      <w:r>
        <w:instrText>xe "</w:instrText>
      </w:r>
      <w:r w:rsidRPr="00A62BA6">
        <w:instrText>Uniform Packaging and Labeling Regulation</w:instrText>
      </w:r>
      <w:r>
        <w:instrText>"</w:instrText>
      </w:r>
      <w:r>
        <w:fldChar w:fldCharType="end"/>
      </w:r>
    </w:p>
    <w:p w:rsidR="009A7CC0" w:rsidRDefault="009A7CC0" w:rsidP="009A7CC0">
      <w:pPr>
        <w:spacing w:after="240"/>
        <w:ind w:left="720" w:hanging="360"/>
      </w:pPr>
      <w:r>
        <w:t>2.</w:t>
      </w:r>
      <w:r>
        <w:tab/>
        <w:t>Uniform Regulation for the Method of Sale</w:t>
      </w:r>
      <w:r>
        <w:fldChar w:fldCharType="begin"/>
      </w:r>
      <w:r>
        <w:instrText>xe "</w:instrText>
      </w:r>
      <w:r w:rsidRPr="001C4A81">
        <w:instrText xml:space="preserve">Method of </w:instrText>
      </w:r>
      <w:r>
        <w:instrText>s</w:instrText>
      </w:r>
      <w:r w:rsidRPr="001C4A81">
        <w:instrText>ale</w:instrText>
      </w:r>
      <w:r>
        <w:instrText>:Enforcement"</w:instrText>
      </w:r>
      <w:r>
        <w:fldChar w:fldCharType="end"/>
      </w:r>
      <w:r>
        <w:t xml:space="preserve"> of Commodities</w:t>
      </w:r>
    </w:p>
    <w:p w:rsidR="009A7CC0" w:rsidRDefault="009A7CC0" w:rsidP="009A7CC0">
      <w:pPr>
        <w:spacing w:after="240"/>
        <w:ind w:left="720" w:hanging="360"/>
      </w:pPr>
      <w:r>
        <w:t>3.</w:t>
      </w:r>
      <w:r>
        <w:tab/>
        <w:t>Uniform Unit Pricing Regulation</w:t>
      </w:r>
      <w:r>
        <w:fldChar w:fldCharType="begin"/>
      </w:r>
      <w:r>
        <w:instrText>xe "</w:instrText>
      </w:r>
      <w:r w:rsidRPr="00FF6617">
        <w:instrText>Unit pricing</w:instrText>
      </w:r>
      <w:r>
        <w:instrText>"</w:instrText>
      </w:r>
      <w:r>
        <w:fldChar w:fldCharType="end"/>
      </w:r>
    </w:p>
    <w:p w:rsidR="009A7CC0" w:rsidRDefault="009A7CC0" w:rsidP="009A7CC0">
      <w:pPr>
        <w:spacing w:after="240"/>
        <w:ind w:left="720" w:hanging="360"/>
      </w:pPr>
      <w:r>
        <w:t>4.</w:t>
      </w:r>
      <w:r>
        <w:tab/>
        <w:t>Uniform Regulation for the Voluntary Registration of Servicepersons and Service Agencies for Commercial Weighing and Measuring Devices</w:t>
      </w:r>
      <w:r>
        <w:fldChar w:fldCharType="begin"/>
      </w:r>
      <w:r>
        <w:instrText>xe "</w:instrText>
      </w:r>
      <w:r w:rsidRPr="0038342C">
        <w:instrText>Voluntary registration</w:instrText>
      </w:r>
      <w:r>
        <w:instrText>"</w:instrText>
      </w:r>
      <w:r>
        <w:fldChar w:fldCharType="end"/>
      </w:r>
      <w:r>
        <w:fldChar w:fldCharType="begin"/>
      </w:r>
      <w:r>
        <w:instrText>xe "</w:instrText>
      </w:r>
      <w:r w:rsidRPr="00C01CA9">
        <w:instrText>Uniform Regulation for the Voluntary Registration of Servicepersons and Service Agencies</w:instrText>
      </w:r>
      <w:r>
        <w:instrText>"</w:instrText>
      </w:r>
      <w:r>
        <w:fldChar w:fldCharType="end"/>
      </w:r>
    </w:p>
    <w:p w:rsidR="009A7CC0" w:rsidRDefault="009A7CC0" w:rsidP="009A7CC0">
      <w:pPr>
        <w:spacing w:after="240"/>
        <w:ind w:left="720" w:hanging="360"/>
      </w:pPr>
      <w:r>
        <w:t>5.</w:t>
      </w:r>
      <w:r>
        <w:tab/>
        <w:t>Uniform Open Dating</w:t>
      </w:r>
      <w:r>
        <w:fldChar w:fldCharType="begin"/>
      </w:r>
      <w:r>
        <w:instrText>xe "</w:instrText>
      </w:r>
      <w:r w:rsidRPr="005F13B6">
        <w:instrText xml:space="preserve">Open </w:instrText>
      </w:r>
      <w:r>
        <w:instrText>d</w:instrText>
      </w:r>
      <w:r w:rsidRPr="005F13B6">
        <w:instrText>ating</w:instrText>
      </w:r>
      <w:r>
        <w:instrText>"</w:instrText>
      </w:r>
      <w:r>
        <w:fldChar w:fldCharType="end"/>
      </w:r>
      <w:r>
        <w:t xml:space="preserve"> Regulation</w:t>
      </w:r>
    </w:p>
    <w:p w:rsidR="009A7CC0" w:rsidRDefault="009A7CC0" w:rsidP="009A7CC0">
      <w:pPr>
        <w:spacing w:after="240"/>
        <w:ind w:left="720" w:hanging="360"/>
      </w:pPr>
      <w:r>
        <w:t>6.</w:t>
      </w:r>
      <w:r>
        <w:tab/>
        <w:t>Uniform Regulation for National Type Evaluation</w:t>
      </w:r>
      <w:r>
        <w:fldChar w:fldCharType="begin"/>
      </w:r>
      <w:r>
        <w:instrText>xe "National Type E</w:instrText>
      </w:r>
      <w:r w:rsidRPr="006B5684">
        <w:instrText>valuation</w:instrText>
      </w:r>
      <w:r>
        <w:instrText>"</w:instrText>
      </w:r>
      <w:r>
        <w:fldChar w:fldCharType="end"/>
      </w:r>
      <w:r>
        <w:fldChar w:fldCharType="begin"/>
      </w:r>
      <w:r>
        <w:instrText>xe "</w:instrText>
      </w:r>
      <w:r w:rsidRPr="00041825">
        <w:instrText xml:space="preserve"> </w:instrText>
      </w:r>
      <w:r>
        <w:instrText>Uniform Regulation for National Type Evaluation "</w:instrText>
      </w:r>
      <w:r>
        <w:fldChar w:fldCharType="end"/>
      </w:r>
    </w:p>
    <w:p w:rsidR="009A7CC0" w:rsidRDefault="009A7CC0" w:rsidP="009A7CC0">
      <w:pPr>
        <w:ind w:left="720" w:hanging="360"/>
      </w:pPr>
      <w:r>
        <w:lastRenderedPageBreak/>
        <w:t>7.</w:t>
      </w:r>
      <w:r>
        <w:tab/>
        <w:t xml:space="preserve">Uniform Regulation for Engine Fuels, Petroleum Products, and Automotive Lubricants </w:t>
      </w:r>
      <w:r>
        <w:fldChar w:fldCharType="begin"/>
      </w:r>
      <w:r>
        <w:instrText xml:space="preserve"> XE "Engine fuels</w:instrText>
      </w:r>
      <w:r w:rsidRPr="005F284B">
        <w:instrText>:Uniform Regulation for Engine Fuels, Petroleum Products, and Automotive Lubricants</w:instrText>
      </w:r>
      <w:r>
        <w:instrText xml:space="preserve">" </w:instrText>
      </w:r>
      <w:r>
        <w:fldChar w:fldCharType="end"/>
      </w:r>
      <w:r>
        <w:fldChar w:fldCharType="begin"/>
      </w:r>
      <w:r>
        <w:instrText>xe "Uniform Regulation for Engine Fuels, Petroleum Products, and A</w:instrText>
      </w:r>
      <w:r w:rsidRPr="006D3D42">
        <w:instrText xml:space="preserve">utomotive </w:instrText>
      </w:r>
      <w:r>
        <w:instrText>L</w:instrText>
      </w:r>
      <w:r w:rsidRPr="006D3D42">
        <w:instrText>ubricants</w:instrText>
      </w:r>
      <w:r>
        <w:instrText>"</w:instrText>
      </w:r>
      <w:r>
        <w:fldChar w:fldCharType="end"/>
      </w:r>
    </w:p>
    <w:p w:rsidR="009A7CC0" w:rsidRDefault="009A7CC0" w:rsidP="009A7CC0">
      <w:pPr>
        <w:pStyle w:val="StyleBefore3ptAfter12pt"/>
      </w:pPr>
      <w:r>
        <w:t>(Added 1992)</w:t>
      </w:r>
    </w:p>
    <w:p w:rsidR="009A7CC0" w:rsidRDefault="009A7CC0" w:rsidP="009A7CC0">
      <w:pPr>
        <w:pStyle w:val="Heading6"/>
        <w:keepNext w:val="0"/>
        <w:keepLines/>
        <w:ind w:left="360" w:hanging="360"/>
      </w:pPr>
      <w:bookmarkStart w:id="144" w:name="_Toc173377918"/>
      <w:bookmarkStart w:id="145" w:name="_Toc173379131"/>
      <w:bookmarkStart w:id="146" w:name="_Toc173380999"/>
      <w:bookmarkStart w:id="147" w:name="_Toc173382960"/>
      <w:bookmarkStart w:id="148" w:name="_Toc173384643"/>
      <w:bookmarkStart w:id="149" w:name="_Toc173385174"/>
      <w:bookmarkStart w:id="150" w:name="_Toc173386206"/>
      <w:bookmarkStart w:id="151" w:name="_Toc173392995"/>
      <w:bookmarkStart w:id="152" w:name="_Toc173393870"/>
      <w:bookmarkStart w:id="153" w:name="_Toc173408489"/>
      <w:bookmarkStart w:id="154" w:name="_Toc173472556"/>
      <w:bookmarkStart w:id="155" w:name="_Toc173752197"/>
      <w:bookmarkStart w:id="156" w:name="_Toc173770896"/>
      <w:bookmarkStart w:id="157" w:name="_Toc174456601"/>
      <w:bookmarkStart w:id="158" w:name="_Toc174458402"/>
      <w:r>
        <w:rPr>
          <w:rFonts w:ascii="ZWAdobeF" w:hAnsi="ZWAdobeF" w:cs="ZWAdobeF"/>
          <w:b w:val="0"/>
          <w:sz w:val="2"/>
          <w:szCs w:val="2"/>
        </w:rPr>
        <w:t>7B</w:t>
      </w:r>
      <w:bookmarkStart w:id="159" w:name="I_I_SectionRef"/>
      <w:r>
        <w:t>I.</w:t>
      </w:r>
      <w:r>
        <w:tab/>
        <w:t>Section References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9A7CC0" w:rsidRDefault="009A7CC0" w:rsidP="009A7CC0">
      <w:r>
        <w:t>In most references made to specific sections or subsections in this handbook, the word “Section” is used, followed by the section number.</w:t>
      </w:r>
    </w:p>
    <w:p w:rsidR="009A7CC0" w:rsidRDefault="009A7CC0" w:rsidP="009A7CC0">
      <w:pPr>
        <w:pStyle w:val="Heading6"/>
        <w:keepLines/>
        <w:ind w:left="360" w:hanging="360"/>
      </w:pPr>
      <w:bookmarkStart w:id="160" w:name="_Toc173377919"/>
      <w:bookmarkStart w:id="161" w:name="_Toc173379132"/>
      <w:bookmarkStart w:id="162" w:name="_Toc173381000"/>
      <w:bookmarkStart w:id="163" w:name="_Toc173382961"/>
      <w:bookmarkStart w:id="164" w:name="_Toc173384644"/>
      <w:bookmarkStart w:id="165" w:name="_Toc173385175"/>
      <w:bookmarkStart w:id="166" w:name="_Toc173386207"/>
      <w:bookmarkStart w:id="167" w:name="_Toc173392996"/>
      <w:bookmarkStart w:id="168" w:name="_Toc173393871"/>
      <w:bookmarkStart w:id="169" w:name="_Toc173408490"/>
      <w:bookmarkStart w:id="170" w:name="_Toc173472557"/>
      <w:bookmarkStart w:id="171" w:name="_Toc173752198"/>
      <w:bookmarkStart w:id="172" w:name="_Toc173770897"/>
      <w:bookmarkStart w:id="173" w:name="_Toc174456602"/>
      <w:bookmarkStart w:id="174" w:name="_Toc174458403"/>
      <w:r>
        <w:rPr>
          <w:rFonts w:ascii="ZWAdobeF" w:hAnsi="ZWAdobeF" w:cs="ZWAdobeF"/>
          <w:b w:val="0"/>
          <w:sz w:val="2"/>
          <w:szCs w:val="2"/>
        </w:rPr>
        <w:t>8B</w:t>
      </w:r>
      <w:bookmarkStart w:id="175" w:name="I_J_SI"/>
      <w:r>
        <w:t>J.</w:t>
      </w:r>
      <w:r>
        <w:tab/>
        <w:t>The International System of Units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9A7CC0" w:rsidRDefault="009A7CC0" w:rsidP="009A7CC0">
      <w:r>
        <w:t>The “International System of Units,” “SI,” or “SI Units” means the modernized metric system as established in 1960 by the General Conference on Weights and Measures (GIPM).  In 1988, Congress amended the Metric Conversion Act of 1975 (see Section 5164 of Public Law 100-418) to declare that it is the policy of the United States to designate the metric system of measurement as the preferred measurement system for U.S. trade and commerce, and it further defined “the metric system of measurement” to be the International System as established by the GIPM and as interpreted or modified for the United States by the Secretary of Commerce.  [See Metric Conversion Law 15 U.S.C. 205, NIST Special Publication 330 – “The International System of Units (SI)”; NIST Special Publication 814 – “Metric System of Measurement; and, Interpretation of the International System of Units for the United States” in Federal Register of May 16, 2008, (“</w:t>
      </w:r>
      <w:r w:rsidRPr="005F614E">
        <w:t>Federal Register</w:t>
      </w:r>
      <w:r>
        <w:t>”</w:t>
      </w:r>
      <w:r w:rsidRPr="005F614E">
        <w:t xml:space="preserve"> </w:t>
      </w:r>
      <w:r>
        <w:t>Vol. 73, No. 96) or subsequent revisions].  In 1992, Congress amended the Federal Fair Packaging and Labeling Act</w:t>
      </w:r>
      <w:r>
        <w:fldChar w:fldCharType="begin"/>
      </w:r>
      <w:r>
        <w:instrText>xe "</w:instrText>
      </w:r>
      <w:r w:rsidRPr="000836DE">
        <w:instrText>Federal Fair Packaging and Labeling Act</w:instrText>
      </w:r>
      <w:r>
        <w:instrText>"</w:instrText>
      </w:r>
      <w:r>
        <w:fldChar w:fldCharType="end"/>
      </w:r>
      <w:r>
        <w:t xml:space="preserve"> to require certain consumer commodities to include the appropriate SI units along with the U.S. customary units in their quantity statements.</w:t>
      </w:r>
    </w:p>
    <w:p w:rsidR="009A7CC0" w:rsidRDefault="009A7CC0" w:rsidP="009A7CC0">
      <w:pPr>
        <w:spacing w:before="60" w:after="240"/>
      </w:pPr>
      <w:r>
        <w:t>(Added 1993) (Revised 2008)</w:t>
      </w:r>
    </w:p>
    <w:p w:rsidR="009A7CC0" w:rsidRPr="00557F07" w:rsidRDefault="009A7CC0" w:rsidP="009A7CC0">
      <w:pPr>
        <w:pStyle w:val="Heading6"/>
        <w:rPr>
          <w:iCs/>
        </w:rPr>
      </w:pPr>
      <w:bookmarkStart w:id="176" w:name="I_K_Mass_Weight"/>
      <w:r w:rsidRPr="00E624D3">
        <w:t>K.</w:t>
      </w:r>
      <w:r w:rsidRPr="00E624D3">
        <w:tab/>
        <w:t>“Mass” and “Weight.”</w:t>
      </w:r>
      <w:r>
        <w:fldChar w:fldCharType="begin"/>
      </w:r>
      <w:r>
        <w:instrText>xe "M</w:instrText>
      </w:r>
      <w:r w:rsidRPr="002A4715">
        <w:instrText>ass</w:instrText>
      </w:r>
      <w:r>
        <w:instrText xml:space="preserve"> and weight"</w:instrText>
      </w:r>
      <w:r>
        <w:fldChar w:fldCharType="end"/>
      </w:r>
      <w:r>
        <w:t xml:space="preserve"> </w:t>
      </w:r>
      <w:r>
        <w:rPr>
          <w:vertAlign w:val="superscript"/>
        </w:rPr>
        <w:t>[</w:t>
      </w:r>
      <w:bookmarkEnd w:id="176"/>
      <w:r w:rsidRPr="00222D3B">
        <w:rPr>
          <w:i/>
          <w:iCs/>
          <w:szCs w:val="20"/>
          <w:vertAlign w:val="superscript"/>
        </w:rPr>
        <w:t>NOTE 1</w:t>
      </w:r>
      <w:r>
        <w:rPr>
          <w:i/>
          <w:iCs/>
          <w:szCs w:val="20"/>
          <w:vertAlign w:val="superscript"/>
        </w:rPr>
        <w:t>,</w:t>
      </w:r>
      <w:r>
        <w:rPr>
          <w:szCs w:val="20"/>
          <w:vertAlign w:val="superscript"/>
        </w:rPr>
        <w:t xml:space="preserve"> page 3]</w:t>
      </w:r>
    </w:p>
    <w:p w:rsidR="009A7CC0" w:rsidRDefault="009A7CC0" w:rsidP="009A7CC0">
      <w:pPr>
        <w:keepNext/>
        <w:keepLines/>
      </w:pPr>
      <w:r>
        <w:t xml:space="preserve">The mass </w:t>
      </w:r>
      <w:r>
        <w:fldChar w:fldCharType="begin"/>
      </w:r>
      <w:r>
        <w:instrText xml:space="preserve"> XE "</w:instrText>
      </w:r>
      <w:r w:rsidRPr="00D33DA7">
        <w:instrText>Mass</w:instrText>
      </w:r>
      <w:r>
        <w:instrText xml:space="preserve"> and </w:instrText>
      </w:r>
      <w:r w:rsidRPr="00D33DA7">
        <w:instrText>weight</w:instrText>
      </w:r>
      <w:r>
        <w:instrText xml:space="preserve">" </w:instrText>
      </w:r>
      <w:r>
        <w:fldChar w:fldCharType="end"/>
      </w:r>
      <w:r>
        <w:t>of an object is a measure of the object’s inertial property, or the amount of matter it contains.  The weight of an object is a measure of the force exerted on the object by gravity, or the force needed to support it.  The pull of gravity on the earth gives an object a downward acceleration of about 9.8 m/s</w:t>
      </w:r>
      <w:r w:rsidRPr="00CB7E41">
        <w:rPr>
          <w:vertAlign w:val="superscript"/>
        </w:rPr>
        <w:t>2</w:t>
      </w:r>
      <w:r>
        <w:t>.  In trade and commerce and everyday use, the term “weight” is often used as a synonym for “mass.”  The “net mass”</w:t>
      </w:r>
      <w:r>
        <w:fldChar w:fldCharType="begin"/>
      </w:r>
      <w:r>
        <w:instrText>xe "</w:instrText>
      </w:r>
      <w:r w:rsidRPr="002A4715">
        <w:instrText>Net mass</w:instrText>
      </w:r>
      <w:r>
        <w:instrText>"</w:instrText>
      </w:r>
      <w:r>
        <w:fldChar w:fldCharType="end"/>
      </w:r>
      <w:r>
        <w:t xml:space="preserve"> or “net weight” </w:t>
      </w:r>
      <w:r>
        <w:fldChar w:fldCharType="begin"/>
      </w:r>
      <w:r>
        <w:instrText>xe "</w:instrText>
      </w:r>
      <w:r w:rsidRPr="00B40F5F">
        <w:instrText>Net weight</w:instrText>
      </w:r>
      <w:r>
        <w:instrText>"</w:instrText>
      </w:r>
      <w:r>
        <w:fldChar w:fldCharType="end"/>
      </w:r>
      <w:r>
        <w:t>declared on a label indicates that the package contains a specific amount of commodity exclusive of wrapping materials.  The use of the term “mass” is predominant throughout the world, and is becoming increasingly common in the United States.</w:t>
      </w:r>
    </w:p>
    <w:p w:rsidR="009A7CC0" w:rsidRDefault="009A7CC0" w:rsidP="00D77663">
      <w:pPr>
        <w:pStyle w:val="StyleBefore3ptAfter12pt"/>
        <w:spacing w:before="0" w:after="240"/>
      </w:pPr>
      <w:r>
        <w:t>(Added 1993)</w:t>
      </w:r>
    </w:p>
    <w:p w:rsidR="009A7CC0" w:rsidRPr="009655D6" w:rsidRDefault="009A7CC0" w:rsidP="009A7CC0">
      <w:pPr>
        <w:pStyle w:val="Heading6"/>
        <w:rPr>
          <w:b w:val="0"/>
        </w:rPr>
      </w:pPr>
      <w:bookmarkStart w:id="177" w:name="I_L_Use_of_Term"/>
      <w:r w:rsidRPr="009655D6">
        <w:rPr>
          <w:rStyle w:val="CharChar"/>
          <w:b/>
          <w:sz w:val="24"/>
          <w:szCs w:val="24"/>
        </w:rPr>
        <w:t>L.</w:t>
      </w:r>
      <w:r w:rsidRPr="009655D6">
        <w:rPr>
          <w:rStyle w:val="CharChar"/>
          <w:b/>
          <w:sz w:val="24"/>
          <w:szCs w:val="24"/>
        </w:rPr>
        <w:tab/>
        <w:t>Use of the Terms “Mass” and “Weight.”</w:t>
      </w:r>
      <w:bookmarkEnd w:id="177"/>
      <w:r w:rsidRPr="009655D6">
        <w:rPr>
          <w:rStyle w:val="CharChar"/>
          <w:b/>
        </w:rPr>
        <w:t xml:space="preserve"> </w:t>
      </w:r>
      <w:r w:rsidRPr="009655D6">
        <w:rPr>
          <w:b w:val="0"/>
          <w:vertAlign w:val="superscript"/>
        </w:rPr>
        <w:t>[</w:t>
      </w:r>
      <w:r w:rsidRPr="009655D6">
        <w:rPr>
          <w:b w:val="0"/>
          <w:i/>
          <w:vertAlign w:val="superscript"/>
        </w:rPr>
        <w:t>NOTE</w:t>
      </w:r>
      <w:r w:rsidRPr="009655D6">
        <w:rPr>
          <w:b w:val="0"/>
          <w:vertAlign w:val="superscript"/>
        </w:rPr>
        <w:t> 1, page 3]</w:t>
      </w:r>
    </w:p>
    <w:p w:rsidR="009A7CC0" w:rsidRDefault="009A7CC0" w:rsidP="009A7CC0">
      <w:pPr>
        <w:spacing w:after="240"/>
      </w:pPr>
      <w:r>
        <w:t xml:space="preserve">When used in this handbook, the term “weight” means “mass.”  The term “weight” </w:t>
      </w:r>
      <w:r>
        <w:fldChar w:fldCharType="begin"/>
      </w:r>
      <w:r>
        <w:instrText xml:space="preserve"> XE "</w:instrText>
      </w:r>
      <w:r w:rsidRPr="00BD28CC">
        <w:instrText>Mass and weight</w:instrText>
      </w:r>
      <w:r>
        <w:instrText xml:space="preserve">" </w:instrText>
      </w:r>
      <w:r>
        <w:fldChar w:fldCharType="end"/>
      </w:r>
      <w:r>
        <w:t>appears when U.S. customary units are cited or when both U.S. customary and SI units are included in a requirement.  The terms “mass” or “masses” are used when only SI units are cited in a requirement.  The following note appears where the term “weight” is first used in a law or regulation.</w:t>
      </w:r>
    </w:p>
    <w:p w:rsidR="009A7CC0" w:rsidRDefault="009A7CC0" w:rsidP="009A7CC0">
      <w:r>
        <w:rPr>
          <w:b/>
          <w:i/>
        </w:rPr>
        <w:t>NOTE 1:</w:t>
      </w:r>
      <w:r>
        <w:t xml:space="preserve">  </w:t>
      </w:r>
      <w:r>
        <w:rPr>
          <w:i/>
        </w:rPr>
        <w:t>When used in this law (or regulation), the term “weight” means “mass.”  (See paragraphs K. “Mass” and “Weight” and L. Use of the Terms “Mass” and “Weight” in Section I. Introduction of NIST Handbook 130</w:t>
      </w:r>
      <w:r>
        <w:fldChar w:fldCharType="begin"/>
      </w:r>
      <w:r>
        <w:instrText>xe "</w:instrText>
      </w:r>
      <w:r w:rsidRPr="00A5344F">
        <w:instrText>Handbooks:HB</w:instrText>
      </w:r>
      <w:r>
        <w:instrText>130"</w:instrText>
      </w:r>
      <w:r>
        <w:fldChar w:fldCharType="end"/>
      </w:r>
      <w:r>
        <w:rPr>
          <w:i/>
        </w:rPr>
        <w:t xml:space="preserve"> for an explanation of these terms.)</w:t>
      </w:r>
    </w:p>
    <w:p w:rsidR="009A7CC0" w:rsidRDefault="009A7CC0" w:rsidP="00D77663">
      <w:pPr>
        <w:pStyle w:val="StyleBefore3ptAfter12pt"/>
        <w:spacing w:before="0" w:after="240"/>
      </w:pPr>
      <w:r>
        <w:t>(Noted Added 1993)</w:t>
      </w:r>
    </w:p>
    <w:p w:rsidR="009A7CC0" w:rsidRDefault="009A7CC0" w:rsidP="009A7CC0">
      <w:pPr>
        <w:spacing w:line="204" w:lineRule="auto"/>
        <w:ind w:left="-274"/>
        <w:contextualSpacing/>
        <w:sectPr w:rsidR="009A7CC0" w:rsidSect="0075292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pPr>
    </w:p>
    <w:p w:rsidR="009A7CC0" w:rsidRPr="006C6CBC" w:rsidRDefault="009A7CC0" w:rsidP="009A7CC0">
      <w:pPr>
        <w:spacing w:line="204" w:lineRule="auto"/>
        <w:ind w:left="-274"/>
        <w:contextualSpacing/>
        <w:rPr>
          <w:rFonts w:ascii="Century Gothic" w:hAnsi="Century Gothic"/>
          <w:color w:val="0A1F62"/>
          <w:sz w:val="19"/>
          <w:szCs w:val="19"/>
        </w:rPr>
      </w:pPr>
      <w:r>
        <w:rPr>
          <w:noProof/>
        </w:rPr>
        <w:lastRenderedPageBreak/>
        <w:drawing>
          <wp:anchor distT="0" distB="0" distL="114300" distR="114300" simplePos="0" relativeHeight="251660288" behindDoc="1" locked="0" layoutInCell="1" allowOverlap="1" wp14:anchorId="053846C0" wp14:editId="5AFEEFD7">
            <wp:simplePos x="0" y="0"/>
            <wp:positionH relativeFrom="page">
              <wp:posOffset>6405245</wp:posOffset>
            </wp:positionH>
            <wp:positionV relativeFrom="page">
              <wp:posOffset>838200</wp:posOffset>
            </wp:positionV>
            <wp:extent cx="549275" cy="542925"/>
            <wp:effectExtent l="19050" t="0" r="3175" b="0"/>
            <wp:wrapNone/>
            <wp:docPr id="1" name="Picture 1" descr="ntep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p_281U.tif"/>
                    <pic:cNvPicPr>
                      <a:picLocks noChangeAspect="1" noChangeArrowheads="1"/>
                    </pic:cNvPicPr>
                  </pic:nvPicPr>
                  <pic:blipFill>
                    <a:blip r:embed="rId16" cstate="print">
                      <a:clrChange>
                        <a:clrFrom>
                          <a:srgbClr val="FDFDFD"/>
                        </a:clrFrom>
                        <a:clrTo>
                          <a:srgbClr val="FDFDFD">
                            <a:alpha val="0"/>
                          </a:srgbClr>
                        </a:clrTo>
                      </a:clrChange>
                    </a:blip>
                    <a:srcRect/>
                    <a:stretch>
                      <a:fillRect/>
                    </a:stretch>
                  </pic:blipFill>
                  <pic:spPr bwMode="auto">
                    <a:xfrm>
                      <a:off x="0" y="0"/>
                      <a:ext cx="549275" cy="54292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0143FEE0" wp14:editId="28957CD7">
            <wp:simplePos x="0" y="0"/>
            <wp:positionH relativeFrom="column">
              <wp:posOffset>4848225</wp:posOffset>
            </wp:positionH>
            <wp:positionV relativeFrom="paragraph">
              <wp:posOffset>97155</wp:posOffset>
            </wp:positionV>
            <wp:extent cx="552450" cy="552450"/>
            <wp:effectExtent l="19050" t="0" r="0" b="0"/>
            <wp:wrapNone/>
            <wp:docPr id="2" name="Picture 0" descr="ncwm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wm_281U.tif"/>
                    <pic:cNvPicPr>
                      <a:picLocks noChangeAspect="1" noChangeArrowheads="1"/>
                    </pic:cNvPicPr>
                  </pic:nvPicPr>
                  <pic:blipFill>
                    <a:blip r:embed="rId17" cstate="print">
                      <a:clrChange>
                        <a:clrFrom>
                          <a:srgbClr val="FDFDFD"/>
                        </a:clrFrom>
                        <a:clrTo>
                          <a:srgbClr val="FDFDFD">
                            <a:alpha val="0"/>
                          </a:srgbClr>
                        </a:clrTo>
                      </a:clrChange>
                    </a:blip>
                    <a:srcRect/>
                    <a:stretch>
                      <a:fillRect/>
                    </a:stretch>
                  </pic:blipFill>
                  <pic:spPr bwMode="auto">
                    <a:xfrm>
                      <a:off x="0" y="0"/>
                      <a:ext cx="552450" cy="552450"/>
                    </a:xfrm>
                    <a:prstGeom prst="rect">
                      <a:avLst/>
                    </a:prstGeom>
                    <a:noFill/>
                  </pic:spPr>
                </pic:pic>
              </a:graphicData>
            </a:graphic>
          </wp:anchor>
        </w:drawing>
      </w:r>
      <w:r w:rsidRPr="006C6CBC">
        <w:rPr>
          <w:rFonts w:ascii="Century Gothic" w:hAnsi="Century Gothic"/>
          <w:color w:val="0A1F62"/>
          <w:sz w:val="19"/>
          <w:szCs w:val="19"/>
        </w:rPr>
        <w:t>National Conference on Weights and Measures / National Type Evaluation Program</w:t>
      </w:r>
      <w:r>
        <w:rPr>
          <w:rFonts w:ascii="Century Gothic" w:hAnsi="Century Gothic"/>
          <w:color w:val="0A1F62"/>
          <w:sz w:val="19"/>
          <w:szCs w:val="19"/>
        </w:rPr>
        <w:tab/>
      </w:r>
      <w:r>
        <w:rPr>
          <w:rFonts w:ascii="Century Gothic" w:hAnsi="Century Gothic"/>
          <w:color w:val="0A1F62"/>
          <w:sz w:val="19"/>
          <w:szCs w:val="19"/>
        </w:rPr>
        <w:tab/>
      </w:r>
      <w:r>
        <w:rPr>
          <w:rFonts w:ascii="Century Gothic" w:hAnsi="Century Gothic"/>
          <w:color w:val="0A1F62"/>
          <w:sz w:val="19"/>
          <w:szCs w:val="19"/>
        </w:rPr>
        <w:tab/>
      </w:r>
    </w:p>
    <w:p w:rsidR="009A7CC0" w:rsidRPr="00157B27" w:rsidRDefault="009A7CC0" w:rsidP="009A7CC0">
      <w:pPr>
        <w:tabs>
          <w:tab w:val="left" w:pos="-270"/>
        </w:tabs>
        <w:spacing w:before="240"/>
        <w:ind w:left="-274"/>
        <w:rPr>
          <w:rFonts w:ascii="Century Gothic" w:hAnsi="Century Gothic"/>
          <w:b/>
          <w:color w:val="0A1F62"/>
          <w:sz w:val="32"/>
          <w:szCs w:val="32"/>
        </w:rPr>
      </w:pPr>
      <w:r>
        <w:rPr>
          <w:rFonts w:ascii="Century Gothic" w:hAnsi="Century Gothic"/>
          <w:b/>
          <w:color w:val="0A1F62"/>
          <w:sz w:val="32"/>
          <w:szCs w:val="32"/>
        </w:rPr>
        <w:t>F</w:t>
      </w:r>
      <w:bookmarkStart w:id="179" w:name="Form15"/>
      <w:r>
        <w:rPr>
          <w:rFonts w:ascii="Century Gothic" w:hAnsi="Century Gothic"/>
          <w:b/>
          <w:color w:val="0A1F62"/>
          <w:sz w:val="32"/>
          <w:szCs w:val="32"/>
        </w:rPr>
        <w:t xml:space="preserve">orm 15: </w:t>
      </w:r>
      <w:bookmarkEnd w:id="179"/>
      <w:r>
        <w:rPr>
          <w:rFonts w:ascii="Century Gothic" w:hAnsi="Century Gothic"/>
          <w:b/>
          <w:color w:val="0A1F62"/>
          <w:sz w:val="32"/>
          <w:szCs w:val="32"/>
        </w:rPr>
        <w:t>Proposal to Amend Handbooks</w:t>
      </w:r>
      <w:r>
        <w:rPr>
          <w:rFonts w:ascii="Century Gothic" w:hAnsi="Century Gothic"/>
          <w:b/>
          <w:color w:val="0A1F62"/>
          <w:sz w:val="32"/>
          <w:szCs w:val="32"/>
        </w:rPr>
        <w:tab/>
      </w:r>
    </w:p>
    <w:p w:rsidR="009A7CC0" w:rsidRPr="00F81854" w:rsidRDefault="009A7CC0" w:rsidP="00D77663">
      <w:pPr>
        <w:spacing w:before="240" w:after="120"/>
        <w:ind w:left="-187" w:right="547"/>
        <w:rPr>
          <w:sz w:val="16"/>
          <w:szCs w:val="16"/>
        </w:rPr>
      </w:pPr>
      <w:r w:rsidRPr="00F81854">
        <w:rPr>
          <w:sz w:val="16"/>
          <w:szCs w:val="16"/>
        </w:rPr>
        <w:t xml:space="preserve">Submit proposals at least two weeks prior to regional meetings. See meeting dates at </w:t>
      </w:r>
      <w:hyperlink r:id="rId18" w:history="1">
        <w:r w:rsidRPr="009B1206">
          <w:rPr>
            <w:rStyle w:val="HyperlinkB-8ptChar"/>
          </w:rPr>
          <w:t>www.ncwm.net/meetings</w:t>
        </w:r>
      </w:hyperlink>
      <w:r w:rsidRPr="00F81854">
        <w:rPr>
          <w:sz w:val="16"/>
          <w:szCs w:val="16"/>
        </w:rPr>
        <w:t xml:space="preserve">. If the item is deemed by a region to have merit, that region will forward the item to NCWM for national consideration. See </w:t>
      </w:r>
      <w:hyperlink r:id="rId19" w:history="1">
        <w:r w:rsidRPr="00104A67">
          <w:rPr>
            <w:rStyle w:val="HyperlinkB-8ptChar"/>
          </w:rPr>
          <w:t>www.ncwm.net/standards-development/idea</w:t>
        </w:r>
      </w:hyperlink>
      <w:r w:rsidRPr="00FD70BA">
        <w:rPr>
          <w:b/>
          <w:sz w:val="16"/>
          <w:szCs w:val="16"/>
        </w:rPr>
        <w:t xml:space="preserve"> </w:t>
      </w:r>
      <w:r w:rsidRPr="00F81854">
        <w:rPr>
          <w:sz w:val="16"/>
          <w:szCs w:val="16"/>
        </w:rPr>
        <w:t xml:space="preserve">for more information on the Form 15 process. Submit in Microsoft Word Format to the NCWM Executive Director via email at </w:t>
      </w:r>
      <w:hyperlink r:id="rId20" w:history="1">
        <w:r w:rsidRPr="00F81854">
          <w:rPr>
            <w:rStyle w:val="Hyperlink"/>
            <w:sz w:val="16"/>
            <w:szCs w:val="16"/>
          </w:rPr>
          <w:t>don.onwiler@ncwm.net</w:t>
        </w:r>
      </w:hyperlink>
      <w:r w:rsidRPr="00F81854">
        <w:rPr>
          <w:sz w:val="16"/>
          <w:szCs w:val="16"/>
        </w:rPr>
        <w:t xml:space="preserve"> for review and dispersal to selected regions.</w:t>
      </w:r>
    </w:p>
    <w:tbl>
      <w:tblPr>
        <w:tblW w:w="990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3"/>
        <w:gridCol w:w="1258"/>
        <w:gridCol w:w="1530"/>
        <w:gridCol w:w="1465"/>
        <w:gridCol w:w="695"/>
        <w:gridCol w:w="1892"/>
        <w:gridCol w:w="1797"/>
      </w:tblGrid>
      <w:tr w:rsidR="009A7CC0" w:rsidRPr="009D0AC1" w:rsidTr="009F6D15">
        <w:trPr>
          <w:trHeight w:val="288"/>
        </w:trPr>
        <w:tc>
          <w:tcPr>
            <w:tcW w:w="9900" w:type="dxa"/>
            <w:gridSpan w:val="7"/>
            <w:shd w:val="clear" w:color="auto" w:fill="000000"/>
            <w:vAlign w:val="center"/>
          </w:tcPr>
          <w:p w:rsidR="009A7CC0" w:rsidRPr="009D0AC1" w:rsidRDefault="009A7CC0" w:rsidP="009F6D15">
            <w:pPr>
              <w:ind w:left="72"/>
              <w:rPr>
                <w:b/>
                <w:color w:val="FFFFFF"/>
              </w:rPr>
            </w:pPr>
            <w:r w:rsidRPr="009D0AC1">
              <w:rPr>
                <w:b/>
                <w:color w:val="FFFFFF"/>
              </w:rPr>
              <w:t>G</w:t>
            </w:r>
            <w:r>
              <w:rPr>
                <w:b/>
                <w:color w:val="FFFFFF"/>
              </w:rPr>
              <w:t>eneral Information</w:t>
            </w:r>
          </w:p>
        </w:tc>
      </w:tr>
      <w:tr w:rsidR="009A7CC0" w:rsidRPr="00BF39C9" w:rsidTr="009F6D15">
        <w:trPr>
          <w:trHeight w:val="20"/>
        </w:trPr>
        <w:tc>
          <w:tcPr>
            <w:tcW w:w="1263" w:type="dxa"/>
            <w:tcBorders>
              <w:bottom w:val="nil"/>
            </w:tcBorders>
            <w:shd w:val="clear" w:color="auto" w:fill="auto"/>
          </w:tcPr>
          <w:p w:rsidR="009A7CC0" w:rsidRPr="00DE221E" w:rsidRDefault="009A7CC0" w:rsidP="009F6D15">
            <w:pPr>
              <w:spacing w:before="40"/>
              <w:ind w:left="68"/>
              <w:rPr>
                <w:b/>
              </w:rPr>
            </w:pPr>
            <w:r w:rsidRPr="00DE221E">
              <w:rPr>
                <w:b/>
              </w:rPr>
              <w:t>1.  Date:</w:t>
            </w:r>
          </w:p>
        </w:tc>
        <w:tc>
          <w:tcPr>
            <w:tcW w:w="8637" w:type="dxa"/>
            <w:gridSpan w:val="6"/>
            <w:tcBorders>
              <w:bottom w:val="nil"/>
            </w:tcBorders>
            <w:shd w:val="clear" w:color="auto" w:fill="auto"/>
          </w:tcPr>
          <w:p w:rsidR="009A7CC0" w:rsidRPr="00BF39C9" w:rsidRDefault="009A7CC0" w:rsidP="009F6D15">
            <w:pPr>
              <w:spacing w:before="40"/>
              <w:ind w:left="80"/>
              <w:rPr>
                <w:b/>
              </w:rPr>
            </w:pPr>
            <w:r w:rsidRPr="00BF39C9">
              <w:rPr>
                <w:b/>
              </w:rPr>
              <w:t xml:space="preserve">2. Regional Association(s):  </w:t>
            </w:r>
            <w:r w:rsidRPr="00BF39C9">
              <w:t>(Not applicable for proposals to the Board of Directors or NTEP Committee)</w:t>
            </w:r>
          </w:p>
        </w:tc>
      </w:tr>
      <w:tr w:rsidR="009A7CC0" w:rsidRPr="00BF39C9" w:rsidTr="009F6D15">
        <w:trPr>
          <w:trHeight w:val="288"/>
        </w:trPr>
        <w:tc>
          <w:tcPr>
            <w:tcW w:w="1263" w:type="dxa"/>
            <w:tcBorders>
              <w:top w:val="nil"/>
            </w:tcBorders>
            <w:shd w:val="clear" w:color="auto" w:fill="auto"/>
          </w:tcPr>
          <w:p w:rsidR="009A7CC0" w:rsidRPr="00DE221E" w:rsidRDefault="009A7CC0" w:rsidP="009F6D15">
            <w:pPr>
              <w:spacing w:before="40"/>
              <w:ind w:left="68"/>
            </w:pPr>
          </w:p>
        </w:tc>
        <w:tc>
          <w:tcPr>
            <w:tcW w:w="8637" w:type="dxa"/>
            <w:gridSpan w:val="6"/>
            <w:tcBorders>
              <w:top w:val="nil"/>
            </w:tcBorders>
            <w:shd w:val="clear" w:color="auto" w:fill="auto"/>
          </w:tcPr>
          <w:p w:rsidR="009A7CC0" w:rsidRPr="00BF39C9" w:rsidRDefault="009A7CC0" w:rsidP="009F6D15">
            <w:pPr>
              <w:spacing w:before="40"/>
              <w:ind w:left="270"/>
              <w:rPr>
                <w:sz w:val="18"/>
                <w:szCs w:val="18"/>
              </w:rPr>
            </w:pPr>
            <w:r w:rsidRPr="00BF39C9">
              <w:rPr>
                <w:sz w:val="18"/>
                <w:szCs w:val="18"/>
              </w:rPr>
              <w:t xml:space="preserve">      </w:t>
            </w:r>
            <w:r w:rsidRPr="00BF39C9">
              <w:rPr>
                <w:sz w:val="18"/>
                <w:szCs w:val="18"/>
                <w:u w:val="single"/>
              </w:rPr>
              <w:t xml:space="preserve">     </w:t>
            </w:r>
            <w:r w:rsidRPr="00BF39C9">
              <w:rPr>
                <w:sz w:val="18"/>
                <w:szCs w:val="18"/>
              </w:rPr>
              <w:t xml:space="preserve"> Central (</w:t>
            </w:r>
            <w:proofErr w:type="gramStart"/>
            <w:r w:rsidRPr="00BF39C9">
              <w:rPr>
                <w:sz w:val="18"/>
                <w:szCs w:val="18"/>
              </w:rPr>
              <w:t xml:space="preserve">CWMA)   </w:t>
            </w:r>
            <w:proofErr w:type="gramEnd"/>
            <w:r w:rsidRPr="00BF39C9">
              <w:rPr>
                <w:sz w:val="18"/>
                <w:szCs w:val="18"/>
              </w:rPr>
              <w:t xml:space="preserve">  </w:t>
            </w:r>
            <w:r w:rsidRPr="00BF39C9">
              <w:rPr>
                <w:sz w:val="18"/>
                <w:szCs w:val="18"/>
                <w:u w:val="single"/>
              </w:rPr>
              <w:t xml:space="preserve">     </w:t>
            </w:r>
            <w:r w:rsidRPr="00BF39C9">
              <w:rPr>
                <w:sz w:val="18"/>
                <w:szCs w:val="18"/>
              </w:rPr>
              <w:t xml:space="preserve"> Northeastern (NEWMA)    </w:t>
            </w:r>
            <w:r w:rsidRPr="00BF39C9">
              <w:rPr>
                <w:sz w:val="18"/>
                <w:szCs w:val="18"/>
                <w:u w:val="single"/>
              </w:rPr>
              <w:t xml:space="preserve">     </w:t>
            </w:r>
            <w:r w:rsidRPr="00BF39C9">
              <w:rPr>
                <w:sz w:val="18"/>
                <w:szCs w:val="18"/>
              </w:rPr>
              <w:t xml:space="preserve"> Southern (SWMA)     </w:t>
            </w:r>
            <w:r w:rsidRPr="00BF39C9">
              <w:rPr>
                <w:sz w:val="18"/>
                <w:szCs w:val="18"/>
                <w:u w:val="single"/>
              </w:rPr>
              <w:t xml:space="preserve">     </w:t>
            </w:r>
            <w:r w:rsidRPr="00BF39C9">
              <w:rPr>
                <w:sz w:val="18"/>
                <w:szCs w:val="18"/>
              </w:rPr>
              <w:t xml:space="preserve"> Western (WWMA)</w:t>
            </w:r>
          </w:p>
        </w:tc>
      </w:tr>
      <w:tr w:rsidR="009A7CC0" w:rsidRPr="00DE221E" w:rsidTr="009F6D15">
        <w:trPr>
          <w:trHeight w:val="144"/>
        </w:trPr>
        <w:tc>
          <w:tcPr>
            <w:tcW w:w="9900" w:type="dxa"/>
            <w:gridSpan w:val="7"/>
            <w:tcBorders>
              <w:bottom w:val="nil"/>
            </w:tcBorders>
            <w:shd w:val="clear" w:color="auto" w:fill="auto"/>
          </w:tcPr>
          <w:p w:rsidR="009A7CC0" w:rsidRPr="00BF39C9" w:rsidRDefault="009A7CC0" w:rsidP="009F6D15">
            <w:pPr>
              <w:spacing w:before="40"/>
              <w:ind w:left="68"/>
              <w:rPr>
                <w:b/>
              </w:rPr>
            </w:pPr>
            <w:r w:rsidRPr="00BF39C9">
              <w:rPr>
                <w:b/>
              </w:rPr>
              <w:t>3. Standing Committee:</w:t>
            </w:r>
          </w:p>
        </w:tc>
      </w:tr>
      <w:tr w:rsidR="009A7CC0" w:rsidRPr="009D0AC1" w:rsidTr="009F6D15">
        <w:trPr>
          <w:trHeight w:val="144"/>
        </w:trPr>
        <w:tc>
          <w:tcPr>
            <w:tcW w:w="9900" w:type="dxa"/>
            <w:gridSpan w:val="7"/>
            <w:tcBorders>
              <w:bottom w:val="nil"/>
            </w:tcBorders>
            <w:shd w:val="clear" w:color="auto" w:fill="auto"/>
          </w:tcPr>
          <w:p w:rsidR="009A7CC0" w:rsidRPr="00BF39C9" w:rsidRDefault="009A7CC0" w:rsidP="009F6D15">
            <w:pPr>
              <w:spacing w:before="40"/>
              <w:ind w:left="68"/>
              <w:rPr>
                <w:sz w:val="18"/>
                <w:szCs w:val="18"/>
              </w:rPr>
            </w:pPr>
            <w:r w:rsidRPr="00BF39C9">
              <w:rPr>
                <w:sz w:val="18"/>
                <w:szCs w:val="18"/>
              </w:rPr>
              <w:t>__Laws &amp; Regulations    __ Specifications &amp; Tolerances     __Professional Development     __Board of Directors     __NTEP Committee</w:t>
            </w:r>
          </w:p>
        </w:tc>
      </w:tr>
      <w:tr w:rsidR="009A7CC0" w:rsidRPr="009D0AC1" w:rsidTr="009F6D15">
        <w:trPr>
          <w:trHeight w:val="285"/>
        </w:trPr>
        <w:tc>
          <w:tcPr>
            <w:tcW w:w="4051" w:type="dxa"/>
            <w:gridSpan w:val="3"/>
            <w:shd w:val="clear" w:color="auto" w:fill="auto"/>
          </w:tcPr>
          <w:p w:rsidR="009A7CC0" w:rsidRPr="00BF39C9" w:rsidRDefault="009A7CC0" w:rsidP="009F6D15">
            <w:pPr>
              <w:spacing w:before="40"/>
              <w:ind w:left="68"/>
              <w:rPr>
                <w:b/>
              </w:rPr>
            </w:pPr>
            <w:r w:rsidRPr="00BF39C9">
              <w:rPr>
                <w:b/>
              </w:rPr>
              <w:t>4. Submitter</w:t>
            </w:r>
            <w:r>
              <w:rPr>
                <w:b/>
              </w:rPr>
              <w:t>’s</w:t>
            </w:r>
            <w:r w:rsidRPr="00BF39C9">
              <w:rPr>
                <w:b/>
              </w:rPr>
              <w:t xml:space="preserve"> Name:</w:t>
            </w:r>
          </w:p>
        </w:tc>
        <w:tc>
          <w:tcPr>
            <w:tcW w:w="5849" w:type="dxa"/>
            <w:gridSpan w:val="4"/>
            <w:shd w:val="clear" w:color="auto" w:fill="auto"/>
          </w:tcPr>
          <w:p w:rsidR="009A7CC0" w:rsidRPr="00BF39C9" w:rsidRDefault="009A7CC0" w:rsidP="009F6D15">
            <w:pPr>
              <w:spacing w:before="40"/>
              <w:ind w:left="77"/>
              <w:rPr>
                <w:b/>
              </w:rPr>
            </w:pPr>
            <w:r>
              <w:rPr>
                <w:b/>
              </w:rPr>
              <w:t>Submitter’s Organization:</w:t>
            </w:r>
          </w:p>
        </w:tc>
      </w:tr>
      <w:tr w:rsidR="009A7CC0" w:rsidRPr="009D0AC1" w:rsidTr="009F6D15">
        <w:trPr>
          <w:trHeight w:val="285"/>
        </w:trPr>
        <w:tc>
          <w:tcPr>
            <w:tcW w:w="4051" w:type="dxa"/>
            <w:gridSpan w:val="3"/>
            <w:shd w:val="clear" w:color="auto" w:fill="auto"/>
          </w:tcPr>
          <w:p w:rsidR="009A7CC0" w:rsidRPr="00BF39C9" w:rsidRDefault="009A7CC0" w:rsidP="009F6D15">
            <w:pPr>
              <w:spacing w:before="40"/>
              <w:ind w:left="68"/>
              <w:rPr>
                <w:b/>
              </w:rPr>
            </w:pPr>
          </w:p>
        </w:tc>
        <w:tc>
          <w:tcPr>
            <w:tcW w:w="5849" w:type="dxa"/>
            <w:gridSpan w:val="4"/>
            <w:shd w:val="clear" w:color="auto" w:fill="auto"/>
          </w:tcPr>
          <w:p w:rsidR="009A7CC0" w:rsidRPr="00BF39C9" w:rsidRDefault="009A7CC0" w:rsidP="009F6D15">
            <w:pPr>
              <w:spacing w:before="40"/>
              <w:ind w:left="270"/>
              <w:rPr>
                <w:b/>
              </w:rPr>
            </w:pPr>
          </w:p>
        </w:tc>
      </w:tr>
      <w:tr w:rsidR="009A7CC0" w:rsidRPr="009D0AC1" w:rsidTr="009F6D15">
        <w:trPr>
          <w:trHeight w:val="20"/>
        </w:trPr>
        <w:tc>
          <w:tcPr>
            <w:tcW w:w="9900" w:type="dxa"/>
            <w:gridSpan w:val="7"/>
            <w:tcBorders>
              <w:bottom w:val="nil"/>
            </w:tcBorders>
            <w:shd w:val="clear" w:color="auto" w:fill="auto"/>
          </w:tcPr>
          <w:p w:rsidR="009A7CC0" w:rsidRPr="00BF39C9" w:rsidRDefault="009A7CC0" w:rsidP="009F6D15">
            <w:pPr>
              <w:spacing w:before="40"/>
              <w:ind w:left="68"/>
            </w:pPr>
            <w:r w:rsidRPr="00BF39C9">
              <w:rPr>
                <w:b/>
              </w:rPr>
              <w:t>5. Address:</w:t>
            </w:r>
          </w:p>
        </w:tc>
      </w:tr>
      <w:tr w:rsidR="009A7CC0" w:rsidRPr="009D0AC1" w:rsidTr="009F6D15">
        <w:trPr>
          <w:trHeight w:val="288"/>
        </w:trPr>
        <w:tc>
          <w:tcPr>
            <w:tcW w:w="9900" w:type="dxa"/>
            <w:gridSpan w:val="7"/>
            <w:tcBorders>
              <w:top w:val="nil"/>
              <w:bottom w:val="single" w:sz="4" w:space="0" w:color="000000"/>
            </w:tcBorders>
            <w:shd w:val="clear" w:color="auto" w:fill="auto"/>
          </w:tcPr>
          <w:p w:rsidR="009A7CC0" w:rsidRPr="00BF39C9" w:rsidRDefault="009A7CC0" w:rsidP="009F6D15">
            <w:pPr>
              <w:spacing w:before="40"/>
              <w:ind w:left="68"/>
              <w:rPr>
                <w:b/>
              </w:rPr>
            </w:pPr>
          </w:p>
        </w:tc>
      </w:tr>
      <w:tr w:rsidR="009A7CC0" w:rsidRPr="009D0AC1" w:rsidTr="009F6D15">
        <w:trPr>
          <w:trHeight w:val="20"/>
        </w:trPr>
        <w:tc>
          <w:tcPr>
            <w:tcW w:w="4051" w:type="dxa"/>
            <w:gridSpan w:val="3"/>
            <w:tcBorders>
              <w:bottom w:val="nil"/>
            </w:tcBorders>
            <w:shd w:val="clear" w:color="auto" w:fill="auto"/>
          </w:tcPr>
          <w:p w:rsidR="009A7CC0" w:rsidRPr="00BF39C9" w:rsidRDefault="009A7CC0" w:rsidP="009F6D15">
            <w:pPr>
              <w:spacing w:before="40"/>
              <w:ind w:left="68"/>
            </w:pPr>
            <w:r w:rsidRPr="00BF39C9">
              <w:rPr>
                <w:b/>
              </w:rPr>
              <w:t>6.</w:t>
            </w:r>
            <w:r w:rsidRPr="00BF39C9">
              <w:t xml:space="preserve"> </w:t>
            </w:r>
            <w:r w:rsidRPr="00BF39C9">
              <w:rPr>
                <w:b/>
              </w:rPr>
              <w:t>City:</w:t>
            </w:r>
          </w:p>
        </w:tc>
        <w:tc>
          <w:tcPr>
            <w:tcW w:w="2160" w:type="dxa"/>
            <w:gridSpan w:val="2"/>
            <w:tcBorders>
              <w:bottom w:val="nil"/>
            </w:tcBorders>
            <w:shd w:val="clear" w:color="auto" w:fill="auto"/>
          </w:tcPr>
          <w:p w:rsidR="009A7CC0" w:rsidRPr="00BF39C9" w:rsidRDefault="009A7CC0" w:rsidP="009F6D15">
            <w:pPr>
              <w:spacing w:before="40"/>
              <w:ind w:left="-13"/>
              <w:rPr>
                <w:b/>
              </w:rPr>
            </w:pPr>
            <w:r w:rsidRPr="00BF39C9">
              <w:rPr>
                <w:b/>
              </w:rPr>
              <w:t>7. State:</w:t>
            </w:r>
          </w:p>
        </w:tc>
        <w:tc>
          <w:tcPr>
            <w:tcW w:w="1892" w:type="dxa"/>
            <w:tcBorders>
              <w:bottom w:val="nil"/>
            </w:tcBorders>
            <w:shd w:val="clear" w:color="auto" w:fill="auto"/>
          </w:tcPr>
          <w:p w:rsidR="009A7CC0" w:rsidRPr="00BF39C9" w:rsidRDefault="009A7CC0" w:rsidP="009F6D15">
            <w:pPr>
              <w:spacing w:before="40"/>
              <w:rPr>
                <w:b/>
              </w:rPr>
            </w:pPr>
            <w:r w:rsidRPr="00BF39C9">
              <w:rPr>
                <w:b/>
              </w:rPr>
              <w:t>8. Zip Code:</w:t>
            </w:r>
          </w:p>
        </w:tc>
        <w:tc>
          <w:tcPr>
            <w:tcW w:w="1797" w:type="dxa"/>
            <w:tcBorders>
              <w:bottom w:val="nil"/>
            </w:tcBorders>
            <w:shd w:val="clear" w:color="auto" w:fill="auto"/>
          </w:tcPr>
          <w:p w:rsidR="009A7CC0" w:rsidRPr="00BF39C9" w:rsidRDefault="009A7CC0" w:rsidP="009F6D15">
            <w:pPr>
              <w:spacing w:before="40"/>
              <w:rPr>
                <w:b/>
              </w:rPr>
            </w:pPr>
            <w:r w:rsidRPr="00BF39C9">
              <w:rPr>
                <w:b/>
              </w:rPr>
              <w:t>9. Country:</w:t>
            </w:r>
          </w:p>
        </w:tc>
      </w:tr>
      <w:tr w:rsidR="009A7CC0" w:rsidRPr="009D0AC1" w:rsidTr="009F6D15">
        <w:trPr>
          <w:trHeight w:val="288"/>
        </w:trPr>
        <w:tc>
          <w:tcPr>
            <w:tcW w:w="4051" w:type="dxa"/>
            <w:gridSpan w:val="3"/>
            <w:tcBorders>
              <w:top w:val="nil"/>
              <w:bottom w:val="single" w:sz="4" w:space="0" w:color="000000"/>
            </w:tcBorders>
            <w:shd w:val="clear" w:color="auto" w:fill="auto"/>
          </w:tcPr>
          <w:p w:rsidR="009A7CC0" w:rsidRPr="00BF39C9" w:rsidRDefault="009A7CC0" w:rsidP="009F6D15">
            <w:pPr>
              <w:spacing w:before="40"/>
              <w:ind w:left="68"/>
            </w:pPr>
          </w:p>
        </w:tc>
        <w:tc>
          <w:tcPr>
            <w:tcW w:w="2160" w:type="dxa"/>
            <w:gridSpan w:val="2"/>
            <w:tcBorders>
              <w:top w:val="nil"/>
              <w:bottom w:val="single" w:sz="4" w:space="0" w:color="000000"/>
            </w:tcBorders>
            <w:shd w:val="clear" w:color="auto" w:fill="auto"/>
          </w:tcPr>
          <w:p w:rsidR="009A7CC0" w:rsidRPr="00BF39C9" w:rsidRDefault="009A7CC0" w:rsidP="009F6D15">
            <w:pPr>
              <w:spacing w:before="40"/>
              <w:ind w:left="270"/>
            </w:pPr>
          </w:p>
        </w:tc>
        <w:tc>
          <w:tcPr>
            <w:tcW w:w="1892" w:type="dxa"/>
            <w:tcBorders>
              <w:top w:val="nil"/>
              <w:bottom w:val="single" w:sz="4" w:space="0" w:color="000000"/>
            </w:tcBorders>
            <w:shd w:val="clear" w:color="auto" w:fill="auto"/>
          </w:tcPr>
          <w:p w:rsidR="009A7CC0" w:rsidRPr="00BF39C9" w:rsidRDefault="009A7CC0" w:rsidP="009F6D15">
            <w:pPr>
              <w:spacing w:before="40"/>
              <w:ind w:left="270"/>
            </w:pPr>
          </w:p>
        </w:tc>
        <w:tc>
          <w:tcPr>
            <w:tcW w:w="1797" w:type="dxa"/>
            <w:tcBorders>
              <w:top w:val="nil"/>
              <w:bottom w:val="single" w:sz="4" w:space="0" w:color="000000"/>
            </w:tcBorders>
            <w:shd w:val="clear" w:color="auto" w:fill="auto"/>
          </w:tcPr>
          <w:p w:rsidR="009A7CC0" w:rsidRPr="00BF39C9" w:rsidRDefault="009A7CC0" w:rsidP="009F6D15">
            <w:pPr>
              <w:spacing w:before="40"/>
              <w:ind w:left="270"/>
            </w:pPr>
          </w:p>
        </w:tc>
      </w:tr>
      <w:tr w:rsidR="009A7CC0" w:rsidRPr="009D0AC1" w:rsidTr="009F6D15">
        <w:trPr>
          <w:trHeight w:val="20"/>
        </w:trPr>
        <w:tc>
          <w:tcPr>
            <w:tcW w:w="2521" w:type="dxa"/>
            <w:gridSpan w:val="2"/>
            <w:tcBorders>
              <w:bottom w:val="nil"/>
            </w:tcBorders>
            <w:shd w:val="clear" w:color="auto" w:fill="auto"/>
          </w:tcPr>
          <w:p w:rsidR="009A7CC0" w:rsidRPr="00BF39C9" w:rsidRDefault="009A7CC0" w:rsidP="009F6D15">
            <w:pPr>
              <w:spacing w:before="40"/>
              <w:ind w:left="68"/>
            </w:pPr>
            <w:r w:rsidRPr="00BF39C9">
              <w:rPr>
                <w:b/>
              </w:rPr>
              <w:t>10.</w:t>
            </w:r>
            <w:r w:rsidRPr="00BF39C9">
              <w:t xml:space="preserve"> </w:t>
            </w:r>
            <w:r w:rsidRPr="00BF39C9">
              <w:rPr>
                <w:b/>
              </w:rPr>
              <w:t>Phone Number:</w:t>
            </w:r>
          </w:p>
        </w:tc>
        <w:tc>
          <w:tcPr>
            <w:tcW w:w="2995" w:type="dxa"/>
            <w:gridSpan w:val="2"/>
            <w:tcBorders>
              <w:bottom w:val="nil"/>
            </w:tcBorders>
            <w:shd w:val="clear" w:color="auto" w:fill="auto"/>
          </w:tcPr>
          <w:p w:rsidR="009A7CC0" w:rsidRPr="00BF39C9" w:rsidRDefault="009A7CC0" w:rsidP="009F6D15">
            <w:pPr>
              <w:spacing w:before="40"/>
            </w:pPr>
            <w:r w:rsidRPr="00BF39C9">
              <w:rPr>
                <w:b/>
              </w:rPr>
              <w:t>11.</w:t>
            </w:r>
            <w:r w:rsidRPr="00BF39C9">
              <w:t xml:space="preserve"> </w:t>
            </w:r>
            <w:r w:rsidRPr="00BF39C9">
              <w:rPr>
                <w:b/>
              </w:rPr>
              <w:t>Fax Number:</w:t>
            </w:r>
          </w:p>
        </w:tc>
        <w:tc>
          <w:tcPr>
            <w:tcW w:w="4384" w:type="dxa"/>
            <w:gridSpan w:val="3"/>
            <w:tcBorders>
              <w:bottom w:val="nil"/>
            </w:tcBorders>
            <w:shd w:val="clear" w:color="auto" w:fill="auto"/>
          </w:tcPr>
          <w:p w:rsidR="009A7CC0" w:rsidRPr="00BF39C9" w:rsidRDefault="009A7CC0" w:rsidP="009F6D15">
            <w:pPr>
              <w:spacing w:before="40"/>
            </w:pPr>
            <w:r w:rsidRPr="00BF39C9">
              <w:rPr>
                <w:b/>
              </w:rPr>
              <w:t>12.</w:t>
            </w:r>
            <w:r w:rsidRPr="00BF39C9">
              <w:t xml:space="preserve"> </w:t>
            </w:r>
            <w:r w:rsidRPr="00BF39C9">
              <w:rPr>
                <w:b/>
              </w:rPr>
              <w:t>Email Address:</w:t>
            </w:r>
          </w:p>
        </w:tc>
      </w:tr>
      <w:tr w:rsidR="009A7CC0" w:rsidRPr="009D0AC1" w:rsidTr="009F6D15">
        <w:trPr>
          <w:trHeight w:val="288"/>
        </w:trPr>
        <w:tc>
          <w:tcPr>
            <w:tcW w:w="2521" w:type="dxa"/>
            <w:gridSpan w:val="2"/>
            <w:tcBorders>
              <w:top w:val="nil"/>
            </w:tcBorders>
            <w:shd w:val="clear" w:color="auto" w:fill="auto"/>
          </w:tcPr>
          <w:p w:rsidR="009A7CC0" w:rsidRPr="00BF39C9" w:rsidRDefault="009A7CC0" w:rsidP="009F6D15">
            <w:pPr>
              <w:spacing w:before="40"/>
              <w:ind w:left="68"/>
            </w:pPr>
          </w:p>
        </w:tc>
        <w:tc>
          <w:tcPr>
            <w:tcW w:w="2995" w:type="dxa"/>
            <w:gridSpan w:val="2"/>
            <w:tcBorders>
              <w:top w:val="nil"/>
            </w:tcBorders>
            <w:shd w:val="clear" w:color="auto" w:fill="auto"/>
          </w:tcPr>
          <w:p w:rsidR="009A7CC0" w:rsidRPr="00BF39C9" w:rsidRDefault="009A7CC0" w:rsidP="009F6D15">
            <w:pPr>
              <w:spacing w:before="40"/>
              <w:ind w:left="270"/>
            </w:pPr>
          </w:p>
        </w:tc>
        <w:tc>
          <w:tcPr>
            <w:tcW w:w="4384" w:type="dxa"/>
            <w:gridSpan w:val="3"/>
            <w:tcBorders>
              <w:top w:val="nil"/>
            </w:tcBorders>
            <w:shd w:val="clear" w:color="auto" w:fill="auto"/>
          </w:tcPr>
          <w:p w:rsidR="009A7CC0" w:rsidRPr="00BF39C9" w:rsidRDefault="009A7CC0" w:rsidP="009F6D15">
            <w:pPr>
              <w:spacing w:before="40"/>
              <w:ind w:left="270"/>
            </w:pPr>
          </w:p>
        </w:tc>
      </w:tr>
      <w:tr w:rsidR="009A7CC0" w:rsidRPr="009D0AC1" w:rsidTr="009F6D15">
        <w:trPr>
          <w:trHeight w:val="288"/>
        </w:trPr>
        <w:tc>
          <w:tcPr>
            <w:tcW w:w="9900" w:type="dxa"/>
            <w:gridSpan w:val="7"/>
            <w:tcBorders>
              <w:bottom w:val="single" w:sz="4" w:space="0" w:color="000000"/>
            </w:tcBorders>
            <w:shd w:val="clear" w:color="auto" w:fill="000000"/>
          </w:tcPr>
          <w:p w:rsidR="009A7CC0" w:rsidRPr="00BF39C9" w:rsidRDefault="009A7CC0" w:rsidP="009F6D15">
            <w:pPr>
              <w:spacing w:before="40"/>
              <w:ind w:left="68"/>
              <w:rPr>
                <w:b/>
              </w:rPr>
            </w:pPr>
            <w:r w:rsidRPr="00BF39C9">
              <w:rPr>
                <w:b/>
              </w:rPr>
              <w:t>Proposa</w:t>
            </w:r>
            <w:r>
              <w:rPr>
                <w:b/>
              </w:rPr>
              <w:t>l Information</w:t>
            </w:r>
          </w:p>
        </w:tc>
      </w:tr>
      <w:tr w:rsidR="009A7CC0" w:rsidRPr="009D0AC1" w:rsidTr="009F6D15">
        <w:trPr>
          <w:trHeight w:val="20"/>
        </w:trPr>
        <w:tc>
          <w:tcPr>
            <w:tcW w:w="9900" w:type="dxa"/>
            <w:gridSpan w:val="7"/>
            <w:tcBorders>
              <w:bottom w:val="nil"/>
            </w:tcBorders>
            <w:shd w:val="clear" w:color="auto" w:fill="auto"/>
          </w:tcPr>
          <w:p w:rsidR="009A7CC0" w:rsidRPr="00D50A8F" w:rsidRDefault="009A7CC0" w:rsidP="00D77663">
            <w:pPr>
              <w:ind w:left="72"/>
            </w:pPr>
            <w:r w:rsidRPr="00BF39C9">
              <w:rPr>
                <w:b/>
              </w:rPr>
              <w:t>13. Purpose:</w:t>
            </w:r>
            <w:r>
              <w:rPr>
                <w:b/>
              </w:rPr>
              <w:t xml:space="preserve"> </w:t>
            </w:r>
            <w:r>
              <w:rPr>
                <w:sz w:val="18"/>
                <w:szCs w:val="18"/>
              </w:rPr>
              <w:t>C</w:t>
            </w:r>
            <w:r w:rsidRPr="006A01C6">
              <w:rPr>
                <w:sz w:val="18"/>
                <w:szCs w:val="18"/>
              </w:rPr>
              <w:t>oncise statement as to the intent or purpose of this proposal</w:t>
            </w:r>
            <w:r>
              <w:rPr>
                <w:sz w:val="18"/>
                <w:szCs w:val="18"/>
              </w:rPr>
              <w:t>, such as problem being fixed. (Do not include justification here.)</w:t>
            </w:r>
          </w:p>
        </w:tc>
      </w:tr>
      <w:tr w:rsidR="009A7CC0" w:rsidRPr="009D0AC1" w:rsidTr="009F6D15">
        <w:trPr>
          <w:trHeight w:val="288"/>
        </w:trPr>
        <w:tc>
          <w:tcPr>
            <w:tcW w:w="9900" w:type="dxa"/>
            <w:gridSpan w:val="7"/>
            <w:tcBorders>
              <w:top w:val="nil"/>
              <w:bottom w:val="single" w:sz="4" w:space="0" w:color="000000"/>
            </w:tcBorders>
            <w:shd w:val="clear" w:color="auto" w:fill="auto"/>
          </w:tcPr>
          <w:p w:rsidR="009A7CC0" w:rsidRPr="00BF39C9" w:rsidRDefault="009A7CC0" w:rsidP="009F6D15">
            <w:pPr>
              <w:spacing w:before="40"/>
            </w:pPr>
          </w:p>
        </w:tc>
      </w:tr>
      <w:tr w:rsidR="009A7CC0" w:rsidRPr="009D0AC1" w:rsidTr="009F6D15">
        <w:trPr>
          <w:trHeight w:val="20"/>
        </w:trPr>
        <w:tc>
          <w:tcPr>
            <w:tcW w:w="9900" w:type="dxa"/>
            <w:gridSpan w:val="7"/>
            <w:tcBorders>
              <w:bottom w:val="nil"/>
            </w:tcBorders>
            <w:shd w:val="clear" w:color="auto" w:fill="auto"/>
          </w:tcPr>
          <w:p w:rsidR="009A7CC0" w:rsidRPr="00BF39C9" w:rsidRDefault="009A7CC0" w:rsidP="009F6D15">
            <w:pPr>
              <w:spacing w:before="40"/>
              <w:ind w:left="68"/>
              <w:rPr>
                <w:b/>
              </w:rPr>
            </w:pPr>
            <w:r>
              <w:rPr>
                <w:b/>
              </w:rPr>
              <w:t>14. Document</w:t>
            </w:r>
            <w:r w:rsidRPr="00BF39C9">
              <w:rPr>
                <w:b/>
              </w:rPr>
              <w:t xml:space="preserve"> to be Amended:</w:t>
            </w:r>
          </w:p>
        </w:tc>
      </w:tr>
      <w:tr w:rsidR="009A7CC0" w:rsidRPr="009D0AC1" w:rsidTr="009F6D15">
        <w:trPr>
          <w:trHeight w:val="504"/>
        </w:trPr>
        <w:tc>
          <w:tcPr>
            <w:tcW w:w="9900" w:type="dxa"/>
            <w:gridSpan w:val="7"/>
            <w:tcBorders>
              <w:top w:val="nil"/>
              <w:bottom w:val="single" w:sz="4" w:space="0" w:color="000000"/>
            </w:tcBorders>
            <w:shd w:val="clear" w:color="auto" w:fill="auto"/>
          </w:tcPr>
          <w:p w:rsidR="009A7CC0" w:rsidRPr="00F211E0" w:rsidRDefault="009A7CC0" w:rsidP="009F6D15">
            <w:pPr>
              <w:spacing w:before="40"/>
              <w:ind w:left="68"/>
            </w:pPr>
            <w:r w:rsidRPr="00F211E0">
              <w:rPr>
                <w:u w:val="single"/>
              </w:rPr>
              <w:t xml:space="preserve">    </w:t>
            </w:r>
            <w:r w:rsidRPr="00F211E0">
              <w:t xml:space="preserve"> NIST Handbook 44    </w:t>
            </w:r>
            <w:r>
              <w:t xml:space="preserve">   </w:t>
            </w:r>
            <w:r w:rsidRPr="00F211E0">
              <w:rPr>
                <w:u w:val="single"/>
              </w:rPr>
              <w:t xml:space="preserve">    </w:t>
            </w:r>
            <w:r w:rsidRPr="00F211E0">
              <w:t xml:space="preserve"> NIST Handbook 130   </w:t>
            </w:r>
            <w:r>
              <w:t xml:space="preserve">         </w:t>
            </w:r>
            <w:r w:rsidRPr="00F211E0">
              <w:t xml:space="preserve"> </w:t>
            </w:r>
            <w:r w:rsidRPr="00F211E0">
              <w:rPr>
                <w:u w:val="single"/>
              </w:rPr>
              <w:t xml:space="preserve">    </w:t>
            </w:r>
            <w:r w:rsidRPr="00F211E0">
              <w:t xml:space="preserve"> NIST Handbook 133    </w:t>
            </w:r>
            <w:r>
              <w:t xml:space="preserve">        </w:t>
            </w:r>
            <w:r w:rsidRPr="00F211E0">
              <w:t xml:space="preserve">__ </w:t>
            </w:r>
            <w:r w:rsidRPr="00590C8F">
              <w:t>NCWM Guidance Document</w:t>
            </w:r>
          </w:p>
          <w:p w:rsidR="009A7CC0" w:rsidRPr="00F211E0" w:rsidRDefault="009A7CC0" w:rsidP="009F6D15">
            <w:pPr>
              <w:spacing w:before="40" w:after="120"/>
              <w:ind w:left="72"/>
              <w:rPr>
                <w:b/>
              </w:rPr>
            </w:pPr>
            <w:r w:rsidRPr="00F211E0">
              <w:t xml:space="preserve">__ NCWM Bylaws </w:t>
            </w:r>
            <w:r>
              <w:t xml:space="preserve">           </w:t>
            </w:r>
            <w:r w:rsidRPr="00F211E0">
              <w:t xml:space="preserve">__NTEP Administrative Policy </w:t>
            </w:r>
          </w:p>
        </w:tc>
      </w:tr>
      <w:tr w:rsidR="009A7CC0" w:rsidRPr="009D0AC1" w:rsidTr="009F6D15">
        <w:trPr>
          <w:trHeight w:val="257"/>
        </w:trPr>
        <w:tc>
          <w:tcPr>
            <w:tcW w:w="9900" w:type="dxa"/>
            <w:gridSpan w:val="7"/>
            <w:tcBorders>
              <w:top w:val="nil"/>
              <w:bottom w:val="single" w:sz="4" w:space="0" w:color="000000"/>
            </w:tcBorders>
            <w:shd w:val="clear" w:color="auto" w:fill="auto"/>
          </w:tcPr>
          <w:p w:rsidR="009A7CC0" w:rsidRPr="00D50A8F" w:rsidRDefault="009A7CC0" w:rsidP="009F6D15">
            <w:pPr>
              <w:spacing w:before="40"/>
              <w:ind w:left="68"/>
              <w:rPr>
                <w:b/>
              </w:rPr>
            </w:pPr>
            <w:r w:rsidRPr="00D50A8F">
              <w:rPr>
                <w:b/>
              </w:rPr>
              <w:t xml:space="preserve">15. </w:t>
            </w:r>
            <w:r>
              <w:rPr>
                <w:b/>
              </w:rPr>
              <w:t xml:space="preserve">Cite portion to </w:t>
            </w:r>
            <w:r w:rsidRPr="00D50A8F">
              <w:rPr>
                <w:b/>
              </w:rPr>
              <w:t>be Amended:</w:t>
            </w:r>
          </w:p>
        </w:tc>
      </w:tr>
      <w:tr w:rsidR="009A7CC0" w:rsidRPr="009D0AC1" w:rsidTr="009F6D15">
        <w:trPr>
          <w:trHeight w:val="504"/>
        </w:trPr>
        <w:tc>
          <w:tcPr>
            <w:tcW w:w="9900" w:type="dxa"/>
            <w:gridSpan w:val="7"/>
            <w:tcBorders>
              <w:top w:val="nil"/>
              <w:bottom w:val="single" w:sz="4" w:space="0" w:color="000000"/>
            </w:tcBorders>
            <w:shd w:val="clear" w:color="auto" w:fill="auto"/>
          </w:tcPr>
          <w:p w:rsidR="009A7CC0" w:rsidRPr="00BF39C9" w:rsidRDefault="009A7CC0" w:rsidP="00D77663">
            <w:pPr>
              <w:ind w:left="72"/>
            </w:pPr>
            <w:r>
              <w:t>Section</w:t>
            </w:r>
            <w:r w:rsidRPr="00BF39C9">
              <w:t xml:space="preserve">: </w:t>
            </w:r>
          </w:p>
          <w:p w:rsidR="009A7CC0" w:rsidRPr="00BF39C9" w:rsidRDefault="009A7CC0" w:rsidP="009F6D15">
            <w:pPr>
              <w:spacing w:before="40"/>
              <w:ind w:left="68"/>
            </w:pPr>
            <w:r w:rsidRPr="00BF39C9">
              <w:t>Paragraph:</w:t>
            </w:r>
          </w:p>
        </w:tc>
      </w:tr>
      <w:tr w:rsidR="009A7CC0" w:rsidRPr="009D0AC1" w:rsidTr="009F6D15">
        <w:trPr>
          <w:trHeight w:val="20"/>
        </w:trPr>
        <w:tc>
          <w:tcPr>
            <w:tcW w:w="9900" w:type="dxa"/>
            <w:gridSpan w:val="7"/>
            <w:tcBorders>
              <w:bottom w:val="nil"/>
            </w:tcBorders>
            <w:shd w:val="clear" w:color="auto" w:fill="auto"/>
          </w:tcPr>
          <w:p w:rsidR="009A7CC0" w:rsidRPr="00DE221E" w:rsidRDefault="009A7CC0" w:rsidP="009F6D15">
            <w:pPr>
              <w:spacing w:before="40"/>
              <w:ind w:left="68"/>
            </w:pPr>
            <w:r w:rsidRPr="00DE221E">
              <w:rPr>
                <w:b/>
              </w:rPr>
              <w:t>1</w:t>
            </w:r>
            <w:r>
              <w:rPr>
                <w:b/>
              </w:rPr>
              <w:t>6</w:t>
            </w:r>
            <w:r w:rsidRPr="00DE221E">
              <w:rPr>
                <w:b/>
              </w:rPr>
              <w:t>. Proposal:</w:t>
            </w:r>
            <w:r w:rsidRPr="00DE221E">
              <w:t xml:space="preserve"> </w:t>
            </w:r>
            <w:r>
              <w:t xml:space="preserve">Please </w:t>
            </w:r>
            <w:r w:rsidRPr="006A01C6">
              <w:rPr>
                <w:sz w:val="18"/>
                <w:szCs w:val="18"/>
              </w:rPr>
              <w:t>us</w:t>
            </w:r>
            <w:r>
              <w:rPr>
                <w:sz w:val="18"/>
                <w:szCs w:val="18"/>
              </w:rPr>
              <w:t>e</w:t>
            </w:r>
            <w:r w:rsidRPr="006A01C6">
              <w:rPr>
                <w:sz w:val="18"/>
                <w:szCs w:val="18"/>
              </w:rPr>
              <w:t xml:space="preserve"> </w:t>
            </w:r>
            <w:r w:rsidRPr="00CA2EDE">
              <w:rPr>
                <w:b/>
                <w:strike/>
                <w:sz w:val="18"/>
                <w:szCs w:val="18"/>
              </w:rPr>
              <w:t>strikeout</w:t>
            </w:r>
            <w:r w:rsidRPr="006A01C6">
              <w:rPr>
                <w:sz w:val="18"/>
                <w:szCs w:val="18"/>
              </w:rPr>
              <w:t xml:space="preserve"> to show words to be deleted and </w:t>
            </w:r>
            <w:r w:rsidRPr="00CA2EDE">
              <w:rPr>
                <w:b/>
                <w:sz w:val="18"/>
                <w:szCs w:val="18"/>
                <w:u w:val="single"/>
              </w:rPr>
              <w:t>underline</w:t>
            </w:r>
            <w:r w:rsidRPr="00CA2EDE">
              <w:rPr>
                <w:b/>
                <w:sz w:val="18"/>
                <w:szCs w:val="18"/>
              </w:rPr>
              <w:t xml:space="preserve"> </w:t>
            </w:r>
            <w:r w:rsidRPr="006A01C6">
              <w:rPr>
                <w:sz w:val="18"/>
                <w:szCs w:val="18"/>
              </w:rPr>
              <w:t>to show new words.</w:t>
            </w:r>
            <w:r>
              <w:rPr>
                <w:sz w:val="18"/>
                <w:szCs w:val="18"/>
              </w:rPr>
              <w:t xml:space="preserve"> </w:t>
            </w:r>
          </w:p>
        </w:tc>
      </w:tr>
      <w:tr w:rsidR="009A7CC0" w:rsidRPr="009D0AC1" w:rsidTr="009F6D15">
        <w:trPr>
          <w:trHeight w:val="288"/>
        </w:trPr>
        <w:tc>
          <w:tcPr>
            <w:tcW w:w="9900" w:type="dxa"/>
            <w:gridSpan w:val="7"/>
            <w:tcBorders>
              <w:top w:val="nil"/>
              <w:bottom w:val="single" w:sz="4" w:space="0" w:color="000000"/>
            </w:tcBorders>
            <w:shd w:val="clear" w:color="auto" w:fill="auto"/>
          </w:tcPr>
          <w:p w:rsidR="009A7CC0" w:rsidRDefault="009A7CC0" w:rsidP="009F6D15">
            <w:pPr>
              <w:spacing w:before="40"/>
              <w:ind w:left="68"/>
            </w:pPr>
          </w:p>
          <w:p w:rsidR="009A7CC0" w:rsidRPr="00DE221E" w:rsidRDefault="009A7CC0" w:rsidP="009F6D15">
            <w:pPr>
              <w:spacing w:before="40"/>
              <w:ind w:left="68"/>
            </w:pPr>
          </w:p>
        </w:tc>
      </w:tr>
      <w:tr w:rsidR="009A7CC0" w:rsidRPr="009D0AC1" w:rsidTr="009F6D15">
        <w:trPr>
          <w:trHeight w:val="20"/>
        </w:trPr>
        <w:tc>
          <w:tcPr>
            <w:tcW w:w="9900" w:type="dxa"/>
            <w:gridSpan w:val="7"/>
            <w:tcBorders>
              <w:bottom w:val="nil"/>
            </w:tcBorders>
            <w:shd w:val="clear" w:color="auto" w:fill="auto"/>
          </w:tcPr>
          <w:p w:rsidR="009A7CC0" w:rsidRPr="00DE221E" w:rsidRDefault="009A7CC0" w:rsidP="009F6D15">
            <w:pPr>
              <w:spacing w:before="40"/>
              <w:ind w:left="68"/>
              <w:rPr>
                <w:b/>
              </w:rPr>
            </w:pPr>
            <w:r w:rsidRPr="00DE221E">
              <w:rPr>
                <w:b/>
              </w:rPr>
              <w:t>1</w:t>
            </w:r>
            <w:r>
              <w:rPr>
                <w:b/>
              </w:rPr>
              <w:t>7</w:t>
            </w:r>
            <w:r w:rsidRPr="00DE221E">
              <w:rPr>
                <w:b/>
              </w:rPr>
              <w:t>. Justification</w:t>
            </w:r>
            <w:r w:rsidRPr="00DE221E">
              <w:t>:</w:t>
            </w:r>
            <w:r>
              <w:t xml:space="preserve">  Please include national importance, background on the issue, and reference to supporting data or documents.</w:t>
            </w:r>
          </w:p>
        </w:tc>
      </w:tr>
      <w:tr w:rsidR="009A7CC0" w:rsidRPr="009D0AC1" w:rsidTr="009F6D15">
        <w:trPr>
          <w:trHeight w:val="288"/>
        </w:trPr>
        <w:tc>
          <w:tcPr>
            <w:tcW w:w="9900" w:type="dxa"/>
            <w:gridSpan w:val="7"/>
            <w:tcBorders>
              <w:top w:val="nil"/>
              <w:bottom w:val="single" w:sz="4" w:space="0" w:color="000000"/>
            </w:tcBorders>
            <w:shd w:val="clear" w:color="auto" w:fill="auto"/>
          </w:tcPr>
          <w:p w:rsidR="009A7CC0" w:rsidRDefault="009A7CC0" w:rsidP="002142B8">
            <w:pPr>
              <w:ind w:left="72"/>
            </w:pPr>
          </w:p>
          <w:p w:rsidR="009A7CC0" w:rsidRPr="00DE221E" w:rsidRDefault="009A7CC0" w:rsidP="009F6D15">
            <w:pPr>
              <w:spacing w:before="40"/>
              <w:ind w:left="68"/>
            </w:pPr>
          </w:p>
        </w:tc>
      </w:tr>
      <w:tr w:rsidR="009A7CC0" w:rsidRPr="009D0AC1" w:rsidTr="009F6D15">
        <w:trPr>
          <w:trHeight w:val="144"/>
        </w:trPr>
        <w:tc>
          <w:tcPr>
            <w:tcW w:w="9900" w:type="dxa"/>
            <w:gridSpan w:val="7"/>
            <w:tcBorders>
              <w:bottom w:val="nil"/>
            </w:tcBorders>
            <w:shd w:val="clear" w:color="auto" w:fill="auto"/>
          </w:tcPr>
          <w:p w:rsidR="009A7CC0" w:rsidRPr="00DE221E" w:rsidRDefault="009A7CC0" w:rsidP="009F6D15">
            <w:pPr>
              <w:spacing w:before="40"/>
              <w:ind w:left="68"/>
            </w:pPr>
            <w:r w:rsidRPr="00DE221E">
              <w:rPr>
                <w:b/>
              </w:rPr>
              <w:t>1</w:t>
            </w:r>
            <w:r>
              <w:rPr>
                <w:b/>
              </w:rPr>
              <w:t>8</w:t>
            </w:r>
            <w:r w:rsidRPr="00DE221E">
              <w:rPr>
                <w:b/>
              </w:rPr>
              <w:t xml:space="preserve">. </w:t>
            </w:r>
            <w:r>
              <w:rPr>
                <w:b/>
              </w:rPr>
              <w:t>Possible Opposing Argument’s</w:t>
            </w:r>
            <w:r w:rsidRPr="00DE221E">
              <w:rPr>
                <w:b/>
              </w:rPr>
              <w:t>:</w:t>
            </w:r>
            <w:r w:rsidRPr="00DE221E">
              <w:t xml:space="preserve"> </w:t>
            </w:r>
            <w:r>
              <w:t>Please demonstrate that you are aware and have considered possible opposition.</w:t>
            </w:r>
          </w:p>
        </w:tc>
      </w:tr>
      <w:tr w:rsidR="009A7CC0" w:rsidRPr="009D0AC1" w:rsidTr="009F6D15">
        <w:trPr>
          <w:trHeight w:val="288"/>
        </w:trPr>
        <w:tc>
          <w:tcPr>
            <w:tcW w:w="9900" w:type="dxa"/>
            <w:gridSpan w:val="7"/>
            <w:tcBorders>
              <w:top w:val="nil"/>
              <w:bottom w:val="single" w:sz="4" w:space="0" w:color="000000"/>
            </w:tcBorders>
            <w:shd w:val="clear" w:color="auto" w:fill="auto"/>
          </w:tcPr>
          <w:p w:rsidR="009A7CC0" w:rsidRDefault="009A7CC0" w:rsidP="002142B8">
            <w:pPr>
              <w:ind w:left="72"/>
            </w:pPr>
          </w:p>
          <w:p w:rsidR="009A7CC0" w:rsidRPr="00DE221E" w:rsidRDefault="009A7CC0" w:rsidP="009F6D15">
            <w:pPr>
              <w:spacing w:before="40"/>
              <w:ind w:left="68"/>
            </w:pPr>
          </w:p>
        </w:tc>
      </w:tr>
      <w:tr w:rsidR="009A7CC0" w:rsidRPr="009D0AC1" w:rsidTr="009F6D15">
        <w:trPr>
          <w:trHeight w:val="144"/>
        </w:trPr>
        <w:tc>
          <w:tcPr>
            <w:tcW w:w="9900" w:type="dxa"/>
            <w:gridSpan w:val="7"/>
            <w:tcBorders>
              <w:bottom w:val="nil"/>
            </w:tcBorders>
            <w:shd w:val="clear" w:color="auto" w:fill="auto"/>
          </w:tcPr>
          <w:p w:rsidR="009A7CC0" w:rsidRPr="00DE221E" w:rsidRDefault="009A7CC0" w:rsidP="009F6D15">
            <w:pPr>
              <w:spacing w:before="40"/>
              <w:ind w:left="68"/>
              <w:rPr>
                <w:b/>
              </w:rPr>
            </w:pPr>
            <w:r>
              <w:rPr>
                <w:b/>
              </w:rPr>
              <w:t>19</w:t>
            </w:r>
            <w:r w:rsidRPr="00DE221E">
              <w:rPr>
                <w:b/>
              </w:rPr>
              <w:t xml:space="preserve">. </w:t>
            </w:r>
            <w:r>
              <w:rPr>
                <w:b/>
              </w:rPr>
              <w:t>Requ</w:t>
            </w:r>
            <w:r w:rsidRPr="00DE221E">
              <w:rPr>
                <w:b/>
              </w:rPr>
              <w:t>ested Action</w:t>
            </w:r>
            <w:r>
              <w:rPr>
                <w:b/>
              </w:rPr>
              <w:t xml:space="preserve"> if Considered for NCWM Agenda</w:t>
            </w:r>
            <w:r w:rsidRPr="00DE221E">
              <w:rPr>
                <w:b/>
              </w:rPr>
              <w:t>:</w:t>
            </w:r>
          </w:p>
        </w:tc>
      </w:tr>
      <w:tr w:rsidR="009A7CC0" w:rsidRPr="009D0AC1" w:rsidTr="009F6D15">
        <w:trPr>
          <w:trHeight w:val="288"/>
        </w:trPr>
        <w:tc>
          <w:tcPr>
            <w:tcW w:w="9900" w:type="dxa"/>
            <w:gridSpan w:val="7"/>
            <w:tcBorders>
              <w:top w:val="nil"/>
              <w:bottom w:val="single" w:sz="4" w:space="0" w:color="000000"/>
            </w:tcBorders>
            <w:shd w:val="clear" w:color="auto" w:fill="auto"/>
          </w:tcPr>
          <w:p w:rsidR="009A7CC0" w:rsidRPr="00DE221E" w:rsidRDefault="009A7CC0" w:rsidP="009F6D15">
            <w:pPr>
              <w:spacing w:before="40"/>
              <w:ind w:left="68"/>
            </w:pPr>
            <w:r w:rsidRPr="00DE221E">
              <w:rPr>
                <w:u w:val="single"/>
              </w:rPr>
              <w:t xml:space="preserve">     </w:t>
            </w:r>
            <w:r w:rsidRPr="00DE221E">
              <w:t xml:space="preserve"> </w:t>
            </w:r>
            <w:r w:rsidRPr="00BF39C9">
              <w:t>Voting Item</w:t>
            </w:r>
            <w:r w:rsidRPr="00DE221E">
              <w:t xml:space="preserve">    </w:t>
            </w:r>
            <w:r w:rsidRPr="00DE221E">
              <w:rPr>
                <w:u w:val="single"/>
              </w:rPr>
              <w:t xml:space="preserve">     </w:t>
            </w:r>
            <w:r w:rsidRPr="00DE221E">
              <w:t xml:space="preserve"> Developing Item    </w:t>
            </w:r>
            <w:r w:rsidRPr="00DE221E">
              <w:rPr>
                <w:u w:val="single"/>
              </w:rPr>
              <w:t xml:space="preserve">     </w:t>
            </w:r>
            <w:r w:rsidRPr="00DE221E">
              <w:t xml:space="preserve"> Informational Item    </w:t>
            </w:r>
            <w:r w:rsidRPr="00DE221E">
              <w:rPr>
                <w:u w:val="single"/>
              </w:rPr>
              <w:t xml:space="preserve">     </w:t>
            </w:r>
            <w:r>
              <w:t xml:space="preserve"> Other (Please Describe):</w:t>
            </w:r>
          </w:p>
        </w:tc>
      </w:tr>
      <w:tr w:rsidR="009A7CC0" w:rsidRPr="009D0AC1" w:rsidTr="009F6D15">
        <w:trPr>
          <w:trHeight w:val="20"/>
        </w:trPr>
        <w:tc>
          <w:tcPr>
            <w:tcW w:w="9900" w:type="dxa"/>
            <w:gridSpan w:val="7"/>
            <w:tcBorders>
              <w:bottom w:val="nil"/>
            </w:tcBorders>
            <w:shd w:val="clear" w:color="auto" w:fill="auto"/>
          </w:tcPr>
          <w:p w:rsidR="009A7CC0" w:rsidRPr="00DE221E" w:rsidRDefault="009A7CC0" w:rsidP="009F6D15">
            <w:pPr>
              <w:spacing w:before="40"/>
              <w:ind w:left="68"/>
            </w:pPr>
            <w:r>
              <w:rPr>
                <w:b/>
              </w:rPr>
              <w:t>20</w:t>
            </w:r>
            <w:r w:rsidRPr="00DE221E">
              <w:rPr>
                <w:b/>
              </w:rPr>
              <w:t>. List of Attachments:</w:t>
            </w:r>
            <w:r w:rsidRPr="00DE221E">
              <w:t xml:space="preserve"> </w:t>
            </w:r>
          </w:p>
        </w:tc>
      </w:tr>
      <w:tr w:rsidR="009A7CC0" w:rsidRPr="009D0AC1" w:rsidTr="009F6D15">
        <w:trPr>
          <w:trHeight w:val="288"/>
        </w:trPr>
        <w:tc>
          <w:tcPr>
            <w:tcW w:w="9900" w:type="dxa"/>
            <w:gridSpan w:val="7"/>
            <w:tcBorders>
              <w:top w:val="nil"/>
            </w:tcBorders>
            <w:shd w:val="clear" w:color="auto" w:fill="auto"/>
          </w:tcPr>
          <w:p w:rsidR="009A7CC0" w:rsidRPr="00DE221E" w:rsidRDefault="009A7CC0" w:rsidP="009F6D15">
            <w:pPr>
              <w:spacing w:before="40"/>
              <w:rPr>
                <w:b/>
              </w:rPr>
            </w:pPr>
          </w:p>
        </w:tc>
      </w:tr>
    </w:tbl>
    <w:p w:rsidR="009A7CC0" w:rsidRDefault="009A7CC0" w:rsidP="009A7CC0">
      <w:pPr>
        <w:pStyle w:val="Footer"/>
        <w:rPr>
          <w:rFonts w:ascii="Century Gothic" w:hAnsi="Century Gothic"/>
          <w:b/>
          <w:sz w:val="16"/>
          <w:szCs w:val="16"/>
        </w:rPr>
      </w:pPr>
    </w:p>
    <w:p w:rsidR="009A7CC0" w:rsidRDefault="009A7CC0" w:rsidP="009A7CC0">
      <w:pPr>
        <w:pStyle w:val="Footer"/>
        <w:tabs>
          <w:tab w:val="clear" w:pos="8640"/>
          <w:tab w:val="right" w:pos="9360"/>
        </w:tabs>
        <w:rPr>
          <w:rFonts w:ascii="Century Gothic" w:hAnsi="Century Gothic"/>
          <w:sz w:val="16"/>
          <w:szCs w:val="16"/>
        </w:rPr>
      </w:pPr>
      <w:r w:rsidRPr="00CD16E4">
        <w:rPr>
          <w:rFonts w:ascii="Century Gothic" w:hAnsi="Century Gothic"/>
          <w:b/>
          <w:sz w:val="16"/>
          <w:szCs w:val="16"/>
        </w:rPr>
        <w:t>Submit Form</w:t>
      </w:r>
      <w:r>
        <w:rPr>
          <w:rFonts w:ascii="Century Gothic" w:hAnsi="Century Gothic"/>
          <w:b/>
          <w:sz w:val="16"/>
          <w:szCs w:val="16"/>
        </w:rPr>
        <w:t xml:space="preserve"> Via Email</w:t>
      </w:r>
      <w:r w:rsidRPr="00CD16E4">
        <w:rPr>
          <w:rFonts w:ascii="Century Gothic" w:hAnsi="Century Gothic"/>
          <w:b/>
          <w:sz w:val="16"/>
          <w:szCs w:val="16"/>
        </w:rPr>
        <w:t xml:space="preserve"> </w:t>
      </w:r>
      <w:r>
        <w:rPr>
          <w:rFonts w:ascii="Century Gothic" w:hAnsi="Century Gothic"/>
          <w:b/>
          <w:sz w:val="16"/>
          <w:szCs w:val="16"/>
        </w:rPr>
        <w:t>t</w:t>
      </w:r>
      <w:r w:rsidRPr="00CD16E4">
        <w:rPr>
          <w:rFonts w:ascii="Century Gothic" w:hAnsi="Century Gothic"/>
          <w:b/>
          <w:sz w:val="16"/>
          <w:szCs w:val="16"/>
        </w:rPr>
        <w:t>o</w:t>
      </w:r>
      <w:r>
        <w:rPr>
          <w:rFonts w:ascii="Century Gothic" w:hAnsi="Century Gothic"/>
          <w:b/>
          <w:sz w:val="16"/>
          <w:szCs w:val="16"/>
        </w:rPr>
        <w:t xml:space="preserve"> don.onwiler@ncwm.net</w:t>
      </w:r>
      <w:r w:rsidRPr="00CD16E4">
        <w:rPr>
          <w:rFonts w:ascii="Century Gothic" w:hAnsi="Century Gothic"/>
          <w:b/>
          <w:sz w:val="16"/>
          <w:szCs w:val="16"/>
        </w:rPr>
        <w:t>:</w:t>
      </w:r>
      <w:r>
        <w:rPr>
          <w:rFonts w:ascii="Century Gothic" w:hAnsi="Century Gothic"/>
          <w:b/>
          <w:sz w:val="16"/>
          <w:szCs w:val="16"/>
        </w:rPr>
        <w:tab/>
      </w:r>
      <w:r>
        <w:rPr>
          <w:rFonts w:ascii="Century Gothic" w:hAnsi="Century Gothic"/>
          <w:b/>
          <w:sz w:val="16"/>
          <w:szCs w:val="16"/>
        </w:rPr>
        <w:tab/>
      </w:r>
      <w:r>
        <w:rPr>
          <w:rFonts w:ascii="Century Gothic" w:hAnsi="Century Gothic"/>
          <w:sz w:val="16"/>
          <w:szCs w:val="16"/>
        </w:rPr>
        <w:t>Revised: May 2016</w:t>
      </w:r>
    </w:p>
    <w:p w:rsidR="009A7CC0" w:rsidRDefault="009A7CC0" w:rsidP="009A7CC0">
      <w:pPr>
        <w:pStyle w:val="Footer"/>
        <w:rPr>
          <w:rFonts w:ascii="Century Gothic" w:hAnsi="Century Gothic"/>
          <w:sz w:val="16"/>
          <w:szCs w:val="16"/>
        </w:rPr>
      </w:pPr>
      <w:r>
        <w:rPr>
          <w:rFonts w:ascii="Century Gothic" w:hAnsi="Century Gothic"/>
          <w:sz w:val="16"/>
          <w:szCs w:val="16"/>
        </w:rPr>
        <w:t>1135 M Street, Suite 110 / Lincoln, Nebraska 68508</w:t>
      </w:r>
    </w:p>
    <w:p w:rsidR="00B26960" w:rsidRPr="009A7CC0" w:rsidRDefault="009A7CC0" w:rsidP="009A7CC0">
      <w:r w:rsidRPr="003D6D93">
        <w:rPr>
          <w:rFonts w:ascii="Century Gothic" w:hAnsi="Century Gothic"/>
          <w:b/>
          <w:sz w:val="16"/>
          <w:szCs w:val="16"/>
        </w:rPr>
        <w:t>P.</w:t>
      </w:r>
      <w:r w:rsidRPr="003D6D93">
        <w:rPr>
          <w:rFonts w:ascii="Century Gothic" w:hAnsi="Century Gothic"/>
          <w:sz w:val="16"/>
          <w:szCs w:val="16"/>
        </w:rPr>
        <w:t xml:space="preserve"> 402.434.4880    </w:t>
      </w:r>
      <w:r w:rsidRPr="003D6D93">
        <w:rPr>
          <w:rFonts w:ascii="Century Gothic" w:hAnsi="Century Gothic"/>
          <w:b/>
          <w:sz w:val="16"/>
          <w:szCs w:val="16"/>
        </w:rPr>
        <w:t>F.</w:t>
      </w:r>
      <w:r w:rsidRPr="003D6D93">
        <w:rPr>
          <w:rFonts w:ascii="Century Gothic" w:hAnsi="Century Gothic"/>
          <w:sz w:val="16"/>
          <w:szCs w:val="16"/>
        </w:rPr>
        <w:t xml:space="preserve"> 402.434.4878    </w:t>
      </w:r>
      <w:r w:rsidRPr="003D6D93">
        <w:rPr>
          <w:rFonts w:ascii="Century Gothic" w:hAnsi="Century Gothic"/>
          <w:b/>
          <w:sz w:val="16"/>
          <w:szCs w:val="16"/>
        </w:rPr>
        <w:t>E.</w:t>
      </w:r>
      <w:r w:rsidRPr="003D6D93">
        <w:rPr>
          <w:rFonts w:ascii="Century Gothic" w:hAnsi="Century Gothic"/>
          <w:sz w:val="16"/>
          <w:szCs w:val="16"/>
        </w:rPr>
        <w:t xml:space="preserve"> info@ncwm.net    </w:t>
      </w:r>
      <w:r w:rsidRPr="003D6D93">
        <w:rPr>
          <w:rFonts w:ascii="Century Gothic" w:hAnsi="Century Gothic"/>
          <w:b/>
          <w:sz w:val="16"/>
          <w:szCs w:val="16"/>
        </w:rPr>
        <w:t>W.</w:t>
      </w:r>
      <w:r w:rsidRPr="003D6D93">
        <w:rPr>
          <w:rFonts w:ascii="Century Gothic" w:hAnsi="Century Gothic"/>
          <w:sz w:val="16"/>
          <w:szCs w:val="16"/>
        </w:rPr>
        <w:t xml:space="preserve"> </w:t>
      </w:r>
      <w:hyperlink r:id="rId21" w:history="1">
        <w:r>
          <w:rPr>
            <w:rFonts w:ascii="ZWAdobeF" w:hAnsi="ZWAdobeF" w:cs="ZWAdobeF"/>
            <w:sz w:val="2"/>
            <w:szCs w:val="2"/>
          </w:rPr>
          <w:t>8T</w:t>
        </w:r>
        <w:r w:rsidRPr="007D33CC">
          <w:rPr>
            <w:rStyle w:val="Hyperlink"/>
            <w:rFonts w:ascii="Century Gothic" w:hAnsi="Century Gothic"/>
            <w:b/>
            <w:sz w:val="16"/>
            <w:szCs w:val="16"/>
          </w:rPr>
          <w:t>www.ncwm.net</w:t>
        </w:r>
        <w:r w:rsidRPr="007D33CC">
          <w:rPr>
            <w:rStyle w:val="Hyperlink"/>
            <w:rFonts w:ascii="ZWAdobeF" w:hAnsi="ZWAdobeF" w:cs="ZWAdobeF"/>
            <w:b/>
            <w:sz w:val="2"/>
            <w:szCs w:val="2"/>
          </w:rPr>
          <w:t>8T</w:t>
        </w:r>
      </w:hyperlink>
    </w:p>
    <w:sectPr w:rsidR="00B26960" w:rsidRPr="009A7C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CC0" w:rsidRDefault="009A7CC0" w:rsidP="009A7CC0">
      <w:r>
        <w:separator/>
      </w:r>
    </w:p>
  </w:endnote>
  <w:endnote w:type="continuationSeparator" w:id="0">
    <w:p w:rsidR="009A7CC0" w:rsidRDefault="009A7CC0" w:rsidP="009A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CC0" w:rsidRPr="00AC310C" w:rsidRDefault="009A7CC0" w:rsidP="00AC310C">
    <w:pPr>
      <w:pStyle w:val="Footer"/>
      <w:jc w:val="center"/>
    </w:pPr>
    <w:r>
      <w:fldChar w:fldCharType="begin"/>
    </w:r>
    <w:r>
      <w:instrText xml:space="preserve"> PAGE   \* MERGEFORMAT </w:instrText>
    </w:r>
    <w:r>
      <w:fldChar w:fldCharType="separate"/>
    </w:r>
    <w:r w:rsidR="00752927">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CC0" w:rsidRDefault="009A7CC0" w:rsidP="00AC310C">
    <w:pPr>
      <w:pStyle w:val="Footer"/>
      <w:jc w:val="center"/>
    </w:pPr>
    <w:r>
      <w:fldChar w:fldCharType="begin"/>
    </w:r>
    <w:r>
      <w:instrText xml:space="preserve"> PAGE   \* MERGEFORMAT </w:instrText>
    </w:r>
    <w:r>
      <w:fldChar w:fldCharType="separate"/>
    </w:r>
    <w:r w:rsidR="00752927">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27" w:rsidRDefault="00752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CC0" w:rsidRDefault="009A7CC0" w:rsidP="009A7CC0">
      <w:r>
        <w:separator/>
      </w:r>
    </w:p>
  </w:footnote>
  <w:footnote w:type="continuationSeparator" w:id="0">
    <w:p w:rsidR="009A7CC0" w:rsidRDefault="009A7CC0" w:rsidP="009A7CC0">
      <w:r>
        <w:continuationSeparator/>
      </w:r>
    </w:p>
  </w:footnote>
  <w:footnote w:id="1">
    <w:p w:rsidR="009A7CC0" w:rsidRDefault="009A7CC0" w:rsidP="009A7CC0">
      <w:pPr>
        <w:pStyle w:val="FootnoteText"/>
      </w:pPr>
      <w:r>
        <w:rPr>
          <w:rStyle w:val="FootnoteReference"/>
        </w:rPr>
        <w:footnoteRef/>
      </w:r>
      <w:r>
        <w:t xml:space="preserve"> </w:t>
      </w:r>
      <w:r>
        <w:rPr>
          <w:i/>
        </w:rPr>
        <w:t>When referring to the Uniform Laws and Regulations in Handbook 130, Laws and Regulations will be capitalized.  When referring to general federal or state laws and regulations, no capitalization will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CC0" w:rsidRDefault="009A7CC0" w:rsidP="00F36085">
    <w:pPr>
      <w:pStyle w:val="Header"/>
      <w:tabs>
        <w:tab w:val="clear" w:pos="8640"/>
        <w:tab w:val="right" w:pos="9360"/>
      </w:tabs>
    </w:pPr>
    <w:r>
      <w:t>I. Introduction</w:t>
    </w:r>
    <w:r>
      <w:tab/>
    </w:r>
    <w:r>
      <w:tab/>
    </w:r>
    <w:bookmarkStart w:id="178" w:name="_GoBack"/>
    <w:r>
      <w:t>Handbook 130 –</w:t>
    </w:r>
    <w:bookmarkEnd w:id="178"/>
    <w:r>
      <w:t xml:space="preserv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27" w:rsidRDefault="00752927" w:rsidP="00752927">
    <w:pPr>
      <w:pStyle w:val="Header"/>
      <w:tabs>
        <w:tab w:val="clear" w:pos="4320"/>
        <w:tab w:val="clear" w:pos="8640"/>
        <w:tab w:val="right" w:pos="9360"/>
      </w:tabs>
      <w:jc w:val="left"/>
    </w:pPr>
    <w:r>
      <w:t>Handbook 130 – 2018</w:t>
    </w:r>
    <w:r>
      <w:tab/>
    </w:r>
    <w:r>
      <w:t>I. Introduction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27" w:rsidRDefault="007529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C0"/>
    <w:rsid w:val="002116CD"/>
    <w:rsid w:val="002142B8"/>
    <w:rsid w:val="003150B4"/>
    <w:rsid w:val="003411D4"/>
    <w:rsid w:val="00752927"/>
    <w:rsid w:val="00813F32"/>
    <w:rsid w:val="009655D6"/>
    <w:rsid w:val="009A7CC0"/>
    <w:rsid w:val="00B26960"/>
    <w:rsid w:val="00D77663"/>
    <w:rsid w:val="00FF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ADF5"/>
  <w15:chartTrackingRefBased/>
  <w15:docId w15:val="{6D08BCCF-F619-419C-9187-43E86631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CC0"/>
    <w:pPr>
      <w:spacing w:after="0" w:line="240" w:lineRule="auto"/>
      <w:jc w:val="both"/>
    </w:pPr>
    <w:rPr>
      <w:rFonts w:ascii="Times New Roman" w:eastAsia="Times New Roman" w:hAnsi="Times New Roman" w:cs="Times New Roman"/>
      <w:sz w:val="20"/>
      <w:szCs w:val="24"/>
    </w:rPr>
  </w:style>
  <w:style w:type="paragraph" w:styleId="Heading6">
    <w:name w:val="heading 6"/>
    <w:basedOn w:val="Normal"/>
    <w:next w:val="Normal"/>
    <w:link w:val="Heading6Char1"/>
    <w:qFormat/>
    <w:rsid w:val="009A7CC0"/>
    <w:pPr>
      <w:keepNext/>
      <w:tabs>
        <w:tab w:val="left" w:pos="360"/>
      </w:tabs>
      <w:spacing w:before="240" w:after="240"/>
      <w:outlineLvl w:val="5"/>
    </w:pPr>
    <w:rPr>
      <w:b/>
      <w:b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semiHidden/>
    <w:rsid w:val="009A7CC0"/>
    <w:rPr>
      <w:rFonts w:asciiTheme="majorHAnsi" w:eastAsiaTheme="majorEastAsia" w:hAnsiTheme="majorHAnsi" w:cstheme="majorBidi"/>
      <w:color w:val="1F3763" w:themeColor="accent1" w:themeShade="7F"/>
      <w:sz w:val="20"/>
      <w:szCs w:val="24"/>
    </w:rPr>
  </w:style>
  <w:style w:type="character" w:customStyle="1" w:styleId="Heading6Char1">
    <w:name w:val="Heading 6 Char1"/>
    <w:basedOn w:val="DefaultParagraphFont"/>
    <w:link w:val="Heading6"/>
    <w:locked/>
    <w:rsid w:val="009A7CC0"/>
    <w:rPr>
      <w:rFonts w:ascii="Times New Roman" w:eastAsia="Times New Roman" w:hAnsi="Times New Roman" w:cs="Times New Roman"/>
      <w:b/>
      <w:bCs/>
      <w:sz w:val="24"/>
    </w:rPr>
  </w:style>
  <w:style w:type="character" w:customStyle="1" w:styleId="CharChar">
    <w:name w:val="Char Char"/>
    <w:basedOn w:val="DefaultParagraphFont"/>
    <w:rsid w:val="009A7CC0"/>
    <w:rPr>
      <w:rFonts w:cs="Times New Roman"/>
      <w:b/>
      <w:bCs/>
      <w:sz w:val="22"/>
      <w:szCs w:val="22"/>
      <w:lang w:val="en-US" w:eastAsia="en-US" w:bidi="ar-SA"/>
    </w:rPr>
  </w:style>
  <w:style w:type="paragraph" w:styleId="Footer">
    <w:name w:val="footer"/>
    <w:basedOn w:val="Normal"/>
    <w:link w:val="FooterChar"/>
    <w:uiPriority w:val="99"/>
    <w:rsid w:val="009A7CC0"/>
    <w:pPr>
      <w:tabs>
        <w:tab w:val="center" w:pos="4320"/>
        <w:tab w:val="right" w:pos="8640"/>
      </w:tabs>
    </w:pPr>
  </w:style>
  <w:style w:type="character" w:customStyle="1" w:styleId="FooterChar">
    <w:name w:val="Footer Char"/>
    <w:basedOn w:val="DefaultParagraphFont"/>
    <w:link w:val="Footer"/>
    <w:uiPriority w:val="99"/>
    <w:rsid w:val="009A7CC0"/>
    <w:rPr>
      <w:rFonts w:ascii="Times New Roman" w:eastAsia="Times New Roman" w:hAnsi="Times New Roman" w:cs="Times New Roman"/>
      <w:sz w:val="20"/>
      <w:szCs w:val="24"/>
    </w:rPr>
  </w:style>
  <w:style w:type="paragraph" w:styleId="Header">
    <w:name w:val="header"/>
    <w:basedOn w:val="Normal"/>
    <w:link w:val="HeaderChar"/>
    <w:rsid w:val="009A7CC0"/>
    <w:pPr>
      <w:tabs>
        <w:tab w:val="center" w:pos="4320"/>
        <w:tab w:val="right" w:pos="8640"/>
      </w:tabs>
    </w:pPr>
  </w:style>
  <w:style w:type="character" w:customStyle="1" w:styleId="HeaderChar">
    <w:name w:val="Header Char"/>
    <w:basedOn w:val="DefaultParagraphFont"/>
    <w:link w:val="Header"/>
    <w:rsid w:val="009A7CC0"/>
    <w:rPr>
      <w:rFonts w:ascii="Times New Roman" w:eastAsia="Times New Roman" w:hAnsi="Times New Roman" w:cs="Times New Roman"/>
      <w:sz w:val="20"/>
      <w:szCs w:val="24"/>
    </w:rPr>
  </w:style>
  <w:style w:type="character" w:styleId="Hyperlink">
    <w:name w:val="Hyperlink"/>
    <w:aliases w:val="Hyperlink-toc"/>
    <w:basedOn w:val="DefaultParagraphFont"/>
    <w:uiPriority w:val="99"/>
    <w:qFormat/>
    <w:rsid w:val="009A7CC0"/>
    <w:rPr>
      <w:rFonts w:ascii="Times New Roman" w:hAnsi="Times New Roman"/>
      <w:b w:val="0"/>
      <w:i w:val="0"/>
      <w:caps w:val="0"/>
      <w:smallCaps w:val="0"/>
      <w:strike w:val="0"/>
      <w:dstrike w:val="0"/>
      <w:vanish w:val="0"/>
      <w:color w:val="auto"/>
      <w:sz w:val="20"/>
      <w:u w:val="none"/>
      <w:vertAlign w:val="baseline"/>
    </w:rPr>
  </w:style>
  <w:style w:type="paragraph" w:styleId="FootnoteText">
    <w:name w:val="footnote text"/>
    <w:basedOn w:val="Normal"/>
    <w:link w:val="FootnoteTextChar"/>
    <w:semiHidden/>
    <w:rsid w:val="009A7CC0"/>
    <w:rPr>
      <w:szCs w:val="20"/>
    </w:rPr>
  </w:style>
  <w:style w:type="character" w:customStyle="1" w:styleId="FootnoteTextChar">
    <w:name w:val="Footnote Text Char"/>
    <w:basedOn w:val="DefaultParagraphFont"/>
    <w:link w:val="FootnoteText"/>
    <w:semiHidden/>
    <w:rsid w:val="009A7CC0"/>
    <w:rPr>
      <w:rFonts w:ascii="Times New Roman" w:eastAsia="Times New Roman" w:hAnsi="Times New Roman" w:cs="Times New Roman"/>
      <w:sz w:val="20"/>
      <w:szCs w:val="20"/>
    </w:rPr>
  </w:style>
  <w:style w:type="character" w:styleId="FootnoteReference">
    <w:name w:val="footnote reference"/>
    <w:basedOn w:val="DefaultParagraphFont"/>
    <w:semiHidden/>
    <w:rsid w:val="009A7CC0"/>
    <w:rPr>
      <w:rFonts w:cs="Times New Roman"/>
      <w:vertAlign w:val="superscript"/>
    </w:rPr>
  </w:style>
  <w:style w:type="paragraph" w:customStyle="1" w:styleId="StyleBefore3ptAfter12pt">
    <w:name w:val="Style Before:  3 pt After:  12 pt"/>
    <w:basedOn w:val="Normal"/>
    <w:link w:val="StyleBefore3ptAfter12ptChar"/>
    <w:rsid w:val="009A7CC0"/>
    <w:pPr>
      <w:spacing w:before="60"/>
    </w:pPr>
    <w:rPr>
      <w:szCs w:val="20"/>
    </w:rPr>
  </w:style>
  <w:style w:type="character" w:customStyle="1" w:styleId="StyleBefore3ptAfter12ptChar">
    <w:name w:val="Style Before:  3 pt After:  12 pt Char"/>
    <w:basedOn w:val="DefaultParagraphFont"/>
    <w:link w:val="StyleBefore3ptAfter12pt"/>
    <w:locked/>
    <w:rsid w:val="009A7CC0"/>
    <w:rPr>
      <w:rFonts w:ascii="Times New Roman" w:eastAsia="Times New Roman" w:hAnsi="Times New Roman" w:cs="Times New Roman"/>
      <w:sz w:val="20"/>
      <w:szCs w:val="20"/>
    </w:rPr>
  </w:style>
  <w:style w:type="paragraph" w:customStyle="1" w:styleId="Left050">
    <w:name w:val="Left: 0.50"/>
    <w:aliases w:val="Before 3 pt&quot;"/>
    <w:basedOn w:val="StyleBefore3ptAfter12pt"/>
    <w:rsid w:val="009A7CC0"/>
    <w:pPr>
      <w:ind w:firstLine="720"/>
    </w:pPr>
  </w:style>
  <w:style w:type="paragraph" w:customStyle="1" w:styleId="StyleMainTOC1Centered1">
    <w:name w:val="Style Main TOC1 + Centered1"/>
    <w:basedOn w:val="Normal"/>
    <w:rsid w:val="009A7CC0"/>
    <w:pPr>
      <w:spacing w:before="360" w:after="480"/>
      <w:jc w:val="center"/>
    </w:pPr>
    <w:rPr>
      <w:b/>
      <w:bCs/>
      <w:sz w:val="28"/>
      <w:szCs w:val="20"/>
    </w:rPr>
  </w:style>
  <w:style w:type="paragraph" w:customStyle="1" w:styleId="Hyperlink1B">
    <w:name w:val="Hyperlink 1 B"/>
    <w:basedOn w:val="Normal"/>
    <w:link w:val="Hyperlink1BChar"/>
    <w:qFormat/>
    <w:rsid w:val="009A7CC0"/>
    <w:pPr>
      <w:autoSpaceDE w:val="0"/>
    </w:pPr>
    <w:rPr>
      <w:rFonts w:ascii="Times New Roman Bold" w:hAnsi="Times New Roman Bold"/>
      <w:b/>
    </w:rPr>
  </w:style>
  <w:style w:type="character" w:customStyle="1" w:styleId="Hyperlink1BChar">
    <w:name w:val="Hyperlink 1 B Char"/>
    <w:basedOn w:val="DefaultParagraphFont"/>
    <w:link w:val="Hyperlink1B"/>
    <w:rsid w:val="009A7CC0"/>
    <w:rPr>
      <w:rFonts w:ascii="Times New Roman Bold" w:eastAsia="Times New Roman" w:hAnsi="Times New Roman Bold" w:cs="Times New Roman"/>
      <w:b/>
      <w:sz w:val="20"/>
      <w:szCs w:val="24"/>
    </w:rPr>
  </w:style>
  <w:style w:type="paragraph" w:customStyle="1" w:styleId="HyperlinkB-8pt">
    <w:name w:val="Hyperlink B-8 pt"/>
    <w:basedOn w:val="Normal"/>
    <w:link w:val="HyperlinkB-8ptChar"/>
    <w:qFormat/>
    <w:rsid w:val="009A7CC0"/>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9A7CC0"/>
    <w:rPr>
      <w:rFonts w:ascii="Times New Roman Bold" w:eastAsia="Times New Roman" w:hAnsi="Times New Roman Bold" w:cs="Times New Roman"/>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wm.net" TargetMode="External"/><Relationship Id="rId13" Type="http://schemas.openxmlformats.org/officeDocument/2006/relationships/footer" Target="footer2.xml"/><Relationship Id="rId18" Type="http://schemas.openxmlformats.org/officeDocument/2006/relationships/hyperlink" Target="file:///\\elwood.nist.gov\680\internal\OWM\Linda\Board\2016%20Board%20Meetings\May\Docs\www.ncwm.net\meetings" TargetMode="External"/><Relationship Id="rId3" Type="http://schemas.openxmlformats.org/officeDocument/2006/relationships/webSettings" Target="webSettings.xml"/><Relationship Id="rId21" Type="http://schemas.openxmlformats.org/officeDocument/2006/relationships/hyperlink" Target="http://www.ncwm.net/" TargetMode="External"/><Relationship Id="rId7" Type="http://schemas.openxmlformats.org/officeDocument/2006/relationships/hyperlink" Target="http://www.ncwm.net" TargetMode="Externa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hyperlink" Target="mailto:don.onwiler@ncwm.net" TargetMode="External"/><Relationship Id="rId1" Type="http://schemas.openxmlformats.org/officeDocument/2006/relationships/styles" Target="styles.xml"/><Relationship Id="rId6" Type="http://schemas.openxmlformats.org/officeDocument/2006/relationships/hyperlink" Target="mailto:info@ncwm.ne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ncwm.net/standards-development/idea" TargetMode="External"/><Relationship Id="rId4" Type="http://schemas.openxmlformats.org/officeDocument/2006/relationships/footnotes" Target="footnotes.xml"/><Relationship Id="rId9" Type="http://schemas.openxmlformats.org/officeDocument/2006/relationships/hyperlink" Target="http://www.ncwm.net/meetings/regions"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6</cp:revision>
  <dcterms:created xsi:type="dcterms:W3CDTF">2017-10-26T15:01:00Z</dcterms:created>
  <dcterms:modified xsi:type="dcterms:W3CDTF">2017-11-20T16:28:00Z</dcterms:modified>
</cp:coreProperties>
</file>