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2A597" w14:textId="77777777" w:rsidR="009A6DFF" w:rsidRDefault="00127F90" w:rsidP="005D75F1">
      <w:pPr>
        <w:spacing w:after="120"/>
        <w:jc w:val="center"/>
        <w:rPr>
          <w:b/>
          <w:sz w:val="36"/>
        </w:rPr>
      </w:pPr>
      <w:r>
        <w:rPr>
          <w:b/>
          <w:sz w:val="36"/>
        </w:rPr>
        <w:t xml:space="preserve">Frequently Asked </w:t>
      </w:r>
      <w:r w:rsidR="00CE2B83">
        <w:rPr>
          <w:b/>
          <w:sz w:val="36"/>
        </w:rPr>
        <w:t>Questions</w:t>
      </w:r>
      <w:r>
        <w:rPr>
          <w:b/>
          <w:sz w:val="36"/>
        </w:rPr>
        <w:t xml:space="preserve"> </w:t>
      </w:r>
    </w:p>
    <w:p w14:paraId="118770C9" w14:textId="77777777" w:rsidR="00C95175" w:rsidRDefault="009A6DFF" w:rsidP="005D75F1">
      <w:pPr>
        <w:spacing w:after="120"/>
        <w:jc w:val="center"/>
        <w:rPr>
          <w:b/>
          <w:sz w:val="36"/>
        </w:rPr>
      </w:pPr>
      <w:r>
        <w:rPr>
          <w:b/>
          <w:sz w:val="36"/>
        </w:rPr>
        <w:t>About</w:t>
      </w:r>
    </w:p>
    <w:p w14:paraId="13FE7888" w14:textId="77777777" w:rsidR="00127F90" w:rsidRDefault="00451030" w:rsidP="0080227F">
      <w:pPr>
        <w:jc w:val="center"/>
        <w:rPr>
          <w:b/>
          <w:sz w:val="36"/>
        </w:rPr>
      </w:pPr>
      <w:r>
        <w:rPr>
          <w:b/>
          <w:sz w:val="36"/>
        </w:rPr>
        <w:t xml:space="preserve">Commercial </w:t>
      </w:r>
      <w:r w:rsidR="00127F90">
        <w:rPr>
          <w:b/>
          <w:sz w:val="36"/>
        </w:rPr>
        <w:t xml:space="preserve">Hydrogen </w:t>
      </w:r>
      <w:r>
        <w:rPr>
          <w:b/>
          <w:sz w:val="36"/>
        </w:rPr>
        <w:t xml:space="preserve">Vehicle </w:t>
      </w:r>
      <w:r w:rsidR="0046594B">
        <w:rPr>
          <w:b/>
          <w:sz w:val="36"/>
        </w:rPr>
        <w:t>Ref</w:t>
      </w:r>
      <w:r w:rsidR="00127F90">
        <w:rPr>
          <w:b/>
          <w:sz w:val="36"/>
        </w:rPr>
        <w:t>uel</w:t>
      </w:r>
      <w:r w:rsidR="0046594B">
        <w:rPr>
          <w:b/>
          <w:sz w:val="36"/>
        </w:rPr>
        <w:t>ing</w:t>
      </w:r>
    </w:p>
    <w:p w14:paraId="2462C503" w14:textId="77777777" w:rsidR="00D047AF" w:rsidRDefault="00113026" w:rsidP="00113026">
      <w:pPr>
        <w:jc w:val="center"/>
      </w:pPr>
      <w:r w:rsidRPr="00BF5666">
        <w:rPr>
          <w:noProof/>
        </w:rPr>
        <w:drawing>
          <wp:inline distT="0" distB="0" distL="0" distR="0" wp14:anchorId="115F187A" wp14:editId="083AC688">
            <wp:extent cx="667062" cy="562610"/>
            <wp:effectExtent l="0" t="0" r="0" b="8890"/>
            <wp:docPr id="1" name="Picture 1" descr="Logo-DC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CH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094" cy="587096"/>
                    </a:xfrm>
                    <a:prstGeom prst="rect">
                      <a:avLst/>
                    </a:prstGeom>
                    <a:noFill/>
                    <a:ln>
                      <a:noFill/>
                    </a:ln>
                  </pic:spPr>
                </pic:pic>
              </a:graphicData>
            </a:graphic>
          </wp:inline>
        </w:drawing>
      </w:r>
    </w:p>
    <w:p w14:paraId="7C2CC221" w14:textId="77777777" w:rsidR="00315CD5" w:rsidRPr="008C3694" w:rsidRDefault="00315CD5" w:rsidP="0080227F">
      <w:pPr>
        <w:jc w:val="center"/>
        <w:rPr>
          <w:b/>
          <w:sz w:val="28"/>
          <w:u w:val="single"/>
        </w:rPr>
      </w:pPr>
      <w:r w:rsidRPr="008C3694">
        <w:rPr>
          <w:b/>
          <w:sz w:val="28"/>
          <w:u w:val="single"/>
        </w:rPr>
        <w:t>General</w:t>
      </w:r>
      <w:r w:rsidR="00B462B6" w:rsidRPr="008C3694">
        <w:rPr>
          <w:b/>
          <w:sz w:val="28"/>
          <w:u w:val="single"/>
        </w:rPr>
        <w:t xml:space="preserve"> Questions</w:t>
      </w:r>
    </w:p>
    <w:p w14:paraId="5C20551C" w14:textId="77777777" w:rsidR="00477A84" w:rsidRPr="00224971" w:rsidRDefault="00B70E73" w:rsidP="00B70E73">
      <w:pPr>
        <w:pStyle w:val="ListParagraph"/>
        <w:numPr>
          <w:ilvl w:val="0"/>
          <w:numId w:val="7"/>
        </w:numPr>
        <w:rPr>
          <w:b/>
        </w:rPr>
      </w:pPr>
      <w:r w:rsidRPr="00224971">
        <w:rPr>
          <w:b/>
        </w:rPr>
        <w:t xml:space="preserve">Why </w:t>
      </w:r>
      <w:r w:rsidR="005B75BC">
        <w:rPr>
          <w:b/>
        </w:rPr>
        <w:t>is</w:t>
      </w:r>
      <w:r w:rsidR="005B75BC" w:rsidRPr="00224971">
        <w:rPr>
          <w:b/>
        </w:rPr>
        <w:t xml:space="preserve"> </w:t>
      </w:r>
      <w:r w:rsidRPr="00224971">
        <w:rPr>
          <w:b/>
        </w:rPr>
        <w:t xml:space="preserve">the U.S. </w:t>
      </w:r>
      <w:r w:rsidR="00C14C94">
        <w:rPr>
          <w:b/>
        </w:rPr>
        <w:t xml:space="preserve">continuing to </w:t>
      </w:r>
      <w:r w:rsidR="00224971" w:rsidRPr="00224971">
        <w:rPr>
          <w:b/>
        </w:rPr>
        <w:t xml:space="preserve">develop </w:t>
      </w:r>
      <w:r w:rsidR="00A359A6">
        <w:rPr>
          <w:b/>
        </w:rPr>
        <w:t xml:space="preserve">hydrogen fuel </w:t>
      </w:r>
      <w:r w:rsidR="003F17AD">
        <w:rPr>
          <w:b/>
        </w:rPr>
        <w:t>cell</w:t>
      </w:r>
      <w:r w:rsidR="00215AF2">
        <w:rPr>
          <w:b/>
        </w:rPr>
        <w:t xml:space="preserve"> vehicle</w:t>
      </w:r>
      <w:r w:rsidR="003F17AD">
        <w:rPr>
          <w:b/>
        </w:rPr>
        <w:t xml:space="preserve"> </w:t>
      </w:r>
      <w:r w:rsidR="00224971" w:rsidRPr="00224971">
        <w:rPr>
          <w:b/>
        </w:rPr>
        <w:t>technology</w:t>
      </w:r>
      <w:r w:rsidRPr="00224971">
        <w:rPr>
          <w:b/>
        </w:rPr>
        <w:t xml:space="preserve">? </w:t>
      </w:r>
    </w:p>
    <w:p w14:paraId="5F6E0D61" w14:textId="77777777" w:rsidR="008704F1" w:rsidRDefault="00A359A6" w:rsidP="00477A84">
      <w:pPr>
        <w:pStyle w:val="ListParagraph"/>
      </w:pPr>
      <w:r>
        <w:t>U.S. industr</w:t>
      </w:r>
      <w:r w:rsidR="008522FA">
        <w:t>ies</w:t>
      </w:r>
      <w:r>
        <w:t xml:space="preserve"> and government </w:t>
      </w:r>
      <w:r w:rsidR="008522FA">
        <w:t xml:space="preserve">are at the forefront of </w:t>
      </w:r>
      <w:r>
        <w:t>research and development of hydrogen</w:t>
      </w:r>
      <w:r w:rsidR="00AB4FA1">
        <w:t xml:space="preserve"> and</w:t>
      </w:r>
      <w:r>
        <w:t xml:space="preserve"> </w:t>
      </w:r>
      <w:r w:rsidR="00215AF2">
        <w:t xml:space="preserve">fuel cell </w:t>
      </w:r>
      <w:r>
        <w:t>technology to power vehicles, homes, businesses</w:t>
      </w:r>
      <w:r w:rsidR="00215AF2">
        <w:t>, and remote equipment such as cell phone towers</w:t>
      </w:r>
      <w:r>
        <w:t>.  The goals of</w:t>
      </w:r>
      <w:r w:rsidR="0075245B">
        <w:t xml:space="preserve"> this effort were to lessen </w:t>
      </w:r>
      <w:r>
        <w:t xml:space="preserve">U.S. dependence on foreign oil and </w:t>
      </w:r>
      <w:r w:rsidR="00215AF2">
        <w:t>advance</w:t>
      </w:r>
      <w:r>
        <w:t xml:space="preserve"> an environmentally clean, safe, and reliable </w:t>
      </w:r>
      <w:r w:rsidR="00215AF2">
        <w:t>energy</w:t>
      </w:r>
      <w:r w:rsidR="003F17AD">
        <w:t xml:space="preserve"> </w:t>
      </w:r>
      <w:r w:rsidR="008522FA">
        <w:t>agenda</w:t>
      </w:r>
      <w:r>
        <w:t>.</w:t>
      </w:r>
      <w:r w:rsidR="00FD7E6B">
        <w:t xml:space="preserve">  </w:t>
      </w:r>
      <w:r>
        <w:t xml:space="preserve">Hydrogen is one of </w:t>
      </w:r>
      <w:r w:rsidR="008522FA">
        <w:t xml:space="preserve">many </w:t>
      </w:r>
      <w:r>
        <w:t>alternative fuels</w:t>
      </w:r>
      <w:r w:rsidR="00215AF2">
        <w:t xml:space="preserve"> being explored.  When hydrogen is </w:t>
      </w:r>
      <w:r w:rsidR="00B96838">
        <w:t xml:space="preserve">used to power a </w:t>
      </w:r>
      <w:r w:rsidR="00460B98">
        <w:t xml:space="preserve">hydrogen </w:t>
      </w:r>
      <w:r w:rsidR="00B96838">
        <w:t>fuel cell</w:t>
      </w:r>
      <w:r w:rsidR="00215AF2">
        <w:t xml:space="preserve"> </w:t>
      </w:r>
      <w:r w:rsidR="00D16DF5">
        <w:t xml:space="preserve">electric </w:t>
      </w:r>
      <w:r w:rsidR="00215AF2">
        <w:t>vehicle</w:t>
      </w:r>
      <w:r w:rsidR="008B2392">
        <w:t xml:space="preserve"> (HFCEV)</w:t>
      </w:r>
      <w:r w:rsidR="00215AF2">
        <w:t>, it</w:t>
      </w:r>
      <w:r w:rsidR="00B96838">
        <w:t xml:space="preserve"> offers one possible </w:t>
      </w:r>
      <w:r w:rsidR="00215AF2">
        <w:t>solution</w:t>
      </w:r>
      <w:r w:rsidR="00B96838">
        <w:t xml:space="preserve"> to meet</w:t>
      </w:r>
      <w:r w:rsidR="00215AF2">
        <w:t>ing</w:t>
      </w:r>
      <w:r w:rsidR="00B96838">
        <w:t xml:space="preserve"> </w:t>
      </w:r>
      <w:r w:rsidR="00215AF2">
        <w:t>some of the growing</w:t>
      </w:r>
      <w:r w:rsidR="00AB4FA1">
        <w:t xml:space="preserve"> </w:t>
      </w:r>
      <w:r w:rsidR="00215AF2">
        <w:t>demand in the U.S.</w:t>
      </w:r>
      <w:r w:rsidR="00AB4FA1">
        <w:t>A.</w:t>
      </w:r>
      <w:r w:rsidR="00215AF2">
        <w:t xml:space="preserve"> for </w:t>
      </w:r>
      <w:r w:rsidR="00AB4FA1">
        <w:t xml:space="preserve">a reliable supply of </w:t>
      </w:r>
      <w:r w:rsidR="00215AF2">
        <w:t>clean</w:t>
      </w:r>
      <w:r w:rsidR="00AB4FA1">
        <w:t xml:space="preserve"> and</w:t>
      </w:r>
      <w:r w:rsidR="00215AF2">
        <w:t xml:space="preserve"> </w:t>
      </w:r>
      <w:r w:rsidR="00E52985">
        <w:t xml:space="preserve">sustainable </w:t>
      </w:r>
      <w:r w:rsidR="00215AF2">
        <w:t>energy</w:t>
      </w:r>
      <w:r>
        <w:t>.</w:t>
      </w:r>
    </w:p>
    <w:p w14:paraId="1C0425E5" w14:textId="77777777" w:rsidR="00215AF2" w:rsidRDefault="00215AF2" w:rsidP="00477A84">
      <w:pPr>
        <w:pStyle w:val="ListParagraph"/>
      </w:pPr>
    </w:p>
    <w:p w14:paraId="662E8BFE" w14:textId="77777777" w:rsidR="00215AF2" w:rsidRDefault="00FA4BE3" w:rsidP="00477A84">
      <w:pPr>
        <w:pStyle w:val="ListParagraph"/>
      </w:pPr>
      <w:r>
        <w:t>Hydrogen is</w:t>
      </w:r>
      <w:r w:rsidR="00215AF2">
        <w:t xml:space="preserve"> </w:t>
      </w:r>
      <w:r w:rsidR="00D16DF5">
        <w:t xml:space="preserve">considered the ultimate </w:t>
      </w:r>
      <w:r w:rsidR="00215AF2">
        <w:t>clean vehicle fuel.</w:t>
      </w:r>
      <w:r>
        <w:t xml:space="preserve"> </w:t>
      </w:r>
      <w:r w:rsidRPr="00FA4BE3">
        <w:t xml:space="preserve"> </w:t>
      </w:r>
      <w:r w:rsidR="00460B98">
        <w:t xml:space="preserve">The only </w:t>
      </w:r>
      <w:r w:rsidR="00AB4FA1">
        <w:t xml:space="preserve">emissions from a </w:t>
      </w:r>
      <w:r w:rsidR="008B2392">
        <w:t>H</w:t>
      </w:r>
      <w:r w:rsidR="00AB4FA1">
        <w:t>FC</w:t>
      </w:r>
      <w:r w:rsidR="00D16DF5">
        <w:t>E</w:t>
      </w:r>
      <w:r w:rsidR="00AB4FA1">
        <w:t>V</w:t>
      </w:r>
      <w:r w:rsidR="00D16DF5">
        <w:t xml:space="preserve"> </w:t>
      </w:r>
      <w:r w:rsidR="00AB4FA1">
        <w:t>are</w:t>
      </w:r>
      <w:r>
        <w:t xml:space="preserve"> </w:t>
      </w:r>
      <w:r w:rsidR="00AB4FA1">
        <w:t xml:space="preserve">heat and </w:t>
      </w:r>
      <w:r>
        <w:t>clean water</w:t>
      </w:r>
      <w:r w:rsidR="00460B98">
        <w:t>,</w:t>
      </w:r>
      <w:r>
        <w:t xml:space="preserve"> </w:t>
      </w:r>
      <w:r w:rsidR="008522FA">
        <w:t xml:space="preserve">which makes </w:t>
      </w:r>
      <w:r>
        <w:t xml:space="preserve">hydrogen a fuel that can help to protect the environment and keep our air cleaner.  </w:t>
      </w:r>
      <w:r w:rsidR="00D16DF5">
        <w:t>H</w:t>
      </w:r>
      <w:r>
        <w:t xml:space="preserve">ydrogen gas is </w:t>
      </w:r>
      <w:r w:rsidR="00811361">
        <w:t>14.4 times lighter than air</w:t>
      </w:r>
      <w:r>
        <w:t xml:space="preserve"> and dissipate</w:t>
      </w:r>
      <w:r w:rsidR="008522FA">
        <w:t>s</w:t>
      </w:r>
      <w:r>
        <w:t xml:space="preserve"> rapidly and harmlessly </w:t>
      </w:r>
      <w:r w:rsidR="00AB4FA1">
        <w:t>if</w:t>
      </w:r>
      <w:r>
        <w:t xml:space="preserve"> released into the air.  </w:t>
      </w:r>
    </w:p>
    <w:p w14:paraId="22BD8C42" w14:textId="77777777" w:rsidR="00215AF2" w:rsidRDefault="00215AF2" w:rsidP="00477A84">
      <w:pPr>
        <w:pStyle w:val="ListParagraph"/>
      </w:pPr>
    </w:p>
    <w:p w14:paraId="5CBA728D" w14:textId="77777777" w:rsidR="00DF4B0C" w:rsidRDefault="00DF4B0C" w:rsidP="00C163BA">
      <w:pPr>
        <w:pStyle w:val="ListParagraph"/>
      </w:pPr>
      <w:r>
        <w:t>Hydrogen has higher energy content by weight than other fuels</w:t>
      </w:r>
      <w:r w:rsidR="00930757">
        <w:t>, but lower energy content by volume</w:t>
      </w:r>
      <w:r>
        <w:t>.  This means that</w:t>
      </w:r>
      <w:r w:rsidR="00930757">
        <w:t xml:space="preserve"> </w:t>
      </w:r>
      <w:r w:rsidR="003E133D">
        <w:t xml:space="preserve">sufficient quantities of </w:t>
      </w:r>
      <w:r w:rsidR="00930757">
        <w:t>hydrogen stored in liquid or compressed gaseous form onboard a</w:t>
      </w:r>
      <w:r>
        <w:t xml:space="preserve"> </w:t>
      </w:r>
      <w:r w:rsidR="008B2392">
        <w:t>H</w:t>
      </w:r>
      <w:r w:rsidR="00460B98">
        <w:t>FC</w:t>
      </w:r>
      <w:r w:rsidR="00811361">
        <w:t>E</w:t>
      </w:r>
      <w:r w:rsidR="00460B98">
        <w:t>V</w:t>
      </w:r>
      <w:r>
        <w:t xml:space="preserve"> can </w:t>
      </w:r>
      <w:r w:rsidR="00930757">
        <w:t>provide</w:t>
      </w:r>
      <w:r>
        <w:t xml:space="preserve"> </w:t>
      </w:r>
      <w:r w:rsidR="002A46C9">
        <w:t xml:space="preserve">a </w:t>
      </w:r>
      <w:r w:rsidR="00930757">
        <w:t xml:space="preserve">comparable </w:t>
      </w:r>
      <w:r w:rsidR="002A46C9">
        <w:t xml:space="preserve">driving </w:t>
      </w:r>
      <w:r>
        <w:t>range</w:t>
      </w:r>
      <w:r w:rsidR="002A46C9">
        <w:t xml:space="preserve"> </w:t>
      </w:r>
      <w:r w:rsidR="00930757">
        <w:t>to conventional gasoline-powered vehicles</w:t>
      </w:r>
      <w:r w:rsidR="002A46C9">
        <w:t>.</w:t>
      </w:r>
      <w:r w:rsidRPr="00DF4B0C">
        <w:t xml:space="preserve"> </w:t>
      </w:r>
      <w:r>
        <w:t xml:space="preserve"> Fuel cells are lighter in weight than</w:t>
      </w:r>
      <w:r w:rsidR="002A46C9">
        <w:t xml:space="preserve"> </w:t>
      </w:r>
      <w:r>
        <w:t>batter</w:t>
      </w:r>
      <w:r w:rsidR="008522FA">
        <w:t>ies</w:t>
      </w:r>
      <w:r>
        <w:t xml:space="preserve"> used in plug-in electric vehicles, also making </w:t>
      </w:r>
      <w:r w:rsidR="007B26CB">
        <w:t xml:space="preserve">hydrogen fuel cell vehicles </w:t>
      </w:r>
      <w:r>
        <w:t xml:space="preserve">lighter and more </w:t>
      </w:r>
      <w:r w:rsidR="00D03848">
        <w:t>suited to long-range applications than battery electric vehicles</w:t>
      </w:r>
      <w:r>
        <w:t>.</w:t>
      </w:r>
      <w:r w:rsidR="00930757">
        <w:t xml:space="preserve"> In addition, FCEVs can be </w:t>
      </w:r>
      <w:r w:rsidR="001B7EFD">
        <w:t xml:space="preserve">fully </w:t>
      </w:r>
      <w:r w:rsidR="00930757">
        <w:t>refueled in under 5</w:t>
      </w:r>
      <w:r w:rsidR="009E301E">
        <w:t> </w:t>
      </w:r>
      <w:r w:rsidR="00930757">
        <w:t xml:space="preserve">minutes at a hydrogen fueling station, compared to </w:t>
      </w:r>
      <w:r w:rsidR="006C6581">
        <w:t xml:space="preserve">the </w:t>
      </w:r>
      <w:r w:rsidR="00413047">
        <w:t>3</w:t>
      </w:r>
      <w:r w:rsidR="00952722">
        <w:t xml:space="preserve"> hours to more than </w:t>
      </w:r>
      <w:r w:rsidR="006C6581">
        <w:t>20</w:t>
      </w:r>
      <w:r w:rsidR="001B7EFD">
        <w:t xml:space="preserve"> </w:t>
      </w:r>
      <w:r w:rsidR="006C6581">
        <w:t>hours it takes to recharge battery electric vehicles.</w:t>
      </w:r>
      <w:r>
        <w:t xml:space="preserve">  </w:t>
      </w:r>
      <w:r w:rsidR="003E133D">
        <w:t xml:space="preserve">Charge time is dependent on the type of </w:t>
      </w:r>
      <w:r w:rsidR="00413047">
        <w:t xml:space="preserve">battery </w:t>
      </w:r>
      <w:r w:rsidR="003E133D">
        <w:t>electric vehicle</w:t>
      </w:r>
      <w:r w:rsidR="00C163BA">
        <w:t xml:space="preserve"> and the</w:t>
      </w:r>
      <w:r w:rsidR="00413047">
        <w:t xml:space="preserve"> </w:t>
      </w:r>
      <w:r w:rsidR="00C163BA">
        <w:t xml:space="preserve">type of </w:t>
      </w:r>
      <w:r w:rsidR="001B7EFD">
        <w:t>electric vehicle service equipment.</w:t>
      </w:r>
    </w:p>
    <w:p w14:paraId="77C97C5C" w14:textId="77777777" w:rsidR="00DF4B0C" w:rsidRDefault="00DF4B0C" w:rsidP="00DF4B0C">
      <w:pPr>
        <w:pStyle w:val="ListParagraph"/>
      </w:pPr>
    </w:p>
    <w:p w14:paraId="07B4E045" w14:textId="77777777" w:rsidR="00215AF2" w:rsidRDefault="00DF4B0C" w:rsidP="00477A84">
      <w:pPr>
        <w:pStyle w:val="ListParagraph"/>
      </w:pPr>
      <w:r>
        <w:t xml:space="preserve">Hydrogen can be produced using renewable energy sources such as </w:t>
      </w:r>
      <w:r w:rsidR="008522FA">
        <w:t xml:space="preserve">the </w:t>
      </w:r>
      <w:r>
        <w:t xml:space="preserve">wind or </w:t>
      </w:r>
      <w:r w:rsidR="008522FA">
        <w:t>sun</w:t>
      </w:r>
      <w:r>
        <w:t xml:space="preserve">.  Renewable energy technology is an attractive investment because the return on investment is enduring and is </w:t>
      </w:r>
      <w:r w:rsidR="008522FA">
        <w:t>un</w:t>
      </w:r>
      <w:r>
        <w:t>bounded by a finite pool of natural resources that must first be located, then extracted and refined, an</w:t>
      </w:r>
      <w:r w:rsidR="002A46C9">
        <w:t>d eventually depleted</w:t>
      </w:r>
      <w:r w:rsidR="00215AF2">
        <w:t>.</w:t>
      </w:r>
    </w:p>
    <w:p w14:paraId="410C5A82" w14:textId="77777777" w:rsidR="00DF4B0C" w:rsidRDefault="00DF4B0C" w:rsidP="00477A84">
      <w:pPr>
        <w:pStyle w:val="ListParagraph"/>
      </w:pPr>
    </w:p>
    <w:p w14:paraId="11F903D9" w14:textId="77777777" w:rsidR="00682FD1" w:rsidRDefault="00B96838" w:rsidP="00053ED4">
      <w:pPr>
        <w:pStyle w:val="ListParagraph"/>
      </w:pPr>
      <w:r>
        <w:t xml:space="preserve">The most common methods used to produce hydrogen </w:t>
      </w:r>
      <w:r w:rsidR="00DF4B0C">
        <w:t xml:space="preserve">today </w:t>
      </w:r>
      <w:r>
        <w:t xml:space="preserve">rely on </w:t>
      </w:r>
      <w:r w:rsidR="002A46C9">
        <w:t>resources</w:t>
      </w:r>
      <w:r>
        <w:t xml:space="preserve"> that are readily available in the </w:t>
      </w:r>
      <w:r w:rsidR="008522FA">
        <w:t>United States</w:t>
      </w:r>
      <w:r w:rsidR="001A5F10">
        <w:t>;</w:t>
      </w:r>
      <w:r>
        <w:t xml:space="preserve"> for example, electrolysis of water and steam reformation of natural gas.  </w:t>
      </w:r>
      <w:r w:rsidR="00224971">
        <w:t>As such,</w:t>
      </w:r>
      <w:r w:rsidR="00053182">
        <w:t xml:space="preserve"> hydrogen can be produced regionally in ways that meet the economic and social goals of each region. F</w:t>
      </w:r>
      <w:r w:rsidR="00224971">
        <w:t xml:space="preserve">actors </w:t>
      </w:r>
      <w:r w:rsidR="00053182">
        <w:t>to consider include the available feedstocks or energy resources</w:t>
      </w:r>
      <w:r w:rsidR="001A5F10">
        <w:t xml:space="preserve"> used to produce the supply of hydrogen</w:t>
      </w:r>
      <w:r w:rsidR="00053182">
        <w:t>,</w:t>
      </w:r>
      <w:r w:rsidR="00224971">
        <w:t xml:space="preserve"> the energy efficiency of th</w:t>
      </w:r>
      <w:r w:rsidR="00AE3E36">
        <w:t>os</w:t>
      </w:r>
      <w:r w:rsidR="00224971">
        <w:t>e</w:t>
      </w:r>
      <w:r w:rsidR="00412209">
        <w:t xml:space="preserve"> </w:t>
      </w:r>
      <w:r w:rsidR="00682FD1">
        <w:t>method</w:t>
      </w:r>
      <w:r w:rsidR="00B41FF3">
        <w:t>s</w:t>
      </w:r>
      <w:r w:rsidR="00412209">
        <w:t xml:space="preserve"> </w:t>
      </w:r>
      <w:r w:rsidR="00224971">
        <w:t xml:space="preserve">used </w:t>
      </w:r>
      <w:r w:rsidR="00412209">
        <w:t xml:space="preserve">to produce </w:t>
      </w:r>
      <w:r w:rsidR="00B41FF3">
        <w:t>the hydrogen; the</w:t>
      </w:r>
      <w:r w:rsidR="00224971">
        <w:t xml:space="preserve"> infrastructure in place to </w:t>
      </w:r>
      <w:r w:rsidR="00B41FF3">
        <w:t>transport</w:t>
      </w:r>
      <w:r w:rsidR="00224971">
        <w:t xml:space="preserve">, distribute, </w:t>
      </w:r>
      <w:r w:rsidR="00A359A6">
        <w:t>deliver</w:t>
      </w:r>
      <w:r w:rsidR="002A46C9">
        <w:t>, and store</w:t>
      </w:r>
      <w:r w:rsidR="00A359A6">
        <w:t xml:space="preserve"> </w:t>
      </w:r>
      <w:r w:rsidR="00682FD1">
        <w:t xml:space="preserve">the </w:t>
      </w:r>
      <w:r w:rsidR="00BA6C39">
        <w:t>hydrogen</w:t>
      </w:r>
      <w:r w:rsidR="00B41FF3">
        <w:t xml:space="preserve">; and the efficiency of the </w:t>
      </w:r>
      <w:r w:rsidR="00BA6C39">
        <w:t xml:space="preserve">energy conversion devices </w:t>
      </w:r>
      <w:r w:rsidR="00B41FF3">
        <w:t xml:space="preserve">in converting the </w:t>
      </w:r>
      <w:r w:rsidR="00BA6C39">
        <w:t xml:space="preserve">hydrogen </w:t>
      </w:r>
      <w:r w:rsidR="00B41FF3">
        <w:t xml:space="preserve">into </w:t>
      </w:r>
      <w:r w:rsidR="00BA6C39">
        <w:t>work, such as propelling a vehicle</w:t>
      </w:r>
      <w:r w:rsidR="00682FD1">
        <w:t xml:space="preserve">.  </w:t>
      </w:r>
      <w:r w:rsidR="00CE2B83">
        <w:t xml:space="preserve"> Every advance in technology that reduces the cost </w:t>
      </w:r>
      <w:r w:rsidR="00FD7E6B">
        <w:t xml:space="preserve">or </w:t>
      </w:r>
      <w:r w:rsidR="00FD7E6B">
        <w:lastRenderedPageBreak/>
        <w:t xml:space="preserve">improves the </w:t>
      </w:r>
      <w:r w:rsidR="002A46C9">
        <w:t xml:space="preserve">efficiency </w:t>
      </w:r>
      <w:r w:rsidR="00FD7E6B">
        <w:t>of</w:t>
      </w:r>
      <w:r w:rsidR="00CE2B83">
        <w:t xml:space="preserve"> </w:t>
      </w:r>
      <w:r w:rsidR="003F17AD">
        <w:t xml:space="preserve">these components </w:t>
      </w:r>
      <w:r w:rsidR="00CE2B83">
        <w:t>is a permanent cost</w:t>
      </w:r>
      <w:r w:rsidR="008522FA">
        <w:t>-</w:t>
      </w:r>
      <w:r w:rsidR="00CE2B83">
        <w:t>savings</w:t>
      </w:r>
      <w:r w:rsidR="00FD7E6B">
        <w:t xml:space="preserve"> improvement</w:t>
      </w:r>
      <w:r w:rsidR="00CE2B83">
        <w:t>.</w:t>
      </w:r>
      <w:r w:rsidR="00C00E49">
        <w:t xml:space="preserve">  </w:t>
      </w:r>
      <w:r w:rsidR="00682FD1">
        <w:t>Th</w:t>
      </w:r>
      <w:r w:rsidR="00545DA2">
        <w:t>e</w:t>
      </w:r>
      <w:r w:rsidR="00FD7E6B">
        <w:t xml:space="preserve"> advances </w:t>
      </w:r>
      <w:r w:rsidR="008522FA">
        <w:t>with</w:t>
      </w:r>
      <w:r w:rsidR="00FD7E6B">
        <w:t xml:space="preserve">in </w:t>
      </w:r>
      <w:r w:rsidR="008B2392">
        <w:t xml:space="preserve">the </w:t>
      </w:r>
      <w:r w:rsidR="002A46C9">
        <w:t>hydrogen and fuel cell</w:t>
      </w:r>
      <w:r w:rsidR="00FD7E6B">
        <w:t xml:space="preserve"> </w:t>
      </w:r>
      <w:r w:rsidR="008522FA">
        <w:t xml:space="preserve">industry </w:t>
      </w:r>
      <w:r w:rsidR="00FD7E6B">
        <w:t>today</w:t>
      </w:r>
      <w:r w:rsidR="00682FD1">
        <w:t xml:space="preserve"> </w:t>
      </w:r>
      <w:r w:rsidR="00460B98">
        <w:t xml:space="preserve">are </w:t>
      </w:r>
      <w:r w:rsidR="002A46C9">
        <w:t>part of a major effort to make</w:t>
      </w:r>
      <w:r w:rsidR="00682FD1">
        <w:t xml:space="preserve"> hydrogen a viable</w:t>
      </w:r>
      <w:r w:rsidR="00460B98">
        <w:t xml:space="preserve"> </w:t>
      </w:r>
      <w:r w:rsidR="00E8528C">
        <w:t>step</w:t>
      </w:r>
      <w:r w:rsidR="00682FD1">
        <w:t xml:space="preserve"> toward</w:t>
      </w:r>
      <w:r w:rsidR="00E8528C">
        <w:t>s American</w:t>
      </w:r>
      <w:r w:rsidR="00682FD1">
        <w:t xml:space="preserve"> independence from foreign energy imports.</w:t>
      </w:r>
      <w:r w:rsidR="00C00E49">
        <w:t xml:space="preserve">  </w:t>
      </w:r>
    </w:p>
    <w:p w14:paraId="19154E69" w14:textId="77777777" w:rsidR="0097449F" w:rsidRPr="00053ED4" w:rsidRDefault="0097449F" w:rsidP="00477A84">
      <w:pPr>
        <w:pStyle w:val="ListParagraph"/>
        <w:rPr>
          <w:b/>
        </w:rPr>
      </w:pPr>
    </w:p>
    <w:p w14:paraId="616DDCEC" w14:textId="77777777" w:rsidR="00450429" w:rsidRDefault="00DC444D" w:rsidP="00F67E63">
      <w:pPr>
        <w:pStyle w:val="ListParagraph"/>
        <w:numPr>
          <w:ilvl w:val="0"/>
          <w:numId w:val="7"/>
        </w:numPr>
      </w:pPr>
      <w:r w:rsidRPr="00DC444D">
        <w:rPr>
          <w:b/>
        </w:rPr>
        <w:t xml:space="preserve">What is different about driving a fuel cell </w:t>
      </w:r>
      <w:r w:rsidR="00BA6C39">
        <w:rPr>
          <w:b/>
        </w:rPr>
        <w:t xml:space="preserve">electric </w:t>
      </w:r>
      <w:r w:rsidRPr="00DC444D">
        <w:rPr>
          <w:b/>
        </w:rPr>
        <w:t>vehicle</w:t>
      </w:r>
      <w:r w:rsidR="006F5139">
        <w:rPr>
          <w:b/>
        </w:rPr>
        <w:t xml:space="preserve"> (FC</w:t>
      </w:r>
      <w:r w:rsidR="00BA6C39">
        <w:rPr>
          <w:b/>
        </w:rPr>
        <w:t>E</w:t>
      </w:r>
      <w:r w:rsidR="006F5139">
        <w:rPr>
          <w:b/>
        </w:rPr>
        <w:t>V)</w:t>
      </w:r>
      <w:r w:rsidRPr="00DC444D">
        <w:rPr>
          <w:b/>
        </w:rPr>
        <w:t>?</w:t>
      </w:r>
      <w:r w:rsidRPr="00DC444D">
        <w:t xml:space="preserve"> </w:t>
      </w:r>
      <w:r>
        <w:br/>
      </w:r>
      <w:r w:rsidR="00F62333">
        <w:t xml:space="preserve">Hydrogen fuel cell vehicles </w:t>
      </w:r>
      <w:r w:rsidR="001A5912">
        <w:t xml:space="preserve">(HFCV) </w:t>
      </w:r>
      <w:r w:rsidR="00894BD3">
        <w:t>a</w:t>
      </w:r>
      <w:r w:rsidR="00F62333">
        <w:t xml:space="preserve">re designed </w:t>
      </w:r>
      <w:r w:rsidR="00E8528C">
        <w:t xml:space="preserve">to replicate the experience of </w:t>
      </w:r>
      <w:r w:rsidR="00F62333">
        <w:t xml:space="preserve">operating a gasoline powered vehicle.  </w:t>
      </w:r>
      <w:r w:rsidR="00460B98">
        <w:t>FC</w:t>
      </w:r>
      <w:r w:rsidR="00894BD3">
        <w:t>E</w:t>
      </w:r>
      <w:r w:rsidR="00460B98">
        <w:t>Vs</w:t>
      </w:r>
      <w:r w:rsidR="00820835">
        <w:t xml:space="preserve"> </w:t>
      </w:r>
      <w:r w:rsidR="00894BD3">
        <w:t xml:space="preserve">are designed </w:t>
      </w:r>
      <w:r w:rsidR="00820835">
        <w:t xml:space="preserve">to have similar </w:t>
      </w:r>
      <w:r w:rsidR="00E8528C">
        <w:t>response times</w:t>
      </w:r>
      <w:r w:rsidR="00820835">
        <w:t xml:space="preserve">, speed, and acceleration </w:t>
      </w:r>
      <w:r w:rsidR="006F5139">
        <w:t xml:space="preserve">as </w:t>
      </w:r>
      <w:r w:rsidR="000F3BA3">
        <w:t xml:space="preserve">vehicles with </w:t>
      </w:r>
      <w:r w:rsidR="00820835">
        <w:t>gasoline powered engines</w:t>
      </w:r>
      <w:r w:rsidR="00894BD3">
        <w:t>, and are smoother and quieter than vehicles using internal combustion engines</w:t>
      </w:r>
      <w:r w:rsidR="00820835">
        <w:t>.</w:t>
      </w:r>
      <w:r w:rsidR="00BC4127">
        <w:t xml:space="preserve">  </w:t>
      </w:r>
      <w:r w:rsidR="008D3CC6">
        <w:t xml:space="preserve">However, the exhaust and </w:t>
      </w:r>
      <w:r w:rsidR="009A6DFF">
        <w:t>refueling connection</w:t>
      </w:r>
      <w:r w:rsidR="008D3CC6">
        <w:t xml:space="preserve"> differ</w:t>
      </w:r>
      <w:r w:rsidR="009A6DFF">
        <w:t xml:space="preserve"> from a gasoline powered vehicle</w:t>
      </w:r>
      <w:r w:rsidR="008D3CC6">
        <w:t xml:space="preserve">.  The </w:t>
      </w:r>
      <w:r w:rsidR="00962016">
        <w:t xml:space="preserve">exhaust </w:t>
      </w:r>
      <w:r w:rsidR="008D3CC6">
        <w:t>from</w:t>
      </w:r>
      <w:r w:rsidR="006F5139">
        <w:t xml:space="preserve"> a </w:t>
      </w:r>
      <w:r w:rsidR="001A5912">
        <w:t xml:space="preserve">HFCV </w:t>
      </w:r>
      <w:r w:rsidR="008D3CC6">
        <w:t xml:space="preserve">is clean water and heat rather than air pollutants and </w:t>
      </w:r>
      <w:r w:rsidR="009527C0">
        <w:t>greenhouse</w:t>
      </w:r>
      <w:r w:rsidR="008D3CC6">
        <w:t xml:space="preserve"> gases.  </w:t>
      </w:r>
      <w:r w:rsidR="00BC4127">
        <w:t xml:space="preserve">Because the hydrogen fuel cell </w:t>
      </w:r>
      <w:r w:rsidR="000549AB">
        <w:t xml:space="preserve">powers </w:t>
      </w:r>
      <w:r w:rsidR="007B0268">
        <w:t>an electric</w:t>
      </w:r>
      <w:r w:rsidR="000549AB">
        <w:t xml:space="preserve"> drive motor to power the vehicle drive train,</w:t>
      </w:r>
      <w:r w:rsidR="00BC4127">
        <w:t xml:space="preserve"> a </w:t>
      </w:r>
      <w:r w:rsidR="001A5912">
        <w:t>HFCV</w:t>
      </w:r>
      <w:r w:rsidR="00BC4127">
        <w:t xml:space="preserve"> i</w:t>
      </w:r>
      <w:r w:rsidR="009F7837">
        <w:t>s much quieter than a vehicle with an internal combustion engine.</w:t>
      </w:r>
      <w:r w:rsidR="00F80340">
        <w:t xml:space="preserve">  </w:t>
      </w:r>
      <w:r w:rsidR="001A5912">
        <w:t>HFCVs</w:t>
      </w:r>
      <w:r w:rsidR="00820835">
        <w:t xml:space="preserve"> have</w:t>
      </w:r>
      <w:r w:rsidR="008D3CC6">
        <w:t xml:space="preserve"> </w:t>
      </w:r>
      <w:r w:rsidR="00E8528C">
        <w:t>a</w:t>
      </w:r>
      <w:r w:rsidR="00820835">
        <w:t xml:space="preserve"> </w:t>
      </w:r>
      <w:r w:rsidR="008D3CC6">
        <w:t xml:space="preserve">driving </w:t>
      </w:r>
      <w:r w:rsidR="00820835">
        <w:t>range</w:t>
      </w:r>
      <w:r w:rsidR="00E8528C">
        <w:t xml:space="preserve"> of approximately</w:t>
      </w:r>
      <w:r w:rsidR="00C50ACC">
        <w:t xml:space="preserve"> </w:t>
      </w:r>
      <w:r w:rsidR="00952722">
        <w:t xml:space="preserve">480 </w:t>
      </w:r>
      <w:r w:rsidR="005C10C6">
        <w:t>kilometer</w:t>
      </w:r>
      <w:r w:rsidR="00253FDF">
        <w:t>s</w:t>
      </w:r>
      <w:r w:rsidR="005C10C6">
        <w:t xml:space="preserve"> (</w:t>
      </w:r>
      <w:r w:rsidR="00952722">
        <w:t>km</w:t>
      </w:r>
      <w:r w:rsidR="005C10C6">
        <w:t>)</w:t>
      </w:r>
      <w:r w:rsidR="00952722">
        <w:t xml:space="preserve"> (</w:t>
      </w:r>
      <w:r w:rsidR="009F7837">
        <w:t>3</w:t>
      </w:r>
      <w:r w:rsidR="00820835">
        <w:t>00 miles</w:t>
      </w:r>
      <w:r w:rsidR="00952722">
        <w:t>)</w:t>
      </w:r>
      <w:r w:rsidR="00820835">
        <w:t xml:space="preserve"> </w:t>
      </w:r>
      <w:r w:rsidR="00E8528C">
        <w:t xml:space="preserve">using </w:t>
      </w:r>
      <w:r w:rsidR="00820835">
        <w:t xml:space="preserve">a single </w:t>
      </w:r>
      <w:r w:rsidR="008D3CC6">
        <w:t>tank of hydrogen fuel</w:t>
      </w:r>
      <w:r w:rsidR="00820835">
        <w:t>.</w:t>
      </w:r>
      <w:r w:rsidR="009F7837">
        <w:t xml:space="preserve">  Some </w:t>
      </w:r>
      <w:r w:rsidR="001A5912">
        <w:t xml:space="preserve">HFCVs </w:t>
      </w:r>
      <w:r w:rsidR="009F7837">
        <w:t xml:space="preserve">have achieved </w:t>
      </w:r>
      <w:r w:rsidR="00E8528C">
        <w:t>an impressive</w:t>
      </w:r>
      <w:r w:rsidR="009F7837">
        <w:t xml:space="preserve"> </w:t>
      </w:r>
      <w:r w:rsidR="00952722">
        <w:t>800 km (</w:t>
      </w:r>
      <w:r w:rsidR="009E1118">
        <w:t>500 </w:t>
      </w:r>
      <w:r w:rsidR="009F7837">
        <w:t>mile</w:t>
      </w:r>
      <w:r w:rsidR="00952722">
        <w:t>)</w:t>
      </w:r>
      <w:r w:rsidR="009F7837">
        <w:t xml:space="preserve"> </w:t>
      </w:r>
      <w:r w:rsidR="00292F22">
        <w:t xml:space="preserve">driving </w:t>
      </w:r>
      <w:r w:rsidR="009F7837">
        <w:t>range</w:t>
      </w:r>
      <w:r w:rsidR="00E8528C">
        <w:t xml:space="preserve">, significantly more than the average </w:t>
      </w:r>
      <w:r w:rsidR="001A5912">
        <w:t>battery electric vehicle</w:t>
      </w:r>
      <w:r w:rsidR="009F7837">
        <w:t>.</w:t>
      </w:r>
    </w:p>
    <w:p w14:paraId="4EC12E36" w14:textId="77777777" w:rsidR="0097449F" w:rsidRDefault="0097449F" w:rsidP="00F67E63">
      <w:pPr>
        <w:pStyle w:val="ListParagraph"/>
      </w:pPr>
    </w:p>
    <w:p w14:paraId="6416BDB5" w14:textId="77777777" w:rsidR="0081422B" w:rsidRDefault="00381BD6" w:rsidP="0054098F">
      <w:pPr>
        <w:pStyle w:val="ListParagraph"/>
        <w:numPr>
          <w:ilvl w:val="0"/>
          <w:numId w:val="7"/>
        </w:numPr>
      </w:pPr>
      <w:r w:rsidRPr="00F67E63">
        <w:rPr>
          <w:b/>
        </w:rPr>
        <w:t>How is</w:t>
      </w:r>
      <w:r w:rsidR="00450429" w:rsidRPr="00F67E63">
        <w:rPr>
          <w:b/>
        </w:rPr>
        <w:t xml:space="preserve"> hydrogen fuel</w:t>
      </w:r>
      <w:r w:rsidR="00D76AED" w:rsidRPr="00F67E63">
        <w:rPr>
          <w:b/>
        </w:rPr>
        <w:t xml:space="preserve"> </w:t>
      </w:r>
      <w:r w:rsidRPr="00F67E63">
        <w:rPr>
          <w:b/>
        </w:rPr>
        <w:t xml:space="preserve">made </w:t>
      </w:r>
      <w:r w:rsidR="00D76AED" w:rsidRPr="00F67E63">
        <w:rPr>
          <w:b/>
        </w:rPr>
        <w:t>available today</w:t>
      </w:r>
      <w:r w:rsidR="00450429" w:rsidRPr="00F67E63">
        <w:rPr>
          <w:b/>
        </w:rPr>
        <w:t>?</w:t>
      </w:r>
      <w:r w:rsidR="00450429">
        <w:br/>
        <w:t xml:space="preserve">The predominant </w:t>
      </w:r>
      <w:r>
        <w:t>storage method for</w:t>
      </w:r>
      <w:r w:rsidR="00450429">
        <w:t xml:space="preserve"> hydrogen </w:t>
      </w:r>
      <w:r w:rsidR="00460B98">
        <w:t xml:space="preserve">fuel cell </w:t>
      </w:r>
      <w:r w:rsidR="00A81D67">
        <w:t xml:space="preserve">electric </w:t>
      </w:r>
      <w:r w:rsidR="00460B98">
        <w:t>vehicles (</w:t>
      </w:r>
      <w:r w:rsidR="002D14E2">
        <w:t>H</w:t>
      </w:r>
      <w:r w:rsidR="00450429">
        <w:t>FC</w:t>
      </w:r>
      <w:r w:rsidR="00A81D67">
        <w:t>E</w:t>
      </w:r>
      <w:r w:rsidR="00450429">
        <w:t>Vs</w:t>
      </w:r>
      <w:r w:rsidR="00460B98">
        <w:t>)</w:t>
      </w:r>
      <w:r w:rsidR="00450429">
        <w:t xml:space="preserve"> is gaseous hydrogen</w:t>
      </w:r>
      <w:r>
        <w:t xml:space="preserve"> storage</w:t>
      </w:r>
      <w:r w:rsidR="00450429">
        <w:t>.  However, there are auto and dispenser manufacturers that</w:t>
      </w:r>
      <w:r w:rsidR="00725ACE">
        <w:t xml:space="preserve"> have</w:t>
      </w:r>
      <w:r w:rsidR="00450429">
        <w:t xml:space="preserve"> design</w:t>
      </w:r>
      <w:r w:rsidR="00725ACE">
        <w:t>ed</w:t>
      </w:r>
      <w:r w:rsidR="00450429">
        <w:t xml:space="preserve"> equipment for liquid hydrogen fuel</w:t>
      </w:r>
      <w:r w:rsidR="000D7770">
        <w:t>ing</w:t>
      </w:r>
      <w:r w:rsidR="00450429">
        <w:t xml:space="preserve"> applications</w:t>
      </w:r>
      <w:r>
        <w:t xml:space="preserve">; although it is most likely that liquid hydrogen storage may be used at a fueling station for delivering compressed gaseous hydrogen to a </w:t>
      </w:r>
      <w:r w:rsidR="00A81D67">
        <w:t>vehicle.</w:t>
      </w:r>
      <w:r w:rsidR="00450429">
        <w:t xml:space="preserve">  </w:t>
      </w:r>
      <w:r w:rsidR="00D76AED">
        <w:t xml:space="preserve">A compressed gas fueled </w:t>
      </w:r>
      <w:r w:rsidR="002D14E2">
        <w:t>H</w:t>
      </w:r>
      <w:r w:rsidR="00D76AED">
        <w:t>FC</w:t>
      </w:r>
      <w:r w:rsidR="00A81D67">
        <w:t>E</w:t>
      </w:r>
      <w:r w:rsidR="00D76AED">
        <w:t xml:space="preserve">V uses hydrogen that is stored onboard the vehicle in a pressurized cylindrical tank.  </w:t>
      </w:r>
      <w:r>
        <w:t>Due to low volumetric energy density noted above, h</w:t>
      </w:r>
      <w:r w:rsidR="00450429">
        <w:t xml:space="preserve">ydrogen gas must be compressed </w:t>
      </w:r>
      <w:r w:rsidR="00D76AED">
        <w:t>to high</w:t>
      </w:r>
      <w:r w:rsidR="00450429">
        <w:t xml:space="preserve"> pressure to store enough fuel to achieve </w:t>
      </w:r>
      <w:r>
        <w:t>a</w:t>
      </w:r>
      <w:r w:rsidR="00D76AED">
        <w:t xml:space="preserve"> </w:t>
      </w:r>
      <w:r w:rsidR="00952722" w:rsidRPr="00B421AA">
        <w:t>480 kilomete</w:t>
      </w:r>
      <w:r w:rsidR="00952722" w:rsidRPr="00325A84">
        <w:t>r (</w:t>
      </w:r>
      <w:r w:rsidR="00D76AED" w:rsidRPr="00B421AA">
        <w:t>300</w:t>
      </w:r>
      <w:r w:rsidR="00325A84">
        <w:t> </w:t>
      </w:r>
      <w:r w:rsidR="00D76AED" w:rsidRPr="00B421AA">
        <w:t>mile</w:t>
      </w:r>
      <w:r w:rsidR="00952722" w:rsidRPr="00B421AA">
        <w:t>)</w:t>
      </w:r>
      <w:r w:rsidR="00D76AED">
        <w:t xml:space="preserve"> </w:t>
      </w:r>
      <w:r w:rsidR="00325A84">
        <w:t xml:space="preserve">or more </w:t>
      </w:r>
      <w:r w:rsidR="00D76AED">
        <w:t>driving range.</w:t>
      </w:r>
    </w:p>
    <w:p w14:paraId="5778BEC4" w14:textId="77777777" w:rsidR="0081422B" w:rsidRDefault="0081422B" w:rsidP="0081422B">
      <w:pPr>
        <w:pStyle w:val="ListParagraph"/>
      </w:pPr>
    </w:p>
    <w:p w14:paraId="4E3B4243" w14:textId="77777777" w:rsidR="005D75F1" w:rsidRDefault="00315CD5" w:rsidP="00295F31">
      <w:pPr>
        <w:pStyle w:val="ListParagraph"/>
        <w:numPr>
          <w:ilvl w:val="0"/>
          <w:numId w:val="7"/>
        </w:numPr>
      </w:pPr>
      <w:r w:rsidRPr="005D75F1">
        <w:rPr>
          <w:b/>
        </w:rPr>
        <w:t xml:space="preserve">How </w:t>
      </w:r>
      <w:r w:rsidR="000D6E4C" w:rsidRPr="005D75F1">
        <w:rPr>
          <w:b/>
        </w:rPr>
        <w:t xml:space="preserve">can I purchase hydrogen for </w:t>
      </w:r>
      <w:r w:rsidR="00450429" w:rsidRPr="005D75F1">
        <w:rPr>
          <w:b/>
        </w:rPr>
        <w:t>a</w:t>
      </w:r>
      <w:r w:rsidR="000D6E4C" w:rsidRPr="005D75F1">
        <w:rPr>
          <w:b/>
        </w:rPr>
        <w:t xml:space="preserve"> fuel cell vehicle</w:t>
      </w:r>
      <w:r w:rsidRPr="005D75F1">
        <w:rPr>
          <w:b/>
        </w:rPr>
        <w:t>?</w:t>
      </w:r>
      <w:r w:rsidR="001B2496">
        <w:br/>
      </w:r>
      <w:r w:rsidR="007A6568">
        <w:t xml:space="preserve">Dispensers for </w:t>
      </w:r>
      <w:r w:rsidR="00E8528C">
        <w:t>a hydrogen fueling station</w:t>
      </w:r>
      <w:r w:rsidR="007A6568">
        <w:t xml:space="preserve"> are very similar in appearance to gasoline dispensers.  </w:t>
      </w:r>
      <w:r w:rsidR="00450429">
        <w:t>Y</w:t>
      </w:r>
      <w:r w:rsidR="007A6568">
        <w:t xml:space="preserve">ou may </w:t>
      </w:r>
      <w:r w:rsidR="00450429">
        <w:t xml:space="preserve">even </w:t>
      </w:r>
      <w:r w:rsidR="007A6568">
        <w:t>find hydrogen</w:t>
      </w:r>
      <w:r w:rsidR="00450429">
        <w:t xml:space="preserve"> fuel</w:t>
      </w:r>
      <w:r w:rsidR="007A6568">
        <w:t xml:space="preserve"> dispensers in the same </w:t>
      </w:r>
      <w:r w:rsidR="00450429">
        <w:t>filling</w:t>
      </w:r>
      <w:r w:rsidR="007A6568">
        <w:t xml:space="preserve"> station </w:t>
      </w:r>
      <w:r w:rsidR="00450429">
        <w:t>with</w:t>
      </w:r>
      <w:r w:rsidR="007A6568">
        <w:t xml:space="preserve"> gasoline dispensers.  </w:t>
      </w:r>
      <w:r w:rsidR="001B2496">
        <w:t xml:space="preserve">  </w:t>
      </w:r>
      <w:r w:rsidR="008F6C46">
        <w:t>Hydrogen fuel dispensers</w:t>
      </w:r>
      <w:r w:rsidR="00450429">
        <w:t xml:space="preserve"> sit on an island where vehicles can pull in and gain access to</w:t>
      </w:r>
      <w:r w:rsidR="001B2496">
        <w:t xml:space="preserve"> a hose that connects to the vehicle to deliver the</w:t>
      </w:r>
      <w:r w:rsidR="00A85D66">
        <w:t xml:space="preserve"> </w:t>
      </w:r>
      <w:r w:rsidR="006F5139">
        <w:t>fuel</w:t>
      </w:r>
      <w:r w:rsidR="00450429">
        <w:t xml:space="preserve">.  Hydrogen dispensers will have </w:t>
      </w:r>
      <w:r w:rsidR="001B2496">
        <w:t xml:space="preserve">a customer </w:t>
      </w:r>
      <w:r w:rsidR="00450429">
        <w:t xml:space="preserve">interface with a </w:t>
      </w:r>
      <w:r w:rsidR="008F6C46">
        <w:t xml:space="preserve">display </w:t>
      </w:r>
      <w:r w:rsidR="001B2496">
        <w:t xml:space="preserve">and </w:t>
      </w:r>
      <w:r w:rsidR="000507D2">
        <w:t xml:space="preserve">keypad </w:t>
      </w:r>
      <w:r w:rsidR="001B2496">
        <w:t xml:space="preserve">controls that </w:t>
      </w:r>
      <w:r w:rsidR="00450429">
        <w:t>a</w:t>
      </w:r>
      <w:r w:rsidR="001B2496">
        <w:t xml:space="preserve"> driver can use to start and stop the delivery.   </w:t>
      </w:r>
      <w:r w:rsidR="00450429">
        <w:br/>
      </w:r>
      <w:r w:rsidR="00450429">
        <w:br/>
      </w:r>
      <w:r w:rsidR="001B2496">
        <w:t xml:space="preserve">The process for </w:t>
      </w:r>
      <w:r w:rsidR="008F6C46">
        <w:t>fueling</w:t>
      </w:r>
      <w:r w:rsidR="00450429">
        <w:t xml:space="preserve"> a </w:t>
      </w:r>
      <w:r w:rsidR="000D1EEC">
        <w:t>fuel cell electric vehicle</w:t>
      </w:r>
      <w:r w:rsidR="008F6C46">
        <w:t xml:space="preserve"> </w:t>
      </w:r>
      <w:r w:rsidR="001B2496">
        <w:t>is quite similar</w:t>
      </w:r>
      <w:r w:rsidR="006F43A0">
        <w:t xml:space="preserve"> to a gas pump</w:t>
      </w:r>
      <w:r w:rsidR="00820835">
        <w:t xml:space="preserve"> and takes approximately the same amount of time</w:t>
      </w:r>
      <w:r w:rsidR="00A9018B">
        <w:t xml:space="preserve"> – roughly three to five minutes</w:t>
      </w:r>
      <w:r w:rsidR="001B2496">
        <w:t xml:space="preserve">.  The driver pulls into the station and stops next to an available dispenser.  The transaction is initiated by following </w:t>
      </w:r>
      <w:r w:rsidR="006F43A0">
        <w:t>instructions on</w:t>
      </w:r>
      <w:r w:rsidR="001B2496">
        <w:t xml:space="preserve"> the </w:t>
      </w:r>
      <w:r w:rsidR="009527C0">
        <w:t>dispenser’s</w:t>
      </w:r>
      <w:r w:rsidR="008F6C46">
        <w:t xml:space="preserve"> display </w:t>
      </w:r>
      <w:r w:rsidR="001B2496">
        <w:t>screen.  The driver takes the hose and attaches it to the vehicle fueling connection and secures the connection by rotating a lever on the nozzle.  The driver</w:t>
      </w:r>
      <w:r w:rsidR="00820835">
        <w:t xml:space="preserve"> activates a control to</w:t>
      </w:r>
      <w:r w:rsidR="001B2496">
        <w:t xml:space="preserve"> tell the dispenser to start</w:t>
      </w:r>
      <w:r w:rsidR="00A85D66">
        <w:t xml:space="preserve"> </w:t>
      </w:r>
      <w:r w:rsidR="006F5139">
        <w:t>the fueling process</w:t>
      </w:r>
      <w:r w:rsidR="001B2496">
        <w:t>, and the dispenser does the rest.</w:t>
      </w:r>
      <w:r w:rsidR="00820835">
        <w:t xml:space="preserve">  A typical </w:t>
      </w:r>
      <w:r w:rsidR="008F6C46">
        <w:t xml:space="preserve">passenger </w:t>
      </w:r>
      <w:r w:rsidR="00820835">
        <w:t>vehicle will accept between 1</w:t>
      </w:r>
      <w:r w:rsidR="00952722">
        <w:t xml:space="preserve"> kilogram</w:t>
      </w:r>
      <w:r w:rsidR="00820835">
        <w:t xml:space="preserve"> </w:t>
      </w:r>
      <w:r w:rsidR="007142B8">
        <w:t>to</w:t>
      </w:r>
      <w:r w:rsidR="00820835">
        <w:t xml:space="preserve"> 6 </w:t>
      </w:r>
      <w:r w:rsidR="00820835" w:rsidRPr="00F9399E">
        <w:t>k</w:t>
      </w:r>
      <w:r w:rsidR="007142B8" w:rsidRPr="00F9399E">
        <w:t>ilo</w:t>
      </w:r>
      <w:r w:rsidR="00820835" w:rsidRPr="00F9399E">
        <w:t>g</w:t>
      </w:r>
      <w:r w:rsidR="007142B8" w:rsidRPr="00F9399E">
        <w:t xml:space="preserve">rams </w:t>
      </w:r>
      <w:r w:rsidR="00BB28B7" w:rsidRPr="00F9399E">
        <w:t xml:space="preserve">(2.205 </w:t>
      </w:r>
      <w:r w:rsidR="00952722">
        <w:t xml:space="preserve">pounds </w:t>
      </w:r>
      <w:r w:rsidR="00BB28B7" w:rsidRPr="00F9399E">
        <w:t xml:space="preserve">to 13.23 </w:t>
      </w:r>
      <w:r w:rsidR="002D14E2">
        <w:t>pounds</w:t>
      </w:r>
      <w:r w:rsidR="00BB28B7" w:rsidRPr="00F9399E">
        <w:t>)</w:t>
      </w:r>
      <w:r w:rsidR="00820835" w:rsidRPr="00F9399E">
        <w:t xml:space="preserve"> of</w:t>
      </w:r>
      <w:r w:rsidR="00820835">
        <w:t xml:space="preserve"> hydrogen fuel, </w:t>
      </w:r>
      <w:r w:rsidR="00772B55">
        <w:t xml:space="preserve">to achieve a fill up </w:t>
      </w:r>
      <w:r w:rsidR="00820835">
        <w:t>depend</w:t>
      </w:r>
      <w:r w:rsidR="00772B55">
        <w:t>s</w:t>
      </w:r>
      <w:r w:rsidR="00820835">
        <w:t xml:space="preserve"> on how much </w:t>
      </w:r>
      <w:r w:rsidR="000A52D4">
        <w:t>hydrogen</w:t>
      </w:r>
      <w:r w:rsidR="00820835">
        <w:t xml:space="preserve"> </w:t>
      </w:r>
      <w:r w:rsidR="00772B55">
        <w:t xml:space="preserve">is in </w:t>
      </w:r>
      <w:r w:rsidR="00820835">
        <w:t xml:space="preserve">the fuel tank </w:t>
      </w:r>
      <w:r w:rsidR="00D5727D">
        <w:t>at the beginning of the fueling process and the tank size.</w:t>
      </w:r>
      <w:r w:rsidR="001B2496">
        <w:t xml:space="preserve"> </w:t>
      </w:r>
      <w:r w:rsidR="000A52D4">
        <w:t xml:space="preserve"> </w:t>
      </w:r>
      <w:r w:rsidR="001B2496">
        <w:t>When the fill is complete, the dispenser automatically stops the delivery and signals the driver</w:t>
      </w:r>
      <w:r w:rsidR="006F43A0">
        <w:t xml:space="preserve"> to disconnect and </w:t>
      </w:r>
      <w:r w:rsidR="008F6C46">
        <w:t xml:space="preserve">return </w:t>
      </w:r>
      <w:r w:rsidR="006F43A0">
        <w:t>the hose.</w:t>
      </w:r>
      <w:r w:rsidR="000F0D54" w:rsidRPr="000F0D54">
        <w:t xml:space="preserve"> </w:t>
      </w:r>
      <w:r w:rsidR="000F0D54">
        <w:br/>
      </w:r>
      <w:r w:rsidR="000F0D54">
        <w:br/>
        <w:t xml:space="preserve">As this fact sheet is being published, work is underway in the U.S. hydrogen and weights and measures communities to make certain the necessary components in the hydrogen infrastructure are in place for the </w:t>
      </w:r>
      <w:r w:rsidR="00725ACE">
        <w:t xml:space="preserve">start of </w:t>
      </w:r>
      <w:r w:rsidR="009B2A6D">
        <w:t xml:space="preserve">national </w:t>
      </w:r>
      <w:r w:rsidR="000F0D54">
        <w:t xml:space="preserve">commercial sales of hydrogen vehicle fuel.  The compliance process for public </w:t>
      </w:r>
      <w:r w:rsidR="00A9018B">
        <w:t xml:space="preserve">gasoline </w:t>
      </w:r>
      <w:r w:rsidR="000F0D54">
        <w:t xml:space="preserve">fueling stations has been in place for over 100 years.  </w:t>
      </w:r>
      <w:r w:rsidR="000F0D54">
        <w:lastRenderedPageBreak/>
        <w:t>Hydrogen fuel will be available for sale through refueling dispensers based on a recognized unit of measurement</w:t>
      </w:r>
      <w:r w:rsidR="009B2A6D">
        <w:t>. This is already taking place in California</w:t>
      </w:r>
      <w:r w:rsidR="000F0D54">
        <w:t xml:space="preserve">.  This allows consumers to make value </w:t>
      </w:r>
    </w:p>
    <w:p w14:paraId="5269F51B" w14:textId="77777777" w:rsidR="00FB3F11" w:rsidRDefault="000F0D54" w:rsidP="005D75F1">
      <w:pPr>
        <w:pStyle w:val="ListParagraph"/>
      </w:pPr>
      <w:r>
        <w:t>comparison</w:t>
      </w:r>
      <w:r w:rsidR="00122C5A">
        <w:t>s</w:t>
      </w:r>
      <w:r>
        <w:t xml:space="preserve"> when purchasing a hydrogen fuel cell vehicle and hydrogen fuel for their vehicle.  As of </w:t>
      </w:r>
      <w:r w:rsidR="001A2089">
        <w:t>July 2010,</w:t>
      </w:r>
      <w:r>
        <w:t xml:space="preserve"> hydrogen vehicle fuel is to be sold by mass units of the kilogram (kg).  </w:t>
      </w:r>
      <w:r w:rsidR="00962016">
        <w:br/>
      </w:r>
    </w:p>
    <w:p w14:paraId="45ECF4CF" w14:textId="77777777" w:rsidR="002821F8" w:rsidRDefault="00315CD5" w:rsidP="00B70E73">
      <w:pPr>
        <w:pStyle w:val="ListParagraph"/>
        <w:numPr>
          <w:ilvl w:val="0"/>
          <w:numId w:val="7"/>
        </w:numPr>
      </w:pPr>
      <w:r w:rsidRPr="00BE05BC">
        <w:rPr>
          <w:b/>
        </w:rPr>
        <w:t xml:space="preserve">Where does </w:t>
      </w:r>
      <w:r w:rsidR="000D6E4C" w:rsidRPr="00BE05BC">
        <w:rPr>
          <w:b/>
        </w:rPr>
        <w:t>hydrogen fuel</w:t>
      </w:r>
      <w:r w:rsidRPr="00BE05BC">
        <w:rPr>
          <w:b/>
        </w:rPr>
        <w:t xml:space="preserve"> come from?</w:t>
      </w:r>
      <w:r w:rsidR="000D6E4C">
        <w:t xml:space="preserve"> </w:t>
      </w:r>
      <w:r w:rsidR="00BE05BC">
        <w:br/>
      </w:r>
      <w:r w:rsidR="005574F8" w:rsidRPr="00BC4127">
        <w:t>The m</w:t>
      </w:r>
      <w:r w:rsidR="002821F8">
        <w:t>ost commonly used methods for hydrogen production include:</w:t>
      </w:r>
    </w:p>
    <w:p w14:paraId="2E788789" w14:textId="77777777" w:rsidR="002821F8" w:rsidRDefault="002821F8" w:rsidP="002821F8">
      <w:pPr>
        <w:pStyle w:val="ListParagraph"/>
        <w:rPr>
          <w:b/>
        </w:rPr>
      </w:pPr>
    </w:p>
    <w:p w14:paraId="60F4608B" w14:textId="77777777" w:rsidR="000F0D54" w:rsidRDefault="002821F8" w:rsidP="002821F8">
      <w:pPr>
        <w:pStyle w:val="ListParagraph"/>
        <w:numPr>
          <w:ilvl w:val="0"/>
          <w:numId w:val="14"/>
        </w:numPr>
      </w:pPr>
      <w:r w:rsidRPr="002821F8">
        <w:rPr>
          <w:i/>
        </w:rPr>
        <w:t>Natural Gas Reformation.</w:t>
      </w:r>
      <w:r>
        <w:t xml:space="preserve">  The majority</w:t>
      </w:r>
      <w:r w:rsidR="005574F8" w:rsidRPr="00BC4127">
        <w:t xml:space="preserve"> of hydrogen produce</w:t>
      </w:r>
      <w:r w:rsidR="003A22CC">
        <w:t>d</w:t>
      </w:r>
      <w:r w:rsidR="005574F8" w:rsidRPr="00BC4127">
        <w:t xml:space="preserve"> </w:t>
      </w:r>
      <w:r w:rsidR="007F2890">
        <w:t xml:space="preserve">today is </w:t>
      </w:r>
      <w:r w:rsidR="005574F8" w:rsidRPr="00BC4127">
        <w:t xml:space="preserve">for industrial </w:t>
      </w:r>
      <w:r w:rsidR="00A85D66" w:rsidRPr="00BC4127">
        <w:t>purpose</w:t>
      </w:r>
      <w:r w:rsidR="00A85D66">
        <w:t>s</w:t>
      </w:r>
      <w:r w:rsidR="00A85D66" w:rsidRPr="00BC4127">
        <w:t xml:space="preserve"> </w:t>
      </w:r>
      <w:r w:rsidR="00A85D66">
        <w:t>and</w:t>
      </w:r>
      <w:r w:rsidR="00E22489">
        <w:t xml:space="preserve"> </w:t>
      </w:r>
      <w:r w:rsidR="006C4034">
        <w:t xml:space="preserve">is made </w:t>
      </w:r>
      <w:r w:rsidR="007F2890">
        <w:t xml:space="preserve">by </w:t>
      </w:r>
      <w:r w:rsidR="005574F8" w:rsidRPr="00BC4127">
        <w:t>reform</w:t>
      </w:r>
      <w:r w:rsidR="007F2890">
        <w:t>ing</w:t>
      </w:r>
      <w:r w:rsidR="005574F8" w:rsidRPr="00BC4127">
        <w:t xml:space="preserve"> natural gas.  This same process </w:t>
      </w:r>
      <w:r w:rsidR="00EF274D">
        <w:t>is</w:t>
      </w:r>
      <w:r w:rsidR="00BC4127">
        <w:t xml:space="preserve"> used to </w:t>
      </w:r>
      <w:r w:rsidR="005574F8" w:rsidRPr="00BC4127">
        <w:t xml:space="preserve">produce hydrogen for vehicle fuel.  </w:t>
      </w:r>
      <w:r w:rsidR="000F0D54">
        <w:br/>
      </w:r>
    </w:p>
    <w:p w14:paraId="1A28A32B" w14:textId="77777777" w:rsidR="00740C77" w:rsidRDefault="00BC4127" w:rsidP="002821F8">
      <w:pPr>
        <w:pStyle w:val="ListParagraph"/>
        <w:numPr>
          <w:ilvl w:val="0"/>
          <w:numId w:val="14"/>
        </w:numPr>
      </w:pPr>
      <w:r w:rsidRPr="002821F8">
        <w:rPr>
          <w:i/>
        </w:rPr>
        <w:t>Electrolysis</w:t>
      </w:r>
      <w:r w:rsidRPr="002821F8">
        <w:rPr>
          <w:b/>
          <w:i/>
        </w:rPr>
        <w:t xml:space="preserve"> </w:t>
      </w:r>
      <w:r w:rsidRPr="00BC4127">
        <w:t>is a</w:t>
      </w:r>
      <w:r w:rsidR="000F0D54">
        <w:t>nother</w:t>
      </w:r>
      <w:r w:rsidRPr="00BC4127">
        <w:t xml:space="preserve"> process whereby </w:t>
      </w:r>
      <w:r w:rsidR="006C4034">
        <w:t xml:space="preserve">electricity is used to split </w:t>
      </w:r>
      <w:r w:rsidRPr="00BC4127">
        <w:t>water</w:t>
      </w:r>
      <w:r w:rsidR="00725ACE">
        <w:t xml:space="preserve"> molecules</w:t>
      </w:r>
      <w:r w:rsidR="002821F8">
        <w:t xml:space="preserve"> (</w:t>
      </w:r>
      <w:r w:rsidR="008944DA">
        <w:t xml:space="preserve">which can be supplied </w:t>
      </w:r>
      <w:r w:rsidR="006C4034">
        <w:t xml:space="preserve">from </w:t>
      </w:r>
      <w:r w:rsidR="009527C0">
        <w:t>a municipal</w:t>
      </w:r>
      <w:r w:rsidR="006C4034">
        <w:t xml:space="preserve"> water supply system</w:t>
      </w:r>
      <w:r w:rsidR="002821F8">
        <w:t>)</w:t>
      </w:r>
      <w:r w:rsidR="006C4034">
        <w:t xml:space="preserve"> into oxygen and </w:t>
      </w:r>
      <w:r w:rsidRPr="00BC4127">
        <w:t xml:space="preserve">hydrogen fuel.  </w:t>
      </w:r>
      <w:r w:rsidR="006C4034">
        <w:t xml:space="preserve">The </w:t>
      </w:r>
      <w:r w:rsidR="000549AB" w:rsidRPr="00BC4127">
        <w:t>electrolyze</w:t>
      </w:r>
      <w:r w:rsidR="000549AB">
        <w:t>r</w:t>
      </w:r>
      <w:r w:rsidRPr="00BC4127">
        <w:t xml:space="preserve"> </w:t>
      </w:r>
      <w:r w:rsidR="006C4034">
        <w:t xml:space="preserve">used to split the water </w:t>
      </w:r>
      <w:r>
        <w:t>may be</w:t>
      </w:r>
      <w:r w:rsidRPr="00BC4127">
        <w:t xml:space="preserve"> located onsite at the fueling station and powered by some other source of energy.  </w:t>
      </w:r>
      <w:r w:rsidR="006C4034">
        <w:t>The electricity for powering the e</w:t>
      </w:r>
      <w:r w:rsidR="00823931">
        <w:t>lectroly</w:t>
      </w:r>
      <w:r w:rsidR="006C4034">
        <w:t>zer</w:t>
      </w:r>
      <w:r w:rsidR="000549AB">
        <w:t xml:space="preserve"> may be </w:t>
      </w:r>
      <w:r w:rsidR="006C4034">
        <w:t>generat</w:t>
      </w:r>
      <w:r w:rsidR="000549AB">
        <w:t xml:space="preserve">ed by </w:t>
      </w:r>
      <w:r w:rsidR="006C4034">
        <w:t xml:space="preserve">a </w:t>
      </w:r>
      <w:r w:rsidR="00823931">
        <w:t xml:space="preserve">renewable </w:t>
      </w:r>
      <w:r w:rsidR="000549AB">
        <w:t>e</w:t>
      </w:r>
      <w:r w:rsidR="000549AB" w:rsidRPr="00BC4127">
        <w:t>nergy</w:t>
      </w:r>
      <w:r w:rsidR="006C4034">
        <w:t xml:space="preserve"> technology using</w:t>
      </w:r>
      <w:r w:rsidRPr="00BC4127">
        <w:t xml:space="preserve"> wind, solar, geothermal</w:t>
      </w:r>
      <w:r w:rsidR="000549AB">
        <w:t>,</w:t>
      </w:r>
      <w:r w:rsidRPr="00BC4127">
        <w:t xml:space="preserve"> </w:t>
      </w:r>
      <w:r w:rsidR="000549AB">
        <w:t>or</w:t>
      </w:r>
      <w:r w:rsidRPr="00BC4127">
        <w:t xml:space="preserve"> hydroelectric power</w:t>
      </w:r>
      <w:r w:rsidR="00B73653">
        <w:t>,</w:t>
      </w:r>
      <w:r w:rsidR="000507D2">
        <w:t xml:space="preserve"> </w:t>
      </w:r>
      <w:r w:rsidR="00B73653">
        <w:t>t</w:t>
      </w:r>
      <w:r w:rsidR="006C4034">
        <w:t>hus</w:t>
      </w:r>
      <w:r w:rsidR="009E1118">
        <w:t>,</w:t>
      </w:r>
      <w:r w:rsidR="006C4034">
        <w:t xml:space="preserve"> providing further reduction</w:t>
      </w:r>
      <w:r w:rsidR="000507D2">
        <w:t>s</w:t>
      </w:r>
      <w:r w:rsidR="006C4034">
        <w:t xml:space="preserve"> in greenhouse gas</w:t>
      </w:r>
      <w:r w:rsidR="00B73653">
        <w:t xml:space="preserve"> emissions.</w:t>
      </w:r>
    </w:p>
    <w:p w14:paraId="240866F7" w14:textId="77777777" w:rsidR="00740C77" w:rsidRDefault="00740C77" w:rsidP="00740C77">
      <w:pPr>
        <w:pStyle w:val="ListParagraph"/>
        <w:ind w:left="1440"/>
      </w:pPr>
    </w:p>
    <w:p w14:paraId="7162CA00" w14:textId="77777777" w:rsidR="002821F8" w:rsidRDefault="00823931" w:rsidP="00217C71">
      <w:pPr>
        <w:pStyle w:val="ListParagraph"/>
        <w:numPr>
          <w:ilvl w:val="0"/>
          <w:numId w:val="14"/>
        </w:numPr>
      </w:pPr>
      <w:r>
        <w:t xml:space="preserve">Hydrogen can </w:t>
      </w:r>
      <w:r w:rsidR="00DB18B0">
        <w:t xml:space="preserve">also </w:t>
      </w:r>
      <w:r>
        <w:t xml:space="preserve">be </w:t>
      </w:r>
      <w:r w:rsidR="002A1284">
        <w:t xml:space="preserve">produced </w:t>
      </w:r>
      <w:r>
        <w:t xml:space="preserve">from </w:t>
      </w:r>
      <w:r w:rsidR="002A1284">
        <w:t>the gasification of coal or biomass</w:t>
      </w:r>
      <w:r w:rsidR="00122C5A">
        <w:t xml:space="preserve"> (sustainable/renewable</w:t>
      </w:r>
      <w:r w:rsidR="00217C71">
        <w:t xml:space="preserve"> plant </w:t>
      </w:r>
      <w:r w:rsidR="00FF4656">
        <w:t xml:space="preserve">and animal </w:t>
      </w:r>
      <w:r w:rsidR="00217C71">
        <w:t>materials)</w:t>
      </w:r>
      <w:r w:rsidR="002A1284">
        <w:t xml:space="preserve">, </w:t>
      </w:r>
      <w:r>
        <w:t xml:space="preserve">photo-biological production </w:t>
      </w:r>
      <w:r w:rsidR="00DB18B0">
        <w:t>(algae)</w:t>
      </w:r>
      <w:r w:rsidR="00761FA9">
        <w:t>, or</w:t>
      </w:r>
      <w:r>
        <w:t xml:space="preserve"> reform</w:t>
      </w:r>
      <w:r w:rsidR="002A1284">
        <w:t>ing</w:t>
      </w:r>
      <w:r>
        <w:t xml:space="preserve"> </w:t>
      </w:r>
      <w:r w:rsidR="002A1284">
        <w:t xml:space="preserve">certain </w:t>
      </w:r>
      <w:r>
        <w:t xml:space="preserve">liquid fuels.  </w:t>
      </w:r>
    </w:p>
    <w:p w14:paraId="75EC4BA5" w14:textId="77777777" w:rsidR="002821F8" w:rsidRDefault="002821F8" w:rsidP="000F0D54">
      <w:pPr>
        <w:pStyle w:val="ListParagraph"/>
      </w:pPr>
    </w:p>
    <w:p w14:paraId="051EFDA5" w14:textId="77777777" w:rsidR="002821F8" w:rsidRDefault="00823931" w:rsidP="002821F8">
      <w:pPr>
        <w:pStyle w:val="ListParagraph"/>
        <w:numPr>
          <w:ilvl w:val="0"/>
          <w:numId w:val="14"/>
        </w:numPr>
      </w:pPr>
      <w:r w:rsidRPr="002821F8">
        <w:t xml:space="preserve">Nuclear power </w:t>
      </w:r>
      <w:r>
        <w:t>has the potential to produce hydrogen from high temperature electrolysis.</w:t>
      </w:r>
      <w:r w:rsidR="00DB18B0">
        <w:t xml:space="preserve">  </w:t>
      </w:r>
    </w:p>
    <w:p w14:paraId="10F54A6F" w14:textId="77777777" w:rsidR="002821F8" w:rsidRDefault="002821F8" w:rsidP="000F0D54">
      <w:pPr>
        <w:pStyle w:val="ListParagraph"/>
      </w:pPr>
    </w:p>
    <w:p w14:paraId="2D352D3D" w14:textId="77777777" w:rsidR="000D6E4C" w:rsidRDefault="00DB18B0" w:rsidP="000F0D54">
      <w:pPr>
        <w:pStyle w:val="ListParagraph"/>
      </w:pPr>
      <w:r>
        <w:t xml:space="preserve">These are many of the known methods </w:t>
      </w:r>
      <w:r w:rsidR="002A1284">
        <w:t xml:space="preserve">currently in use and under development </w:t>
      </w:r>
      <w:r>
        <w:t>to produce hydrogen</w:t>
      </w:r>
      <w:r w:rsidR="002A1284">
        <w:t>.  T</w:t>
      </w:r>
      <w:r>
        <w:t>he list of alternative</w:t>
      </w:r>
      <w:r w:rsidR="00A85D66">
        <w:t xml:space="preserve"> </w:t>
      </w:r>
      <w:r w:rsidR="002A1284">
        <w:t xml:space="preserve">methods for hydrogen production </w:t>
      </w:r>
      <w:r>
        <w:t>continues to grow as research</w:t>
      </w:r>
      <w:r w:rsidR="002A1284">
        <w:t>ers</w:t>
      </w:r>
      <w:r>
        <w:t xml:space="preserve"> make new discoveries.</w:t>
      </w:r>
    </w:p>
    <w:p w14:paraId="6C153761" w14:textId="77777777" w:rsidR="00EB2622" w:rsidRDefault="00EB2622" w:rsidP="00EB2622">
      <w:pPr>
        <w:pStyle w:val="ListParagraph"/>
      </w:pPr>
    </w:p>
    <w:p w14:paraId="04FA6340" w14:textId="77777777" w:rsidR="00D84AFF" w:rsidRDefault="0035056A" w:rsidP="00D84AFF">
      <w:pPr>
        <w:pStyle w:val="ListParagraph"/>
        <w:numPr>
          <w:ilvl w:val="0"/>
          <w:numId w:val="7"/>
        </w:numPr>
        <w:spacing w:after="240"/>
      </w:pPr>
      <w:r w:rsidRPr="006F43A0">
        <w:rPr>
          <w:b/>
        </w:rPr>
        <w:t xml:space="preserve">How much </w:t>
      </w:r>
      <w:r w:rsidR="006F43A0" w:rsidRPr="006F43A0">
        <w:rPr>
          <w:b/>
        </w:rPr>
        <w:t>hydrogen</w:t>
      </w:r>
      <w:r w:rsidRPr="006F43A0">
        <w:rPr>
          <w:b/>
        </w:rPr>
        <w:t xml:space="preserve"> do I need </w:t>
      </w:r>
      <w:r w:rsidR="00B4729A">
        <w:rPr>
          <w:b/>
        </w:rPr>
        <w:t xml:space="preserve">in order </w:t>
      </w:r>
      <w:r w:rsidRPr="006F43A0">
        <w:rPr>
          <w:b/>
        </w:rPr>
        <w:t xml:space="preserve">to travel as far as I can on </w:t>
      </w:r>
      <w:r w:rsidR="00315CD5" w:rsidRPr="006F43A0">
        <w:rPr>
          <w:b/>
        </w:rPr>
        <w:t>a gal</w:t>
      </w:r>
      <w:r w:rsidRPr="006F43A0">
        <w:rPr>
          <w:b/>
        </w:rPr>
        <w:t>lon</w:t>
      </w:r>
      <w:r w:rsidR="00315CD5" w:rsidRPr="006F43A0">
        <w:rPr>
          <w:b/>
        </w:rPr>
        <w:t xml:space="preserve"> of gas</w:t>
      </w:r>
      <w:r w:rsidR="006F43A0" w:rsidRPr="006F43A0">
        <w:rPr>
          <w:b/>
        </w:rPr>
        <w:t>?</w:t>
      </w:r>
      <w:r w:rsidR="006F43A0" w:rsidRPr="006F43A0">
        <w:rPr>
          <w:b/>
        </w:rPr>
        <w:br/>
      </w:r>
      <w:r w:rsidR="00A9018B">
        <w:t>Since</w:t>
      </w:r>
      <w:r w:rsidR="000F0D54">
        <w:t xml:space="preserve"> July 2010</w:t>
      </w:r>
      <w:r w:rsidR="00A9018B">
        <w:t>,</w:t>
      </w:r>
      <w:r w:rsidR="000F0D54">
        <w:t xml:space="preserve"> gaseous hydrogen vehicle fuel is sold by mass units of the kilogram (kg).  </w:t>
      </w:r>
      <w:r w:rsidR="006F43A0">
        <w:t xml:space="preserve">Coincidentally, the energy content of 1 kg </w:t>
      </w:r>
      <w:r w:rsidR="00B70C06">
        <w:t xml:space="preserve">(2.205 </w:t>
      </w:r>
      <w:r w:rsidR="00322509">
        <w:t>pounds [</w:t>
      </w:r>
      <w:r w:rsidR="009E1118">
        <w:t>lb</w:t>
      </w:r>
      <w:r w:rsidR="00322509">
        <w:t>]</w:t>
      </w:r>
      <w:r w:rsidR="00B70C06">
        <w:t xml:space="preserve">) </w:t>
      </w:r>
      <w:r w:rsidR="006F43A0">
        <w:t xml:space="preserve">of hydrogen is </w:t>
      </w:r>
      <w:r w:rsidR="00430AFB">
        <w:t>slightly</w:t>
      </w:r>
      <w:r w:rsidR="00150D04">
        <w:t xml:space="preserve"> higher than</w:t>
      </w:r>
      <w:r w:rsidR="006F43A0">
        <w:t xml:space="preserve"> the energy content </w:t>
      </w:r>
      <w:r w:rsidR="00D26A45">
        <w:t xml:space="preserve">in </w:t>
      </w:r>
      <w:r w:rsidR="001E69D0">
        <w:t xml:space="preserve">3.785 liters (1 </w:t>
      </w:r>
      <w:r w:rsidR="006F43A0">
        <w:t>gallon</w:t>
      </w:r>
      <w:r w:rsidR="001E69D0">
        <w:t>)</w:t>
      </w:r>
      <w:r w:rsidR="006F43A0">
        <w:t xml:space="preserve"> of </w:t>
      </w:r>
      <w:r w:rsidR="001679D0">
        <w:t>gasoline</w:t>
      </w:r>
      <w:r w:rsidR="00B70C06" w:rsidRPr="00B70C06">
        <w:t xml:space="preserve"> (which has a mass of approximately 2.732 kg </w:t>
      </w:r>
      <w:r w:rsidR="00D77B3B">
        <w:t>[</w:t>
      </w:r>
      <w:r w:rsidR="00B70C06" w:rsidRPr="00B70C06">
        <w:t>6.</w:t>
      </w:r>
      <w:r w:rsidR="00B70C06" w:rsidRPr="00862207">
        <w:t xml:space="preserve">025 </w:t>
      </w:r>
      <w:r w:rsidR="00862207">
        <w:t>lb</w:t>
      </w:r>
      <w:r w:rsidR="00D77B3B">
        <w:t>]</w:t>
      </w:r>
      <w:r w:rsidR="001E69D0">
        <w:t>)</w:t>
      </w:r>
      <w:r w:rsidR="006F43A0">
        <w:t>.</w:t>
      </w:r>
      <w:r w:rsidR="000507D2">
        <w:t xml:space="preserve">  To compare a fuel cell vehicle </w:t>
      </w:r>
      <w:r w:rsidR="00856CCE">
        <w:t>and</w:t>
      </w:r>
      <w:r w:rsidR="000507D2">
        <w:t xml:space="preserve"> a gasoline </w:t>
      </w:r>
      <w:r w:rsidR="00856CCE">
        <w:t>internal combustion engine vehicle in terms of distance travelled for a certain amount of fuel,</w:t>
      </w:r>
      <w:r w:rsidR="000507D2">
        <w:t xml:space="preserve"> it </w:t>
      </w:r>
      <w:r w:rsidR="00856CCE">
        <w:t>is important to</w:t>
      </w:r>
      <w:r w:rsidR="000507D2">
        <w:t xml:space="preserve"> consider that a fuel cell </w:t>
      </w:r>
      <w:r w:rsidR="00EF274D">
        <w:t xml:space="preserve">electric </w:t>
      </w:r>
      <w:r w:rsidR="000507D2">
        <w:t xml:space="preserve">vehicle converts fuel energy into locomotive </w:t>
      </w:r>
      <w:r w:rsidR="00856CCE">
        <w:t>work</w:t>
      </w:r>
      <w:r w:rsidR="000507D2">
        <w:t xml:space="preserve"> </w:t>
      </w:r>
      <w:r w:rsidR="00B86399">
        <w:t xml:space="preserve">two </w:t>
      </w:r>
      <w:r w:rsidR="000507D2">
        <w:t xml:space="preserve">to </w:t>
      </w:r>
      <w:r w:rsidR="00B86399">
        <w:t xml:space="preserve">three </w:t>
      </w:r>
      <w:r w:rsidR="000507D2">
        <w:t>times more efficiently than a gasoline powered vehicle.</w:t>
      </w:r>
      <w:r w:rsidR="00620110">
        <w:t xml:space="preserve">  Fuel cell </w:t>
      </w:r>
      <w:r w:rsidR="00EF274D">
        <w:t xml:space="preserve">electric </w:t>
      </w:r>
      <w:r w:rsidR="00620110">
        <w:t xml:space="preserve">vehicles </w:t>
      </w:r>
      <w:r w:rsidR="00380591">
        <w:t>achieve</w:t>
      </w:r>
      <w:r w:rsidR="00620110">
        <w:t xml:space="preserve"> 40</w:t>
      </w:r>
      <w:r w:rsidR="00E64DE0">
        <w:t xml:space="preserve"> % to </w:t>
      </w:r>
      <w:r w:rsidR="00620110">
        <w:t>60</w:t>
      </w:r>
      <w:r w:rsidR="00E64DE0">
        <w:t xml:space="preserve"> </w:t>
      </w:r>
      <w:r w:rsidR="00620110">
        <w:t xml:space="preserve">% energy efficiency, compared to gasoline powered vehicles that typically </w:t>
      </w:r>
      <w:r w:rsidR="00380591">
        <w:t>operate at</w:t>
      </w:r>
      <w:r w:rsidR="00620110">
        <w:t xml:space="preserve"> 20</w:t>
      </w:r>
      <w:r w:rsidR="00B86399">
        <w:t> </w:t>
      </w:r>
      <w:r w:rsidR="00620110">
        <w:t>% efficiency</w:t>
      </w:r>
      <w:r w:rsidR="000507D2">
        <w:t>.  T</w:t>
      </w:r>
      <w:r w:rsidR="00C55012">
        <w:t xml:space="preserve">he quantity of </w:t>
      </w:r>
      <w:r w:rsidR="00380591">
        <w:t xml:space="preserve">compressed gaseous </w:t>
      </w:r>
      <w:r w:rsidR="00C55012">
        <w:t>hydrogen fuel required to travel</w:t>
      </w:r>
      <w:r w:rsidR="000507D2">
        <w:t xml:space="preserve"> the same distance </w:t>
      </w:r>
      <w:r w:rsidR="00380591">
        <w:t>as</w:t>
      </w:r>
      <w:r w:rsidR="000507D2">
        <w:t xml:space="preserve"> a gallon of gas</w:t>
      </w:r>
      <w:r w:rsidR="00C55012">
        <w:t xml:space="preserve">oline would weigh </w:t>
      </w:r>
      <w:r w:rsidR="001A2089">
        <w:t>less but</w:t>
      </w:r>
      <w:r w:rsidR="00380591">
        <w:t xml:space="preserve"> would occupy more space</w:t>
      </w:r>
      <w:r w:rsidR="00C55012">
        <w:t xml:space="preserve"> than the gasoline.</w:t>
      </w:r>
    </w:p>
    <w:p w14:paraId="14BE4E04" w14:textId="77777777" w:rsidR="00EB2622" w:rsidRDefault="00150D04" w:rsidP="00D84AFF">
      <w:pPr>
        <w:pStyle w:val="ListParagraph"/>
        <w:spacing w:after="240"/>
      </w:pPr>
      <w:r>
        <w:t>Comparing solely b</w:t>
      </w:r>
      <w:r w:rsidR="00440FA2">
        <w:t xml:space="preserve">y mass, </w:t>
      </w:r>
      <w:r w:rsidR="00620110">
        <w:t xml:space="preserve">1 kg of </w:t>
      </w:r>
      <w:r w:rsidR="00440FA2">
        <w:t xml:space="preserve">hydrogen contains </w:t>
      </w:r>
      <w:r w:rsidR="006E7AE0">
        <w:t>roughly</w:t>
      </w:r>
      <w:r w:rsidR="00440FA2">
        <w:t xml:space="preserve"> </w:t>
      </w:r>
      <w:r w:rsidR="00B86399">
        <w:t xml:space="preserve">three </w:t>
      </w:r>
      <w:r w:rsidR="00440FA2">
        <w:t xml:space="preserve">times </w:t>
      </w:r>
      <w:r w:rsidR="000F0D54">
        <w:t>more</w:t>
      </w:r>
      <w:r w:rsidR="00440FA2">
        <w:t xml:space="preserve"> energy </w:t>
      </w:r>
      <w:r w:rsidR="00620110">
        <w:t>than 1</w:t>
      </w:r>
      <w:r w:rsidR="00B86399">
        <w:t> </w:t>
      </w:r>
      <w:r w:rsidR="00620110">
        <w:t>kg of</w:t>
      </w:r>
      <w:r w:rsidR="00440FA2">
        <w:t xml:space="preserve"> gasoline.  </w:t>
      </w:r>
      <w:r w:rsidR="00620110">
        <w:t xml:space="preserve">In </w:t>
      </w:r>
      <w:r w:rsidR="00781FA2">
        <w:t>contrast</w:t>
      </w:r>
      <w:r w:rsidR="00620110">
        <w:t xml:space="preserve">, </w:t>
      </w:r>
      <w:r w:rsidR="00695847">
        <w:t xml:space="preserve">when the energy content of </w:t>
      </w:r>
      <w:r w:rsidR="00781FA2">
        <w:t xml:space="preserve">equal </w:t>
      </w:r>
      <w:r w:rsidR="000549AB">
        <w:t>volume</w:t>
      </w:r>
      <w:r w:rsidR="00695847">
        <w:t>s</w:t>
      </w:r>
      <w:r w:rsidR="000549AB">
        <w:t xml:space="preserve"> </w:t>
      </w:r>
      <w:r w:rsidR="00781FA2">
        <w:t xml:space="preserve">of </w:t>
      </w:r>
      <w:r w:rsidR="000549AB">
        <w:t>hydrogen</w:t>
      </w:r>
      <w:r w:rsidR="00620110">
        <w:t xml:space="preserve"> gas</w:t>
      </w:r>
      <w:r>
        <w:t xml:space="preserve"> (at </w:t>
      </w:r>
      <w:r w:rsidR="00B86399">
        <w:t>70 </w:t>
      </w:r>
      <w:r w:rsidR="00AE01A5">
        <w:t>megapascals</w:t>
      </w:r>
      <w:r w:rsidR="00990F5D">
        <w:t xml:space="preserve"> </w:t>
      </w:r>
      <w:r w:rsidR="009E1118">
        <w:t>[</w:t>
      </w:r>
      <w:r w:rsidR="00990F5D">
        <w:t>10 000 psi</w:t>
      </w:r>
      <w:r w:rsidR="009E1118">
        <w:t xml:space="preserve">]) </w:t>
      </w:r>
      <w:r w:rsidR="00695847">
        <w:t>and gasoline are compared, hydr</w:t>
      </w:r>
      <w:r w:rsidR="00594772">
        <w:t>o</w:t>
      </w:r>
      <w:r w:rsidR="00695847">
        <w:t>gen</w:t>
      </w:r>
      <w:r w:rsidR="00781FA2">
        <w:t xml:space="preserve"> </w:t>
      </w:r>
      <w:r w:rsidR="000549AB">
        <w:t xml:space="preserve">has </w:t>
      </w:r>
      <w:r w:rsidR="009E1118">
        <w:t xml:space="preserve">four </w:t>
      </w:r>
      <w:r w:rsidR="000549AB">
        <w:t>times less energy</w:t>
      </w:r>
      <w:r w:rsidR="00EB2622">
        <w:t>.</w:t>
      </w:r>
    </w:p>
    <w:p w14:paraId="63C3B908" w14:textId="77777777" w:rsidR="00BE05BC" w:rsidRDefault="000D6E4C" w:rsidP="00D92BE2">
      <w:pPr>
        <w:pStyle w:val="ListParagraph"/>
        <w:numPr>
          <w:ilvl w:val="0"/>
          <w:numId w:val="7"/>
        </w:numPr>
      </w:pPr>
      <w:r w:rsidRPr="00A60D6D">
        <w:rPr>
          <w:b/>
        </w:rPr>
        <w:t>Is hydrogen s</w:t>
      </w:r>
      <w:r w:rsidR="00315CD5" w:rsidRPr="00A60D6D">
        <w:rPr>
          <w:b/>
        </w:rPr>
        <w:t>afe</w:t>
      </w:r>
      <w:r w:rsidR="00D92BE2" w:rsidRPr="00A60D6D">
        <w:rPr>
          <w:b/>
        </w:rPr>
        <w:t xml:space="preserve"> as a vehicle fuel</w:t>
      </w:r>
      <w:r w:rsidR="00315CD5" w:rsidRPr="00A60D6D">
        <w:rPr>
          <w:b/>
        </w:rPr>
        <w:t>?</w:t>
      </w:r>
      <w:r w:rsidR="00BE05BC" w:rsidRPr="00A60D6D">
        <w:t xml:space="preserve"> </w:t>
      </w:r>
      <w:r w:rsidR="00D92BE2" w:rsidRPr="00A60D6D">
        <w:br/>
      </w:r>
      <w:r w:rsidR="00F0057D">
        <w:t>E</w:t>
      </w:r>
      <w:r w:rsidR="006D6F2F" w:rsidRPr="00A60D6D">
        <w:t xml:space="preserve">quipment </w:t>
      </w:r>
      <w:r w:rsidR="004E0B76" w:rsidRPr="00A60D6D">
        <w:t xml:space="preserve">in </w:t>
      </w:r>
      <w:r w:rsidR="006D6F2F" w:rsidRPr="00A60D6D">
        <w:t>use</w:t>
      </w:r>
      <w:r w:rsidR="004E0B76" w:rsidRPr="00A60D6D">
        <w:t xml:space="preserve"> at hydrogen refueling stations </w:t>
      </w:r>
      <w:r w:rsidR="006D6F2F" w:rsidRPr="00A60D6D">
        <w:t xml:space="preserve">is designed, constructed, and installed in </w:t>
      </w:r>
      <w:r w:rsidR="006D6F2F" w:rsidRPr="00A60D6D">
        <w:lastRenderedPageBreak/>
        <w:t>accordance with safety codes and standards</w:t>
      </w:r>
      <w:r w:rsidR="00A9018B">
        <w:t xml:space="preserve">, and </w:t>
      </w:r>
      <w:r w:rsidR="00AE01A5">
        <w:t>fuel cell electric vehicles (</w:t>
      </w:r>
      <w:r w:rsidR="00A9018B">
        <w:t>FCEVs</w:t>
      </w:r>
      <w:r w:rsidR="00AE01A5">
        <w:t>)</w:t>
      </w:r>
      <w:r w:rsidR="00A9018B">
        <w:t xml:space="preserve"> must meet </w:t>
      </w:r>
      <w:r w:rsidR="000808A6">
        <w:t>the National Highway and Transportation Safety Administration’</w:t>
      </w:r>
      <w:r w:rsidR="00A9018B">
        <w:t>s highest safety standards</w:t>
      </w:r>
      <w:r w:rsidR="006D6F2F" w:rsidRPr="00A60D6D">
        <w:t xml:space="preserve">.  </w:t>
      </w:r>
      <w:r w:rsidR="004E0B76" w:rsidRPr="00A60D6D">
        <w:t xml:space="preserve">Extensive research </w:t>
      </w:r>
      <w:r w:rsidR="00EC4BE1" w:rsidRPr="00A60D6D">
        <w:t xml:space="preserve">has been conducted </w:t>
      </w:r>
      <w:r w:rsidR="004E0B76" w:rsidRPr="00A60D6D">
        <w:t xml:space="preserve">by government, industry, and academia to assess hydrogen’s </w:t>
      </w:r>
      <w:r w:rsidR="009527C0" w:rsidRPr="00A60D6D">
        <w:t>properties and</w:t>
      </w:r>
      <w:r w:rsidR="004E0B76" w:rsidRPr="00A60D6D">
        <w:t xml:space="preserve"> behavior as they relate to the safe storage, transportation, and delivery of hydrogen</w:t>
      </w:r>
      <w:r w:rsidR="00EC4BE1" w:rsidRPr="00A60D6D">
        <w:t xml:space="preserve"> fuel</w:t>
      </w:r>
      <w:r w:rsidR="004E0B76" w:rsidRPr="00A60D6D">
        <w:t xml:space="preserve">. </w:t>
      </w:r>
      <w:r w:rsidR="006D6F2F" w:rsidRPr="00A60D6D">
        <w:t xml:space="preserve"> Therefore, the likelihood of a safety incident occurring while refueling </w:t>
      </w:r>
      <w:r w:rsidR="004E0B76" w:rsidRPr="00A60D6D">
        <w:t>a FC</w:t>
      </w:r>
      <w:r w:rsidR="00F0057D">
        <w:t>E</w:t>
      </w:r>
      <w:r w:rsidR="004E0B76" w:rsidRPr="00A60D6D">
        <w:t>V is not any greater than other refueling</w:t>
      </w:r>
      <w:r w:rsidR="00EC4BE1" w:rsidRPr="00A60D6D">
        <w:t xml:space="preserve"> op</w:t>
      </w:r>
      <w:r w:rsidR="007D28BF" w:rsidRPr="00A60D6D">
        <w:t>e</w:t>
      </w:r>
      <w:r w:rsidR="00EC4BE1" w:rsidRPr="00A60D6D">
        <w:t>rations</w:t>
      </w:r>
      <w:r w:rsidR="004E0B76" w:rsidRPr="00A60D6D">
        <w:t xml:space="preserve">. </w:t>
      </w:r>
      <w:r w:rsidR="00C52F79" w:rsidRPr="00A60D6D">
        <w:t xml:space="preserve"> Stations will</w:t>
      </w:r>
      <w:r w:rsidR="00C52F79">
        <w:t xml:space="preserve"> be posted with safety information </w:t>
      </w:r>
      <w:r w:rsidR="00DD6903">
        <w:t>(such as no ignition sources) a</w:t>
      </w:r>
      <w:r w:rsidR="00C52F79">
        <w:t xml:space="preserve">nd attendants trained to respond to hazardous situations.  </w:t>
      </w:r>
      <w:r w:rsidR="00A60D6D">
        <w:br/>
      </w:r>
      <w:r w:rsidR="00A60D6D">
        <w:br/>
      </w:r>
      <w:r w:rsidR="00A85D66">
        <w:t>H</w:t>
      </w:r>
      <w:r w:rsidR="00BE05BC">
        <w:t>ydrogen is non-toxic</w:t>
      </w:r>
      <w:r w:rsidR="00280DD3">
        <w:t xml:space="preserve">. A hydrogen system designed to appropriate codes and standards can provide a comparable </w:t>
      </w:r>
      <w:r w:rsidR="00CE6085">
        <w:t xml:space="preserve">(or even higher) </w:t>
      </w:r>
      <w:r w:rsidR="00280DD3">
        <w:t>level of safety than gasoline systems</w:t>
      </w:r>
      <w:r w:rsidR="00BE05BC">
        <w:t>.  If hydrogen is released into the atmosphere, it does not pollute the air or ground water.  Because hydrogen is 14 times lighter than air</w:t>
      </w:r>
      <w:r w:rsidR="00CE6085">
        <w:t>,</w:t>
      </w:r>
      <w:r w:rsidR="00BE05BC">
        <w:t xml:space="preserve"> it very quickly dissipates and will not remain in </w:t>
      </w:r>
      <w:r w:rsidR="004E0B76">
        <w:t>high concentrations</w:t>
      </w:r>
      <w:r w:rsidR="00BE05BC">
        <w:t xml:space="preserve"> if released.</w:t>
      </w:r>
      <w:r w:rsidR="00F071AE">
        <w:t xml:space="preserve"> </w:t>
      </w:r>
      <w:r w:rsidR="00327B17">
        <w:t xml:space="preserve">A hydrogen system such as </w:t>
      </w:r>
      <w:r w:rsidR="00C32C01">
        <w:t>in a</w:t>
      </w:r>
      <w:r w:rsidR="00327B17">
        <w:t xml:space="preserve"> FCEV may, in fact, be designed to release hydrogen in a controlled manner, facilitating venting or even flaring of the hydrogen as the situation warrants.  </w:t>
      </w:r>
      <w:r w:rsidR="00A60D6D">
        <w:br/>
      </w:r>
      <w:r w:rsidR="00A60D6D">
        <w:br/>
      </w:r>
      <w:r w:rsidR="005853E2">
        <w:t>H</w:t>
      </w:r>
      <w:r w:rsidR="00EC4BE1">
        <w:t>ydrogen is colorless</w:t>
      </w:r>
      <w:r w:rsidR="00327B17">
        <w:t xml:space="preserve"> and odorless</w:t>
      </w:r>
      <w:r w:rsidR="00A60D6D">
        <w:t xml:space="preserve">.  </w:t>
      </w:r>
      <w:r w:rsidR="00327B17">
        <w:t>Additive</w:t>
      </w:r>
      <w:r w:rsidR="00EC4BE1">
        <w:t xml:space="preserve"> </w:t>
      </w:r>
      <w:r w:rsidR="005853E2">
        <w:t xml:space="preserve">odorants (like the </w:t>
      </w:r>
      <w:r w:rsidR="00EB2622">
        <w:t>sulfur-</w:t>
      </w:r>
      <w:r w:rsidR="00EB2622" w:rsidRPr="00262A61">
        <w:t>containing butyl mercaptan</w:t>
      </w:r>
      <w:r w:rsidR="005853E2">
        <w:t xml:space="preserve"> used to </w:t>
      </w:r>
      <w:r w:rsidR="00287CD7">
        <w:t>facilitate</w:t>
      </w:r>
      <w:r w:rsidR="009B7645">
        <w:t xml:space="preserve"> the</w:t>
      </w:r>
      <w:r w:rsidR="00287CD7">
        <w:t xml:space="preserve"> </w:t>
      </w:r>
      <w:r w:rsidR="005853E2">
        <w:t>detect</w:t>
      </w:r>
      <w:r w:rsidR="00287CD7">
        <w:t>ion of</w:t>
      </w:r>
      <w:r w:rsidR="005853E2">
        <w:t xml:space="preserve"> natural gas) </w:t>
      </w:r>
      <w:r w:rsidR="00594772">
        <w:t xml:space="preserve">are not compatible with </w:t>
      </w:r>
      <w:r w:rsidR="00EC4BE1">
        <w:t>fuel cell technology</w:t>
      </w:r>
      <w:r w:rsidR="00EB2622">
        <w:t xml:space="preserve">.  </w:t>
      </w:r>
      <w:r w:rsidR="00A60D6D">
        <w:t>Instead</w:t>
      </w:r>
      <w:r w:rsidR="005853E2">
        <w:t>, d</w:t>
      </w:r>
      <w:r w:rsidR="00F071AE">
        <w:t xml:space="preserve">etection equipment </w:t>
      </w:r>
      <w:r w:rsidR="00EC4BE1">
        <w:t xml:space="preserve">is in use in fueling stations and is also </w:t>
      </w:r>
      <w:r w:rsidR="00F071AE">
        <w:t xml:space="preserve">available </w:t>
      </w:r>
      <w:r w:rsidR="00EC4BE1">
        <w:t xml:space="preserve">for use </w:t>
      </w:r>
      <w:r w:rsidR="005853E2">
        <w:t xml:space="preserve">in operations </w:t>
      </w:r>
      <w:r w:rsidR="00EC4BE1">
        <w:t>where a hydro</w:t>
      </w:r>
      <w:r w:rsidR="007D28BF">
        <w:t>ge</w:t>
      </w:r>
      <w:r w:rsidR="00EC4BE1">
        <w:t>n</w:t>
      </w:r>
      <w:r w:rsidR="005853E2">
        <w:t xml:space="preserve"> </w:t>
      </w:r>
      <w:r w:rsidR="007D28BF">
        <w:t xml:space="preserve">release </w:t>
      </w:r>
      <w:r w:rsidR="005853E2">
        <w:t xml:space="preserve">might </w:t>
      </w:r>
      <w:r w:rsidR="007D28BF">
        <w:t xml:space="preserve">be entrapped in an </w:t>
      </w:r>
      <w:r w:rsidR="00F071AE">
        <w:t>enclosed space.</w:t>
      </w:r>
    </w:p>
    <w:p w14:paraId="669E4FFB" w14:textId="77777777" w:rsidR="00315CD5" w:rsidRDefault="00A60D6D" w:rsidP="00F67E63">
      <w:pPr>
        <w:pStyle w:val="ListParagraph"/>
      </w:pPr>
      <w:r>
        <w:br/>
      </w:r>
      <w:r w:rsidR="00BE05BC">
        <w:t xml:space="preserve">Hydrogen is stored </w:t>
      </w:r>
      <w:r w:rsidR="00262A61">
        <w:t xml:space="preserve">in </w:t>
      </w:r>
      <w:r w:rsidR="00645757">
        <w:t>liquid or gas</w:t>
      </w:r>
      <w:r w:rsidR="00262A61">
        <w:t>eous form</w:t>
      </w:r>
      <w:r w:rsidR="00645757">
        <w:t xml:space="preserve">, </w:t>
      </w:r>
      <w:r w:rsidR="007D28BF">
        <w:t xml:space="preserve">and delivered during fueling </w:t>
      </w:r>
      <w:r w:rsidR="00645757">
        <w:t xml:space="preserve">as a gas </w:t>
      </w:r>
      <w:r w:rsidR="00BE05BC">
        <w:t xml:space="preserve">at high pressure.  </w:t>
      </w:r>
      <w:r w:rsidR="007D28BF">
        <w:t xml:space="preserve">The high pressure is necessary to compress </w:t>
      </w:r>
      <w:r w:rsidR="00262A61">
        <w:t xml:space="preserve">the hydrogen enough to enable </w:t>
      </w:r>
      <w:r w:rsidR="007D28BF">
        <w:t xml:space="preserve">sufficient amounts of </w:t>
      </w:r>
      <w:r w:rsidR="00645757">
        <w:t>hydrogen</w:t>
      </w:r>
      <w:r w:rsidR="007D28BF">
        <w:t xml:space="preserve"> </w:t>
      </w:r>
      <w:r w:rsidR="005C30E0">
        <w:t xml:space="preserve">for </w:t>
      </w:r>
      <w:r w:rsidR="00645757">
        <w:t>suitable</w:t>
      </w:r>
      <w:r w:rsidR="005C30E0">
        <w:t xml:space="preserve"> driving </w:t>
      </w:r>
      <w:r w:rsidR="00645757">
        <w:t>distances</w:t>
      </w:r>
      <w:r w:rsidR="007D28BF">
        <w:t xml:space="preserve">.  You </w:t>
      </w:r>
      <w:r w:rsidR="00EB6B52">
        <w:t xml:space="preserve">will </w:t>
      </w:r>
      <w:r w:rsidR="007D28BF">
        <w:t xml:space="preserve">see </w:t>
      </w:r>
      <w:r w:rsidR="00EB6B52">
        <w:t xml:space="preserve">dispenser service </w:t>
      </w:r>
      <w:r w:rsidR="007D28BF">
        <w:t xml:space="preserve">pressure </w:t>
      </w:r>
      <w:r w:rsidR="00EB6B52">
        <w:t xml:space="preserve">expressed </w:t>
      </w:r>
      <w:r w:rsidR="007D28BF">
        <w:t xml:space="preserve">in metric units of megapascal (MPa).  </w:t>
      </w:r>
      <w:r w:rsidR="00DD1317">
        <w:t>Hydrogen f</w:t>
      </w:r>
      <w:r w:rsidR="00645757">
        <w:t xml:space="preserve">uel cell electric </w:t>
      </w:r>
      <w:r w:rsidR="00D92BE2">
        <w:t xml:space="preserve">vehicles have storage </w:t>
      </w:r>
      <w:r w:rsidR="00645757">
        <w:t xml:space="preserve">pressures </w:t>
      </w:r>
      <w:r w:rsidR="00D92BE2">
        <w:t xml:space="preserve">up </w:t>
      </w:r>
      <w:r w:rsidR="00B462B6">
        <w:t>to 70</w:t>
      </w:r>
      <w:r w:rsidR="00D92BE2">
        <w:t xml:space="preserve"> MPa (10</w:t>
      </w:r>
      <w:r w:rsidR="00EC4BE1">
        <w:t xml:space="preserve"> 000 </w:t>
      </w:r>
      <w:r w:rsidR="00D92BE2">
        <w:t>psi</w:t>
      </w:r>
      <w:r w:rsidR="00D410F3">
        <w:t>g</w:t>
      </w:r>
      <w:r w:rsidR="00D92BE2">
        <w:t xml:space="preserve">).  High strength </w:t>
      </w:r>
      <w:r w:rsidR="005072CC">
        <w:t xml:space="preserve">carbon fiber reinforced </w:t>
      </w:r>
      <w:r w:rsidR="00D92BE2">
        <w:t xml:space="preserve">tanks are designed and manufactured to contain these pressures safely.  </w:t>
      </w:r>
      <w:r w:rsidR="002434FB">
        <w:t>Earlier designs of</w:t>
      </w:r>
      <w:r w:rsidR="00D92BE2">
        <w:t xml:space="preserve"> fuel storage cylinders have been used successfully in </w:t>
      </w:r>
      <w:r w:rsidR="001C597D">
        <w:t>compressed natural gas (</w:t>
      </w:r>
      <w:r w:rsidR="00D92BE2">
        <w:t>CNG</w:t>
      </w:r>
      <w:r w:rsidR="001C597D">
        <w:t>)</w:t>
      </w:r>
      <w:r w:rsidR="00D92BE2">
        <w:t xml:space="preserve"> vehicles for onboard storage of high pressure gaseous fuel for many years.</w:t>
      </w:r>
    </w:p>
    <w:p w14:paraId="626F357C" w14:textId="77777777" w:rsidR="002434FB" w:rsidRDefault="002434FB" w:rsidP="00F67E63">
      <w:pPr>
        <w:spacing w:after="0"/>
      </w:pPr>
    </w:p>
    <w:p w14:paraId="5F63C610" w14:textId="77777777" w:rsidR="00A54BA9" w:rsidRDefault="00315CD5" w:rsidP="00F67E63">
      <w:pPr>
        <w:pStyle w:val="ListParagraph"/>
        <w:numPr>
          <w:ilvl w:val="0"/>
          <w:numId w:val="7"/>
        </w:numPr>
      </w:pPr>
      <w:r w:rsidRPr="002434FB">
        <w:rPr>
          <w:b/>
        </w:rPr>
        <w:t>What other uses</w:t>
      </w:r>
      <w:r w:rsidR="000D6E4C" w:rsidRPr="002434FB">
        <w:rPr>
          <w:b/>
        </w:rPr>
        <w:t xml:space="preserve"> are there for hydrogen fuel cells</w:t>
      </w:r>
      <w:r w:rsidRPr="002434FB">
        <w:rPr>
          <w:b/>
        </w:rPr>
        <w:t>?</w:t>
      </w:r>
      <w:r w:rsidR="000D6E4C" w:rsidRPr="002434FB">
        <w:t xml:space="preserve"> </w:t>
      </w:r>
      <w:r w:rsidR="00F80340" w:rsidRPr="002434FB">
        <w:br/>
      </w:r>
      <w:r w:rsidR="00AE3D8B" w:rsidRPr="002434FB">
        <w:t>H</w:t>
      </w:r>
      <w:r w:rsidR="00F80340" w:rsidRPr="002434FB">
        <w:t>ydrogen fuel cells</w:t>
      </w:r>
      <w:r w:rsidR="002434FB" w:rsidRPr="002434FB">
        <w:t>,</w:t>
      </w:r>
      <w:r w:rsidR="00F80340" w:rsidRPr="002434FB">
        <w:t xml:space="preserve"> </w:t>
      </w:r>
      <w:r w:rsidR="006A5401" w:rsidRPr="002434FB">
        <w:t>along with powering passenger and fleet vehicles</w:t>
      </w:r>
      <w:r w:rsidR="002434FB" w:rsidRPr="002434FB">
        <w:t>,</w:t>
      </w:r>
      <w:r w:rsidR="006A5401" w:rsidRPr="002434FB">
        <w:t xml:space="preserve"> </w:t>
      </w:r>
      <w:r w:rsidR="00AE3D8B" w:rsidRPr="002434FB">
        <w:t xml:space="preserve">can also be found </w:t>
      </w:r>
      <w:r w:rsidR="00F80340" w:rsidRPr="002434FB">
        <w:t xml:space="preserve">in </w:t>
      </w:r>
      <w:r w:rsidR="005574F8" w:rsidRPr="002434FB">
        <w:t>stationary</w:t>
      </w:r>
      <w:r w:rsidR="00FD5B5E" w:rsidRPr="002434FB">
        <w:t xml:space="preserve"> </w:t>
      </w:r>
      <w:r w:rsidR="00BB28B7" w:rsidRPr="002434FB">
        <w:t xml:space="preserve">and portable </w:t>
      </w:r>
      <w:r w:rsidR="002434FB" w:rsidRPr="002434FB">
        <w:t xml:space="preserve">power generation </w:t>
      </w:r>
      <w:r w:rsidR="00BB28B7" w:rsidRPr="002434FB">
        <w:t>applications</w:t>
      </w:r>
      <w:r w:rsidR="00FD5B5E" w:rsidRPr="002434FB">
        <w:t>.  Hydrogen fuel cells are used in stationary applications</w:t>
      </w:r>
      <w:r w:rsidR="00444107">
        <w:t xml:space="preserve"> </w:t>
      </w:r>
      <w:r w:rsidR="006C4D61">
        <w:t>as</w:t>
      </w:r>
      <w:r w:rsidR="006A5401" w:rsidRPr="002434FB">
        <w:t xml:space="preserve"> backup</w:t>
      </w:r>
      <w:r w:rsidR="00A85D66" w:rsidRPr="002434FB">
        <w:t xml:space="preserve"> </w:t>
      </w:r>
      <w:r w:rsidR="005574F8" w:rsidRPr="002434FB">
        <w:t>power generation</w:t>
      </w:r>
      <w:r w:rsidR="006A5401" w:rsidRPr="002434FB">
        <w:t xml:space="preserve"> </w:t>
      </w:r>
      <w:r w:rsidR="00FD5B5E" w:rsidRPr="002434FB">
        <w:t xml:space="preserve">systems to provide a reliable uninterrupted </w:t>
      </w:r>
      <w:r w:rsidR="00A26BD4" w:rsidRPr="002434FB">
        <w:t>energy</w:t>
      </w:r>
      <w:r w:rsidR="00FD5B5E" w:rsidRPr="002434FB">
        <w:t xml:space="preserve"> source </w:t>
      </w:r>
      <w:r w:rsidR="00A85D66" w:rsidRPr="002434FB">
        <w:t xml:space="preserve">for </w:t>
      </w:r>
      <w:r w:rsidR="002434FB" w:rsidRPr="002434FB">
        <w:t>hospitals and</w:t>
      </w:r>
      <w:r w:rsidR="00FD5B5E" w:rsidRPr="002434FB">
        <w:t xml:space="preserve"> data centers.  Hydrogen fuel cells have </w:t>
      </w:r>
      <w:r w:rsidR="00A26BD4" w:rsidRPr="002434FB">
        <w:t xml:space="preserve">also </w:t>
      </w:r>
      <w:r w:rsidR="00FD5B5E" w:rsidRPr="002434FB">
        <w:t>seen recent success in warehouse and distribution center operations where they are used to power</w:t>
      </w:r>
      <w:r w:rsidR="00AE3D8B" w:rsidRPr="002434FB">
        <w:t xml:space="preserve"> forklifts</w:t>
      </w:r>
      <w:r w:rsidR="006C4D61">
        <w:t xml:space="preserve"> </w:t>
      </w:r>
      <w:r w:rsidR="00A9018B">
        <w:t>operated</w:t>
      </w:r>
      <w:r w:rsidR="006C4D61">
        <w:t xml:space="preserve"> in enclosed spaces where </w:t>
      </w:r>
      <w:r w:rsidR="00FA3B31">
        <w:t xml:space="preserve">engine exhaust </w:t>
      </w:r>
      <w:r w:rsidR="006C4D61">
        <w:t>emissions are undesirable</w:t>
      </w:r>
      <w:r w:rsidR="00327B17">
        <w:t>, and where fleet management favors fewer vehicles with less down time</w:t>
      </w:r>
      <w:r w:rsidR="00BF4266">
        <w:t>.</w:t>
      </w:r>
      <w:r w:rsidR="00FD5B5E" w:rsidRPr="002434FB">
        <w:t xml:space="preserve">  </w:t>
      </w:r>
      <w:r w:rsidR="00BB28B7" w:rsidRPr="002434FB">
        <w:t xml:space="preserve">Hydrogen fuel cells, which have a higher energy density and lighter weight than batteries, are </w:t>
      </w:r>
      <w:r w:rsidR="00AE07F1">
        <w:t xml:space="preserve">also </w:t>
      </w:r>
      <w:r w:rsidR="00BB28B7" w:rsidRPr="002434FB">
        <w:t>being marketed in portable applications to power personal electronic devices such as cell phones</w:t>
      </w:r>
      <w:r w:rsidR="00A9018B">
        <w:t>, chargers,</w:t>
      </w:r>
      <w:r w:rsidR="00BB28B7" w:rsidRPr="002434FB">
        <w:t xml:space="preserve"> and laptops.</w:t>
      </w:r>
    </w:p>
    <w:p w14:paraId="11B242DC" w14:textId="77777777" w:rsidR="00315CD5" w:rsidRPr="002434FB" w:rsidRDefault="00315CD5" w:rsidP="00A54BA9">
      <w:pPr>
        <w:pStyle w:val="ListParagraph"/>
      </w:pPr>
    </w:p>
    <w:p w14:paraId="7EBBACBD" w14:textId="77777777" w:rsidR="005D75F1" w:rsidRDefault="00D95E0E" w:rsidP="00BE59AE">
      <w:pPr>
        <w:pStyle w:val="ListParagraph"/>
        <w:numPr>
          <w:ilvl w:val="0"/>
          <w:numId w:val="7"/>
        </w:numPr>
      </w:pPr>
      <w:r w:rsidRPr="00613652">
        <w:rPr>
          <w:b/>
        </w:rPr>
        <w:t xml:space="preserve">Where can I learn more about what is happening with hydrogen </w:t>
      </w:r>
      <w:r w:rsidR="00374D6E" w:rsidRPr="00613652">
        <w:rPr>
          <w:b/>
        </w:rPr>
        <w:t xml:space="preserve">as a vehicle </w:t>
      </w:r>
      <w:r w:rsidRPr="00613652">
        <w:rPr>
          <w:b/>
        </w:rPr>
        <w:t>fuel?</w:t>
      </w:r>
      <w:r>
        <w:br/>
      </w:r>
      <w:r w:rsidR="000D4045">
        <w:t xml:space="preserve">The </w:t>
      </w:r>
      <w:r>
        <w:t>NIST</w:t>
      </w:r>
      <w:r w:rsidR="000D4045">
        <w:t xml:space="preserve"> </w:t>
      </w:r>
      <w:r w:rsidR="009527C0">
        <w:t xml:space="preserve">Office of </w:t>
      </w:r>
      <w:r w:rsidR="000D4045">
        <w:t xml:space="preserve">Weights and Measures </w:t>
      </w:r>
      <w:r w:rsidR="002434FB">
        <w:t>maintains</w:t>
      </w:r>
      <w:r w:rsidR="005574F8">
        <w:t xml:space="preserve"> a </w:t>
      </w:r>
      <w:r w:rsidR="000D4045">
        <w:t xml:space="preserve">hydrogen information </w:t>
      </w:r>
      <w:r w:rsidR="005574F8">
        <w:t xml:space="preserve">website </w:t>
      </w:r>
      <w:r w:rsidR="000D4045">
        <w:t xml:space="preserve">available </w:t>
      </w:r>
      <w:r w:rsidR="005574F8">
        <w:t>at</w:t>
      </w:r>
      <w:r w:rsidR="000D4045">
        <w:t>:</w:t>
      </w:r>
      <w:r>
        <w:t xml:space="preserve">  </w:t>
      </w:r>
      <w:hyperlink r:id="rId9" w:history="1">
        <w:r w:rsidR="00BE59AE" w:rsidRPr="007B7722">
          <w:rPr>
            <w:rStyle w:val="Hyperlink"/>
          </w:rPr>
          <w:t>https://www.nist.gov/pml/weights-and-measures/legal-metrology-devices/hydrogen-us-national-work-group</w:t>
        </w:r>
      </w:hyperlink>
      <w:r w:rsidR="00BE59AE">
        <w:t xml:space="preserve">. </w:t>
      </w:r>
      <w:r w:rsidR="00BE59AE" w:rsidRPr="00BE59AE">
        <w:t xml:space="preserve"> </w:t>
      </w:r>
      <w:r>
        <w:t xml:space="preserve">This resource is dedicated to </w:t>
      </w:r>
      <w:r w:rsidR="005C30E0">
        <w:t xml:space="preserve">providing information on </w:t>
      </w:r>
      <w:r>
        <w:t xml:space="preserve">the </w:t>
      </w:r>
      <w:r w:rsidR="005C30E0">
        <w:t xml:space="preserve">latest efforts to </w:t>
      </w:r>
      <w:r>
        <w:t xml:space="preserve">develop </w:t>
      </w:r>
      <w:r w:rsidR="000D4045">
        <w:t>uniform, fair, and appro</w:t>
      </w:r>
      <w:r w:rsidR="001341EC">
        <w:t>p</w:t>
      </w:r>
      <w:r w:rsidR="000D4045">
        <w:t xml:space="preserve">riate </w:t>
      </w:r>
      <w:r w:rsidR="001341EC">
        <w:t xml:space="preserve">legal metrology requirements for </w:t>
      </w:r>
      <w:r>
        <w:t xml:space="preserve">commercial hydrogen measurement.  The web page has links to other websites that </w:t>
      </w:r>
      <w:r w:rsidR="002434FB">
        <w:t>provide additional</w:t>
      </w:r>
      <w:r w:rsidR="001341EC">
        <w:t xml:space="preserve"> </w:t>
      </w:r>
      <w:r>
        <w:t>information on</w:t>
      </w:r>
      <w:r w:rsidR="00A85D66">
        <w:t xml:space="preserve"> </w:t>
      </w:r>
    </w:p>
    <w:p w14:paraId="00DEBF0F" w14:textId="77777777" w:rsidR="005D75F1" w:rsidRDefault="005D75F1">
      <w:pPr>
        <w:rPr>
          <w:rFonts w:ascii="Calibri" w:hAnsi="Calibri" w:cs="Times New Roman"/>
        </w:rPr>
      </w:pPr>
      <w:r>
        <w:br w:type="page"/>
      </w:r>
    </w:p>
    <w:p w14:paraId="7C54413E" w14:textId="77777777" w:rsidR="00613652" w:rsidRDefault="000D4045" w:rsidP="005D75F1">
      <w:pPr>
        <w:pStyle w:val="ListParagraph"/>
      </w:pPr>
      <w:r>
        <w:lastRenderedPageBreak/>
        <w:t xml:space="preserve">the </w:t>
      </w:r>
      <w:r w:rsidR="001341EC">
        <w:t xml:space="preserve">development of related </w:t>
      </w:r>
      <w:r w:rsidR="00D95E0E">
        <w:t>hydrogen</w:t>
      </w:r>
      <w:r w:rsidR="001341EC">
        <w:t xml:space="preserve"> topics such as basic safety, fueling station locations, fact sheets, </w:t>
      </w:r>
      <w:r w:rsidR="00A9018B">
        <w:t>and more</w:t>
      </w:r>
      <w:r w:rsidR="00D95E0E">
        <w:t>.</w:t>
      </w:r>
      <w:r w:rsidR="00921051">
        <w:t xml:space="preserve">  Other </w:t>
      </w:r>
      <w:r w:rsidR="00613652">
        <w:t xml:space="preserve">websites for more information </w:t>
      </w:r>
      <w:r w:rsidR="00921051">
        <w:t>are available at:</w:t>
      </w:r>
      <w:r w:rsidR="00613652">
        <w:t xml:space="preserve"> </w:t>
      </w:r>
    </w:p>
    <w:p w14:paraId="4757DA77" w14:textId="77777777" w:rsidR="007638D6" w:rsidRDefault="007638D6" w:rsidP="007638D6">
      <w:pPr>
        <w:pStyle w:val="ListParagraph"/>
      </w:pPr>
    </w:p>
    <w:tbl>
      <w:tblPr>
        <w:tblStyle w:val="TableGrid"/>
        <w:tblW w:w="0" w:type="auto"/>
        <w:tblInd w:w="1623" w:type="dxa"/>
        <w:tblLook w:val="04A0" w:firstRow="1" w:lastRow="0" w:firstColumn="1" w:lastColumn="0" w:noHBand="0" w:noVBand="1"/>
      </w:tblPr>
      <w:tblGrid>
        <w:gridCol w:w="7015"/>
      </w:tblGrid>
      <w:tr w:rsidR="00613652" w14:paraId="204D9E10" w14:textId="77777777" w:rsidTr="00513892">
        <w:tc>
          <w:tcPr>
            <w:tcW w:w="7015" w:type="dxa"/>
            <w:tcBorders>
              <w:top w:val="nil"/>
              <w:left w:val="nil"/>
              <w:bottom w:val="nil"/>
              <w:right w:val="nil"/>
            </w:tcBorders>
          </w:tcPr>
          <w:p w14:paraId="1064DEAD" w14:textId="77777777" w:rsidR="00E21DBE" w:rsidRDefault="00504044" w:rsidP="00613652">
            <w:hyperlink r:id="rId10" w:history="1">
              <w:r w:rsidR="00E21DBE" w:rsidRPr="007B7722">
                <w:rPr>
                  <w:rStyle w:val="Hyperlink"/>
                </w:rPr>
                <w:t>https://www.energy.gov/eere/fuelcells/fuel-cell-technologies-office</w:t>
              </w:r>
            </w:hyperlink>
            <w:r w:rsidR="00E21DBE">
              <w:t xml:space="preserve"> </w:t>
            </w:r>
          </w:p>
          <w:p w14:paraId="08BF455A" w14:textId="77777777" w:rsidR="00613652" w:rsidRDefault="00504044" w:rsidP="00613652">
            <w:hyperlink r:id="rId11" w:history="1">
              <w:r w:rsidR="00613652" w:rsidRPr="00D22B1A">
                <w:rPr>
                  <w:rStyle w:val="Hyperlink"/>
                </w:rPr>
                <w:t>http://energy.gov/eere/fuelcells/hydrogen-storage</w:t>
              </w:r>
            </w:hyperlink>
            <w:r w:rsidR="00613652" w:rsidRPr="00921051">
              <w:t xml:space="preserve">; </w:t>
            </w:r>
          </w:p>
          <w:p w14:paraId="2CD45182" w14:textId="77777777" w:rsidR="00613652" w:rsidRDefault="00504044" w:rsidP="00613652">
            <w:hyperlink r:id="rId12" w:history="1">
              <w:r w:rsidR="00613652" w:rsidRPr="00D22B1A">
                <w:rPr>
                  <w:rStyle w:val="Hyperlink"/>
                </w:rPr>
                <w:t>http://energy.gov/eere/fuelcells/hydrogen-delivery</w:t>
              </w:r>
            </w:hyperlink>
            <w:r w:rsidR="00613652" w:rsidRPr="00921051">
              <w:t xml:space="preserve">; </w:t>
            </w:r>
          </w:p>
          <w:p w14:paraId="6847AA76" w14:textId="77777777" w:rsidR="00613652" w:rsidRDefault="00504044" w:rsidP="00613652">
            <w:hyperlink r:id="rId13" w:history="1">
              <w:r w:rsidR="00613652" w:rsidRPr="00D22B1A">
                <w:rPr>
                  <w:rStyle w:val="Hyperlink"/>
                </w:rPr>
                <w:t>http://www.fchea.org/factsheets/</w:t>
              </w:r>
            </w:hyperlink>
            <w:r w:rsidR="00613652" w:rsidRPr="00921051">
              <w:t xml:space="preserve">; </w:t>
            </w:r>
          </w:p>
          <w:p w14:paraId="20636096" w14:textId="77777777" w:rsidR="00613652" w:rsidRDefault="00504044" w:rsidP="00613652">
            <w:hyperlink r:id="rId14" w:history="1">
              <w:r w:rsidR="00613652" w:rsidRPr="00D22B1A">
                <w:rPr>
                  <w:rStyle w:val="Hyperlink"/>
                </w:rPr>
                <w:t>http://www.h2usa.org/faq</w:t>
              </w:r>
            </w:hyperlink>
            <w:r w:rsidR="00613652" w:rsidRPr="00921051">
              <w:t xml:space="preserve">; </w:t>
            </w:r>
            <w:r w:rsidR="00613652">
              <w:t xml:space="preserve">and </w:t>
            </w:r>
          </w:p>
          <w:p w14:paraId="1F7D2DAA" w14:textId="77777777" w:rsidR="00613652" w:rsidRDefault="00504044" w:rsidP="00613652">
            <w:hyperlink r:id="rId15" w:history="1">
              <w:r w:rsidR="00613652" w:rsidRPr="00D22B1A">
                <w:rPr>
                  <w:rStyle w:val="Hyperlink"/>
                </w:rPr>
                <w:t>http://cafcp.org/faqs</w:t>
              </w:r>
            </w:hyperlink>
            <w:r w:rsidR="00613652">
              <w:t xml:space="preserve"> </w:t>
            </w:r>
          </w:p>
        </w:tc>
      </w:tr>
    </w:tbl>
    <w:p w14:paraId="5CB59457" w14:textId="77777777" w:rsidR="00921051" w:rsidRDefault="00921051" w:rsidP="00613652"/>
    <w:p w14:paraId="3D08C737" w14:textId="77777777" w:rsidR="00315CD5" w:rsidRPr="008C3694" w:rsidRDefault="00B462B6" w:rsidP="0080227F">
      <w:pPr>
        <w:jc w:val="center"/>
        <w:rPr>
          <w:b/>
          <w:sz w:val="28"/>
          <w:u w:val="single"/>
        </w:rPr>
      </w:pPr>
      <w:r w:rsidRPr="008C3694">
        <w:rPr>
          <w:b/>
          <w:sz w:val="28"/>
          <w:u w:val="single"/>
        </w:rPr>
        <w:t>Questions Relat</w:t>
      </w:r>
      <w:r w:rsidR="006F748D">
        <w:rPr>
          <w:b/>
          <w:sz w:val="28"/>
          <w:u w:val="single"/>
        </w:rPr>
        <w:t>ed</w:t>
      </w:r>
      <w:r w:rsidRPr="008C3694">
        <w:rPr>
          <w:b/>
          <w:sz w:val="28"/>
          <w:u w:val="single"/>
        </w:rPr>
        <w:t xml:space="preserve"> to Legal Metrology</w:t>
      </w:r>
    </w:p>
    <w:p w14:paraId="14CF5B41" w14:textId="77777777" w:rsidR="003F0BA8" w:rsidRPr="003F0BA8" w:rsidRDefault="003F0BA8" w:rsidP="003F0BA8">
      <w:pPr>
        <w:numPr>
          <w:ilvl w:val="0"/>
          <w:numId w:val="9"/>
        </w:numPr>
        <w:spacing w:after="0" w:line="240" w:lineRule="auto"/>
        <w:rPr>
          <w:rFonts w:ascii="Calibri" w:hAnsi="Calibri" w:cs="Times New Roman"/>
        </w:rPr>
      </w:pPr>
      <w:r w:rsidRPr="003F0BA8">
        <w:rPr>
          <w:rFonts w:ascii="Calibri" w:hAnsi="Calibri" w:cs="Times New Roman"/>
          <w:b/>
        </w:rPr>
        <w:t>What legal metrology standards exist for hydrogen fueling applications?</w:t>
      </w:r>
      <w:r w:rsidRPr="003F0BA8">
        <w:rPr>
          <w:rFonts w:ascii="Calibri" w:hAnsi="Calibri" w:cs="Times New Roman"/>
        </w:rPr>
        <w:br/>
      </w:r>
      <w:r w:rsidR="00267B33">
        <w:rPr>
          <w:rFonts w:ascii="Calibri" w:hAnsi="Calibri" w:cs="Times New Roman"/>
        </w:rPr>
        <w:t>The National Institute of Standards and Technology (</w:t>
      </w:r>
      <w:r w:rsidRPr="003F0BA8">
        <w:rPr>
          <w:rFonts w:ascii="Calibri" w:hAnsi="Calibri" w:cs="Times New Roman"/>
        </w:rPr>
        <w:t>NIST</w:t>
      </w:r>
      <w:r w:rsidR="00267B33">
        <w:rPr>
          <w:rFonts w:ascii="Calibri" w:hAnsi="Calibri" w:cs="Times New Roman"/>
        </w:rPr>
        <w:t>)</w:t>
      </w:r>
      <w:r w:rsidRPr="003F0BA8">
        <w:rPr>
          <w:rFonts w:ascii="Calibri" w:hAnsi="Calibri" w:cs="Times New Roman"/>
        </w:rPr>
        <w:t xml:space="preserve"> Handbook 44</w:t>
      </w:r>
      <w:r w:rsidR="009E1118">
        <w:rPr>
          <w:rFonts w:ascii="Calibri" w:hAnsi="Calibri" w:cs="Times New Roman"/>
        </w:rPr>
        <w:t xml:space="preserve">, “Specifications, Tolerances, and Other Technical Requirements for </w:t>
      </w:r>
      <w:r w:rsidR="00D02583">
        <w:rPr>
          <w:rFonts w:ascii="Calibri" w:hAnsi="Calibri" w:cs="Times New Roman"/>
        </w:rPr>
        <w:t xml:space="preserve">Weighing and </w:t>
      </w:r>
      <w:r w:rsidR="009E1118">
        <w:rPr>
          <w:rFonts w:ascii="Calibri" w:hAnsi="Calibri" w:cs="Times New Roman"/>
        </w:rPr>
        <w:t>Measuring Devices,”</w:t>
      </w:r>
      <w:r w:rsidRPr="003F0BA8">
        <w:rPr>
          <w:rFonts w:ascii="Calibri" w:hAnsi="Calibri" w:cs="Times New Roman"/>
        </w:rPr>
        <w:t xml:space="preserve"> Section 1.10 General Code and Section 3.39 Hydrogen Gas-Measuring Devices Code provide specifications, tolerances, and other technical requirements for hydrogen </w:t>
      </w:r>
      <w:r w:rsidR="00C424BB">
        <w:rPr>
          <w:rFonts w:ascii="Calibri" w:hAnsi="Calibri" w:cs="Times New Roman"/>
        </w:rPr>
        <w:t xml:space="preserve">measuring </w:t>
      </w:r>
      <w:r w:rsidRPr="003F0BA8">
        <w:rPr>
          <w:rFonts w:ascii="Calibri" w:hAnsi="Calibri" w:cs="Times New Roman"/>
        </w:rPr>
        <w:t xml:space="preserve">devices.  NIST </w:t>
      </w:r>
      <w:r w:rsidR="009E301E">
        <w:rPr>
          <w:rFonts w:ascii="Calibri" w:hAnsi="Calibri" w:cs="Times New Roman"/>
        </w:rPr>
        <w:t>Handbook </w:t>
      </w:r>
      <w:r w:rsidRPr="003F0BA8">
        <w:rPr>
          <w:rFonts w:ascii="Calibri" w:hAnsi="Calibri" w:cs="Times New Roman"/>
        </w:rPr>
        <w:t xml:space="preserve">44 requirements </w:t>
      </w:r>
      <w:r w:rsidR="00CC259B">
        <w:rPr>
          <w:rFonts w:ascii="Calibri" w:hAnsi="Calibri" w:cs="Times New Roman"/>
        </w:rPr>
        <w:t>form</w:t>
      </w:r>
      <w:r w:rsidRPr="003F0BA8">
        <w:rPr>
          <w:rFonts w:ascii="Calibri" w:hAnsi="Calibri" w:cs="Times New Roman"/>
        </w:rPr>
        <w:t xml:space="preserve"> the basis for type evaluation</w:t>
      </w:r>
      <w:r w:rsidR="00CC259B">
        <w:rPr>
          <w:rFonts w:ascii="Calibri" w:hAnsi="Calibri" w:cs="Times New Roman"/>
        </w:rPr>
        <w:t xml:space="preserve"> under the National Type Evaluation Program</w:t>
      </w:r>
      <w:r w:rsidRPr="003F0BA8">
        <w:rPr>
          <w:rFonts w:ascii="Calibri" w:hAnsi="Calibri" w:cs="Times New Roman"/>
        </w:rPr>
        <w:t xml:space="preserve"> and </w:t>
      </w:r>
      <w:r w:rsidR="00CC259B">
        <w:rPr>
          <w:rFonts w:ascii="Calibri" w:hAnsi="Calibri" w:cs="Times New Roman"/>
        </w:rPr>
        <w:t xml:space="preserve">for </w:t>
      </w:r>
      <w:r w:rsidRPr="003F0BA8">
        <w:rPr>
          <w:rFonts w:ascii="Calibri" w:hAnsi="Calibri" w:cs="Times New Roman"/>
        </w:rPr>
        <w:t>routine inspection and test procedures for commercial measuring equipment.  NIST Office of Weights and Measures</w:t>
      </w:r>
      <w:r w:rsidR="00C32C01">
        <w:rPr>
          <w:rFonts w:ascii="Calibri" w:hAnsi="Calibri" w:cs="Times New Roman"/>
        </w:rPr>
        <w:t xml:space="preserve"> (OWM)</w:t>
      </w:r>
      <w:r w:rsidRPr="003F0BA8">
        <w:rPr>
          <w:rFonts w:ascii="Calibri" w:hAnsi="Calibri" w:cs="Times New Roman"/>
        </w:rPr>
        <w:t xml:space="preserve">, through a Department of Energy (DOE)/NIST sponsored </w:t>
      </w:r>
      <w:r w:rsidR="00267B33">
        <w:rPr>
          <w:rFonts w:ascii="Calibri" w:hAnsi="Calibri" w:cs="Times New Roman"/>
        </w:rPr>
        <w:t xml:space="preserve">U.S. </w:t>
      </w:r>
      <w:r w:rsidRPr="003F0BA8">
        <w:rPr>
          <w:rFonts w:ascii="Calibri" w:hAnsi="Calibri" w:cs="Times New Roman"/>
        </w:rPr>
        <w:t>National Work Group, has developed a draft Examination Procedure Outline (EPO), which is a detailed step</w:t>
      </w:r>
      <w:r w:rsidR="00CE563E">
        <w:rPr>
          <w:rFonts w:ascii="Calibri" w:hAnsi="Calibri" w:cs="Times New Roman"/>
        </w:rPr>
        <w:t>-</w:t>
      </w:r>
      <w:r w:rsidRPr="003F0BA8">
        <w:rPr>
          <w:rFonts w:ascii="Calibri" w:hAnsi="Calibri" w:cs="Times New Roman"/>
        </w:rPr>
        <w:t>by</w:t>
      </w:r>
      <w:r w:rsidR="00CE563E">
        <w:rPr>
          <w:rFonts w:ascii="Calibri" w:hAnsi="Calibri" w:cs="Times New Roman"/>
        </w:rPr>
        <w:t>-</w:t>
      </w:r>
      <w:r w:rsidRPr="003F0BA8">
        <w:rPr>
          <w:rFonts w:ascii="Calibri" w:hAnsi="Calibri" w:cs="Times New Roman"/>
        </w:rPr>
        <w:t xml:space="preserve">step inspection and test procedure (using a gravimetric method) for a hydrogen dispenser, based on NIST </w:t>
      </w:r>
      <w:r w:rsidR="009E301E">
        <w:rPr>
          <w:rFonts w:ascii="Calibri" w:hAnsi="Calibri" w:cs="Times New Roman"/>
        </w:rPr>
        <w:t>Handbook</w:t>
      </w:r>
      <w:r w:rsidRPr="003F0BA8">
        <w:rPr>
          <w:rFonts w:ascii="Calibri" w:hAnsi="Calibri" w:cs="Times New Roman"/>
        </w:rPr>
        <w:t xml:space="preserve"> 44 device code requirements.  Test procedures for other alternative test methods are under consideration.</w:t>
      </w:r>
      <w:r w:rsidRPr="003F0BA8">
        <w:rPr>
          <w:rFonts w:ascii="Calibri" w:hAnsi="Calibri" w:cs="Times New Roman"/>
        </w:rPr>
        <w:br/>
      </w:r>
      <w:r w:rsidRPr="003F0BA8">
        <w:rPr>
          <w:rFonts w:ascii="Calibri" w:hAnsi="Calibri" w:cs="Times New Roman"/>
        </w:rPr>
        <w:br/>
        <w:t>NIST Handbook 130</w:t>
      </w:r>
      <w:r w:rsidR="009E1118">
        <w:rPr>
          <w:rFonts w:ascii="Calibri" w:hAnsi="Calibri" w:cs="Times New Roman"/>
        </w:rPr>
        <w:t>, “Uniform Laws and Regulations in the Areas of Legal Metrology and Fuel Quality,”</w:t>
      </w:r>
      <w:r w:rsidRPr="003F0BA8">
        <w:rPr>
          <w:rFonts w:ascii="Calibri" w:hAnsi="Calibri" w:cs="Times New Roman"/>
        </w:rPr>
        <w:t xml:space="preserve"> provides the Method of Sale Regulation 2.32 “Retail Sales of Hydrogen Fuel” that specifies the kilogram (kg) as the unit of measurement for sales of gaseous hydrogen vehicle fuel and </w:t>
      </w:r>
      <w:r w:rsidR="00CE563E">
        <w:rPr>
          <w:rFonts w:ascii="Calibri" w:hAnsi="Calibri" w:cs="Times New Roman"/>
        </w:rPr>
        <w:t xml:space="preserve">for </w:t>
      </w:r>
      <w:r w:rsidRPr="003F0BA8">
        <w:rPr>
          <w:rFonts w:ascii="Calibri" w:hAnsi="Calibri" w:cs="Times New Roman"/>
        </w:rPr>
        <w:t>related labeling and advertising requirements.  More information on these codes and regulations are available on the NIST O</w:t>
      </w:r>
      <w:r w:rsidR="00C32C01">
        <w:rPr>
          <w:rFonts w:ascii="Calibri" w:hAnsi="Calibri" w:cs="Times New Roman"/>
        </w:rPr>
        <w:t>WM</w:t>
      </w:r>
      <w:r w:rsidRPr="003F0BA8">
        <w:rPr>
          <w:rFonts w:ascii="Calibri" w:hAnsi="Calibri" w:cs="Times New Roman"/>
        </w:rPr>
        <w:t xml:space="preserve"> website</w:t>
      </w:r>
      <w:r w:rsidR="00BB7537">
        <w:rPr>
          <w:rFonts w:ascii="Calibri" w:hAnsi="Calibri" w:cs="Times New Roman"/>
        </w:rPr>
        <w:t xml:space="preserve"> at</w:t>
      </w:r>
      <w:r w:rsidRPr="003F0BA8">
        <w:rPr>
          <w:rFonts w:ascii="Calibri" w:hAnsi="Calibri" w:cs="Times New Roman"/>
        </w:rPr>
        <w:t xml:space="preserve">:  </w:t>
      </w:r>
      <w:hyperlink r:id="rId16" w:history="1">
        <w:r w:rsidR="00D5727D" w:rsidRPr="00D22B1A">
          <w:rPr>
            <w:rStyle w:val="Hyperlink"/>
            <w:rFonts w:ascii="Calibri" w:hAnsi="Calibri" w:cs="Times New Roman"/>
          </w:rPr>
          <w:t>http://www.nist.gov/pml/wmd/</w:t>
        </w:r>
      </w:hyperlink>
      <w:r w:rsidRPr="003F0BA8">
        <w:rPr>
          <w:rFonts w:ascii="Calibri" w:hAnsi="Calibri" w:cs="Times New Roman"/>
        </w:rPr>
        <w:t xml:space="preserve">.  </w:t>
      </w:r>
      <w:r w:rsidR="009E301E">
        <w:rPr>
          <w:rFonts w:ascii="Calibri" w:hAnsi="Calibri" w:cs="Times New Roman"/>
        </w:rPr>
        <w:t>Handbook</w:t>
      </w:r>
      <w:r w:rsidRPr="003F0BA8">
        <w:rPr>
          <w:rFonts w:ascii="Calibri" w:hAnsi="Calibri" w:cs="Times New Roman"/>
        </w:rPr>
        <w:t xml:space="preserve"> 130 includes fuel quality standards and references to test methods.  </w:t>
      </w:r>
      <w:r w:rsidRPr="003F0BA8">
        <w:rPr>
          <w:rFonts w:ascii="Calibri" w:hAnsi="Calibri" w:cs="Times New Roman"/>
        </w:rPr>
        <w:br/>
      </w:r>
    </w:p>
    <w:p w14:paraId="71EC9105" w14:textId="77777777" w:rsidR="003F0BA8" w:rsidRPr="00A4730E" w:rsidRDefault="003F0BA8" w:rsidP="004E4E7C">
      <w:pPr>
        <w:numPr>
          <w:ilvl w:val="0"/>
          <w:numId w:val="9"/>
        </w:numPr>
        <w:spacing w:after="0" w:line="240" w:lineRule="auto"/>
        <w:rPr>
          <w:rFonts w:ascii="Calibri" w:hAnsi="Calibri" w:cs="Times New Roman"/>
        </w:rPr>
      </w:pPr>
      <w:r w:rsidRPr="00A4730E">
        <w:rPr>
          <w:rFonts w:ascii="Calibri" w:hAnsi="Calibri" w:cs="Times New Roman"/>
          <w:b/>
        </w:rPr>
        <w:t>Where did the legal metrology standards for hydrogen come from?</w:t>
      </w:r>
      <w:r w:rsidRPr="00A4730E">
        <w:rPr>
          <w:rFonts w:ascii="Calibri" w:hAnsi="Calibri" w:cs="Times New Roman"/>
        </w:rPr>
        <w:t xml:space="preserve"> </w:t>
      </w:r>
      <w:r w:rsidRPr="00A4730E">
        <w:rPr>
          <w:rFonts w:ascii="Calibri" w:hAnsi="Calibri" w:cs="Times New Roman"/>
        </w:rPr>
        <w:br/>
        <w:t xml:space="preserve">The </w:t>
      </w:r>
      <w:r w:rsidR="007D3C0B" w:rsidRPr="00A4730E">
        <w:rPr>
          <w:rFonts w:ascii="Calibri" w:hAnsi="Calibri" w:cs="Times New Roman"/>
        </w:rPr>
        <w:t xml:space="preserve">legal metrology </w:t>
      </w:r>
      <w:r w:rsidRPr="00A4730E">
        <w:rPr>
          <w:rFonts w:ascii="Calibri" w:hAnsi="Calibri" w:cs="Times New Roman"/>
        </w:rPr>
        <w:t xml:space="preserve">requirements in </w:t>
      </w:r>
      <w:r w:rsidR="00267B33" w:rsidRPr="00A4730E">
        <w:rPr>
          <w:rFonts w:ascii="Calibri" w:hAnsi="Calibri" w:cs="Times New Roman"/>
        </w:rPr>
        <w:t xml:space="preserve">the National Institute of Standards and Technology (NIST) Handbook </w:t>
      </w:r>
      <w:r w:rsidRPr="00A4730E">
        <w:rPr>
          <w:rFonts w:ascii="Calibri" w:hAnsi="Calibri" w:cs="Times New Roman"/>
        </w:rPr>
        <w:t xml:space="preserve">44 and </w:t>
      </w:r>
      <w:r w:rsidR="009E301E">
        <w:rPr>
          <w:rFonts w:ascii="Calibri" w:hAnsi="Calibri" w:cs="Times New Roman"/>
        </w:rPr>
        <w:t>Handbook</w:t>
      </w:r>
      <w:r w:rsidRPr="00A4730E">
        <w:rPr>
          <w:rFonts w:ascii="Calibri" w:hAnsi="Calibri" w:cs="Times New Roman"/>
        </w:rPr>
        <w:t xml:space="preserve"> 130 were developed by the U.S. National Work Group (USNWG) for the Development of Commercial Hydrogen Measurement Standards.  Startup of the USNWG was sponsored by the U.S. Department of Energy (DOE) and the U.S. Department of Commerce’s </w:t>
      </w:r>
      <w:r w:rsidR="00B12ECB">
        <w:rPr>
          <w:rFonts w:ascii="Calibri" w:hAnsi="Calibri" w:cs="Times New Roman"/>
        </w:rPr>
        <w:t xml:space="preserve">(DOC) </w:t>
      </w:r>
      <w:r w:rsidRPr="00A4730E">
        <w:rPr>
          <w:rFonts w:ascii="Calibri" w:hAnsi="Calibri" w:cs="Times New Roman"/>
        </w:rPr>
        <w:t>National Institute of Standards and Technology (NIST).  This group is comprised of stakeholders from private industr</w:t>
      </w:r>
      <w:r w:rsidR="00A9018B" w:rsidRPr="00A4730E">
        <w:rPr>
          <w:rFonts w:ascii="Calibri" w:hAnsi="Calibri" w:cs="Times New Roman"/>
        </w:rPr>
        <w:t>ies</w:t>
      </w:r>
      <w:r w:rsidRPr="00A4730E">
        <w:rPr>
          <w:rFonts w:ascii="Calibri" w:hAnsi="Calibri" w:cs="Times New Roman"/>
        </w:rPr>
        <w:t>, standards organizations, and state and federal government.  Broad participation was sought so as to include hydrogen dispenser and component manufacturers, fuel suppliers, standards developers, and weights and measures device type evaluation laboratories and regulators</w:t>
      </w:r>
      <w:r w:rsidR="00B724C8" w:rsidRPr="00A4730E">
        <w:rPr>
          <w:rFonts w:ascii="Calibri" w:hAnsi="Calibri" w:cs="Times New Roman"/>
        </w:rPr>
        <w:t xml:space="preserve"> in developing its recommendations</w:t>
      </w:r>
      <w:r w:rsidRPr="00A4730E">
        <w:rPr>
          <w:rFonts w:ascii="Calibri" w:hAnsi="Calibri" w:cs="Times New Roman"/>
        </w:rPr>
        <w:t xml:space="preserve">.  The USNWG adhered to the weights and measures standards development process that has been in place since 1905.  </w:t>
      </w:r>
      <w:r w:rsidRPr="00A4730E">
        <w:rPr>
          <w:rFonts w:ascii="Calibri" w:hAnsi="Calibri" w:cs="Times New Roman"/>
        </w:rPr>
        <w:br/>
      </w:r>
      <w:r w:rsidRPr="00A4730E">
        <w:rPr>
          <w:rFonts w:ascii="Calibri" w:hAnsi="Calibri" w:cs="Times New Roman"/>
        </w:rPr>
        <w:br/>
        <w:t xml:space="preserve">The draft standards created by the USNWG were adopted by the National Conference on Weights and Measures (NCWM) in 2010 and first published by NIST in the 2011 editions of </w:t>
      </w:r>
      <w:r w:rsidR="009E301E">
        <w:rPr>
          <w:rFonts w:ascii="Calibri" w:hAnsi="Calibri" w:cs="Times New Roman"/>
        </w:rPr>
        <w:t>Handbook</w:t>
      </w:r>
      <w:r w:rsidR="00B12ECB">
        <w:rPr>
          <w:rFonts w:ascii="Calibri" w:hAnsi="Calibri" w:cs="Times New Roman"/>
        </w:rPr>
        <w:t> </w:t>
      </w:r>
      <w:r w:rsidRPr="00A4730E">
        <w:rPr>
          <w:rFonts w:ascii="Calibri" w:hAnsi="Calibri" w:cs="Times New Roman"/>
        </w:rPr>
        <w:t xml:space="preserve">44 and </w:t>
      </w:r>
      <w:r w:rsidR="009E301E">
        <w:rPr>
          <w:rFonts w:ascii="Calibri" w:hAnsi="Calibri" w:cs="Times New Roman"/>
        </w:rPr>
        <w:t>Handbook</w:t>
      </w:r>
      <w:r w:rsidRPr="00A4730E">
        <w:rPr>
          <w:rFonts w:ascii="Calibri" w:hAnsi="Calibri" w:cs="Times New Roman"/>
        </w:rPr>
        <w:t xml:space="preserve"> 130.  Handbook requirements are adopted by the </w:t>
      </w:r>
      <w:r w:rsidR="00B12ECB">
        <w:rPr>
          <w:rFonts w:ascii="Calibri" w:hAnsi="Calibri" w:cs="Times New Roman"/>
        </w:rPr>
        <w:t>s</w:t>
      </w:r>
      <w:r w:rsidR="00B12ECB" w:rsidRPr="00A4730E">
        <w:rPr>
          <w:rFonts w:ascii="Calibri" w:hAnsi="Calibri" w:cs="Times New Roman"/>
        </w:rPr>
        <w:t>tates</w:t>
      </w:r>
      <w:r w:rsidRPr="00A4730E">
        <w:rPr>
          <w:rFonts w:ascii="Calibri" w:hAnsi="Calibri" w:cs="Times New Roman"/>
        </w:rPr>
        <w:t>, in part or entirety, as law and</w:t>
      </w:r>
      <w:r w:rsidR="00B724C8" w:rsidRPr="00A4730E">
        <w:rPr>
          <w:rFonts w:ascii="Calibri" w:hAnsi="Calibri" w:cs="Times New Roman"/>
        </w:rPr>
        <w:t>/or</w:t>
      </w:r>
      <w:r w:rsidRPr="00A4730E">
        <w:rPr>
          <w:rFonts w:ascii="Calibri" w:hAnsi="Calibri" w:cs="Times New Roman"/>
        </w:rPr>
        <w:t xml:space="preserve"> regulation.  More information on work efforts by the USNWG is available </w:t>
      </w:r>
      <w:r w:rsidRPr="00A4730E">
        <w:rPr>
          <w:rFonts w:ascii="Calibri" w:hAnsi="Calibri" w:cs="Times New Roman"/>
        </w:rPr>
        <w:lastRenderedPageBreak/>
        <w:t xml:space="preserve">on the NIST Office of Weights and Measures (OWM) website available at:  </w:t>
      </w:r>
      <w:hyperlink r:id="rId17" w:history="1">
        <w:r w:rsidRPr="00A4730E">
          <w:rPr>
            <w:rFonts w:ascii="Calibri" w:hAnsi="Calibri" w:cs="Times New Roman"/>
            <w:color w:val="0000FF" w:themeColor="hyperlink"/>
            <w:u w:val="single"/>
          </w:rPr>
          <w:t>http://www.nist.gov/pml/wmd/lmdg/usnwg.cfm</w:t>
        </w:r>
      </w:hyperlink>
      <w:r w:rsidRPr="00A4730E">
        <w:rPr>
          <w:rFonts w:ascii="Calibri" w:hAnsi="Calibri" w:cs="Times New Roman"/>
        </w:rPr>
        <w:t>.</w:t>
      </w:r>
    </w:p>
    <w:p w14:paraId="1B8466CD" w14:textId="77777777" w:rsidR="003F0BA8" w:rsidRPr="003F0BA8" w:rsidRDefault="003F0BA8" w:rsidP="003F0BA8">
      <w:pPr>
        <w:spacing w:after="0" w:line="240" w:lineRule="auto"/>
        <w:ind w:left="720"/>
        <w:rPr>
          <w:rFonts w:ascii="Calibri" w:hAnsi="Calibri" w:cs="Times New Roman"/>
        </w:rPr>
      </w:pPr>
    </w:p>
    <w:p w14:paraId="41689539" w14:textId="77777777" w:rsidR="003F0BA8" w:rsidRDefault="003F0BA8" w:rsidP="003F0BA8">
      <w:pPr>
        <w:numPr>
          <w:ilvl w:val="0"/>
          <w:numId w:val="9"/>
        </w:numPr>
        <w:spacing w:after="0" w:line="240" w:lineRule="auto"/>
        <w:rPr>
          <w:rFonts w:ascii="Calibri" w:hAnsi="Calibri" w:cs="Times New Roman"/>
        </w:rPr>
      </w:pPr>
      <w:r w:rsidRPr="003F0BA8">
        <w:rPr>
          <w:rFonts w:ascii="Calibri" w:hAnsi="Calibri" w:cs="Times New Roman"/>
          <w:b/>
        </w:rPr>
        <w:t>What types of hydrogen fueling systems are in use in the U.S.A.?</w:t>
      </w:r>
      <w:r w:rsidRPr="003F0BA8">
        <w:rPr>
          <w:rFonts w:ascii="Calibri" w:hAnsi="Calibri" w:cs="Times New Roman"/>
        </w:rPr>
        <w:br/>
        <w:t>Both stationary and portable hydrogen refueling systems are in use.  Dispensers are permanently installed in service stations capable of generating hydrogen through natural gas reformation</w:t>
      </w:r>
      <w:r w:rsidR="00A9018B">
        <w:rPr>
          <w:rFonts w:ascii="Calibri" w:hAnsi="Calibri" w:cs="Times New Roman"/>
        </w:rPr>
        <w:t>,</w:t>
      </w:r>
      <w:r w:rsidRPr="003F0BA8">
        <w:rPr>
          <w:rFonts w:ascii="Calibri" w:hAnsi="Calibri" w:cs="Times New Roman"/>
        </w:rPr>
        <w:t xml:space="preserve"> an electrolyzer powered by electricity supplied by the grid</w:t>
      </w:r>
      <w:r w:rsidR="00A9018B">
        <w:rPr>
          <w:rFonts w:ascii="Calibri" w:hAnsi="Calibri" w:cs="Times New Roman"/>
        </w:rPr>
        <w:t>,</w:t>
      </w:r>
      <w:r w:rsidRPr="003F0BA8">
        <w:rPr>
          <w:rFonts w:ascii="Calibri" w:hAnsi="Calibri" w:cs="Times New Roman"/>
        </w:rPr>
        <w:t xml:space="preserve"> or renewable sources such as solar or wind power.  Stationary installations may also be supplied with hydrogen through deliveries from tanker or tube trailer trucks.  There are platform and vehicle</w:t>
      </w:r>
      <w:r w:rsidR="00B724C8">
        <w:rPr>
          <w:rFonts w:ascii="Calibri" w:hAnsi="Calibri" w:cs="Times New Roman"/>
        </w:rPr>
        <w:t>-</w:t>
      </w:r>
      <w:r w:rsidRPr="003F0BA8">
        <w:rPr>
          <w:rFonts w:ascii="Calibri" w:hAnsi="Calibri" w:cs="Times New Roman"/>
        </w:rPr>
        <w:t xml:space="preserve">mounted refueling systems also in use to refuel road tours and </w:t>
      </w:r>
      <w:r w:rsidR="00C578CD">
        <w:rPr>
          <w:rFonts w:ascii="Calibri" w:hAnsi="Calibri" w:cs="Times New Roman"/>
        </w:rPr>
        <w:t xml:space="preserve">to temporarily fuel </w:t>
      </w:r>
      <w:r w:rsidRPr="003F0BA8">
        <w:rPr>
          <w:rFonts w:ascii="Calibri" w:hAnsi="Calibri" w:cs="Times New Roman"/>
        </w:rPr>
        <w:t xml:space="preserve">fleet operations based in a </w:t>
      </w:r>
      <w:r w:rsidR="00C578CD">
        <w:rPr>
          <w:rFonts w:ascii="Calibri" w:hAnsi="Calibri" w:cs="Times New Roman"/>
        </w:rPr>
        <w:t xml:space="preserve">certain geographic </w:t>
      </w:r>
      <w:r w:rsidRPr="003F0BA8">
        <w:rPr>
          <w:rFonts w:ascii="Calibri" w:hAnsi="Calibri" w:cs="Times New Roman"/>
        </w:rPr>
        <w:t>location.</w:t>
      </w:r>
    </w:p>
    <w:p w14:paraId="643181DF" w14:textId="77777777" w:rsidR="0097449F" w:rsidRDefault="0097449F" w:rsidP="0097449F">
      <w:pPr>
        <w:pStyle w:val="ListParagraph"/>
      </w:pPr>
    </w:p>
    <w:p w14:paraId="5A5043DE" w14:textId="77777777" w:rsidR="003F0BA8" w:rsidRPr="003F0BA8" w:rsidRDefault="003F0BA8" w:rsidP="003F0BA8">
      <w:pPr>
        <w:numPr>
          <w:ilvl w:val="0"/>
          <w:numId w:val="9"/>
        </w:numPr>
        <w:spacing w:after="0" w:line="240" w:lineRule="auto"/>
        <w:rPr>
          <w:rFonts w:ascii="Calibri" w:hAnsi="Calibri" w:cs="Times New Roman"/>
        </w:rPr>
      </w:pPr>
      <w:r w:rsidRPr="003F0BA8">
        <w:rPr>
          <w:rFonts w:ascii="Calibri" w:hAnsi="Calibri" w:cs="Times New Roman"/>
          <w:b/>
        </w:rPr>
        <w:t>Why is the recognized method of sale for hydrogen vehicle fuel on the basis of price per kilogram ($/kg)?</w:t>
      </w:r>
      <w:r w:rsidRPr="003F0BA8">
        <w:rPr>
          <w:rFonts w:ascii="Calibri" w:hAnsi="Calibri" w:cs="Times New Roman"/>
        </w:rPr>
        <w:br/>
        <w:t>Industry pre-market practice has been to dispense hydrogen in mass units of measurement</w:t>
      </w:r>
      <w:r w:rsidR="00C04866">
        <w:rPr>
          <w:rFonts w:ascii="Calibri" w:hAnsi="Calibri" w:cs="Times New Roman"/>
        </w:rPr>
        <w:t>. Because the hydrogen is delivered in a compressed gaseous form, volume measurement would not be suitable due to the dependency on pressure and temperature of the gas</w:t>
      </w:r>
      <w:r w:rsidRPr="003F0BA8">
        <w:rPr>
          <w:rFonts w:ascii="Calibri" w:hAnsi="Calibri" w:cs="Times New Roman"/>
        </w:rPr>
        <w:t xml:space="preserve">.  </w:t>
      </w:r>
      <w:r w:rsidR="00C04866">
        <w:rPr>
          <w:rFonts w:ascii="Calibri" w:hAnsi="Calibri" w:cs="Times New Roman"/>
        </w:rPr>
        <w:t>To ensure accuracy in the amount of hydrogen fuel delivered, m</w:t>
      </w:r>
      <w:r w:rsidRPr="003F0BA8">
        <w:rPr>
          <w:rFonts w:ascii="Calibri" w:hAnsi="Calibri" w:cs="Times New Roman"/>
        </w:rPr>
        <w:t xml:space="preserve">ass units have been the preferred method of delivery in the weights and measures and hydrogen communities.  </w:t>
      </w:r>
      <w:r w:rsidR="00D21FBE">
        <w:rPr>
          <w:rFonts w:ascii="Calibri" w:hAnsi="Calibri" w:cs="Times New Roman"/>
        </w:rPr>
        <w:t>The c</w:t>
      </w:r>
      <w:r w:rsidRPr="003F0BA8">
        <w:rPr>
          <w:rFonts w:ascii="Calibri" w:hAnsi="Calibri" w:cs="Times New Roman"/>
        </w:rPr>
        <w:t>orresponding international standard</w:t>
      </w:r>
      <w:r w:rsidR="00B961E2">
        <w:rPr>
          <w:rFonts w:ascii="Calibri" w:hAnsi="Calibri" w:cs="Times New Roman"/>
        </w:rPr>
        <w:t xml:space="preserve"> developed by the </w:t>
      </w:r>
      <w:r w:rsidR="00B4491F">
        <w:rPr>
          <w:rFonts w:ascii="Calibri" w:hAnsi="Calibri" w:cs="Times New Roman"/>
        </w:rPr>
        <w:t>International Organization of Legal Metrology (</w:t>
      </w:r>
      <w:r w:rsidRPr="003F0BA8">
        <w:rPr>
          <w:rFonts w:ascii="Calibri" w:hAnsi="Calibri" w:cs="Times New Roman"/>
        </w:rPr>
        <w:t>OIML</w:t>
      </w:r>
      <w:r w:rsidR="00B4491F">
        <w:rPr>
          <w:rFonts w:ascii="Calibri" w:hAnsi="Calibri" w:cs="Times New Roman"/>
        </w:rPr>
        <w:t>)</w:t>
      </w:r>
      <w:r w:rsidRPr="003F0BA8">
        <w:rPr>
          <w:rFonts w:ascii="Calibri" w:hAnsi="Calibri" w:cs="Times New Roman"/>
        </w:rPr>
        <w:t xml:space="preserve"> </w:t>
      </w:r>
      <w:r w:rsidR="00B961E2">
        <w:rPr>
          <w:rFonts w:ascii="Calibri" w:hAnsi="Calibri" w:cs="Times New Roman"/>
        </w:rPr>
        <w:t>in Recommendation (</w:t>
      </w:r>
      <w:r w:rsidRPr="003F0BA8">
        <w:rPr>
          <w:rFonts w:ascii="Calibri" w:hAnsi="Calibri" w:cs="Times New Roman"/>
        </w:rPr>
        <w:t>R</w:t>
      </w:r>
      <w:r w:rsidR="00B961E2">
        <w:rPr>
          <w:rFonts w:ascii="Calibri" w:hAnsi="Calibri" w:cs="Times New Roman"/>
        </w:rPr>
        <w:t>)</w:t>
      </w:r>
      <w:r w:rsidRPr="003F0BA8">
        <w:rPr>
          <w:rFonts w:ascii="Calibri" w:hAnsi="Calibri" w:cs="Times New Roman"/>
        </w:rPr>
        <w:t xml:space="preserve"> 139 “Compressed </w:t>
      </w:r>
      <w:r w:rsidR="00E15EA9" w:rsidRPr="003F0BA8">
        <w:rPr>
          <w:rFonts w:ascii="Calibri" w:hAnsi="Calibri" w:cs="Times New Roman"/>
        </w:rPr>
        <w:t>gaseous fuel measuring systems for vehicles</w:t>
      </w:r>
      <w:r w:rsidRPr="003F0BA8">
        <w:rPr>
          <w:rFonts w:ascii="Calibri" w:hAnsi="Calibri" w:cs="Times New Roman"/>
        </w:rPr>
        <w:t xml:space="preserve">” </w:t>
      </w:r>
      <w:r w:rsidR="00B961E2">
        <w:rPr>
          <w:rFonts w:ascii="Calibri" w:hAnsi="Calibri" w:cs="Times New Roman"/>
        </w:rPr>
        <w:t xml:space="preserve">also </w:t>
      </w:r>
      <w:r w:rsidRPr="003F0BA8">
        <w:rPr>
          <w:rFonts w:ascii="Calibri" w:hAnsi="Calibri" w:cs="Times New Roman"/>
        </w:rPr>
        <w:t>recognize</w:t>
      </w:r>
      <w:r w:rsidR="00B961E2">
        <w:rPr>
          <w:rFonts w:ascii="Calibri" w:hAnsi="Calibri" w:cs="Times New Roman"/>
        </w:rPr>
        <w:t>s</w:t>
      </w:r>
      <w:r w:rsidRPr="003F0BA8">
        <w:rPr>
          <w:rFonts w:ascii="Calibri" w:hAnsi="Calibri" w:cs="Times New Roman"/>
        </w:rPr>
        <w:t xml:space="preserve"> mass as the basis for dispensing compressed gases.  The latest version of OIML </w:t>
      </w:r>
      <w:r w:rsidR="004D2025" w:rsidRPr="003F0BA8">
        <w:rPr>
          <w:rFonts w:ascii="Calibri" w:hAnsi="Calibri" w:cs="Times New Roman"/>
        </w:rPr>
        <w:t>R</w:t>
      </w:r>
      <w:r w:rsidR="004D2025">
        <w:rPr>
          <w:rFonts w:ascii="Calibri" w:hAnsi="Calibri" w:cs="Times New Roman"/>
        </w:rPr>
        <w:t> </w:t>
      </w:r>
      <w:r w:rsidRPr="003F0BA8">
        <w:rPr>
          <w:rFonts w:ascii="Calibri" w:hAnsi="Calibri" w:cs="Times New Roman"/>
        </w:rPr>
        <w:t xml:space="preserve">139, is available at: </w:t>
      </w:r>
      <w:hyperlink r:id="rId18" w:history="1">
        <w:r w:rsidRPr="003F0BA8">
          <w:rPr>
            <w:rFonts w:ascii="Calibri" w:hAnsi="Calibri" w:cs="Times New Roman"/>
            <w:color w:val="0000FF" w:themeColor="hyperlink"/>
            <w:u w:val="single"/>
          </w:rPr>
          <w:t>http://www.oiml.org/en</w:t>
        </w:r>
      </w:hyperlink>
      <w:r w:rsidRPr="003F0BA8">
        <w:rPr>
          <w:rFonts w:ascii="Calibri" w:hAnsi="Calibri" w:cs="Times New Roman"/>
        </w:rPr>
        <w:t xml:space="preserve">.  </w:t>
      </w:r>
    </w:p>
    <w:p w14:paraId="54487F27" w14:textId="77777777" w:rsidR="003F0BA8" w:rsidRPr="003F0BA8" w:rsidRDefault="003F0BA8" w:rsidP="003F0BA8">
      <w:pPr>
        <w:spacing w:after="0" w:line="240" w:lineRule="auto"/>
        <w:ind w:left="720"/>
        <w:rPr>
          <w:rFonts w:ascii="Calibri" w:hAnsi="Calibri" w:cs="Times New Roman"/>
        </w:rPr>
      </w:pPr>
    </w:p>
    <w:p w14:paraId="7C42DD65" w14:textId="77777777" w:rsidR="003F0BA8" w:rsidRDefault="003F0BA8" w:rsidP="003F0BA8">
      <w:pPr>
        <w:spacing w:after="0" w:line="240" w:lineRule="auto"/>
        <w:ind w:left="720"/>
        <w:rPr>
          <w:rFonts w:ascii="Calibri" w:hAnsi="Calibri" w:cs="Times New Roman"/>
        </w:rPr>
      </w:pPr>
      <w:r w:rsidRPr="003F0BA8">
        <w:rPr>
          <w:rFonts w:ascii="Calibri" w:hAnsi="Calibri" w:cs="Times New Roman"/>
        </w:rPr>
        <w:t xml:space="preserve">The “Gasoline Gallon Equivalent” (GGE) was considered as a specialized mass unit for dispensing hydrogen, but not supported.   With a standardized unit of measurement </w:t>
      </w:r>
      <w:r w:rsidR="006C40BA">
        <w:rPr>
          <w:rFonts w:ascii="Calibri" w:hAnsi="Calibri" w:cs="Times New Roman"/>
        </w:rPr>
        <w:t xml:space="preserve">(the kilogram) </w:t>
      </w:r>
      <w:r w:rsidRPr="003F0BA8">
        <w:rPr>
          <w:rFonts w:ascii="Calibri" w:hAnsi="Calibri" w:cs="Times New Roman"/>
        </w:rPr>
        <w:t>used for advertisement, dispenser labeling, and hydrogen gas deliveries through retail dispensers, consumers can make value comparisons between competing retailers</w:t>
      </w:r>
      <w:r w:rsidR="002524DA">
        <w:rPr>
          <w:rFonts w:ascii="Calibri" w:hAnsi="Calibri" w:cs="Times New Roman"/>
        </w:rPr>
        <w:t>,</w:t>
      </w:r>
      <w:r w:rsidRPr="003F0BA8">
        <w:rPr>
          <w:rFonts w:ascii="Calibri" w:hAnsi="Calibri" w:cs="Times New Roman"/>
        </w:rPr>
        <w:t xml:space="preserve"> and the unit is traceable.  The U.S. has a national policy to establish the SI (International System of Units, commonly known as the metric system) as the preferred system of weights and measures for U.S. trade and commerce.  </w:t>
      </w:r>
      <w:r w:rsidR="002524DA">
        <w:rPr>
          <w:rFonts w:ascii="Calibri" w:hAnsi="Calibri" w:cs="Times New Roman"/>
        </w:rPr>
        <w:t xml:space="preserve">Most commercial gaseous hydrogen metering systems measure in mass, an equitable, efficient means of measurement that is based on a traceable unit of measure.  </w:t>
      </w:r>
      <w:r w:rsidRPr="003F0BA8">
        <w:rPr>
          <w:rFonts w:ascii="Calibri" w:hAnsi="Calibri" w:cs="Times New Roman"/>
        </w:rPr>
        <w:t>Coincidentally, a kilogram of hydrogen has virtually the same energy content as one gallon of gasoline.  Consequently, the kilogram was adopted as the quantity unit for commercial sales of hydrogen vehicle fuel.</w:t>
      </w:r>
    </w:p>
    <w:p w14:paraId="2C3470EA" w14:textId="77777777" w:rsidR="005D75F1" w:rsidRPr="003F0BA8" w:rsidRDefault="005D75F1" w:rsidP="003F0BA8">
      <w:pPr>
        <w:spacing w:after="0" w:line="240" w:lineRule="auto"/>
        <w:ind w:left="720"/>
        <w:rPr>
          <w:rFonts w:ascii="Calibri" w:hAnsi="Calibri" w:cs="Times New Roman"/>
        </w:rPr>
      </w:pPr>
    </w:p>
    <w:p w14:paraId="72DC9958" w14:textId="77777777" w:rsidR="003F0BA8" w:rsidRPr="003F0BA8" w:rsidRDefault="003F0BA8" w:rsidP="003F0BA8">
      <w:pPr>
        <w:numPr>
          <w:ilvl w:val="0"/>
          <w:numId w:val="9"/>
        </w:numPr>
        <w:spacing w:after="0" w:line="240" w:lineRule="auto"/>
        <w:rPr>
          <w:rFonts w:ascii="Calibri" w:hAnsi="Calibri" w:cs="Times New Roman"/>
        </w:rPr>
      </w:pPr>
      <w:r w:rsidRPr="003F0BA8">
        <w:rPr>
          <w:rFonts w:ascii="Calibri" w:hAnsi="Calibri" w:cs="Times New Roman"/>
          <w:b/>
        </w:rPr>
        <w:t xml:space="preserve">What criteria are used to obtain U.S. type evaluation approval of a hydrogen vehicle fuel dispenser? </w:t>
      </w:r>
      <w:r w:rsidRPr="003F0BA8">
        <w:rPr>
          <w:rFonts w:ascii="Calibri" w:hAnsi="Calibri" w:cs="Times New Roman"/>
        </w:rPr>
        <w:br/>
        <w:t>A set of general evaluation criteria (checklist) based on General Code and device s</w:t>
      </w:r>
      <w:r w:rsidR="008A003F">
        <w:rPr>
          <w:rFonts w:ascii="Calibri" w:hAnsi="Calibri" w:cs="Times New Roman"/>
        </w:rPr>
        <w:t>pecific design requirements in S</w:t>
      </w:r>
      <w:r w:rsidRPr="003F0BA8">
        <w:rPr>
          <w:rFonts w:ascii="Calibri" w:hAnsi="Calibri" w:cs="Times New Roman"/>
        </w:rPr>
        <w:t>ection 3.39</w:t>
      </w:r>
      <w:r w:rsidR="004D2025">
        <w:rPr>
          <w:rFonts w:ascii="Calibri" w:hAnsi="Calibri" w:cs="Times New Roman"/>
        </w:rPr>
        <w:t>.</w:t>
      </w:r>
      <w:r w:rsidRPr="003F0BA8">
        <w:rPr>
          <w:rFonts w:ascii="Calibri" w:hAnsi="Calibri" w:cs="Times New Roman"/>
        </w:rPr>
        <w:t xml:space="preserve"> of </w:t>
      </w:r>
      <w:r w:rsidR="008A003F">
        <w:rPr>
          <w:rFonts w:ascii="Calibri" w:hAnsi="Calibri" w:cs="Times New Roman"/>
        </w:rPr>
        <w:t>the</w:t>
      </w:r>
      <w:r w:rsidR="00324919">
        <w:rPr>
          <w:rFonts w:ascii="Calibri" w:hAnsi="Calibri" w:cs="Times New Roman"/>
        </w:rPr>
        <w:t xml:space="preserve"> </w:t>
      </w:r>
      <w:r w:rsidRPr="003F0BA8">
        <w:rPr>
          <w:rFonts w:ascii="Calibri" w:hAnsi="Calibri" w:cs="Times New Roman"/>
        </w:rPr>
        <w:t>NIST H</w:t>
      </w:r>
      <w:r w:rsidR="008A003F">
        <w:rPr>
          <w:rFonts w:ascii="Calibri" w:hAnsi="Calibri" w:cs="Times New Roman"/>
        </w:rPr>
        <w:t xml:space="preserve">andbook </w:t>
      </w:r>
      <w:r w:rsidRPr="003F0BA8">
        <w:rPr>
          <w:rFonts w:ascii="Calibri" w:hAnsi="Calibri" w:cs="Times New Roman"/>
        </w:rPr>
        <w:t xml:space="preserve">44 </w:t>
      </w:r>
      <w:r w:rsidR="00F12370">
        <w:rPr>
          <w:rFonts w:ascii="Calibri" w:hAnsi="Calibri" w:cs="Times New Roman"/>
        </w:rPr>
        <w:t>was</w:t>
      </w:r>
      <w:r w:rsidRPr="003F0BA8">
        <w:rPr>
          <w:rFonts w:ascii="Calibri" w:hAnsi="Calibri" w:cs="Times New Roman"/>
        </w:rPr>
        <w:t xml:space="preserve"> developed for </w:t>
      </w:r>
      <w:r w:rsidR="003D3BE7">
        <w:rPr>
          <w:rFonts w:ascii="Calibri" w:hAnsi="Calibri" w:cs="Times New Roman"/>
        </w:rPr>
        <w:t xml:space="preserve">inclusion in </w:t>
      </w:r>
      <w:r w:rsidR="008A003F">
        <w:rPr>
          <w:rFonts w:ascii="Calibri" w:hAnsi="Calibri" w:cs="Times New Roman"/>
        </w:rPr>
        <w:t>National Conference on Weights and Measures (</w:t>
      </w:r>
      <w:r w:rsidRPr="003F0BA8">
        <w:rPr>
          <w:rFonts w:ascii="Calibri" w:hAnsi="Calibri" w:cs="Times New Roman"/>
        </w:rPr>
        <w:t>NCWM</w:t>
      </w:r>
      <w:r w:rsidR="008A003F">
        <w:rPr>
          <w:rFonts w:ascii="Calibri" w:hAnsi="Calibri" w:cs="Times New Roman"/>
        </w:rPr>
        <w:t>)</w:t>
      </w:r>
      <w:r w:rsidRPr="003F0BA8">
        <w:rPr>
          <w:rFonts w:ascii="Calibri" w:hAnsi="Calibri" w:cs="Times New Roman"/>
        </w:rPr>
        <w:t xml:space="preserve"> Publication </w:t>
      </w:r>
      <w:r w:rsidR="00253545">
        <w:rPr>
          <w:rFonts w:ascii="Calibri" w:hAnsi="Calibri" w:cs="Times New Roman"/>
        </w:rPr>
        <w:t xml:space="preserve">(Pub) </w:t>
      </w:r>
      <w:r w:rsidRPr="003F0BA8">
        <w:rPr>
          <w:rFonts w:ascii="Calibri" w:hAnsi="Calibri" w:cs="Times New Roman"/>
        </w:rPr>
        <w:t>14</w:t>
      </w:r>
      <w:r w:rsidR="004D2025">
        <w:rPr>
          <w:rFonts w:ascii="Calibri" w:hAnsi="Calibri" w:cs="Times New Roman"/>
        </w:rPr>
        <w:t>,</w:t>
      </w:r>
      <w:r w:rsidR="003D3BE7">
        <w:rPr>
          <w:rFonts w:ascii="Calibri" w:hAnsi="Calibri" w:cs="Times New Roman"/>
        </w:rPr>
        <w:t xml:space="preserve"> “</w:t>
      </w:r>
      <w:r w:rsidRPr="003F0BA8">
        <w:rPr>
          <w:rFonts w:ascii="Calibri" w:hAnsi="Calibri" w:cs="Times New Roman"/>
        </w:rPr>
        <w:t>Measuring Devices Technical Policy, Checklists, and Test Procedures</w:t>
      </w:r>
      <w:r w:rsidR="00AB09EB">
        <w:rPr>
          <w:rFonts w:ascii="Calibri" w:hAnsi="Calibri" w:cs="Times New Roman"/>
        </w:rPr>
        <w:t>.</w:t>
      </w:r>
      <w:r w:rsidR="003D3BE7">
        <w:rPr>
          <w:rFonts w:ascii="Calibri" w:hAnsi="Calibri" w:cs="Times New Roman"/>
        </w:rPr>
        <w:t>”  Checklists are typically developed</w:t>
      </w:r>
      <w:r w:rsidRPr="003F0BA8">
        <w:rPr>
          <w:rFonts w:ascii="Calibri" w:hAnsi="Calibri" w:cs="Times New Roman"/>
        </w:rPr>
        <w:t xml:space="preserve"> by the NCWM National Type Evaluation Technical Committee (NTETC) Measuring Sector Subgroup. </w:t>
      </w:r>
      <w:r w:rsidRPr="003F0BA8">
        <w:rPr>
          <w:rFonts w:ascii="Calibri" w:hAnsi="Calibri" w:cs="Times New Roman"/>
        </w:rPr>
        <w:br/>
      </w:r>
      <w:r w:rsidRPr="003F0BA8">
        <w:rPr>
          <w:rFonts w:ascii="Calibri" w:hAnsi="Calibri" w:cs="Times New Roman"/>
        </w:rPr>
        <w:br/>
      </w:r>
      <w:r w:rsidR="003D3BE7">
        <w:rPr>
          <w:rFonts w:ascii="Calibri" w:hAnsi="Calibri" w:cs="Times New Roman"/>
        </w:rPr>
        <w:t>T</w:t>
      </w:r>
      <w:r w:rsidRPr="003F0BA8">
        <w:rPr>
          <w:rFonts w:ascii="Calibri" w:hAnsi="Calibri" w:cs="Times New Roman"/>
        </w:rPr>
        <w:t>he D</w:t>
      </w:r>
      <w:r w:rsidR="003D3BE7">
        <w:rPr>
          <w:rFonts w:ascii="Calibri" w:hAnsi="Calibri" w:cs="Times New Roman"/>
        </w:rPr>
        <w:t>epartment of Energy</w:t>
      </w:r>
      <w:r w:rsidRPr="003F0BA8">
        <w:rPr>
          <w:rFonts w:ascii="Calibri" w:hAnsi="Calibri" w:cs="Times New Roman"/>
        </w:rPr>
        <w:t xml:space="preserve">/NIST U.S. National Work Group for the Development of Commercial Hydrogen Measurement Standards as well as the NTETC </w:t>
      </w:r>
      <w:r w:rsidR="003D3BE7">
        <w:rPr>
          <w:rFonts w:ascii="Calibri" w:hAnsi="Calibri" w:cs="Times New Roman"/>
        </w:rPr>
        <w:t xml:space="preserve">all provided input </w:t>
      </w:r>
      <w:r w:rsidRPr="003F0BA8">
        <w:rPr>
          <w:rFonts w:ascii="Calibri" w:hAnsi="Calibri" w:cs="Times New Roman"/>
        </w:rPr>
        <w:t xml:space="preserve">to fully develop the performance test procedures </w:t>
      </w:r>
      <w:r w:rsidR="006D457A">
        <w:rPr>
          <w:rFonts w:ascii="Calibri" w:hAnsi="Calibri" w:cs="Times New Roman"/>
        </w:rPr>
        <w:t xml:space="preserve">for </w:t>
      </w:r>
      <w:r w:rsidRPr="003F0BA8">
        <w:rPr>
          <w:rFonts w:ascii="Calibri" w:hAnsi="Calibri" w:cs="Times New Roman"/>
        </w:rPr>
        <w:t xml:space="preserve">the </w:t>
      </w:r>
      <w:r w:rsidR="006D457A">
        <w:rPr>
          <w:rFonts w:ascii="Calibri" w:hAnsi="Calibri" w:cs="Times New Roman"/>
        </w:rPr>
        <w:t>NCWM Pub 14</w:t>
      </w:r>
      <w:r w:rsidR="00136519">
        <w:rPr>
          <w:rFonts w:ascii="Calibri" w:hAnsi="Calibri" w:cs="Times New Roman"/>
        </w:rPr>
        <w:t>,</w:t>
      </w:r>
      <w:r w:rsidR="006D457A">
        <w:rPr>
          <w:rFonts w:ascii="Calibri" w:hAnsi="Calibri" w:cs="Times New Roman"/>
        </w:rPr>
        <w:t xml:space="preserve"> </w:t>
      </w:r>
      <w:r w:rsidRPr="003F0BA8">
        <w:rPr>
          <w:rFonts w:ascii="Calibri" w:hAnsi="Calibri" w:cs="Times New Roman"/>
        </w:rPr>
        <w:t xml:space="preserve">Field Evaluation and Permanence Tests Section </w:t>
      </w:r>
      <w:r w:rsidR="006D457A">
        <w:rPr>
          <w:rFonts w:ascii="Calibri" w:hAnsi="Calibri" w:cs="Times New Roman"/>
        </w:rPr>
        <w:t xml:space="preserve">specific </w:t>
      </w:r>
      <w:r w:rsidR="006D457A" w:rsidRPr="003F0BA8">
        <w:rPr>
          <w:rFonts w:ascii="Calibri" w:hAnsi="Calibri" w:cs="Times New Roman"/>
        </w:rPr>
        <w:t>to hydrogen dispensers</w:t>
      </w:r>
      <w:r w:rsidRPr="003F0BA8">
        <w:rPr>
          <w:rFonts w:ascii="Calibri" w:hAnsi="Calibri" w:cs="Times New Roman"/>
        </w:rPr>
        <w:t>.</w:t>
      </w:r>
    </w:p>
    <w:p w14:paraId="13F3CB18" w14:textId="77777777" w:rsidR="00492129" w:rsidRDefault="00492129">
      <w:pPr>
        <w:rPr>
          <w:rFonts w:ascii="Calibri" w:hAnsi="Calibri" w:cs="Times New Roman"/>
        </w:rPr>
      </w:pPr>
      <w:r>
        <w:rPr>
          <w:rFonts w:ascii="Calibri" w:hAnsi="Calibri" w:cs="Times New Roman"/>
        </w:rPr>
        <w:br w:type="page"/>
      </w:r>
    </w:p>
    <w:p w14:paraId="0AC31098" w14:textId="77777777" w:rsidR="003F0BA8" w:rsidRDefault="003F0BA8" w:rsidP="000F3C04">
      <w:pPr>
        <w:spacing w:after="0" w:line="240" w:lineRule="auto"/>
        <w:ind w:left="720"/>
        <w:rPr>
          <w:rFonts w:ascii="Calibri" w:hAnsi="Calibri" w:cs="Times New Roman"/>
        </w:rPr>
      </w:pPr>
      <w:r w:rsidRPr="003F0BA8">
        <w:rPr>
          <w:rFonts w:ascii="Calibri" w:hAnsi="Calibri" w:cs="Times New Roman"/>
        </w:rPr>
        <w:lastRenderedPageBreak/>
        <w:br/>
        <w:t xml:space="preserve">The final draft of the general checklist was forwarded to the National Type Evaluation Program (NTEP) Committee for inclusion in </w:t>
      </w:r>
      <w:r w:rsidR="00136519">
        <w:rPr>
          <w:rFonts w:ascii="Calibri" w:hAnsi="Calibri" w:cs="Times New Roman"/>
        </w:rPr>
        <w:t xml:space="preserve">NCWM </w:t>
      </w:r>
      <w:r w:rsidRPr="003F0BA8">
        <w:rPr>
          <w:rFonts w:ascii="Calibri" w:hAnsi="Calibri" w:cs="Times New Roman"/>
        </w:rPr>
        <w:t xml:space="preserve">Pub 14 </w:t>
      </w:r>
      <w:r w:rsidR="007635D1">
        <w:rPr>
          <w:rFonts w:ascii="Calibri" w:hAnsi="Calibri" w:cs="Times New Roman"/>
        </w:rPr>
        <w:t xml:space="preserve">in </w:t>
      </w:r>
      <w:r w:rsidRPr="003F0BA8">
        <w:rPr>
          <w:rFonts w:ascii="Calibri" w:hAnsi="Calibri" w:cs="Times New Roman"/>
        </w:rPr>
        <w:t>late 2011 resulting in their approval of the checklist in late 2012.</w:t>
      </w:r>
    </w:p>
    <w:p w14:paraId="78604585" w14:textId="77777777" w:rsidR="003D3BE7" w:rsidRDefault="003D3BE7" w:rsidP="000F3C04">
      <w:pPr>
        <w:spacing w:after="0" w:line="240" w:lineRule="auto"/>
        <w:ind w:left="720"/>
        <w:rPr>
          <w:rFonts w:ascii="Calibri" w:hAnsi="Calibri" w:cs="Times New Roman"/>
        </w:rPr>
      </w:pPr>
    </w:p>
    <w:p w14:paraId="20580943" w14:textId="77777777" w:rsidR="003D3BE7" w:rsidRPr="003F0BA8" w:rsidRDefault="003D3BE7" w:rsidP="000F3C04">
      <w:pPr>
        <w:spacing w:after="0" w:line="240" w:lineRule="auto"/>
        <w:ind w:left="720"/>
        <w:rPr>
          <w:rFonts w:ascii="Calibri" w:hAnsi="Calibri" w:cs="Times New Roman"/>
        </w:rPr>
      </w:pPr>
      <w:r>
        <w:rPr>
          <w:rFonts w:ascii="Calibri" w:hAnsi="Calibri" w:cs="Times New Roman"/>
        </w:rPr>
        <w:t xml:space="preserve">U.S. type evaluations are carried out by NCWM NTEP, whose laboratories use </w:t>
      </w:r>
      <w:r w:rsidR="00136519">
        <w:rPr>
          <w:rFonts w:ascii="Calibri" w:hAnsi="Calibri" w:cs="Times New Roman"/>
        </w:rPr>
        <w:t xml:space="preserve">NCWM </w:t>
      </w:r>
      <w:r>
        <w:rPr>
          <w:rFonts w:ascii="Calibri" w:hAnsi="Calibri" w:cs="Times New Roman"/>
        </w:rPr>
        <w:t xml:space="preserve">Pub 14.  </w:t>
      </w:r>
    </w:p>
    <w:p w14:paraId="6C681240" w14:textId="77777777" w:rsidR="003F0BA8" w:rsidRPr="003F0BA8" w:rsidRDefault="003F0BA8" w:rsidP="000F3C04">
      <w:pPr>
        <w:spacing w:after="0"/>
      </w:pPr>
    </w:p>
    <w:p w14:paraId="6F9102F4" w14:textId="77777777" w:rsidR="003F0BA8" w:rsidRPr="003F0BA8" w:rsidRDefault="003F0BA8" w:rsidP="000F3C04">
      <w:pPr>
        <w:numPr>
          <w:ilvl w:val="0"/>
          <w:numId w:val="9"/>
        </w:numPr>
        <w:spacing w:after="0" w:line="240" w:lineRule="auto"/>
        <w:rPr>
          <w:rFonts w:ascii="Calibri" w:hAnsi="Calibri" w:cs="Times New Roman"/>
        </w:rPr>
      </w:pPr>
      <w:r w:rsidRPr="003F0BA8">
        <w:rPr>
          <w:rFonts w:ascii="Calibri" w:hAnsi="Calibri" w:cs="Times New Roman"/>
          <w:b/>
        </w:rPr>
        <w:t>What is the accepted tolerance for the performance of a hydrogen dispenser?</w:t>
      </w:r>
      <w:r w:rsidRPr="003F0BA8">
        <w:rPr>
          <w:rFonts w:ascii="Calibri" w:hAnsi="Calibri" w:cs="Times New Roman"/>
        </w:rPr>
        <w:t xml:space="preserve"> </w:t>
      </w:r>
      <w:r w:rsidRPr="003F0BA8">
        <w:rPr>
          <w:rFonts w:ascii="Calibri" w:hAnsi="Calibri" w:cs="Times New Roman"/>
        </w:rPr>
        <w:br/>
      </w:r>
      <w:r w:rsidR="007A776B">
        <w:rPr>
          <w:rFonts w:ascii="Calibri" w:hAnsi="Calibri" w:cs="Times New Roman"/>
        </w:rPr>
        <w:t>T</w:t>
      </w:r>
      <w:r w:rsidR="005B27FB">
        <w:rPr>
          <w:rFonts w:ascii="Calibri" w:hAnsi="Calibri" w:cs="Times New Roman"/>
        </w:rPr>
        <w:t>he</w:t>
      </w:r>
      <w:r w:rsidR="00136519">
        <w:rPr>
          <w:rFonts w:ascii="Calibri" w:hAnsi="Calibri" w:cs="Times New Roman"/>
        </w:rPr>
        <w:t xml:space="preserve"> NIST</w:t>
      </w:r>
      <w:r w:rsidR="005B27FB">
        <w:rPr>
          <w:rFonts w:ascii="Calibri" w:hAnsi="Calibri" w:cs="Times New Roman"/>
        </w:rPr>
        <w:t xml:space="preserve"> </w:t>
      </w:r>
      <w:r w:rsidRPr="003F0BA8">
        <w:rPr>
          <w:rFonts w:ascii="Calibri" w:hAnsi="Calibri" w:cs="Times New Roman"/>
        </w:rPr>
        <w:t>H</w:t>
      </w:r>
      <w:r w:rsidR="005B27FB">
        <w:rPr>
          <w:rFonts w:ascii="Calibri" w:hAnsi="Calibri" w:cs="Times New Roman"/>
        </w:rPr>
        <w:t>andbook</w:t>
      </w:r>
      <w:r w:rsidRPr="003F0BA8">
        <w:rPr>
          <w:rFonts w:ascii="Calibri" w:hAnsi="Calibri" w:cs="Times New Roman"/>
        </w:rPr>
        <w:t xml:space="preserve"> 44</w:t>
      </w:r>
      <w:r w:rsidR="00136519">
        <w:rPr>
          <w:rFonts w:ascii="Calibri" w:hAnsi="Calibri" w:cs="Times New Roman"/>
        </w:rPr>
        <w:t>,</w:t>
      </w:r>
      <w:r w:rsidRPr="003F0BA8">
        <w:rPr>
          <w:rFonts w:ascii="Calibri" w:hAnsi="Calibri" w:cs="Times New Roman"/>
        </w:rPr>
        <w:t xml:space="preserve"> Section 3.39</w:t>
      </w:r>
      <w:r w:rsidR="00136519">
        <w:rPr>
          <w:rFonts w:ascii="Calibri" w:hAnsi="Calibri" w:cs="Times New Roman"/>
        </w:rPr>
        <w:t>.</w:t>
      </w:r>
      <w:r w:rsidRPr="003F0BA8">
        <w:rPr>
          <w:rFonts w:ascii="Calibri" w:hAnsi="Calibri" w:cs="Times New Roman"/>
        </w:rPr>
        <w:t xml:space="preserve"> Hydrogen Gas-Measuring Devices Code</w:t>
      </w:r>
      <w:r w:rsidR="00136519">
        <w:rPr>
          <w:rFonts w:ascii="Calibri" w:hAnsi="Calibri" w:cs="Times New Roman"/>
        </w:rPr>
        <w:t>,</w:t>
      </w:r>
      <w:r w:rsidRPr="003F0BA8">
        <w:rPr>
          <w:rFonts w:ascii="Calibri" w:hAnsi="Calibri" w:cs="Times New Roman"/>
        </w:rPr>
        <w:t xml:space="preserve"> paragraph T.2. Tolerances specifies that hydrogen dispensers fall within the Accuracy Class </w:t>
      </w:r>
      <w:r w:rsidR="005B27FB">
        <w:rPr>
          <w:rFonts w:ascii="Calibri" w:hAnsi="Calibri" w:cs="Times New Roman"/>
        </w:rPr>
        <w:t>7</w:t>
      </w:r>
      <w:r w:rsidRPr="003F0BA8">
        <w:rPr>
          <w:rFonts w:ascii="Calibri" w:hAnsi="Calibri" w:cs="Times New Roman"/>
        </w:rPr>
        <w:t>.0.  These devices are required to meet a performance of ±</w:t>
      </w:r>
      <w:r w:rsidR="00136519">
        <w:rPr>
          <w:rFonts w:ascii="Calibri" w:hAnsi="Calibri" w:cs="Times New Roman"/>
        </w:rPr>
        <w:t> </w:t>
      </w:r>
      <w:r w:rsidR="005B27FB">
        <w:rPr>
          <w:rFonts w:ascii="Calibri" w:hAnsi="Calibri" w:cs="Times New Roman"/>
        </w:rPr>
        <w:t xml:space="preserve">5.0 </w:t>
      </w:r>
      <w:r w:rsidRPr="003F0BA8">
        <w:rPr>
          <w:rFonts w:ascii="Calibri" w:hAnsi="Calibri" w:cs="Times New Roman"/>
        </w:rPr>
        <w:t>% for acceptance tolerance and ±</w:t>
      </w:r>
      <w:r w:rsidR="00136519">
        <w:rPr>
          <w:rFonts w:ascii="Calibri" w:hAnsi="Calibri" w:cs="Times New Roman"/>
        </w:rPr>
        <w:t> </w:t>
      </w:r>
      <w:r w:rsidR="005B27FB">
        <w:rPr>
          <w:rFonts w:ascii="Calibri" w:hAnsi="Calibri" w:cs="Times New Roman"/>
        </w:rPr>
        <w:t>7</w:t>
      </w:r>
      <w:r w:rsidRPr="003F0BA8">
        <w:rPr>
          <w:rFonts w:ascii="Calibri" w:hAnsi="Calibri" w:cs="Times New Roman"/>
        </w:rPr>
        <w:t>.0</w:t>
      </w:r>
      <w:r w:rsidR="005318A6">
        <w:rPr>
          <w:rFonts w:ascii="Calibri" w:hAnsi="Calibri" w:cs="Times New Roman"/>
        </w:rPr>
        <w:t> </w:t>
      </w:r>
      <w:r w:rsidRPr="003F0BA8">
        <w:rPr>
          <w:rFonts w:ascii="Calibri" w:hAnsi="Calibri" w:cs="Times New Roman"/>
        </w:rPr>
        <w:t>% for maintenance tolerance.</w:t>
      </w:r>
    </w:p>
    <w:p w14:paraId="292B4573" w14:textId="77777777" w:rsidR="003F0BA8" w:rsidRPr="003F0BA8" w:rsidRDefault="003F0BA8" w:rsidP="003F0BA8">
      <w:pPr>
        <w:spacing w:after="0" w:line="240" w:lineRule="auto"/>
        <w:ind w:left="720"/>
        <w:rPr>
          <w:rFonts w:ascii="Calibri" w:hAnsi="Calibri" w:cs="Times New Roman"/>
        </w:rPr>
      </w:pPr>
    </w:p>
    <w:p w14:paraId="7C141B86" w14:textId="77777777" w:rsidR="003F0BA8" w:rsidRPr="00D96967" w:rsidRDefault="003F0BA8" w:rsidP="009635D1">
      <w:pPr>
        <w:numPr>
          <w:ilvl w:val="0"/>
          <w:numId w:val="9"/>
        </w:numPr>
        <w:spacing w:after="0" w:line="240" w:lineRule="auto"/>
        <w:rPr>
          <w:rFonts w:ascii="Calibri" w:hAnsi="Calibri" w:cs="Times New Roman"/>
        </w:rPr>
      </w:pPr>
      <w:r w:rsidRPr="00D96967">
        <w:rPr>
          <w:rFonts w:ascii="Calibri" w:hAnsi="Calibri" w:cs="Times New Roman"/>
          <w:b/>
        </w:rPr>
        <w:t>What test methods are recognized for verifying the performance of a hydrogen dispenser</w:t>
      </w:r>
      <w:r w:rsidRPr="00D96967">
        <w:rPr>
          <w:rFonts w:ascii="Calibri" w:hAnsi="Calibri" w:cs="Times New Roman"/>
        </w:rPr>
        <w:t xml:space="preserve">?  </w:t>
      </w:r>
      <w:r w:rsidRPr="00D96967">
        <w:rPr>
          <w:rFonts w:ascii="Calibri" w:hAnsi="Calibri" w:cs="Times New Roman"/>
        </w:rPr>
        <w:br/>
      </w:r>
      <w:r w:rsidR="007A776B" w:rsidRPr="00D96967">
        <w:rPr>
          <w:rFonts w:ascii="Calibri" w:hAnsi="Calibri" w:cs="Times New Roman"/>
        </w:rPr>
        <w:t xml:space="preserve">The </w:t>
      </w:r>
      <w:r w:rsidR="007E3290" w:rsidRPr="00D96967">
        <w:rPr>
          <w:rFonts w:ascii="Calibri" w:hAnsi="Calibri" w:cs="Times New Roman"/>
        </w:rPr>
        <w:t xml:space="preserve">NIST </w:t>
      </w:r>
      <w:r w:rsidR="007A776B" w:rsidRPr="00D96967">
        <w:rPr>
          <w:rFonts w:ascii="Calibri" w:hAnsi="Calibri" w:cs="Times New Roman"/>
        </w:rPr>
        <w:t>Handbook</w:t>
      </w:r>
      <w:r w:rsidRPr="00D96967">
        <w:rPr>
          <w:rFonts w:ascii="Calibri" w:hAnsi="Calibri" w:cs="Times New Roman"/>
        </w:rPr>
        <w:t xml:space="preserve"> 44</w:t>
      </w:r>
      <w:r w:rsidR="00136519">
        <w:rPr>
          <w:rFonts w:ascii="Calibri" w:hAnsi="Calibri" w:cs="Times New Roman"/>
        </w:rPr>
        <w:t>,</w:t>
      </w:r>
      <w:r w:rsidRPr="00D96967">
        <w:rPr>
          <w:rFonts w:ascii="Calibri" w:hAnsi="Calibri" w:cs="Times New Roman"/>
        </w:rPr>
        <w:t xml:space="preserve"> Section 3.39</w:t>
      </w:r>
      <w:r w:rsidR="00136519">
        <w:rPr>
          <w:rFonts w:ascii="Calibri" w:hAnsi="Calibri" w:cs="Times New Roman"/>
        </w:rPr>
        <w:t>.</w:t>
      </w:r>
      <w:r w:rsidRPr="00D96967">
        <w:rPr>
          <w:rFonts w:ascii="Calibri" w:hAnsi="Calibri" w:cs="Times New Roman"/>
        </w:rPr>
        <w:t xml:space="preserve"> Hydrogen Gas-Measuring Devices Code</w:t>
      </w:r>
      <w:r w:rsidR="00136519">
        <w:rPr>
          <w:rFonts w:ascii="Calibri" w:hAnsi="Calibri" w:cs="Times New Roman"/>
        </w:rPr>
        <w:t>,</w:t>
      </w:r>
      <w:r w:rsidRPr="00D96967">
        <w:rPr>
          <w:rFonts w:ascii="Calibri" w:hAnsi="Calibri" w:cs="Times New Roman"/>
        </w:rPr>
        <w:t xml:space="preserve"> paragraph N.4. Tests recognizes three official methods for testing the measurement performance of a hydrogen dispenser</w:t>
      </w:r>
      <w:r w:rsidR="00F12370" w:rsidRPr="00D96967">
        <w:rPr>
          <w:rFonts w:ascii="Calibri" w:hAnsi="Calibri" w:cs="Times New Roman"/>
        </w:rPr>
        <w:t>:</w:t>
      </w:r>
      <w:r w:rsidR="000F3C04" w:rsidRPr="00D96967">
        <w:rPr>
          <w:rFonts w:ascii="Calibri" w:hAnsi="Calibri" w:cs="Times New Roman"/>
        </w:rPr>
        <w:t xml:space="preserve">  </w:t>
      </w:r>
      <w:r w:rsidRPr="00D96967">
        <w:rPr>
          <w:rFonts w:ascii="Calibri" w:hAnsi="Calibri" w:cs="Times New Roman"/>
        </w:rPr>
        <w:t>the gravimetric test, master meter transfer standard test, and PVT (pressure volume temperature) test.</w:t>
      </w:r>
      <w:r w:rsidR="007E3290" w:rsidRPr="00D96967">
        <w:rPr>
          <w:rFonts w:ascii="Calibri" w:hAnsi="Calibri" w:cs="Times New Roman"/>
        </w:rPr>
        <w:t xml:space="preserve">  More detailed procedures </w:t>
      </w:r>
      <w:r w:rsidR="00D96967">
        <w:rPr>
          <w:rFonts w:ascii="Calibri" w:hAnsi="Calibri" w:cs="Times New Roman"/>
        </w:rPr>
        <w:t xml:space="preserve">are </w:t>
      </w:r>
      <w:r w:rsidR="007E3290" w:rsidRPr="00D96967">
        <w:rPr>
          <w:rFonts w:ascii="Calibri" w:hAnsi="Calibri" w:cs="Times New Roman"/>
        </w:rPr>
        <w:t>available in the NIST Examination Procedures Outline 29</w:t>
      </w:r>
      <w:r w:rsidR="00AB3146" w:rsidRPr="00D96967">
        <w:rPr>
          <w:rFonts w:ascii="Calibri" w:hAnsi="Calibri" w:cs="Times New Roman"/>
        </w:rPr>
        <w:t xml:space="preserve"> for</w:t>
      </w:r>
      <w:r w:rsidR="00D96967" w:rsidRPr="00D96967">
        <w:rPr>
          <w:rFonts w:ascii="Calibri" w:hAnsi="Calibri" w:cs="Times New Roman"/>
        </w:rPr>
        <w:t xml:space="preserve"> </w:t>
      </w:r>
      <w:r w:rsidR="00AB3146" w:rsidRPr="00D96967">
        <w:rPr>
          <w:rFonts w:ascii="Calibri" w:hAnsi="Calibri" w:cs="Times New Roman"/>
        </w:rPr>
        <w:t>Hydrogen Gas Retail Vehicle Fuel Dispensers</w:t>
      </w:r>
      <w:r w:rsidR="00D96967">
        <w:rPr>
          <w:rFonts w:ascii="Calibri" w:hAnsi="Calibri" w:cs="Times New Roman"/>
        </w:rPr>
        <w:t xml:space="preserve"> (Draft 5)</w:t>
      </w:r>
      <w:r w:rsidR="005A7677">
        <w:rPr>
          <w:rFonts w:ascii="Calibri" w:hAnsi="Calibri" w:cs="Times New Roman"/>
        </w:rPr>
        <w:t xml:space="preserve"> that address the gravimetric test method</w:t>
      </w:r>
      <w:r w:rsidR="007E3290" w:rsidRPr="00D96967">
        <w:rPr>
          <w:rFonts w:ascii="Calibri" w:hAnsi="Calibri" w:cs="Times New Roman"/>
        </w:rPr>
        <w:t>.</w:t>
      </w:r>
    </w:p>
    <w:p w14:paraId="2A70E036" w14:textId="77777777" w:rsidR="003F0BA8" w:rsidRPr="003F0BA8" w:rsidRDefault="003F0BA8" w:rsidP="000F3C04">
      <w:pPr>
        <w:spacing w:after="0"/>
      </w:pPr>
    </w:p>
    <w:p w14:paraId="47564D43" w14:textId="77777777" w:rsidR="00F80827" w:rsidRDefault="003F0BA8" w:rsidP="0054098F">
      <w:pPr>
        <w:numPr>
          <w:ilvl w:val="0"/>
          <w:numId w:val="9"/>
        </w:numPr>
        <w:spacing w:after="0" w:line="240" w:lineRule="auto"/>
        <w:rPr>
          <w:rFonts w:ascii="Calibri" w:hAnsi="Calibri" w:cs="Times New Roman"/>
        </w:rPr>
      </w:pPr>
      <w:r w:rsidRPr="00F80827">
        <w:rPr>
          <w:rFonts w:ascii="Calibri" w:hAnsi="Calibri" w:cs="Times New Roman"/>
          <w:b/>
        </w:rPr>
        <w:t xml:space="preserve">How many test drafts are required in a test of a hydrogen vehicle refueling dispenser? </w:t>
      </w:r>
      <w:r w:rsidRPr="00F80827">
        <w:rPr>
          <w:rFonts w:ascii="Calibri" w:hAnsi="Calibri" w:cs="Times New Roman"/>
        </w:rPr>
        <w:t xml:space="preserve"> </w:t>
      </w:r>
      <w:r w:rsidRPr="00F80827">
        <w:rPr>
          <w:rFonts w:ascii="Calibri" w:hAnsi="Calibri" w:cs="Times New Roman"/>
        </w:rPr>
        <w:br/>
        <w:t xml:space="preserve">The type and number of </w:t>
      </w:r>
      <w:r w:rsidR="003448D6">
        <w:rPr>
          <w:rFonts w:ascii="Calibri" w:hAnsi="Calibri" w:cs="Times New Roman"/>
        </w:rPr>
        <w:t xml:space="preserve">test </w:t>
      </w:r>
      <w:r w:rsidRPr="00F80827">
        <w:rPr>
          <w:rFonts w:ascii="Calibri" w:hAnsi="Calibri" w:cs="Times New Roman"/>
        </w:rPr>
        <w:t xml:space="preserve">drafts required during the performance test of a hydrogen vehicle fuel dispenser are prescribed in the Notes section of </w:t>
      </w:r>
      <w:r w:rsidR="007A776B">
        <w:rPr>
          <w:rFonts w:ascii="Calibri" w:hAnsi="Calibri" w:cs="Times New Roman"/>
        </w:rPr>
        <w:t xml:space="preserve">the </w:t>
      </w:r>
      <w:r w:rsidR="00136519">
        <w:rPr>
          <w:rFonts w:ascii="Calibri" w:hAnsi="Calibri" w:cs="Times New Roman"/>
        </w:rPr>
        <w:t>NIST</w:t>
      </w:r>
      <w:r w:rsidR="007A776B">
        <w:rPr>
          <w:rFonts w:ascii="Calibri" w:hAnsi="Calibri" w:cs="Times New Roman"/>
        </w:rPr>
        <w:t xml:space="preserve"> </w:t>
      </w:r>
      <w:r w:rsidR="007A776B" w:rsidRPr="003F0BA8">
        <w:rPr>
          <w:rFonts w:ascii="Calibri" w:hAnsi="Calibri" w:cs="Times New Roman"/>
        </w:rPr>
        <w:t>H</w:t>
      </w:r>
      <w:r w:rsidR="007A776B">
        <w:rPr>
          <w:rFonts w:ascii="Calibri" w:hAnsi="Calibri" w:cs="Times New Roman"/>
        </w:rPr>
        <w:t>andbook</w:t>
      </w:r>
      <w:r w:rsidR="007A776B" w:rsidRPr="003F0BA8">
        <w:rPr>
          <w:rFonts w:ascii="Calibri" w:hAnsi="Calibri" w:cs="Times New Roman"/>
        </w:rPr>
        <w:t xml:space="preserve"> </w:t>
      </w:r>
      <w:r w:rsidRPr="00F80827">
        <w:rPr>
          <w:rFonts w:ascii="Calibri" w:hAnsi="Calibri" w:cs="Times New Roman"/>
        </w:rPr>
        <w:t>44</w:t>
      </w:r>
      <w:r w:rsidR="00136519">
        <w:rPr>
          <w:rFonts w:ascii="Calibri" w:hAnsi="Calibri" w:cs="Times New Roman"/>
        </w:rPr>
        <w:t>,</w:t>
      </w:r>
      <w:r w:rsidRPr="00F80827">
        <w:rPr>
          <w:rFonts w:ascii="Calibri" w:hAnsi="Calibri" w:cs="Times New Roman"/>
        </w:rPr>
        <w:t xml:space="preserve"> Section 3.39</w:t>
      </w:r>
      <w:r w:rsidR="00136519">
        <w:rPr>
          <w:rFonts w:ascii="Calibri" w:hAnsi="Calibri" w:cs="Times New Roman"/>
        </w:rPr>
        <w:t>.</w:t>
      </w:r>
      <w:r w:rsidRPr="00F80827">
        <w:rPr>
          <w:rFonts w:ascii="Calibri" w:hAnsi="Calibri" w:cs="Times New Roman"/>
        </w:rPr>
        <w:t xml:space="preserve"> Hydrogen Gas-Measuring Devices Code.  The Code forms the basis </w:t>
      </w:r>
      <w:r w:rsidR="005A7677">
        <w:rPr>
          <w:rFonts w:ascii="Calibri" w:hAnsi="Calibri" w:cs="Times New Roman"/>
        </w:rPr>
        <w:t xml:space="preserve">for </w:t>
      </w:r>
      <w:r w:rsidRPr="00F80827">
        <w:rPr>
          <w:rFonts w:ascii="Calibri" w:hAnsi="Calibri" w:cs="Times New Roman"/>
        </w:rPr>
        <w:t xml:space="preserve">both type evaluation test criteria and for testing and inspection of devices while in commercial operation. </w:t>
      </w:r>
      <w:r w:rsidRPr="00F80827">
        <w:rPr>
          <w:rFonts w:ascii="Calibri" w:hAnsi="Calibri" w:cs="Times New Roman"/>
        </w:rPr>
        <w:br/>
      </w:r>
      <w:r w:rsidRPr="00F80827">
        <w:rPr>
          <w:rFonts w:ascii="Calibri" w:hAnsi="Calibri" w:cs="Times New Roman"/>
        </w:rPr>
        <w:br/>
        <w:t xml:space="preserve">For hydrogen dispensers in commercial use, the </w:t>
      </w:r>
      <w:r w:rsidR="00DA09FB">
        <w:rPr>
          <w:rFonts w:ascii="Calibri" w:hAnsi="Calibri" w:cs="Times New Roman"/>
        </w:rPr>
        <w:t xml:space="preserve">master meter (transfer) standard test </w:t>
      </w:r>
      <w:r w:rsidRPr="00F80827">
        <w:rPr>
          <w:rFonts w:ascii="Calibri" w:hAnsi="Calibri" w:cs="Times New Roman"/>
        </w:rPr>
        <w:t xml:space="preserve">will consist of a minimum of two test drafts.  One test draft shall consist of a draft size that represents the smallest quantity the device is designed to accurately deliver (which might be the amount of fuel necessary to top-off a nearly full vehicle tank), but is usually defined as the manufacturer’s marked Minimum Measured Quantity (MMQ).  The other draft shall consist of a draft size of either ten times the MMQ or 1 </w:t>
      </w:r>
      <w:r w:rsidR="008D639D">
        <w:rPr>
          <w:rFonts w:ascii="Calibri" w:hAnsi="Calibri" w:cs="Times New Roman"/>
        </w:rPr>
        <w:t>kilogram</w:t>
      </w:r>
      <w:r w:rsidRPr="00F80827">
        <w:rPr>
          <w:rFonts w:ascii="Calibri" w:hAnsi="Calibri" w:cs="Times New Roman"/>
        </w:rPr>
        <w:t xml:space="preserve">, whichever is greater.  </w:t>
      </w:r>
      <w:r w:rsidR="00701BD5" w:rsidRPr="00701BD5">
        <w:rPr>
          <w:rFonts w:ascii="Calibri" w:hAnsi="Calibri" w:cs="Times New Roman"/>
        </w:rPr>
        <w:t>The gravimetric and PVT pressure volume temperature tests will consist of a minimum of two test drafts.  One test draft shall consist of a draft size that represents twice the manufacturer’s marked Minimum Measured Quantity (MMQ).  The other draft shall consist of a draft size of either five times the MMQ or 4 kilograms, whichever is greater.  Tests shall be conducted at an amount equal to the MMQ when it is likely a dispenser will be used to make deliveries at the declared MMQ.</w:t>
      </w:r>
      <w:r w:rsidR="00701BD5">
        <w:rPr>
          <w:rFonts w:ascii="Calibri" w:hAnsi="Calibri" w:cs="Times New Roman"/>
        </w:rPr>
        <w:t xml:space="preserve">  </w:t>
      </w:r>
      <w:r w:rsidRPr="00F80827">
        <w:rPr>
          <w:rFonts w:ascii="Calibri" w:hAnsi="Calibri" w:cs="Times New Roman"/>
        </w:rPr>
        <w:t>The flow rates selected for the test are to reflect normal delivery conditions.  More tests may be performed if conditions warrant further testing.</w:t>
      </w:r>
      <w:r w:rsidR="00C04866" w:rsidRPr="00F80827">
        <w:rPr>
          <w:rFonts w:ascii="Calibri" w:hAnsi="Calibri" w:cs="Times New Roman"/>
        </w:rPr>
        <w:t xml:space="preserve"> It is worth noting that dispensers must </w:t>
      </w:r>
      <w:r w:rsidR="00F80827" w:rsidRPr="00F80827">
        <w:rPr>
          <w:rFonts w:ascii="Calibri" w:hAnsi="Calibri" w:cs="Times New Roman"/>
        </w:rPr>
        <w:t xml:space="preserve">also </w:t>
      </w:r>
      <w:r w:rsidR="00C04866" w:rsidRPr="00F80827">
        <w:rPr>
          <w:rFonts w:ascii="Calibri" w:hAnsi="Calibri" w:cs="Times New Roman"/>
        </w:rPr>
        <w:t xml:space="preserve">meet </w:t>
      </w:r>
      <w:r w:rsidR="00F80827" w:rsidRPr="00F80827">
        <w:rPr>
          <w:rFonts w:ascii="Calibri" w:hAnsi="Calibri" w:cs="Times New Roman"/>
        </w:rPr>
        <w:t xml:space="preserve">other </w:t>
      </w:r>
      <w:r w:rsidR="00C04866" w:rsidRPr="00F80827">
        <w:rPr>
          <w:rFonts w:ascii="Calibri" w:hAnsi="Calibri" w:cs="Times New Roman"/>
        </w:rPr>
        <w:t xml:space="preserve">industry </w:t>
      </w:r>
      <w:r w:rsidR="00F80827" w:rsidRPr="00F80827">
        <w:rPr>
          <w:rFonts w:ascii="Calibri" w:hAnsi="Calibri" w:cs="Times New Roman"/>
        </w:rPr>
        <w:t xml:space="preserve">performance </w:t>
      </w:r>
      <w:r w:rsidR="00C04866" w:rsidRPr="00F80827">
        <w:rPr>
          <w:rFonts w:ascii="Calibri" w:hAnsi="Calibri" w:cs="Times New Roman"/>
        </w:rPr>
        <w:t xml:space="preserve">standards as well as </w:t>
      </w:r>
      <w:r w:rsidR="00F80827" w:rsidRPr="00F80827">
        <w:rPr>
          <w:rFonts w:ascii="Calibri" w:hAnsi="Calibri" w:cs="Times New Roman"/>
        </w:rPr>
        <w:t xml:space="preserve">legal </w:t>
      </w:r>
      <w:r w:rsidR="00C04866" w:rsidRPr="00F80827">
        <w:rPr>
          <w:rFonts w:ascii="Calibri" w:hAnsi="Calibri" w:cs="Times New Roman"/>
        </w:rPr>
        <w:t>metrology</w:t>
      </w:r>
      <w:r w:rsidR="00F80827" w:rsidRPr="00F80827">
        <w:rPr>
          <w:rFonts w:ascii="Calibri" w:hAnsi="Calibri" w:cs="Times New Roman"/>
        </w:rPr>
        <w:t xml:space="preserve"> requirements</w:t>
      </w:r>
      <w:r w:rsidR="00C04866" w:rsidRPr="00F80827">
        <w:rPr>
          <w:rFonts w:ascii="Calibri" w:hAnsi="Calibri" w:cs="Times New Roman"/>
        </w:rPr>
        <w:t xml:space="preserve">. </w:t>
      </w:r>
    </w:p>
    <w:p w14:paraId="54DECE6B" w14:textId="77777777" w:rsidR="00A4730E" w:rsidRDefault="00A4730E" w:rsidP="00A4730E">
      <w:pPr>
        <w:spacing w:after="0" w:line="240" w:lineRule="auto"/>
        <w:ind w:left="720"/>
        <w:rPr>
          <w:rFonts w:ascii="Calibri" w:hAnsi="Calibri" w:cs="Times New Roman"/>
        </w:rPr>
      </w:pPr>
    </w:p>
    <w:p w14:paraId="02A1B8DD" w14:textId="77777777" w:rsidR="009821E3" w:rsidRPr="009821E3" w:rsidRDefault="009821E3" w:rsidP="009821E3">
      <w:pPr>
        <w:pStyle w:val="ListParagraph"/>
        <w:numPr>
          <w:ilvl w:val="0"/>
          <w:numId w:val="9"/>
        </w:numPr>
        <w:rPr>
          <w:b/>
        </w:rPr>
      </w:pPr>
      <w:r w:rsidRPr="009821E3">
        <w:rPr>
          <w:b/>
        </w:rPr>
        <w:t>What is type evaluation and what does the process involve?</w:t>
      </w:r>
    </w:p>
    <w:p w14:paraId="113DAF89" w14:textId="77777777" w:rsidR="003F0BA8" w:rsidRPr="003F0BA8" w:rsidRDefault="003F0BA8" w:rsidP="003F0BA8">
      <w:pPr>
        <w:spacing w:after="0" w:line="240" w:lineRule="auto"/>
        <w:ind w:left="720"/>
        <w:rPr>
          <w:rFonts w:ascii="Calibri" w:hAnsi="Calibri" w:cs="Times New Roman"/>
        </w:rPr>
      </w:pPr>
      <w:r w:rsidRPr="003F0BA8">
        <w:rPr>
          <w:rFonts w:ascii="Calibri" w:hAnsi="Calibri" w:cs="Times New Roman"/>
        </w:rPr>
        <w:t xml:space="preserve">A device undergoing type evaluation is intended to represent a particular design that will be mass produced for commercial use.  Therefore, type evaluation tests are structured to provide sufficient data to demonstrate a device’s performance over a lifetime of use and are more extensive than the </w:t>
      </w:r>
      <w:r w:rsidR="00F80827">
        <w:rPr>
          <w:rFonts w:ascii="Calibri" w:hAnsi="Calibri" w:cs="Times New Roman"/>
        </w:rPr>
        <w:t xml:space="preserve">periodic </w:t>
      </w:r>
      <w:r w:rsidRPr="003F0BA8">
        <w:rPr>
          <w:rFonts w:ascii="Calibri" w:hAnsi="Calibri" w:cs="Times New Roman"/>
        </w:rPr>
        <w:t xml:space="preserve">field performance testing that is used to determine a device’s performance </w:t>
      </w:r>
      <w:r w:rsidR="00F80827">
        <w:rPr>
          <w:rFonts w:ascii="Calibri" w:hAnsi="Calibri" w:cs="Times New Roman"/>
        </w:rPr>
        <w:t xml:space="preserve">compliance </w:t>
      </w:r>
      <w:r w:rsidRPr="003F0BA8">
        <w:rPr>
          <w:rFonts w:ascii="Calibri" w:hAnsi="Calibri" w:cs="Times New Roman"/>
        </w:rPr>
        <w:t>and proper maintenance while in commercial service.</w:t>
      </w:r>
      <w:r w:rsidR="009821E3">
        <w:rPr>
          <w:rFonts w:ascii="Calibri" w:hAnsi="Calibri" w:cs="Times New Roman"/>
        </w:rPr>
        <w:t xml:space="preserve">  Type evaluation enables testing of a same “type” or pattern to provide confidence to weights and measures </w:t>
      </w:r>
      <w:r w:rsidR="009821E3">
        <w:rPr>
          <w:rFonts w:ascii="Calibri" w:hAnsi="Calibri" w:cs="Times New Roman"/>
        </w:rPr>
        <w:lastRenderedPageBreak/>
        <w:t>jurisdictions, facilitates acceptance, assists the manufacturer in identifying any problems or deficiencies and correcting them before making equipment more widely available.</w:t>
      </w:r>
    </w:p>
    <w:p w14:paraId="0683C58F" w14:textId="77777777" w:rsidR="003F0BA8" w:rsidRPr="003F0BA8" w:rsidRDefault="003F0BA8" w:rsidP="003F0BA8">
      <w:pPr>
        <w:spacing w:after="0" w:line="240" w:lineRule="auto"/>
        <w:ind w:left="720"/>
        <w:rPr>
          <w:rFonts w:ascii="Calibri" w:hAnsi="Calibri" w:cs="Times New Roman"/>
        </w:rPr>
      </w:pPr>
    </w:p>
    <w:p w14:paraId="083EBE91" w14:textId="77777777" w:rsidR="00056371" w:rsidRDefault="003F0BA8" w:rsidP="003F0BA8">
      <w:pPr>
        <w:numPr>
          <w:ilvl w:val="0"/>
          <w:numId w:val="9"/>
        </w:numPr>
        <w:spacing w:after="0" w:line="240" w:lineRule="auto"/>
        <w:rPr>
          <w:rFonts w:ascii="Calibri" w:hAnsi="Calibri" w:cs="Times New Roman"/>
        </w:rPr>
      </w:pPr>
      <w:r w:rsidRPr="003F0BA8">
        <w:rPr>
          <w:rFonts w:ascii="Calibri" w:hAnsi="Calibri" w:cs="Times New Roman"/>
          <w:b/>
        </w:rPr>
        <w:t>Can a type of hydrogen dispenser be issued a</w:t>
      </w:r>
      <w:r w:rsidR="00E23753">
        <w:rPr>
          <w:rFonts w:ascii="Calibri" w:hAnsi="Calibri" w:cs="Times New Roman"/>
          <w:b/>
        </w:rPr>
        <w:t xml:space="preserve"> National Conference on Weights and Measures (</w:t>
      </w:r>
      <w:r w:rsidRPr="003F0BA8">
        <w:rPr>
          <w:rFonts w:ascii="Calibri" w:hAnsi="Calibri" w:cs="Times New Roman"/>
          <w:b/>
        </w:rPr>
        <w:t>NCWM</w:t>
      </w:r>
      <w:r w:rsidR="00E23753">
        <w:rPr>
          <w:rFonts w:ascii="Calibri" w:hAnsi="Calibri" w:cs="Times New Roman"/>
          <w:b/>
        </w:rPr>
        <w:t>)</w:t>
      </w:r>
      <w:r w:rsidRPr="003F0BA8">
        <w:rPr>
          <w:rFonts w:ascii="Calibri" w:hAnsi="Calibri" w:cs="Times New Roman"/>
          <w:b/>
        </w:rPr>
        <w:t xml:space="preserve"> National Type Evaluation Program (NTEP) Certificate of Conformance (CC)?</w:t>
      </w:r>
      <w:r w:rsidRPr="003F0BA8">
        <w:rPr>
          <w:rFonts w:ascii="Calibri" w:hAnsi="Calibri" w:cs="Times New Roman"/>
        </w:rPr>
        <w:t xml:space="preserve">  </w:t>
      </w:r>
      <w:r w:rsidRPr="003F0BA8">
        <w:rPr>
          <w:rFonts w:ascii="Calibri" w:hAnsi="Calibri" w:cs="Times New Roman"/>
        </w:rPr>
        <w:br/>
      </w:r>
    </w:p>
    <w:p w14:paraId="6A217C51" w14:textId="0BF3D5EE" w:rsidR="00056371" w:rsidRDefault="00056371" w:rsidP="00056371">
      <w:pPr>
        <w:spacing w:after="0" w:line="240" w:lineRule="auto"/>
        <w:ind w:left="720"/>
        <w:rPr>
          <w:rFonts w:ascii="Calibri" w:hAnsi="Calibri" w:cs="Times New Roman"/>
        </w:rPr>
      </w:pPr>
      <w:r w:rsidRPr="00F85D9E">
        <w:rPr>
          <w:rFonts w:ascii="Calibri" w:hAnsi="Calibri" w:cs="Times New Roman"/>
        </w:rPr>
        <w:t>The specifications, tolerances, and other technical requirements in NIST Handbook 44, Section 1.10 General Code and Section 3.39 Hydrogen Gas-Measuring Devices Code apply to commercial hydrogen vehicle refueling devices.  NTEP is administered by NCWM.  NTEP determines the conformance of a device type to the provisions in its policies, technical checklists, and test procedures.</w:t>
      </w:r>
      <w:r>
        <w:rPr>
          <w:rFonts w:ascii="Calibri" w:hAnsi="Calibri" w:cs="Times New Roman"/>
        </w:rPr>
        <w:t xml:space="preserve">  </w:t>
      </w:r>
      <w:r w:rsidRPr="003F0BA8">
        <w:rPr>
          <w:rFonts w:ascii="Calibri" w:hAnsi="Calibri" w:cs="Times New Roman"/>
        </w:rPr>
        <w:t>More informatio</w:t>
      </w:r>
      <w:bookmarkStart w:id="0" w:name="_GoBack"/>
      <w:bookmarkEnd w:id="0"/>
      <w:r w:rsidRPr="003F0BA8">
        <w:rPr>
          <w:rFonts w:ascii="Calibri" w:hAnsi="Calibri" w:cs="Times New Roman"/>
        </w:rPr>
        <w:t>n on NTEP</w:t>
      </w:r>
      <w:r>
        <w:rPr>
          <w:rFonts w:ascii="Calibri" w:hAnsi="Calibri" w:cs="Times New Roman"/>
        </w:rPr>
        <w:t>,</w:t>
      </w:r>
      <w:r w:rsidRPr="003F0BA8">
        <w:rPr>
          <w:rFonts w:ascii="Calibri" w:hAnsi="Calibri" w:cs="Times New Roman"/>
        </w:rPr>
        <w:t xml:space="preserve"> </w:t>
      </w:r>
      <w:r>
        <w:rPr>
          <w:rFonts w:ascii="Calibri" w:hAnsi="Calibri" w:cs="Times New Roman"/>
        </w:rPr>
        <w:t>the application process</w:t>
      </w:r>
      <w:r w:rsidR="00F85D9E">
        <w:rPr>
          <w:rFonts w:ascii="Calibri" w:hAnsi="Calibri" w:cs="Times New Roman"/>
        </w:rPr>
        <w:t>,</w:t>
      </w:r>
      <w:r>
        <w:rPr>
          <w:rFonts w:ascii="Calibri" w:hAnsi="Calibri" w:cs="Times New Roman"/>
        </w:rPr>
        <w:t xml:space="preserve"> and contacts if you have questions </w:t>
      </w:r>
      <w:r w:rsidRPr="003F0BA8">
        <w:rPr>
          <w:rFonts w:ascii="Calibri" w:hAnsi="Calibri" w:cs="Times New Roman"/>
        </w:rPr>
        <w:t xml:space="preserve">is available on the </w:t>
      </w:r>
      <w:r>
        <w:rPr>
          <w:rFonts w:ascii="Calibri" w:hAnsi="Calibri" w:cs="Times New Roman"/>
        </w:rPr>
        <w:t>NCWM</w:t>
      </w:r>
      <w:r w:rsidRPr="003F0BA8">
        <w:rPr>
          <w:rFonts w:ascii="Calibri" w:hAnsi="Calibri" w:cs="Times New Roman"/>
        </w:rPr>
        <w:t xml:space="preserve"> website at:  </w:t>
      </w:r>
      <w:hyperlink r:id="rId19" w:history="1">
        <w:r w:rsidR="00EA354D" w:rsidRPr="00A57627">
          <w:rPr>
            <w:rStyle w:val="Hyperlink"/>
            <w:rFonts w:ascii="Calibri" w:hAnsi="Calibri" w:cs="Times New Roman"/>
          </w:rPr>
          <w:t>https://www.ncwm.com/ntep-about</w:t>
        </w:r>
      </w:hyperlink>
      <w:r w:rsidR="003E115D">
        <w:rPr>
          <w:rFonts w:ascii="Calibri" w:hAnsi="Calibri" w:cs="Times New Roman"/>
        </w:rPr>
        <w:t>.</w:t>
      </w:r>
      <w:r w:rsidRPr="003F0BA8">
        <w:rPr>
          <w:rFonts w:ascii="Calibri" w:hAnsi="Calibri" w:cs="Times New Roman"/>
        </w:rPr>
        <w:t xml:space="preserve">  Additionally, </w:t>
      </w:r>
      <w:r>
        <w:rPr>
          <w:rFonts w:ascii="Calibri" w:hAnsi="Calibri" w:cs="Times New Roman"/>
        </w:rPr>
        <w:t xml:space="preserve">it should be noted that </w:t>
      </w:r>
      <w:r w:rsidRPr="003F0BA8">
        <w:rPr>
          <w:rFonts w:ascii="Calibri" w:hAnsi="Calibri" w:cs="Times New Roman"/>
        </w:rPr>
        <w:t xml:space="preserve">the </w:t>
      </w:r>
      <w:r>
        <w:rPr>
          <w:rFonts w:ascii="Calibri" w:hAnsi="Calibri" w:cs="Times New Roman"/>
        </w:rPr>
        <w:t>state/local weights and measures authority having jurisdiction over commercial dispensers may also have</w:t>
      </w:r>
      <w:r w:rsidRPr="003F0BA8">
        <w:rPr>
          <w:rFonts w:ascii="Calibri" w:hAnsi="Calibri" w:cs="Times New Roman"/>
        </w:rPr>
        <w:t xml:space="preserve"> provisions in place for </w:t>
      </w:r>
      <w:r>
        <w:rPr>
          <w:rFonts w:ascii="Calibri" w:hAnsi="Calibri" w:cs="Times New Roman"/>
        </w:rPr>
        <w:t xml:space="preserve">performing </w:t>
      </w:r>
      <w:r w:rsidRPr="003F0BA8">
        <w:rPr>
          <w:rFonts w:ascii="Calibri" w:hAnsi="Calibri" w:cs="Times New Roman"/>
        </w:rPr>
        <w:t>type evaluations.</w:t>
      </w:r>
    </w:p>
    <w:p w14:paraId="21AB1FBF" w14:textId="77777777" w:rsidR="00056371" w:rsidRDefault="00056371" w:rsidP="00056371">
      <w:pPr>
        <w:spacing w:after="0" w:line="240" w:lineRule="auto"/>
        <w:ind w:left="720"/>
        <w:rPr>
          <w:rFonts w:ascii="Calibri" w:hAnsi="Calibri" w:cs="Times New Roman"/>
        </w:rPr>
      </w:pPr>
    </w:p>
    <w:p w14:paraId="3CEDA094" w14:textId="77777777" w:rsidR="003F0BA8" w:rsidRPr="003F0BA8" w:rsidRDefault="003F0BA8" w:rsidP="000D7C09">
      <w:pPr>
        <w:numPr>
          <w:ilvl w:val="0"/>
          <w:numId w:val="9"/>
        </w:numPr>
        <w:spacing w:after="0" w:line="240" w:lineRule="auto"/>
        <w:rPr>
          <w:rFonts w:ascii="Calibri" w:hAnsi="Calibri" w:cs="Times New Roman"/>
        </w:rPr>
      </w:pPr>
      <w:r w:rsidRPr="003F0BA8">
        <w:rPr>
          <w:rFonts w:ascii="Calibri" w:hAnsi="Calibri" w:cs="Times New Roman"/>
          <w:b/>
        </w:rPr>
        <w:t>What is the smallest permissible quantity unit value that can be displayed for a delivery on a hydrogen dispenser or recorded on a hydrogen fuel sales receipt?</w:t>
      </w:r>
      <w:r w:rsidRPr="003F0BA8">
        <w:rPr>
          <w:rFonts w:ascii="Calibri" w:hAnsi="Calibri" w:cs="Times New Roman"/>
        </w:rPr>
        <w:t xml:space="preserve"> </w:t>
      </w:r>
      <w:r w:rsidRPr="003F0BA8">
        <w:rPr>
          <w:rFonts w:ascii="Calibri" w:hAnsi="Calibri" w:cs="Times New Roman"/>
        </w:rPr>
        <w:br/>
      </w:r>
      <w:r w:rsidR="006C2B45">
        <w:rPr>
          <w:rFonts w:ascii="Calibri" w:hAnsi="Calibri" w:cs="Times New Roman"/>
        </w:rPr>
        <w:t>T</w:t>
      </w:r>
      <w:r w:rsidR="006C2B45" w:rsidRPr="003F0BA8">
        <w:rPr>
          <w:rFonts w:ascii="Calibri" w:hAnsi="Calibri" w:cs="Times New Roman"/>
        </w:rPr>
        <w:t xml:space="preserve">he </w:t>
      </w:r>
      <w:r w:rsidR="00136519">
        <w:rPr>
          <w:rFonts w:ascii="Calibri" w:hAnsi="Calibri" w:cs="Times New Roman"/>
        </w:rPr>
        <w:t>NIST</w:t>
      </w:r>
      <w:r w:rsidR="006C2B45">
        <w:rPr>
          <w:rFonts w:ascii="Calibri" w:hAnsi="Calibri" w:cs="Times New Roman"/>
        </w:rPr>
        <w:t xml:space="preserve"> </w:t>
      </w:r>
      <w:r w:rsidR="006C2B45" w:rsidRPr="003F0BA8">
        <w:rPr>
          <w:rFonts w:ascii="Calibri" w:hAnsi="Calibri" w:cs="Times New Roman"/>
        </w:rPr>
        <w:t>H</w:t>
      </w:r>
      <w:r w:rsidR="006C2B45">
        <w:rPr>
          <w:rFonts w:ascii="Calibri" w:hAnsi="Calibri" w:cs="Times New Roman"/>
        </w:rPr>
        <w:t>andbook</w:t>
      </w:r>
      <w:r w:rsidR="006C2B45" w:rsidRPr="003F0BA8">
        <w:rPr>
          <w:rFonts w:ascii="Calibri" w:hAnsi="Calibri" w:cs="Times New Roman"/>
        </w:rPr>
        <w:t xml:space="preserve"> </w:t>
      </w:r>
      <w:r w:rsidRPr="003F0BA8">
        <w:rPr>
          <w:rFonts w:ascii="Calibri" w:hAnsi="Calibri" w:cs="Times New Roman"/>
        </w:rPr>
        <w:t>44</w:t>
      </w:r>
      <w:r w:rsidR="00136519">
        <w:rPr>
          <w:rFonts w:ascii="Calibri" w:hAnsi="Calibri" w:cs="Times New Roman"/>
        </w:rPr>
        <w:t>,</w:t>
      </w:r>
      <w:r w:rsidRPr="003F0BA8">
        <w:rPr>
          <w:rFonts w:ascii="Calibri" w:hAnsi="Calibri" w:cs="Times New Roman"/>
        </w:rPr>
        <w:t xml:space="preserve"> Section 3.39</w:t>
      </w:r>
      <w:r w:rsidR="00136519">
        <w:rPr>
          <w:rFonts w:ascii="Calibri" w:hAnsi="Calibri" w:cs="Times New Roman"/>
        </w:rPr>
        <w:t>.</w:t>
      </w:r>
      <w:r w:rsidRPr="003F0BA8">
        <w:rPr>
          <w:rFonts w:ascii="Calibri" w:hAnsi="Calibri" w:cs="Times New Roman"/>
        </w:rPr>
        <w:t xml:space="preserve"> Hydrogen Gas-Measuring Devices Code</w:t>
      </w:r>
      <w:r w:rsidR="00136519">
        <w:rPr>
          <w:rFonts w:ascii="Calibri" w:hAnsi="Calibri" w:cs="Times New Roman"/>
        </w:rPr>
        <w:t>,</w:t>
      </w:r>
      <w:r w:rsidRPr="003F0BA8">
        <w:rPr>
          <w:rFonts w:ascii="Calibri" w:hAnsi="Calibri" w:cs="Times New Roman"/>
        </w:rPr>
        <w:t xml:space="preserve"> paragraph S.1.4. Value of Smallest Unit specifies 0.</w:t>
      </w:r>
      <w:r w:rsidR="00136519" w:rsidRPr="003F0BA8">
        <w:rPr>
          <w:rFonts w:ascii="Calibri" w:hAnsi="Calibri" w:cs="Times New Roman"/>
        </w:rPr>
        <w:t>001</w:t>
      </w:r>
      <w:r w:rsidR="00136519">
        <w:rPr>
          <w:rFonts w:ascii="Calibri" w:hAnsi="Calibri" w:cs="Times New Roman"/>
        </w:rPr>
        <w:t> </w:t>
      </w:r>
      <w:r w:rsidRPr="003F0BA8">
        <w:rPr>
          <w:rFonts w:ascii="Calibri" w:hAnsi="Calibri" w:cs="Times New Roman"/>
        </w:rPr>
        <w:t xml:space="preserve">kg as the value of the smallest unit permitted </w:t>
      </w:r>
      <w:r w:rsidR="00CF3C18">
        <w:rPr>
          <w:rFonts w:ascii="Calibri" w:hAnsi="Calibri" w:cs="Times New Roman"/>
        </w:rPr>
        <w:t xml:space="preserve">and not to be exceeded </w:t>
      </w:r>
      <w:r w:rsidRPr="003F0BA8">
        <w:rPr>
          <w:rFonts w:ascii="Calibri" w:hAnsi="Calibri" w:cs="Times New Roman"/>
        </w:rPr>
        <w:t>for devices with a maximum flow rate of 30 k</w:t>
      </w:r>
      <w:r w:rsidR="006C2B45">
        <w:rPr>
          <w:rFonts w:ascii="Calibri" w:hAnsi="Calibri" w:cs="Times New Roman"/>
        </w:rPr>
        <w:t>ilograms</w:t>
      </w:r>
      <w:r w:rsidRPr="003F0BA8">
        <w:rPr>
          <w:rFonts w:ascii="Calibri" w:hAnsi="Calibri" w:cs="Times New Roman"/>
        </w:rPr>
        <w:t>/min</w:t>
      </w:r>
      <w:r w:rsidR="006C2B45">
        <w:rPr>
          <w:rFonts w:ascii="Calibri" w:hAnsi="Calibri" w:cs="Times New Roman"/>
        </w:rPr>
        <w:t>ute (kg/min)</w:t>
      </w:r>
      <w:r w:rsidRPr="003F0BA8">
        <w:rPr>
          <w:rFonts w:ascii="Calibri" w:hAnsi="Calibri" w:cs="Times New Roman"/>
        </w:rPr>
        <w:t xml:space="preserve"> or less; 0.01 kg is the value of the smallest unit permitted </w:t>
      </w:r>
      <w:r w:rsidR="00CF3C18">
        <w:rPr>
          <w:rFonts w:ascii="Calibri" w:hAnsi="Calibri" w:cs="Times New Roman"/>
        </w:rPr>
        <w:t xml:space="preserve">and not to be exceeded </w:t>
      </w:r>
      <w:r w:rsidRPr="003F0BA8">
        <w:rPr>
          <w:rFonts w:ascii="Calibri" w:hAnsi="Calibri" w:cs="Times New Roman"/>
        </w:rPr>
        <w:t>on devices with flow rates greater than 30 kg/min.</w:t>
      </w:r>
    </w:p>
    <w:p w14:paraId="03361E78" w14:textId="77777777" w:rsidR="003F0BA8" w:rsidRPr="003F0BA8" w:rsidRDefault="003F0BA8" w:rsidP="000D7C09">
      <w:pPr>
        <w:spacing w:after="0"/>
      </w:pPr>
    </w:p>
    <w:p w14:paraId="4E3B86C2" w14:textId="77777777" w:rsidR="003F0BA8" w:rsidRPr="003F0BA8" w:rsidRDefault="003F0BA8" w:rsidP="000D7C09">
      <w:pPr>
        <w:numPr>
          <w:ilvl w:val="0"/>
          <w:numId w:val="9"/>
        </w:numPr>
        <w:spacing w:after="0" w:line="240" w:lineRule="auto"/>
        <w:rPr>
          <w:rFonts w:ascii="Calibri" w:hAnsi="Calibri" w:cs="Times New Roman"/>
        </w:rPr>
      </w:pPr>
      <w:r w:rsidRPr="003F0BA8">
        <w:rPr>
          <w:rFonts w:ascii="Calibri" w:hAnsi="Calibri" w:cs="Times New Roman"/>
          <w:b/>
        </w:rPr>
        <w:t>What is unique about hydrogen vehicle fuel when compared to compressed natural gas (CNG)?</w:t>
      </w:r>
      <w:r w:rsidRPr="003F0BA8">
        <w:rPr>
          <w:rFonts w:ascii="Calibri" w:hAnsi="Calibri" w:cs="Times New Roman"/>
        </w:rPr>
        <w:t xml:space="preserve"> </w:t>
      </w:r>
      <w:r w:rsidRPr="003F0BA8">
        <w:rPr>
          <w:rFonts w:ascii="Calibri" w:hAnsi="Calibri" w:cs="Times New Roman"/>
        </w:rPr>
        <w:br/>
        <w:t xml:space="preserve">The weights and measures and hydrogen communities were able to develop many hydrogen standards by building on what they have learned from similar compressed gas applications such as </w:t>
      </w:r>
      <w:r w:rsidR="002A7BA1">
        <w:rPr>
          <w:rFonts w:ascii="Calibri" w:hAnsi="Calibri" w:cs="Times New Roman"/>
        </w:rPr>
        <w:t>compressed natural gas (</w:t>
      </w:r>
      <w:r w:rsidRPr="003F0BA8">
        <w:rPr>
          <w:rFonts w:ascii="Calibri" w:hAnsi="Calibri" w:cs="Times New Roman"/>
        </w:rPr>
        <w:t>CNG</w:t>
      </w:r>
      <w:r w:rsidR="002A7BA1">
        <w:rPr>
          <w:rFonts w:ascii="Calibri" w:hAnsi="Calibri" w:cs="Times New Roman"/>
        </w:rPr>
        <w:t>)</w:t>
      </w:r>
      <w:r w:rsidRPr="003F0BA8">
        <w:rPr>
          <w:rFonts w:ascii="Calibri" w:hAnsi="Calibri" w:cs="Times New Roman"/>
        </w:rPr>
        <w:t>.  However, hydrogen has several unique properties that must be considered when addressing safety, storage, and commercialization of the technology.  Hydrogen has 6 to 8 times lower density than CNG, even at higher service pressures.  The pressures at which hydrogen is dispensed and stored can be more than 2.5 times higher than those for CNG.  Hydrogen dispensers are equipped with safety features to regulate the fill cycle in order to prevent the heating that occurs during the fueling process from raising the receiving tank’s temperature above the typical maximum allowable temperature of 85 °C (185 °F).</w:t>
      </w:r>
    </w:p>
    <w:p w14:paraId="5CAD9DEA" w14:textId="77777777" w:rsidR="003F0BA8" w:rsidRPr="003F0BA8" w:rsidRDefault="003F0BA8" w:rsidP="000D7C09">
      <w:pPr>
        <w:spacing w:after="0" w:line="240" w:lineRule="auto"/>
        <w:ind w:left="720"/>
        <w:rPr>
          <w:rFonts w:ascii="Calibri" w:hAnsi="Calibri" w:cs="Times New Roman"/>
        </w:rPr>
      </w:pPr>
    </w:p>
    <w:p w14:paraId="0B8FF7E6" w14:textId="77777777" w:rsidR="00C97311" w:rsidRPr="00C97311" w:rsidRDefault="003F0BA8" w:rsidP="004471E7">
      <w:pPr>
        <w:numPr>
          <w:ilvl w:val="0"/>
          <w:numId w:val="9"/>
        </w:numPr>
        <w:spacing w:after="0" w:line="240" w:lineRule="auto"/>
        <w:rPr>
          <w:rFonts w:ascii="Calibri" w:hAnsi="Calibri" w:cs="Times New Roman"/>
          <w:b/>
          <w:sz w:val="28"/>
          <w:u w:val="single"/>
        </w:rPr>
      </w:pPr>
      <w:r w:rsidRPr="003F0BA8">
        <w:rPr>
          <w:rFonts w:ascii="Calibri" w:hAnsi="Calibri" w:cs="Times New Roman"/>
          <w:b/>
        </w:rPr>
        <w:t>Are there any requirements for hydrogen vehicle fuel quality?</w:t>
      </w:r>
    </w:p>
    <w:p w14:paraId="2D25D686" w14:textId="77777777" w:rsidR="004471E7" w:rsidRPr="004471E7" w:rsidRDefault="003F0BA8" w:rsidP="00C97311">
      <w:pPr>
        <w:spacing w:after="0" w:line="240" w:lineRule="auto"/>
        <w:ind w:left="720"/>
        <w:rPr>
          <w:rFonts w:ascii="Calibri" w:hAnsi="Calibri" w:cs="Times New Roman"/>
          <w:b/>
          <w:sz w:val="28"/>
          <w:u w:val="single"/>
        </w:rPr>
      </w:pPr>
      <w:r w:rsidRPr="003F0BA8">
        <w:rPr>
          <w:rFonts w:ascii="Calibri" w:hAnsi="Calibri" w:cs="Times New Roman"/>
        </w:rPr>
        <w:t>Multiple organizations in the fuel standards community worked to fully develop a hydrogen fuel quality standard.  There has been a concerted effort to harmonize these standards</w:t>
      </w:r>
      <w:r w:rsidR="008D1E54">
        <w:rPr>
          <w:rFonts w:ascii="Calibri" w:hAnsi="Calibri" w:cs="Times New Roman"/>
        </w:rPr>
        <w:t xml:space="preserve"> among the different organizations</w:t>
      </w:r>
      <w:r w:rsidRPr="003F0BA8">
        <w:rPr>
          <w:rFonts w:ascii="Calibri" w:hAnsi="Calibri" w:cs="Times New Roman"/>
        </w:rPr>
        <w:t xml:space="preserve">.  The vehicle fuel quality standard </w:t>
      </w:r>
      <w:r w:rsidR="008D1E54">
        <w:rPr>
          <w:rFonts w:ascii="Calibri" w:hAnsi="Calibri" w:cs="Times New Roman"/>
        </w:rPr>
        <w:t xml:space="preserve">recognized and required by many weights and measures jurisdictions and other enforcement agencies </w:t>
      </w:r>
      <w:r w:rsidRPr="003F0BA8">
        <w:rPr>
          <w:rFonts w:ascii="Calibri" w:hAnsi="Calibri" w:cs="Times New Roman"/>
        </w:rPr>
        <w:t xml:space="preserve">is included in </w:t>
      </w:r>
      <w:r w:rsidR="0053059B" w:rsidRPr="003F0BA8">
        <w:rPr>
          <w:rFonts w:ascii="Calibri" w:hAnsi="Calibri" w:cs="Times New Roman"/>
        </w:rPr>
        <w:t xml:space="preserve">the </w:t>
      </w:r>
      <w:r w:rsidR="0053059B">
        <w:rPr>
          <w:rFonts w:ascii="Calibri" w:hAnsi="Calibri" w:cs="Times New Roman"/>
        </w:rPr>
        <w:t xml:space="preserve">NIST </w:t>
      </w:r>
      <w:r w:rsidR="0053059B" w:rsidRPr="003F0BA8">
        <w:rPr>
          <w:rFonts w:ascii="Calibri" w:hAnsi="Calibri" w:cs="Times New Roman"/>
        </w:rPr>
        <w:t>H</w:t>
      </w:r>
      <w:r w:rsidR="0053059B">
        <w:rPr>
          <w:rFonts w:ascii="Calibri" w:hAnsi="Calibri" w:cs="Times New Roman"/>
        </w:rPr>
        <w:t>andbook</w:t>
      </w:r>
      <w:r w:rsidR="0053059B" w:rsidRPr="003F0BA8">
        <w:rPr>
          <w:rFonts w:ascii="Calibri" w:hAnsi="Calibri" w:cs="Times New Roman"/>
        </w:rPr>
        <w:t xml:space="preserve"> </w:t>
      </w:r>
      <w:r w:rsidRPr="003F0BA8">
        <w:rPr>
          <w:rFonts w:ascii="Calibri" w:hAnsi="Calibri" w:cs="Times New Roman"/>
        </w:rPr>
        <w:t>130</w:t>
      </w:r>
      <w:r w:rsidR="00136519">
        <w:rPr>
          <w:rFonts w:ascii="Calibri" w:hAnsi="Calibri" w:cs="Times New Roman"/>
        </w:rPr>
        <w:t>,</w:t>
      </w:r>
      <w:r w:rsidRPr="003F0BA8">
        <w:rPr>
          <w:rFonts w:ascii="Calibri" w:hAnsi="Calibri" w:cs="Times New Roman"/>
        </w:rPr>
        <w:t xml:space="preserve"> </w:t>
      </w:r>
      <w:r w:rsidR="00136519">
        <w:rPr>
          <w:rFonts w:ascii="Calibri" w:hAnsi="Calibri" w:cs="Times New Roman"/>
        </w:rPr>
        <w:t>“</w:t>
      </w:r>
      <w:r w:rsidRPr="003F0BA8">
        <w:rPr>
          <w:rFonts w:ascii="Calibri" w:hAnsi="Calibri" w:cs="Times New Roman"/>
        </w:rPr>
        <w:t>Uniform Laws and Regulations in the Areas of Legal Metrology and Fuel Quality</w:t>
      </w:r>
      <w:r w:rsidR="008D1E54">
        <w:rPr>
          <w:rFonts w:ascii="Calibri" w:hAnsi="Calibri" w:cs="Times New Roman"/>
        </w:rPr>
        <w:t>.</w:t>
      </w:r>
      <w:r w:rsidR="00136519">
        <w:rPr>
          <w:rFonts w:ascii="Calibri" w:hAnsi="Calibri" w:cs="Times New Roman"/>
        </w:rPr>
        <w:t>”</w:t>
      </w:r>
      <w:r w:rsidR="008D1E54">
        <w:rPr>
          <w:rFonts w:ascii="Calibri" w:hAnsi="Calibri" w:cs="Times New Roman"/>
        </w:rPr>
        <w:t xml:space="preserve">  This standard</w:t>
      </w:r>
      <w:r w:rsidRPr="003F0BA8">
        <w:rPr>
          <w:rFonts w:ascii="Calibri" w:hAnsi="Calibri" w:cs="Times New Roman"/>
        </w:rPr>
        <w:t xml:space="preserve"> specifies that hydrogen fuel meet the requirements of the most current version of S</w:t>
      </w:r>
      <w:r w:rsidR="0053059B">
        <w:rPr>
          <w:rFonts w:ascii="Calibri" w:hAnsi="Calibri" w:cs="Times New Roman"/>
        </w:rPr>
        <w:t>ociety of Automotive Engineers (S</w:t>
      </w:r>
      <w:r w:rsidRPr="003F0BA8">
        <w:rPr>
          <w:rFonts w:ascii="Calibri" w:hAnsi="Calibri" w:cs="Times New Roman"/>
        </w:rPr>
        <w:t>AE</w:t>
      </w:r>
      <w:r w:rsidR="0053059B">
        <w:rPr>
          <w:rFonts w:ascii="Calibri" w:hAnsi="Calibri" w:cs="Times New Roman"/>
        </w:rPr>
        <w:t>)</w:t>
      </w:r>
      <w:r w:rsidRPr="003F0BA8">
        <w:rPr>
          <w:rFonts w:ascii="Calibri" w:hAnsi="Calibri" w:cs="Times New Roman"/>
        </w:rPr>
        <w:t xml:space="preserve"> </w:t>
      </w:r>
      <w:r w:rsidR="00136519" w:rsidRPr="003F0BA8">
        <w:rPr>
          <w:rFonts w:ascii="Calibri" w:hAnsi="Calibri" w:cs="Times New Roman"/>
        </w:rPr>
        <w:t>Standard</w:t>
      </w:r>
      <w:r w:rsidR="00136519">
        <w:rPr>
          <w:rFonts w:ascii="Calibri" w:hAnsi="Calibri" w:cs="Times New Roman"/>
        </w:rPr>
        <w:t> </w:t>
      </w:r>
      <w:r w:rsidRPr="003F0BA8">
        <w:rPr>
          <w:rFonts w:ascii="Calibri" w:hAnsi="Calibri" w:cs="Times New Roman"/>
        </w:rPr>
        <w:t>J2719</w:t>
      </w:r>
      <w:r w:rsidR="00134A5C">
        <w:rPr>
          <w:rFonts w:ascii="Calibri" w:hAnsi="Calibri" w:cs="Times New Roman"/>
        </w:rPr>
        <w:t>,</w:t>
      </w:r>
      <w:r w:rsidR="00F569A8">
        <w:rPr>
          <w:rFonts w:ascii="Calibri" w:hAnsi="Calibri" w:cs="Times New Roman"/>
        </w:rPr>
        <w:t xml:space="preserve"> “Hydrogen Fuel Quality for Fuel Cell Vehicles</w:t>
      </w:r>
      <w:r w:rsidRPr="003F0BA8">
        <w:rPr>
          <w:rFonts w:ascii="Calibri" w:hAnsi="Calibri" w:cs="Times New Roman"/>
        </w:rPr>
        <w:t>.</w:t>
      </w:r>
      <w:r w:rsidR="00F569A8">
        <w:rPr>
          <w:rFonts w:ascii="Calibri" w:hAnsi="Calibri" w:cs="Times New Roman"/>
        </w:rPr>
        <w:t>”</w:t>
      </w:r>
      <w:r w:rsidRPr="003F0BA8">
        <w:rPr>
          <w:rFonts w:ascii="Calibri" w:hAnsi="Calibri" w:cs="Times New Roman"/>
        </w:rPr>
        <w:t xml:space="preserve">  The SAE J2719 Standard is aligned with the corresponding </w:t>
      </w:r>
      <w:r w:rsidR="00005AEF">
        <w:rPr>
          <w:rFonts w:ascii="Calibri" w:hAnsi="Calibri" w:cs="Times New Roman"/>
        </w:rPr>
        <w:t>International Organization for Standardization (</w:t>
      </w:r>
      <w:r w:rsidRPr="003F0BA8">
        <w:rPr>
          <w:rFonts w:ascii="Calibri" w:hAnsi="Calibri" w:cs="Times New Roman"/>
        </w:rPr>
        <w:t>ISO</w:t>
      </w:r>
      <w:r w:rsidR="00005AEF">
        <w:rPr>
          <w:rFonts w:ascii="Calibri" w:hAnsi="Calibri" w:cs="Times New Roman"/>
        </w:rPr>
        <w:t>)</w:t>
      </w:r>
      <w:r w:rsidRPr="003F0BA8">
        <w:rPr>
          <w:rFonts w:ascii="Calibri" w:hAnsi="Calibri" w:cs="Times New Roman"/>
        </w:rPr>
        <w:t xml:space="preserve"> standard for hydrogen fuel quality</w:t>
      </w:r>
      <w:r w:rsidRPr="003F0BA8">
        <w:rPr>
          <w:rFonts w:ascii="Times New Roman" w:eastAsia="MS Mincho" w:hAnsi="Times New Roman" w:cs="Times New Roman"/>
          <w:lang w:eastAsia="ja-JP"/>
        </w:rPr>
        <w:t xml:space="preserve"> (</w:t>
      </w:r>
      <w:r w:rsidRPr="003F0BA8">
        <w:rPr>
          <w:rFonts w:ascii="Calibri" w:hAnsi="Calibri" w:cs="Times New Roman"/>
        </w:rPr>
        <w:t xml:space="preserve">ISO/DIS 14687-2 Hydrogen </w:t>
      </w:r>
      <w:r w:rsidR="00225BA4" w:rsidRPr="003F0BA8">
        <w:rPr>
          <w:rFonts w:ascii="Calibri" w:hAnsi="Calibri" w:cs="Times New Roman"/>
        </w:rPr>
        <w:t>fuel</w:t>
      </w:r>
      <w:r w:rsidRPr="003F0BA8">
        <w:rPr>
          <w:rFonts w:ascii="Calibri" w:hAnsi="Calibri" w:cs="Times New Roman"/>
        </w:rPr>
        <w:t xml:space="preserve"> - Product </w:t>
      </w:r>
      <w:r w:rsidR="00225BA4" w:rsidRPr="003F0BA8">
        <w:rPr>
          <w:rFonts w:ascii="Calibri" w:hAnsi="Calibri" w:cs="Times New Roman"/>
        </w:rPr>
        <w:t>specification</w:t>
      </w:r>
      <w:r w:rsidRPr="003F0BA8">
        <w:rPr>
          <w:rFonts w:ascii="Calibri" w:hAnsi="Calibri" w:cs="Times New Roman"/>
        </w:rPr>
        <w:t xml:space="preserve"> - Part 2 P</w:t>
      </w:r>
      <w:r w:rsidR="00225BA4">
        <w:rPr>
          <w:rFonts w:ascii="Calibri" w:hAnsi="Calibri" w:cs="Times New Roman"/>
        </w:rPr>
        <w:t>roton exchange membrane</w:t>
      </w:r>
      <w:r w:rsidR="00225BA4" w:rsidRPr="003F0BA8">
        <w:rPr>
          <w:rFonts w:ascii="Calibri" w:hAnsi="Calibri" w:cs="Times New Roman"/>
        </w:rPr>
        <w:t xml:space="preserve"> fuel cell applications for road vehicles</w:t>
      </w:r>
      <w:r w:rsidRPr="003F0BA8">
        <w:rPr>
          <w:rFonts w:ascii="Calibri" w:hAnsi="Calibri" w:cs="Times New Roman"/>
        </w:rPr>
        <w:t>)</w:t>
      </w:r>
      <w:r w:rsidR="008D1E54">
        <w:rPr>
          <w:rFonts w:ascii="Calibri" w:hAnsi="Calibri" w:cs="Times New Roman"/>
        </w:rPr>
        <w:t>.  SAE J2719</w:t>
      </w:r>
      <w:r w:rsidRPr="003F0BA8">
        <w:rPr>
          <w:rFonts w:ascii="Calibri" w:hAnsi="Calibri" w:cs="Times New Roman"/>
        </w:rPr>
        <w:t xml:space="preserve"> references the specific ASTM sampling and testing methods that are necessary to ensure that hydrogen fuel meets the designated 99.97</w:t>
      </w:r>
      <w:r w:rsidR="00136519">
        <w:rPr>
          <w:rFonts w:ascii="Calibri" w:hAnsi="Calibri" w:cs="Times New Roman"/>
        </w:rPr>
        <w:t> </w:t>
      </w:r>
      <w:r w:rsidRPr="003F0BA8">
        <w:rPr>
          <w:rFonts w:ascii="Calibri" w:hAnsi="Calibri" w:cs="Times New Roman"/>
        </w:rPr>
        <w:t xml:space="preserve">% purity standard and that all remaining constituents are within allowable limits.  The citation for this reference </w:t>
      </w:r>
      <w:r w:rsidRPr="003F0BA8">
        <w:rPr>
          <w:rFonts w:ascii="Calibri" w:hAnsi="Calibri" w:cs="Times New Roman"/>
        </w:rPr>
        <w:lastRenderedPageBreak/>
        <w:t xml:space="preserve">standard is in the NIST </w:t>
      </w:r>
      <w:r w:rsidR="00136519" w:rsidRPr="003F0BA8">
        <w:rPr>
          <w:rFonts w:ascii="Calibri" w:hAnsi="Calibri" w:cs="Times New Roman"/>
        </w:rPr>
        <w:t>H</w:t>
      </w:r>
      <w:r w:rsidR="00136519">
        <w:rPr>
          <w:rFonts w:ascii="Calibri" w:hAnsi="Calibri" w:cs="Times New Roman"/>
        </w:rPr>
        <w:t>andbook</w:t>
      </w:r>
      <w:r w:rsidR="00136519" w:rsidRPr="003F0BA8">
        <w:rPr>
          <w:rFonts w:ascii="Calibri" w:hAnsi="Calibri" w:cs="Times New Roman"/>
        </w:rPr>
        <w:t xml:space="preserve"> </w:t>
      </w:r>
      <w:r w:rsidRPr="003F0BA8">
        <w:rPr>
          <w:rFonts w:ascii="Calibri" w:hAnsi="Calibri" w:cs="Times New Roman"/>
        </w:rPr>
        <w:t>130</w:t>
      </w:r>
      <w:r w:rsidR="00136519">
        <w:rPr>
          <w:rFonts w:ascii="Calibri" w:hAnsi="Calibri" w:cs="Times New Roman"/>
        </w:rPr>
        <w:t>,</w:t>
      </w:r>
      <w:r w:rsidRPr="003F0BA8">
        <w:rPr>
          <w:rFonts w:ascii="Calibri" w:hAnsi="Calibri" w:cs="Times New Roman"/>
        </w:rPr>
        <w:t xml:space="preserve"> Section IV.</w:t>
      </w:r>
      <w:r w:rsidR="00136519">
        <w:rPr>
          <w:rFonts w:ascii="Calibri" w:hAnsi="Calibri" w:cs="Times New Roman"/>
        </w:rPr>
        <w:t>,</w:t>
      </w:r>
      <w:r w:rsidRPr="003F0BA8">
        <w:rPr>
          <w:rFonts w:ascii="Calibri" w:hAnsi="Calibri" w:cs="Times New Roman"/>
        </w:rPr>
        <w:t xml:space="preserve"> G</w:t>
      </w:r>
      <w:r w:rsidR="005E552D" w:rsidRPr="003F0BA8">
        <w:rPr>
          <w:rFonts w:ascii="Calibri" w:hAnsi="Calibri" w:cs="Times New Roman"/>
        </w:rPr>
        <w:t>.</w:t>
      </w:r>
      <w:r w:rsidR="005E552D">
        <w:rPr>
          <w:rFonts w:ascii="Calibri" w:hAnsi="Calibri" w:cs="Times New Roman"/>
        </w:rPr>
        <w:t> </w:t>
      </w:r>
      <w:r w:rsidRPr="003F0BA8">
        <w:rPr>
          <w:rFonts w:ascii="Calibri" w:hAnsi="Calibri" w:cs="Times New Roman"/>
        </w:rPr>
        <w:t>Uniform Fuels and Automotive Lubricants Regulation</w:t>
      </w:r>
      <w:r w:rsidR="00136519">
        <w:rPr>
          <w:rFonts w:ascii="Calibri" w:hAnsi="Calibri" w:cs="Times New Roman"/>
        </w:rPr>
        <w:t>,</w:t>
      </w:r>
      <w:r w:rsidR="00AA3460">
        <w:rPr>
          <w:rFonts w:ascii="Calibri" w:hAnsi="Calibri" w:cs="Times New Roman"/>
        </w:rPr>
        <w:t xml:space="preserve"> Section 2. Standard Fuel Specifications</w:t>
      </w:r>
      <w:r w:rsidR="00136519">
        <w:rPr>
          <w:rFonts w:ascii="Calibri" w:hAnsi="Calibri" w:cs="Times New Roman"/>
        </w:rPr>
        <w:t>,</w:t>
      </w:r>
      <w:r w:rsidR="00AA3460">
        <w:rPr>
          <w:rFonts w:ascii="Calibri" w:hAnsi="Calibri" w:cs="Times New Roman"/>
        </w:rPr>
        <w:t xml:space="preserve"> paragraph 2.</w:t>
      </w:r>
      <w:r w:rsidR="00E04B3F">
        <w:rPr>
          <w:rFonts w:ascii="Calibri" w:hAnsi="Calibri" w:cs="Times New Roman"/>
        </w:rPr>
        <w:t>20</w:t>
      </w:r>
      <w:r w:rsidR="005E552D">
        <w:rPr>
          <w:rFonts w:ascii="Calibri" w:hAnsi="Calibri" w:cs="Times New Roman"/>
        </w:rPr>
        <w:t>.</w:t>
      </w:r>
      <w:r w:rsidR="00AA3460">
        <w:rPr>
          <w:rFonts w:ascii="Calibri" w:hAnsi="Calibri" w:cs="Times New Roman"/>
        </w:rPr>
        <w:t xml:space="preserve"> Hydrogen Fuel</w:t>
      </w:r>
      <w:r w:rsidRPr="003F0BA8">
        <w:rPr>
          <w:rFonts w:ascii="Calibri" w:hAnsi="Calibri" w:cs="Times New Roman"/>
        </w:rPr>
        <w:t>.</w:t>
      </w:r>
    </w:p>
    <w:p w14:paraId="1FA38D5A" w14:textId="77777777" w:rsidR="00633EF7" w:rsidRDefault="00633EF7">
      <w:pPr>
        <w:rPr>
          <w:b/>
          <w:sz w:val="28"/>
        </w:rPr>
      </w:pPr>
      <w:r>
        <w:rPr>
          <w:b/>
          <w:sz w:val="28"/>
        </w:rPr>
        <w:br w:type="page"/>
      </w:r>
    </w:p>
    <w:p w14:paraId="607271C9" w14:textId="77777777" w:rsidR="003F0BA8" w:rsidRDefault="003F0BA8" w:rsidP="004471E7">
      <w:pPr>
        <w:spacing w:after="0" w:line="240" w:lineRule="auto"/>
        <w:ind w:left="720"/>
        <w:jc w:val="center"/>
        <w:rPr>
          <w:b/>
          <w:sz w:val="28"/>
        </w:rPr>
      </w:pPr>
      <w:r w:rsidRPr="004471E7">
        <w:rPr>
          <w:b/>
          <w:sz w:val="28"/>
        </w:rPr>
        <w:lastRenderedPageBreak/>
        <w:t>Pressure Conversions</w:t>
      </w:r>
    </w:p>
    <w:p w14:paraId="21841FC9" w14:textId="77777777" w:rsidR="004471E7" w:rsidRPr="004471E7" w:rsidRDefault="004471E7" w:rsidP="004471E7">
      <w:pPr>
        <w:spacing w:after="0" w:line="240" w:lineRule="auto"/>
        <w:ind w:left="720"/>
        <w:jc w:val="center"/>
        <w:rPr>
          <w:rFonts w:ascii="Calibri" w:hAnsi="Calibri" w:cs="Times New Roman"/>
          <w:b/>
          <w:sz w:val="28"/>
          <w:u w:val="single"/>
        </w:rPr>
      </w:pPr>
    </w:p>
    <w:p w14:paraId="64C42DD8" w14:textId="77777777" w:rsidR="003F0BA8" w:rsidRPr="009821E3" w:rsidRDefault="0053059B" w:rsidP="0097449F">
      <w:pPr>
        <w:spacing w:line="240" w:lineRule="auto"/>
      </w:pPr>
      <w:r w:rsidRPr="009821E3">
        <w:t>These conversions are based on</w:t>
      </w:r>
      <w:r w:rsidRPr="009821E3">
        <w:rPr>
          <w:rFonts w:ascii="Calibri" w:hAnsi="Calibri" w:cs="Times New Roman"/>
        </w:rPr>
        <w:t xml:space="preserve"> National Institute of Standards and Technology </w:t>
      </w:r>
      <w:r w:rsidR="00107537">
        <w:rPr>
          <w:rFonts w:ascii="Calibri" w:hAnsi="Calibri" w:cs="Times New Roman"/>
        </w:rPr>
        <w:t xml:space="preserve">(NIST) </w:t>
      </w:r>
      <w:r w:rsidR="003F0BA8" w:rsidRPr="009821E3">
        <w:t>Special Publication</w:t>
      </w:r>
      <w:r w:rsidR="004471E7">
        <w:t>s</w:t>
      </w:r>
      <w:r w:rsidR="004A5BCD">
        <w:t xml:space="preserve"> (SP)</w:t>
      </w:r>
      <w:r w:rsidR="003F0BA8" w:rsidRPr="009821E3">
        <w:t xml:space="preserve"> 330 </w:t>
      </w:r>
      <w:r w:rsidR="001F5B30">
        <w:t>“</w:t>
      </w:r>
      <w:r w:rsidR="004A5BCD">
        <w:t>The International System of Units (SI)</w:t>
      </w:r>
      <w:r w:rsidR="001F5B30">
        <w:t>”</w:t>
      </w:r>
      <w:r w:rsidR="004A5BCD">
        <w:t xml:space="preserve"> </w:t>
      </w:r>
      <w:r w:rsidR="003F0BA8" w:rsidRPr="009821E3">
        <w:t xml:space="preserve">and </w:t>
      </w:r>
      <w:r w:rsidR="004A5BCD">
        <w:t xml:space="preserve">SP </w:t>
      </w:r>
      <w:r w:rsidR="003F0BA8" w:rsidRPr="009821E3">
        <w:t>811</w:t>
      </w:r>
      <w:r w:rsidR="004A5BCD">
        <w:t xml:space="preserve"> </w:t>
      </w:r>
      <w:r w:rsidR="001F5B30">
        <w:t>“</w:t>
      </w:r>
      <w:r w:rsidR="004A5BCD">
        <w:t>Guide for the Use of the International System of Units (SI)</w:t>
      </w:r>
      <w:r w:rsidR="001F5B30">
        <w:t>”</w:t>
      </w:r>
      <w:r w:rsidR="003F0BA8" w:rsidRPr="009821E3">
        <w:t xml:space="preserve"> </w:t>
      </w:r>
      <w:r w:rsidR="009E301E">
        <w:t>that</w:t>
      </w:r>
      <w:r w:rsidR="009E301E" w:rsidRPr="009821E3">
        <w:t xml:space="preserve"> </w:t>
      </w:r>
      <w:r w:rsidR="003F0BA8" w:rsidRPr="009821E3">
        <w:t xml:space="preserve">provide guidelines on the use of the International System of Units (SI), the metric system.  </w:t>
      </w:r>
      <w:r w:rsidR="00107537">
        <w:t xml:space="preserve">These publications are available on the NIST Office of Weights and Measures web site at:  </w:t>
      </w:r>
      <w:hyperlink r:id="rId20" w:history="1">
        <w:r w:rsidR="00107537" w:rsidRPr="00882697">
          <w:rPr>
            <w:rStyle w:val="Hyperlink"/>
          </w:rPr>
          <w:t>https://www.nist.gov/pml/weights-and-measures/publications/metric-publications</w:t>
        </w:r>
      </w:hyperlink>
      <w:r w:rsidR="00107537">
        <w:t xml:space="preserve">. </w:t>
      </w:r>
      <w:r w:rsidR="00107537" w:rsidRPr="00107537">
        <w:t xml:space="preserve"> </w:t>
      </w:r>
      <w:r w:rsidR="003F0BA8" w:rsidRPr="009821E3">
        <w:t>This information was prepared to provide a ready reference for commercial measurement systems designed to dispense hydrogen vehicle fuel at various service pressure ratings.  This information is limited to units of measurement that might typically be used to declare service pressure on dispensers, street signs, and advertisements.   The U.S. weights and measures and hydrogen communities agreed to standardize industry practices and to present information in a consistent manner by recognizing the “pascal” as the unit of measurement for expressing hydrogen dispenser service pressure.</w:t>
      </w:r>
    </w:p>
    <w:p w14:paraId="551FB0C7" w14:textId="77777777" w:rsidR="003F0BA8" w:rsidRPr="003F0BA8" w:rsidRDefault="003F0BA8" w:rsidP="00E31D33">
      <w:pPr>
        <w:numPr>
          <w:ilvl w:val="0"/>
          <w:numId w:val="13"/>
        </w:numPr>
        <w:spacing w:after="0" w:line="240" w:lineRule="auto"/>
        <w:rPr>
          <w:rFonts w:ascii="Calibri" w:hAnsi="Calibri" w:cs="Times New Roman"/>
        </w:rPr>
      </w:pPr>
      <w:r w:rsidRPr="003F0BA8">
        <w:rPr>
          <w:rFonts w:ascii="Calibri" w:hAnsi="Calibri" w:cs="Times New Roman"/>
        </w:rPr>
        <w:t>To convert pressure values in measurement units of pounds</w:t>
      </w:r>
      <w:r w:rsidR="00A93398">
        <w:rPr>
          <w:rFonts w:ascii="Calibri" w:hAnsi="Calibri" w:cs="Times New Roman"/>
        </w:rPr>
        <w:t>-force</w:t>
      </w:r>
      <w:r w:rsidR="004E71F7">
        <w:rPr>
          <w:rFonts w:ascii="Calibri" w:hAnsi="Calibri" w:cs="Times New Roman"/>
        </w:rPr>
        <w:t xml:space="preserve"> </w:t>
      </w:r>
      <w:r w:rsidRPr="003F0BA8">
        <w:rPr>
          <w:rFonts w:ascii="Calibri" w:hAnsi="Calibri" w:cs="Times New Roman"/>
        </w:rPr>
        <w:t>per square inch (psi) to megapascal (MPa)</w:t>
      </w:r>
    </w:p>
    <w:p w14:paraId="3BCD9F0E" w14:textId="77777777" w:rsidR="003F0BA8" w:rsidRPr="003F0BA8" w:rsidRDefault="003F0BA8" w:rsidP="00E31D33">
      <w:pPr>
        <w:spacing w:after="0" w:line="240" w:lineRule="auto"/>
        <w:ind w:left="1080" w:firstLine="360"/>
      </w:pPr>
      <w:r w:rsidRPr="003F0BA8">
        <w:t>Multiply by 0.006 894 757</w:t>
      </w:r>
    </w:p>
    <w:p w14:paraId="5A5BB0FA" w14:textId="77777777" w:rsidR="003F0BA8" w:rsidRPr="003F0BA8" w:rsidRDefault="003F0BA8" w:rsidP="00E31D33">
      <w:pPr>
        <w:numPr>
          <w:ilvl w:val="2"/>
          <w:numId w:val="13"/>
        </w:numPr>
        <w:spacing w:after="0" w:line="240" w:lineRule="auto"/>
        <w:rPr>
          <w:rFonts w:ascii="Calibri" w:hAnsi="Calibri" w:cs="Times New Roman"/>
        </w:rPr>
      </w:pPr>
      <w:r w:rsidRPr="003F0BA8">
        <w:rPr>
          <w:rFonts w:ascii="Calibri" w:hAnsi="Calibri" w:cs="Times New Roman"/>
        </w:rPr>
        <w:t xml:space="preserve">e.g., 10 000 psi  </w:t>
      </w:r>
      <w:r w:rsidR="00614463">
        <w:rPr>
          <w:rFonts w:ascii="Calibri" w:hAnsi="Calibri" w:cs="Times New Roman"/>
        </w:rPr>
        <w:sym w:font="Symbol" w:char="F0B4"/>
      </w:r>
      <w:r w:rsidRPr="003F0BA8">
        <w:rPr>
          <w:rFonts w:ascii="Calibri" w:hAnsi="Calibri" w:cs="Times New Roman"/>
        </w:rPr>
        <w:t xml:space="preserve">  0.006 894 757  =  68.947 57 MPa  </w:t>
      </w:r>
    </w:p>
    <w:p w14:paraId="0AA15F4F" w14:textId="77777777" w:rsidR="003F0BA8" w:rsidRPr="003F0BA8" w:rsidRDefault="003F0BA8" w:rsidP="00E31D33">
      <w:pPr>
        <w:spacing w:after="0" w:line="240" w:lineRule="auto"/>
        <w:ind w:left="2160"/>
        <w:rPr>
          <w:rFonts w:ascii="Calibri" w:hAnsi="Calibri" w:cs="Times New Roman"/>
        </w:rPr>
      </w:pPr>
      <w:r w:rsidRPr="003F0BA8">
        <w:rPr>
          <w:rFonts w:ascii="Calibri" w:hAnsi="Calibri" w:cs="Times New Roman"/>
        </w:rPr>
        <w:t>(This number rounded to the nearest ten is 70 MPa)</w:t>
      </w:r>
    </w:p>
    <w:p w14:paraId="6BD2102B" w14:textId="77777777" w:rsidR="003F0BA8" w:rsidRPr="003F0BA8" w:rsidRDefault="003F0BA8" w:rsidP="00E31D33">
      <w:pPr>
        <w:spacing w:after="0" w:line="240" w:lineRule="auto"/>
        <w:ind w:left="2160"/>
        <w:rPr>
          <w:rFonts w:ascii="Calibri" w:hAnsi="Calibri" w:cs="Times New Roman"/>
        </w:rPr>
      </w:pPr>
    </w:p>
    <w:p w14:paraId="74C343D8" w14:textId="77777777" w:rsidR="003F0BA8" w:rsidRPr="003F0BA8" w:rsidRDefault="003F0BA8" w:rsidP="00E31D33">
      <w:pPr>
        <w:numPr>
          <w:ilvl w:val="0"/>
          <w:numId w:val="13"/>
        </w:numPr>
        <w:spacing w:after="0" w:line="240" w:lineRule="auto"/>
        <w:rPr>
          <w:rFonts w:ascii="Calibri" w:hAnsi="Calibri" w:cs="Times New Roman"/>
        </w:rPr>
      </w:pPr>
      <w:r w:rsidRPr="003F0BA8">
        <w:rPr>
          <w:rFonts w:ascii="Calibri" w:hAnsi="Calibri" w:cs="Times New Roman"/>
        </w:rPr>
        <w:t>To convert pressure values in measurement units of bar to megapascal</w:t>
      </w:r>
    </w:p>
    <w:p w14:paraId="020EA9FD" w14:textId="77777777" w:rsidR="003F0BA8" w:rsidRPr="003F0BA8" w:rsidRDefault="003F0BA8" w:rsidP="00E31D33">
      <w:pPr>
        <w:spacing w:after="0" w:line="240" w:lineRule="auto"/>
        <w:ind w:left="720" w:firstLine="720"/>
      </w:pPr>
      <w:r w:rsidRPr="003F0BA8">
        <w:t>Multiply by 0.1</w:t>
      </w:r>
    </w:p>
    <w:p w14:paraId="079BED69" w14:textId="77777777" w:rsidR="003F0BA8" w:rsidRPr="003F0BA8" w:rsidRDefault="003F0BA8" w:rsidP="00E31D33">
      <w:pPr>
        <w:numPr>
          <w:ilvl w:val="2"/>
          <w:numId w:val="13"/>
        </w:numPr>
        <w:spacing w:after="0" w:line="240" w:lineRule="auto"/>
        <w:rPr>
          <w:rFonts w:ascii="Calibri" w:hAnsi="Calibri" w:cs="Times New Roman"/>
        </w:rPr>
      </w:pPr>
      <w:r w:rsidRPr="003F0BA8">
        <w:rPr>
          <w:rFonts w:ascii="Calibri" w:hAnsi="Calibri" w:cs="Times New Roman"/>
        </w:rPr>
        <w:t xml:space="preserve">e.g., 700 bar  </w:t>
      </w:r>
      <w:r w:rsidR="00614463">
        <w:rPr>
          <w:rFonts w:ascii="Calibri" w:hAnsi="Calibri" w:cs="Times New Roman"/>
        </w:rPr>
        <w:sym w:font="Symbol" w:char="F0B4"/>
      </w:r>
      <w:r w:rsidRPr="003F0BA8">
        <w:rPr>
          <w:rFonts w:ascii="Calibri" w:hAnsi="Calibri" w:cs="Times New Roman"/>
        </w:rPr>
        <w:t xml:space="preserve">  0.1  =  70 MPa</w:t>
      </w:r>
    </w:p>
    <w:p w14:paraId="03EF85DB" w14:textId="77777777" w:rsidR="003F0BA8" w:rsidRPr="003F0BA8" w:rsidRDefault="003F0BA8" w:rsidP="00E31D33">
      <w:pPr>
        <w:spacing w:after="0" w:line="240" w:lineRule="auto"/>
        <w:ind w:left="2160"/>
        <w:rPr>
          <w:rFonts w:ascii="Calibri" w:hAnsi="Calibri" w:cs="Times New Roman"/>
        </w:rPr>
      </w:pPr>
    </w:p>
    <w:p w14:paraId="16EEC937" w14:textId="77777777" w:rsidR="003F0BA8" w:rsidRPr="003F0BA8" w:rsidRDefault="003F0BA8" w:rsidP="00E31D33">
      <w:pPr>
        <w:numPr>
          <w:ilvl w:val="0"/>
          <w:numId w:val="13"/>
        </w:numPr>
        <w:spacing w:after="0" w:line="240" w:lineRule="auto"/>
        <w:rPr>
          <w:rFonts w:ascii="Calibri" w:hAnsi="Calibri" w:cs="Times New Roman"/>
        </w:rPr>
      </w:pPr>
      <w:r w:rsidRPr="003F0BA8">
        <w:rPr>
          <w:rFonts w:ascii="Calibri" w:hAnsi="Calibri" w:cs="Times New Roman"/>
        </w:rPr>
        <w:t xml:space="preserve">To convert pressure values in measurement units of </w:t>
      </w:r>
      <w:r w:rsidR="006B15A8">
        <w:rPr>
          <w:rFonts w:ascii="Calibri" w:hAnsi="Calibri" w:cs="Times New Roman"/>
        </w:rPr>
        <w:t>“</w:t>
      </w:r>
      <w:r w:rsidRPr="003F0BA8">
        <w:rPr>
          <w:rFonts w:ascii="Calibri" w:hAnsi="Calibri" w:cs="Times New Roman"/>
        </w:rPr>
        <w:t>bar</w:t>
      </w:r>
      <w:r w:rsidR="006B15A8">
        <w:rPr>
          <w:rFonts w:ascii="Calibri" w:hAnsi="Calibri" w:cs="Times New Roman"/>
        </w:rPr>
        <w:t>”</w:t>
      </w:r>
      <w:r w:rsidRPr="003F0BA8">
        <w:rPr>
          <w:rFonts w:ascii="Calibri" w:hAnsi="Calibri" w:cs="Times New Roman"/>
        </w:rPr>
        <w:t xml:space="preserve"> to </w:t>
      </w:r>
      <w:r w:rsidR="006B15A8">
        <w:rPr>
          <w:rFonts w:ascii="Calibri" w:hAnsi="Calibri" w:cs="Times New Roman"/>
        </w:rPr>
        <w:t>“</w:t>
      </w:r>
      <w:r w:rsidRPr="003F0BA8">
        <w:rPr>
          <w:rFonts w:ascii="Calibri" w:hAnsi="Calibri" w:cs="Times New Roman"/>
        </w:rPr>
        <w:t>psi</w:t>
      </w:r>
      <w:r w:rsidR="006B15A8">
        <w:rPr>
          <w:rFonts w:ascii="Calibri" w:hAnsi="Calibri" w:cs="Times New Roman"/>
        </w:rPr>
        <w:t>:”</w:t>
      </w:r>
    </w:p>
    <w:p w14:paraId="61AA0312" w14:textId="77777777" w:rsidR="003F0BA8" w:rsidRPr="003F0BA8" w:rsidRDefault="003F0BA8" w:rsidP="00E31D33">
      <w:pPr>
        <w:spacing w:after="0" w:line="240" w:lineRule="auto"/>
        <w:ind w:left="1440"/>
        <w:rPr>
          <w:rFonts w:ascii="Calibri" w:hAnsi="Calibri" w:cs="Times New Roman"/>
        </w:rPr>
      </w:pPr>
      <w:r w:rsidRPr="003F0BA8">
        <w:rPr>
          <w:rFonts w:ascii="Calibri" w:hAnsi="Calibri" w:cs="Times New Roman"/>
        </w:rPr>
        <w:t>Multiply by 14.503 774</w:t>
      </w:r>
    </w:p>
    <w:p w14:paraId="5244B669" w14:textId="77777777" w:rsidR="003F0BA8" w:rsidRPr="003F0BA8" w:rsidRDefault="003F0BA8" w:rsidP="00E31D33">
      <w:pPr>
        <w:spacing w:after="0" w:line="240" w:lineRule="auto"/>
        <w:ind w:left="1440"/>
        <w:rPr>
          <w:rFonts w:ascii="Calibri" w:hAnsi="Calibri" w:cs="Times New Roman"/>
        </w:rPr>
      </w:pPr>
    </w:p>
    <w:p w14:paraId="3116B110" w14:textId="77777777" w:rsidR="003F0BA8" w:rsidRPr="003F0BA8" w:rsidRDefault="003F0BA8" w:rsidP="00E31D33">
      <w:pPr>
        <w:numPr>
          <w:ilvl w:val="2"/>
          <w:numId w:val="13"/>
        </w:numPr>
        <w:spacing w:after="0" w:line="240" w:lineRule="auto"/>
        <w:rPr>
          <w:rFonts w:ascii="Calibri" w:hAnsi="Calibri" w:cs="Times New Roman"/>
        </w:rPr>
      </w:pPr>
      <w:r w:rsidRPr="003F0BA8">
        <w:rPr>
          <w:rFonts w:ascii="Calibri" w:hAnsi="Calibri" w:cs="Times New Roman"/>
        </w:rPr>
        <w:t xml:space="preserve">e.g., 700 bar  </w:t>
      </w:r>
      <w:r w:rsidR="00614463">
        <w:rPr>
          <w:rFonts w:ascii="Calibri" w:hAnsi="Calibri" w:cs="Times New Roman"/>
        </w:rPr>
        <w:sym w:font="Symbol" w:char="F0B4"/>
      </w:r>
      <w:r w:rsidRPr="003F0BA8">
        <w:rPr>
          <w:rFonts w:ascii="Calibri" w:hAnsi="Calibri" w:cs="Times New Roman"/>
        </w:rPr>
        <w:t xml:space="preserve">  14.503 774  =  10 152.641 psi</w:t>
      </w:r>
    </w:p>
    <w:p w14:paraId="4E938143" w14:textId="77777777" w:rsidR="003F0BA8" w:rsidRDefault="003F0BA8" w:rsidP="00E31D33">
      <w:pPr>
        <w:spacing w:after="0" w:line="240" w:lineRule="auto"/>
        <w:ind w:left="2160"/>
        <w:rPr>
          <w:rFonts w:ascii="Calibri" w:hAnsi="Calibri" w:cs="Times New Roman"/>
        </w:rPr>
      </w:pPr>
      <w:r w:rsidRPr="003F0BA8">
        <w:rPr>
          <w:rFonts w:ascii="Calibri" w:hAnsi="Calibri" w:cs="Times New Roman"/>
        </w:rPr>
        <w:t xml:space="preserve">(This number rounded to the nearest thousand </w:t>
      </w:r>
      <w:r w:rsidR="006B15A8">
        <w:rPr>
          <w:rFonts w:ascii="Calibri" w:hAnsi="Calibri" w:cs="Times New Roman"/>
        </w:rPr>
        <w:t xml:space="preserve">psi </w:t>
      </w:r>
      <w:r w:rsidRPr="003F0BA8">
        <w:rPr>
          <w:rFonts w:ascii="Calibri" w:hAnsi="Calibri" w:cs="Times New Roman"/>
        </w:rPr>
        <w:t>is 10 000 psi)</w:t>
      </w:r>
    </w:p>
    <w:p w14:paraId="0BD2C800" w14:textId="77777777" w:rsidR="002222D5" w:rsidRDefault="002222D5" w:rsidP="00922317">
      <w:pPr>
        <w:spacing w:after="0" w:line="240" w:lineRule="auto"/>
        <w:rPr>
          <w:rFonts w:ascii="Calibri" w:hAnsi="Calibri" w:cs="Times New Roman"/>
        </w:rPr>
      </w:pPr>
    </w:p>
    <w:p w14:paraId="304F679E" w14:textId="77777777" w:rsidR="00296FD3" w:rsidRDefault="00A07C44" w:rsidP="00922317">
      <w:pPr>
        <w:spacing w:after="0" w:line="240" w:lineRule="auto"/>
        <w:rPr>
          <w:rFonts w:ascii="Calibri" w:hAnsi="Calibri" w:cs="Times New Roman"/>
        </w:rPr>
      </w:pPr>
      <w:r>
        <w:t>The General Table for</w:t>
      </w:r>
      <w:r w:rsidR="00296FD3" w:rsidRPr="009821E3">
        <w:t xml:space="preserve"> conversion</w:t>
      </w:r>
      <w:r>
        <w:t xml:space="preserve"> of units of pressure shown below was excerpted from NIST </w:t>
      </w:r>
      <w:r w:rsidR="009E301E" w:rsidRPr="009821E3">
        <w:rPr>
          <w:rFonts w:ascii="Calibri" w:hAnsi="Calibri" w:cs="Times New Roman"/>
        </w:rPr>
        <w:t>Handbook</w:t>
      </w:r>
      <w:r w:rsidR="00DE5A24">
        <w:rPr>
          <w:rFonts w:ascii="Calibri" w:hAnsi="Calibri" w:cs="Times New Roman"/>
        </w:rPr>
        <w:t xml:space="preserve"> </w:t>
      </w:r>
      <w:r>
        <w:rPr>
          <w:rFonts w:ascii="Calibri" w:hAnsi="Calibri" w:cs="Times New Roman"/>
        </w:rPr>
        <w:t xml:space="preserve">44 </w:t>
      </w:r>
      <w:r w:rsidR="001F5B30">
        <w:rPr>
          <w:rFonts w:ascii="Calibri" w:hAnsi="Calibri" w:cs="Times New Roman"/>
        </w:rPr>
        <w:t>“</w:t>
      </w:r>
      <w:r>
        <w:rPr>
          <w:rFonts w:ascii="Calibri" w:hAnsi="Calibri" w:cs="Times New Roman"/>
        </w:rPr>
        <w:t>Specifications, Tolerances, and Other Technical Requirements for Weighing and Measuring Devices,</w:t>
      </w:r>
      <w:r w:rsidR="001F5B30">
        <w:rPr>
          <w:rFonts w:ascii="Calibri" w:hAnsi="Calibri" w:cs="Times New Roman"/>
        </w:rPr>
        <w:t>”</w:t>
      </w:r>
      <w:r>
        <w:rPr>
          <w:rFonts w:ascii="Calibri" w:hAnsi="Calibri" w:cs="Times New Roman"/>
        </w:rPr>
        <w:t xml:space="preserve"> Appendix C </w:t>
      </w:r>
      <w:r w:rsidR="00DE5A24">
        <w:rPr>
          <w:rFonts w:ascii="Calibri" w:hAnsi="Calibri" w:cs="Times New Roman"/>
        </w:rPr>
        <w:t xml:space="preserve">and provided to assist in working with and reporting in pressure units of measurement.  NIST </w:t>
      </w:r>
      <w:r w:rsidR="009E301E">
        <w:rPr>
          <w:rFonts w:ascii="Calibri" w:hAnsi="Calibri" w:cs="Times New Roman"/>
        </w:rPr>
        <w:t>Handbook</w:t>
      </w:r>
      <w:r w:rsidR="00DE5A24">
        <w:rPr>
          <w:rFonts w:ascii="Calibri" w:hAnsi="Calibri" w:cs="Times New Roman"/>
        </w:rPr>
        <w:t xml:space="preserve"> 44 is available on the NIST OWM web site at:  </w:t>
      </w:r>
      <w:hyperlink r:id="rId21" w:history="1">
        <w:r w:rsidR="00DE5A24" w:rsidRPr="00882697">
          <w:rPr>
            <w:rStyle w:val="Hyperlink"/>
            <w:rFonts w:ascii="Calibri" w:hAnsi="Calibri" w:cs="Times New Roman"/>
          </w:rPr>
          <w:t>https://www.nist.gov/pml/weights-and-measures/publications</w:t>
        </w:r>
      </w:hyperlink>
      <w:r w:rsidR="00DE5A24">
        <w:rPr>
          <w:rFonts w:ascii="Calibri" w:hAnsi="Calibri" w:cs="Times New Roman"/>
        </w:rPr>
        <w:t>.</w:t>
      </w:r>
    </w:p>
    <w:p w14:paraId="7146D40A" w14:textId="77777777" w:rsidR="00DE5A24" w:rsidRDefault="00DE5A24" w:rsidP="00922317">
      <w:pPr>
        <w:spacing w:after="0" w:line="240" w:lineRule="auto"/>
        <w:rPr>
          <w:rFonts w:ascii="Calibri" w:hAnsi="Calibri" w:cs="Times New Roman"/>
        </w:rPr>
      </w:pPr>
    </w:p>
    <w:p w14:paraId="454173F3" w14:textId="77777777" w:rsidR="00D70D56" w:rsidRPr="00922317" w:rsidRDefault="00D70D56" w:rsidP="009E301E">
      <w:pPr>
        <w:pStyle w:val="Heading3"/>
        <w:rPr>
          <w:rFonts w:asciiTheme="minorHAnsi" w:hAnsiTheme="minorHAnsi"/>
          <w:sz w:val="22"/>
          <w:szCs w:val="22"/>
        </w:rPr>
      </w:pPr>
      <w:bookmarkStart w:id="1" w:name="_Toc495420163"/>
      <w:r w:rsidRPr="00922317">
        <w:rPr>
          <w:rFonts w:asciiTheme="minorHAnsi" w:hAnsiTheme="minorHAnsi"/>
          <w:sz w:val="22"/>
          <w:szCs w:val="22"/>
        </w:rPr>
        <w:lastRenderedPageBreak/>
        <w:t>Units of Pressure</w:t>
      </w:r>
      <w:bookmarkEnd w:id="1"/>
      <w:r w:rsidRPr="00922317">
        <w:rPr>
          <w:rFonts w:asciiTheme="minorHAnsi" w:hAnsiTheme="minorHAnsi"/>
          <w:sz w:val="22"/>
          <w:szCs w:val="22"/>
        </w:rPr>
        <w:t xml:space="preserve"> </w:t>
      </w:r>
    </w:p>
    <w:p w14:paraId="7B0A15E7" w14:textId="77777777" w:rsidR="00D70D56" w:rsidRPr="00922317" w:rsidRDefault="00D70D56" w:rsidP="00E05828">
      <w:pPr>
        <w:keepNext/>
        <w:spacing w:after="120"/>
        <w:jc w:val="center"/>
      </w:pPr>
      <w:r w:rsidRPr="00922317">
        <w:t xml:space="preserve">(all </w:t>
      </w:r>
      <w:r w:rsidRPr="00922317">
        <w:rPr>
          <w:u w:val="single"/>
        </w:rPr>
        <w:t>underlined</w:t>
      </w:r>
      <w:r w:rsidRPr="00922317">
        <w:t xml:space="preserve"> figures are exact)</w:t>
      </w:r>
    </w:p>
    <w:tbl>
      <w:tblPr>
        <w:tblStyle w:val="TableGrid"/>
        <w:tblW w:w="10620" w:type="dxa"/>
        <w:tblInd w:w="-64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710"/>
        <w:gridCol w:w="810"/>
        <w:gridCol w:w="990"/>
        <w:gridCol w:w="1170"/>
        <w:gridCol w:w="1440"/>
        <w:gridCol w:w="1620"/>
        <w:gridCol w:w="1350"/>
        <w:gridCol w:w="1530"/>
      </w:tblGrid>
      <w:tr w:rsidR="005C5B12" w:rsidRPr="00922317" w14:paraId="77C66D1B" w14:textId="77777777" w:rsidTr="00922317">
        <w:trPr>
          <w:cantSplit/>
          <w:trHeight w:val="432"/>
          <w:tblHeader/>
        </w:trPr>
        <w:tc>
          <w:tcPr>
            <w:tcW w:w="1710" w:type="dxa"/>
            <w:vMerge w:val="restart"/>
            <w:tcBorders>
              <w:top w:val="double" w:sz="4" w:space="0" w:color="auto"/>
            </w:tcBorders>
            <w:textDirection w:val="btLr"/>
            <w:vAlign w:val="center"/>
          </w:tcPr>
          <w:p w14:paraId="4CF73CF2" w14:textId="77777777" w:rsidR="00D70D56" w:rsidRPr="00922317" w:rsidRDefault="00D70D56" w:rsidP="00E05828">
            <w:pPr>
              <w:keepNext/>
              <w:ind w:left="113" w:right="113"/>
              <w:jc w:val="center"/>
              <w:rPr>
                <w:b/>
                <w:sz w:val="21"/>
                <w:szCs w:val="21"/>
              </w:rPr>
            </w:pPr>
            <w:r w:rsidRPr="00922317">
              <w:rPr>
                <w:b/>
                <w:sz w:val="21"/>
                <w:szCs w:val="21"/>
              </w:rPr>
              <w:t xml:space="preserve">Starting </w:t>
            </w:r>
            <w:r w:rsidRPr="00922317">
              <w:rPr>
                <w:b/>
                <w:sz w:val="21"/>
                <w:szCs w:val="21"/>
              </w:rPr>
              <w:br/>
              <w:t xml:space="preserve">Unit </w:t>
            </w:r>
          </w:p>
          <w:p w14:paraId="43E9FDD5" w14:textId="77777777" w:rsidR="00D70D56" w:rsidRPr="00922317" w:rsidRDefault="00D70D56" w:rsidP="00E05828">
            <w:pPr>
              <w:keepNext/>
              <w:tabs>
                <w:tab w:val="left" w:pos="1030"/>
              </w:tabs>
              <w:ind w:left="113" w:right="-20"/>
              <w:jc w:val="center"/>
              <w:rPr>
                <w:sz w:val="21"/>
                <w:szCs w:val="21"/>
              </w:rPr>
            </w:pPr>
            <w:r w:rsidRPr="00922317">
              <w:rPr>
                <w:sz w:val="21"/>
                <w:szCs w:val="21"/>
              </w:rPr>
              <w:t>←</w:t>
            </w:r>
          </w:p>
        </w:tc>
        <w:tc>
          <w:tcPr>
            <w:tcW w:w="8910" w:type="dxa"/>
            <w:gridSpan w:val="7"/>
            <w:tcBorders>
              <w:top w:val="double" w:sz="4" w:space="0" w:color="auto"/>
              <w:bottom w:val="double" w:sz="4" w:space="0" w:color="auto"/>
            </w:tcBorders>
            <w:vAlign w:val="center"/>
          </w:tcPr>
          <w:p w14:paraId="02BBC021" w14:textId="77777777" w:rsidR="00D70D56" w:rsidRPr="00922317" w:rsidRDefault="00D70D56" w:rsidP="00E05828">
            <w:pPr>
              <w:keepNext/>
              <w:jc w:val="center"/>
              <w:rPr>
                <w:b/>
                <w:sz w:val="21"/>
                <w:szCs w:val="21"/>
              </w:rPr>
            </w:pPr>
            <w:r w:rsidRPr="00922317">
              <w:rPr>
                <w:b/>
                <w:sz w:val="21"/>
                <w:szCs w:val="21"/>
              </w:rPr>
              <w:t>Multiply by the Conversion Factor Below the Ending Unit:</w:t>
            </w:r>
          </w:p>
        </w:tc>
      </w:tr>
      <w:tr w:rsidR="00153661" w:rsidRPr="00922317" w14:paraId="4470A2B5" w14:textId="77777777" w:rsidTr="00922317">
        <w:trPr>
          <w:tblHeader/>
        </w:trPr>
        <w:tc>
          <w:tcPr>
            <w:tcW w:w="1710" w:type="dxa"/>
            <w:vMerge/>
            <w:tcBorders>
              <w:bottom w:val="double" w:sz="4" w:space="0" w:color="auto"/>
            </w:tcBorders>
          </w:tcPr>
          <w:p w14:paraId="12548AB7" w14:textId="77777777" w:rsidR="00D70D56" w:rsidRPr="00922317" w:rsidRDefault="00D70D56" w:rsidP="00E05828">
            <w:pPr>
              <w:keepNext/>
              <w:tabs>
                <w:tab w:val="left" w:pos="1030"/>
              </w:tabs>
              <w:ind w:right="-20"/>
              <w:jc w:val="center"/>
              <w:rPr>
                <w:sz w:val="21"/>
                <w:szCs w:val="21"/>
              </w:rPr>
            </w:pPr>
          </w:p>
        </w:tc>
        <w:tc>
          <w:tcPr>
            <w:tcW w:w="810" w:type="dxa"/>
            <w:tcBorders>
              <w:top w:val="double" w:sz="4" w:space="0" w:color="auto"/>
              <w:bottom w:val="double" w:sz="4" w:space="0" w:color="auto"/>
            </w:tcBorders>
          </w:tcPr>
          <w:p w14:paraId="505A5A3B" w14:textId="77777777" w:rsidR="005C5B12" w:rsidRDefault="00D70D56" w:rsidP="00E05828">
            <w:pPr>
              <w:keepNext/>
              <w:jc w:val="center"/>
              <w:rPr>
                <w:b/>
                <w:sz w:val="21"/>
                <w:szCs w:val="21"/>
              </w:rPr>
            </w:pPr>
            <w:r w:rsidRPr="00922317">
              <w:rPr>
                <w:b/>
                <w:sz w:val="21"/>
                <w:szCs w:val="21"/>
              </w:rPr>
              <w:t>Ending</w:t>
            </w:r>
            <w:r w:rsidR="005C5B12">
              <w:rPr>
                <w:b/>
                <w:sz w:val="21"/>
                <w:szCs w:val="21"/>
              </w:rPr>
              <w:t xml:space="preserve"> </w:t>
            </w:r>
            <w:r w:rsidRPr="00922317">
              <w:rPr>
                <w:b/>
                <w:sz w:val="21"/>
                <w:szCs w:val="21"/>
              </w:rPr>
              <w:t>Unit</w:t>
            </w:r>
          </w:p>
          <w:p w14:paraId="35447BC6" w14:textId="77777777" w:rsidR="00D70D56" w:rsidRPr="00922317" w:rsidRDefault="00D70D56" w:rsidP="00E05828">
            <w:pPr>
              <w:keepNext/>
              <w:jc w:val="center"/>
              <w:rPr>
                <w:b/>
                <w:sz w:val="21"/>
                <w:szCs w:val="21"/>
              </w:rPr>
            </w:pPr>
            <w:r w:rsidRPr="00922317">
              <w:rPr>
                <w:b/>
                <w:sz w:val="21"/>
                <w:szCs w:val="21"/>
              </w:rPr>
              <w:t>→</w:t>
            </w:r>
          </w:p>
        </w:tc>
        <w:tc>
          <w:tcPr>
            <w:tcW w:w="990" w:type="dxa"/>
            <w:tcBorders>
              <w:top w:val="double" w:sz="4" w:space="0" w:color="auto"/>
              <w:bottom w:val="double" w:sz="4" w:space="0" w:color="auto"/>
            </w:tcBorders>
          </w:tcPr>
          <w:p w14:paraId="1F4D3BD0" w14:textId="77777777" w:rsidR="00D70D56" w:rsidRPr="00922317" w:rsidRDefault="00D70D56" w:rsidP="00E05828">
            <w:pPr>
              <w:keepNext/>
              <w:jc w:val="center"/>
              <w:rPr>
                <w:b/>
                <w:sz w:val="21"/>
                <w:szCs w:val="21"/>
              </w:rPr>
            </w:pPr>
            <w:r w:rsidRPr="00922317">
              <w:rPr>
                <w:b/>
                <w:sz w:val="21"/>
                <w:szCs w:val="21"/>
              </w:rPr>
              <w:t>Pascal</w:t>
            </w:r>
            <w:r w:rsidRPr="00922317">
              <w:rPr>
                <w:b/>
                <w:sz w:val="21"/>
                <w:szCs w:val="21"/>
              </w:rPr>
              <w:br/>
              <w:t>(Pa)</w:t>
            </w:r>
          </w:p>
        </w:tc>
        <w:tc>
          <w:tcPr>
            <w:tcW w:w="1170" w:type="dxa"/>
            <w:tcBorders>
              <w:top w:val="double" w:sz="4" w:space="0" w:color="auto"/>
              <w:bottom w:val="double" w:sz="4" w:space="0" w:color="auto"/>
            </w:tcBorders>
          </w:tcPr>
          <w:p w14:paraId="70FC6F14" w14:textId="77777777" w:rsidR="00D70D56" w:rsidRPr="00922317" w:rsidRDefault="00D70D56" w:rsidP="00E05828">
            <w:pPr>
              <w:keepNext/>
              <w:jc w:val="center"/>
              <w:rPr>
                <w:b/>
                <w:sz w:val="21"/>
                <w:szCs w:val="21"/>
              </w:rPr>
            </w:pPr>
            <w:r w:rsidRPr="00922317">
              <w:rPr>
                <w:b/>
                <w:sz w:val="21"/>
                <w:szCs w:val="21"/>
              </w:rPr>
              <w:t>kilopascal</w:t>
            </w:r>
            <w:r w:rsidRPr="00922317">
              <w:rPr>
                <w:b/>
                <w:sz w:val="21"/>
                <w:szCs w:val="21"/>
              </w:rPr>
              <w:br/>
              <w:t>(kPa)</w:t>
            </w:r>
          </w:p>
        </w:tc>
        <w:tc>
          <w:tcPr>
            <w:tcW w:w="1440" w:type="dxa"/>
            <w:tcBorders>
              <w:top w:val="double" w:sz="4" w:space="0" w:color="auto"/>
              <w:bottom w:val="double" w:sz="4" w:space="0" w:color="auto"/>
            </w:tcBorders>
          </w:tcPr>
          <w:p w14:paraId="1F3E4E46" w14:textId="77777777" w:rsidR="00D70D56" w:rsidRPr="00922317" w:rsidRDefault="00D70D56" w:rsidP="00E05828">
            <w:pPr>
              <w:keepNext/>
              <w:jc w:val="center"/>
              <w:rPr>
                <w:b/>
                <w:sz w:val="21"/>
                <w:szCs w:val="21"/>
              </w:rPr>
            </w:pPr>
            <w:r w:rsidRPr="00922317">
              <w:rPr>
                <w:b/>
                <w:sz w:val="21"/>
                <w:szCs w:val="21"/>
              </w:rPr>
              <w:t>megapascal</w:t>
            </w:r>
            <w:r w:rsidRPr="00922317">
              <w:rPr>
                <w:b/>
                <w:sz w:val="21"/>
                <w:szCs w:val="21"/>
              </w:rPr>
              <w:br/>
              <w:t>(MPa)</w:t>
            </w:r>
          </w:p>
        </w:tc>
        <w:tc>
          <w:tcPr>
            <w:tcW w:w="1620" w:type="dxa"/>
            <w:tcBorders>
              <w:top w:val="double" w:sz="4" w:space="0" w:color="auto"/>
              <w:bottom w:val="double" w:sz="4" w:space="0" w:color="auto"/>
            </w:tcBorders>
          </w:tcPr>
          <w:p w14:paraId="344D9E95" w14:textId="77777777" w:rsidR="00D70D56" w:rsidRPr="00922317" w:rsidRDefault="00D70D56" w:rsidP="00E05828">
            <w:pPr>
              <w:keepNext/>
              <w:jc w:val="center"/>
              <w:rPr>
                <w:b/>
                <w:sz w:val="21"/>
                <w:szCs w:val="21"/>
              </w:rPr>
            </w:pPr>
            <w:r w:rsidRPr="00922317">
              <w:rPr>
                <w:b/>
                <w:sz w:val="21"/>
                <w:szCs w:val="21"/>
              </w:rPr>
              <w:t>pound-force per square inch (psi)</w:t>
            </w:r>
            <w:r w:rsidRPr="00922317">
              <w:rPr>
                <w:b/>
                <w:sz w:val="21"/>
                <w:szCs w:val="21"/>
              </w:rPr>
              <w:br/>
              <w:t>(lbf/in</w:t>
            </w:r>
            <w:r w:rsidRPr="00922317">
              <w:rPr>
                <w:b/>
                <w:sz w:val="21"/>
                <w:szCs w:val="21"/>
                <w:vertAlign w:val="superscript"/>
              </w:rPr>
              <w:t>2</w:t>
            </w:r>
            <w:r w:rsidRPr="00922317">
              <w:rPr>
                <w:b/>
                <w:sz w:val="21"/>
                <w:szCs w:val="21"/>
              </w:rPr>
              <w:t>)</w:t>
            </w:r>
          </w:p>
        </w:tc>
        <w:tc>
          <w:tcPr>
            <w:tcW w:w="1350" w:type="dxa"/>
            <w:tcBorders>
              <w:top w:val="double" w:sz="4" w:space="0" w:color="auto"/>
              <w:bottom w:val="double" w:sz="4" w:space="0" w:color="auto"/>
            </w:tcBorders>
          </w:tcPr>
          <w:p w14:paraId="20C99B17" w14:textId="77777777" w:rsidR="00D70D56" w:rsidRPr="00922317" w:rsidRDefault="00D70D56" w:rsidP="00E05828">
            <w:pPr>
              <w:keepNext/>
              <w:ind w:right="-20"/>
              <w:jc w:val="center"/>
              <w:rPr>
                <w:b/>
                <w:iCs/>
                <w:sz w:val="21"/>
                <w:szCs w:val="21"/>
              </w:rPr>
            </w:pPr>
            <w:r w:rsidRPr="00922317">
              <w:rPr>
                <w:b/>
                <w:iCs/>
                <w:sz w:val="21"/>
                <w:szCs w:val="21"/>
              </w:rPr>
              <w:t>millimeter of</w:t>
            </w:r>
            <w:r w:rsidR="005C5B12">
              <w:rPr>
                <w:b/>
                <w:iCs/>
                <w:sz w:val="21"/>
                <w:szCs w:val="21"/>
              </w:rPr>
              <w:t xml:space="preserve"> </w:t>
            </w:r>
            <w:r w:rsidRPr="00922317">
              <w:rPr>
                <w:b/>
                <w:iCs/>
                <w:sz w:val="21"/>
                <w:szCs w:val="21"/>
              </w:rPr>
              <w:t>mercury</w:t>
            </w:r>
            <w:r w:rsidRPr="00922317">
              <w:rPr>
                <w:b/>
                <w:iCs/>
                <w:sz w:val="21"/>
                <w:szCs w:val="21"/>
              </w:rPr>
              <w:br/>
              <w:t>(</w:t>
            </w:r>
            <w:r w:rsidRPr="00922317">
              <w:rPr>
                <w:b/>
                <w:sz w:val="21"/>
                <w:szCs w:val="21"/>
              </w:rPr>
              <w:t>mm Hg (0 °C))</w:t>
            </w:r>
          </w:p>
        </w:tc>
        <w:tc>
          <w:tcPr>
            <w:tcW w:w="1530" w:type="dxa"/>
            <w:tcBorders>
              <w:top w:val="double" w:sz="4" w:space="0" w:color="auto"/>
              <w:bottom w:val="double" w:sz="4" w:space="0" w:color="auto"/>
            </w:tcBorders>
          </w:tcPr>
          <w:p w14:paraId="714F767A" w14:textId="77777777" w:rsidR="00744A04" w:rsidRPr="00922317" w:rsidRDefault="00D70D56" w:rsidP="00E05828">
            <w:pPr>
              <w:keepNext/>
              <w:jc w:val="center"/>
              <w:rPr>
                <w:b/>
                <w:sz w:val="21"/>
                <w:szCs w:val="21"/>
              </w:rPr>
            </w:pPr>
            <w:r w:rsidRPr="00922317">
              <w:rPr>
                <w:b/>
                <w:sz w:val="21"/>
                <w:szCs w:val="21"/>
              </w:rPr>
              <w:t xml:space="preserve">Inch of water </w:t>
            </w:r>
          </w:p>
          <w:p w14:paraId="10811E35" w14:textId="77777777" w:rsidR="00D70D56" w:rsidRPr="00922317" w:rsidRDefault="00D70D56" w:rsidP="00E05828">
            <w:pPr>
              <w:keepNext/>
              <w:jc w:val="center"/>
              <w:rPr>
                <w:b/>
                <w:sz w:val="21"/>
                <w:szCs w:val="21"/>
              </w:rPr>
            </w:pPr>
            <w:r w:rsidRPr="00922317">
              <w:rPr>
                <w:b/>
                <w:sz w:val="21"/>
                <w:szCs w:val="21"/>
              </w:rPr>
              <w:t>(in H</w:t>
            </w:r>
            <w:r w:rsidRPr="00922317">
              <w:rPr>
                <w:b/>
                <w:sz w:val="21"/>
                <w:szCs w:val="21"/>
                <w:vertAlign w:val="subscript"/>
              </w:rPr>
              <w:t>2</w:t>
            </w:r>
            <w:r w:rsidRPr="00922317">
              <w:rPr>
                <w:b/>
                <w:sz w:val="21"/>
                <w:szCs w:val="21"/>
              </w:rPr>
              <w:t>O (4 °C))</w:t>
            </w:r>
          </w:p>
        </w:tc>
      </w:tr>
      <w:tr w:rsidR="00153661" w:rsidRPr="00922317" w14:paraId="6379B21D" w14:textId="77777777" w:rsidTr="00922317">
        <w:trPr>
          <w:cantSplit/>
          <w:trHeight w:val="346"/>
        </w:trPr>
        <w:tc>
          <w:tcPr>
            <w:tcW w:w="1710" w:type="dxa"/>
            <w:tcBorders>
              <w:top w:val="double" w:sz="4" w:space="0" w:color="auto"/>
              <w:bottom w:val="nil"/>
            </w:tcBorders>
            <w:vAlign w:val="center"/>
          </w:tcPr>
          <w:p w14:paraId="301ED039" w14:textId="77777777" w:rsidR="00D70D56" w:rsidRPr="00922317" w:rsidRDefault="00D70D56" w:rsidP="00E05828">
            <w:pPr>
              <w:keepNext/>
              <w:tabs>
                <w:tab w:val="right" w:pos="1481"/>
              </w:tabs>
              <w:rPr>
                <w:sz w:val="20"/>
                <w:szCs w:val="20"/>
              </w:rPr>
            </w:pPr>
            <w:r w:rsidRPr="00922317">
              <w:rPr>
                <w:sz w:val="20"/>
                <w:szCs w:val="20"/>
              </w:rPr>
              <w:t>1 Pa</w:t>
            </w:r>
            <w:r w:rsidRPr="00922317">
              <w:rPr>
                <w:sz w:val="20"/>
                <w:szCs w:val="20"/>
              </w:rPr>
              <w:tab/>
              <w:t>=</w:t>
            </w:r>
          </w:p>
        </w:tc>
        <w:tc>
          <w:tcPr>
            <w:tcW w:w="810" w:type="dxa"/>
            <w:tcBorders>
              <w:top w:val="double" w:sz="4" w:space="0" w:color="auto"/>
              <w:left w:val="nil"/>
              <w:bottom w:val="nil"/>
              <w:right w:val="single" w:sz="4" w:space="0" w:color="auto"/>
            </w:tcBorders>
            <w:shd w:val="clear" w:color="auto" w:fill="auto"/>
            <w:vAlign w:val="center"/>
          </w:tcPr>
          <w:p w14:paraId="2926E5B6" w14:textId="77777777" w:rsidR="00D70D56" w:rsidRPr="00922317" w:rsidRDefault="00D70D56" w:rsidP="00E05828">
            <w:pPr>
              <w:keepNext/>
              <w:ind w:left="-110" w:right="-7"/>
              <w:jc w:val="right"/>
              <w:rPr>
                <w:color w:val="000000"/>
                <w:sz w:val="20"/>
                <w:szCs w:val="20"/>
                <w:u w:val="single"/>
              </w:rPr>
            </w:pPr>
          </w:p>
        </w:tc>
        <w:tc>
          <w:tcPr>
            <w:tcW w:w="990" w:type="dxa"/>
            <w:tcBorders>
              <w:top w:val="double" w:sz="4" w:space="0" w:color="auto"/>
              <w:left w:val="single" w:sz="4" w:space="0" w:color="auto"/>
              <w:bottom w:val="nil"/>
              <w:right w:val="single" w:sz="4" w:space="0" w:color="auto"/>
            </w:tcBorders>
            <w:vAlign w:val="center"/>
          </w:tcPr>
          <w:p w14:paraId="54474A23"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w:t>
            </w:r>
          </w:p>
        </w:tc>
        <w:tc>
          <w:tcPr>
            <w:tcW w:w="1170" w:type="dxa"/>
            <w:tcBorders>
              <w:top w:val="double" w:sz="4" w:space="0" w:color="auto"/>
              <w:left w:val="single" w:sz="4" w:space="0" w:color="auto"/>
              <w:bottom w:val="nil"/>
              <w:right w:val="single" w:sz="4" w:space="0" w:color="auto"/>
            </w:tcBorders>
            <w:shd w:val="clear" w:color="auto" w:fill="auto"/>
            <w:vAlign w:val="center"/>
          </w:tcPr>
          <w:p w14:paraId="4DF40472"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0.001</w:t>
            </w:r>
          </w:p>
        </w:tc>
        <w:tc>
          <w:tcPr>
            <w:tcW w:w="1440" w:type="dxa"/>
            <w:tcBorders>
              <w:top w:val="double" w:sz="4" w:space="0" w:color="auto"/>
              <w:left w:val="single" w:sz="4" w:space="0" w:color="auto"/>
              <w:bottom w:val="nil"/>
              <w:right w:val="single" w:sz="4" w:space="0" w:color="auto"/>
            </w:tcBorders>
            <w:shd w:val="clear" w:color="auto" w:fill="auto"/>
            <w:vAlign w:val="center"/>
          </w:tcPr>
          <w:p w14:paraId="255B5A30"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0.000 001</w:t>
            </w:r>
          </w:p>
        </w:tc>
        <w:tc>
          <w:tcPr>
            <w:tcW w:w="1620" w:type="dxa"/>
            <w:tcBorders>
              <w:top w:val="double" w:sz="4" w:space="0" w:color="auto"/>
              <w:left w:val="single" w:sz="4" w:space="0" w:color="auto"/>
              <w:bottom w:val="nil"/>
              <w:right w:val="single" w:sz="4" w:space="0" w:color="auto"/>
            </w:tcBorders>
            <w:shd w:val="clear" w:color="auto" w:fill="auto"/>
            <w:vAlign w:val="center"/>
          </w:tcPr>
          <w:p w14:paraId="3C9FB5EF" w14:textId="77777777" w:rsidR="00D70D56" w:rsidRPr="00922317" w:rsidRDefault="00D70D56" w:rsidP="00E05828">
            <w:pPr>
              <w:keepNext/>
              <w:ind w:left="-110"/>
              <w:jc w:val="right"/>
              <w:rPr>
                <w:color w:val="000000"/>
                <w:sz w:val="20"/>
                <w:szCs w:val="20"/>
              </w:rPr>
            </w:pPr>
            <w:r w:rsidRPr="00922317">
              <w:rPr>
                <w:color w:val="000000"/>
                <w:sz w:val="20"/>
                <w:szCs w:val="20"/>
              </w:rPr>
              <w:t>0.000 145 037 74</w:t>
            </w:r>
          </w:p>
        </w:tc>
        <w:tc>
          <w:tcPr>
            <w:tcW w:w="1350" w:type="dxa"/>
            <w:tcBorders>
              <w:top w:val="double" w:sz="4" w:space="0" w:color="auto"/>
              <w:left w:val="single" w:sz="4" w:space="0" w:color="auto"/>
              <w:bottom w:val="nil"/>
              <w:right w:val="single" w:sz="4" w:space="0" w:color="auto"/>
            </w:tcBorders>
            <w:shd w:val="clear" w:color="auto" w:fill="auto"/>
            <w:vAlign w:val="center"/>
          </w:tcPr>
          <w:p w14:paraId="56136B23" w14:textId="77777777" w:rsidR="00D70D56" w:rsidRPr="00922317" w:rsidRDefault="00D70D56" w:rsidP="00E05828">
            <w:pPr>
              <w:keepNext/>
              <w:ind w:left="-110" w:right="-20"/>
              <w:jc w:val="right"/>
              <w:rPr>
                <w:color w:val="000000"/>
                <w:sz w:val="20"/>
                <w:szCs w:val="20"/>
              </w:rPr>
            </w:pPr>
            <w:r w:rsidRPr="00922317">
              <w:rPr>
                <w:color w:val="000000"/>
                <w:sz w:val="20"/>
                <w:szCs w:val="20"/>
              </w:rPr>
              <w:t>0.007 5006 15</w:t>
            </w:r>
          </w:p>
        </w:tc>
        <w:tc>
          <w:tcPr>
            <w:tcW w:w="1530" w:type="dxa"/>
            <w:tcBorders>
              <w:top w:val="double" w:sz="4" w:space="0" w:color="auto"/>
              <w:left w:val="single" w:sz="4" w:space="0" w:color="auto"/>
              <w:bottom w:val="nil"/>
              <w:right w:val="double" w:sz="4" w:space="0" w:color="auto"/>
            </w:tcBorders>
            <w:shd w:val="clear" w:color="auto" w:fill="auto"/>
            <w:vAlign w:val="center"/>
          </w:tcPr>
          <w:p w14:paraId="42020B56" w14:textId="77777777" w:rsidR="00D70D56" w:rsidRPr="00922317" w:rsidRDefault="00D70D56" w:rsidP="00E05828">
            <w:pPr>
              <w:keepNext/>
              <w:ind w:left="-110" w:right="-24"/>
              <w:jc w:val="right"/>
              <w:rPr>
                <w:color w:val="000000"/>
                <w:sz w:val="20"/>
                <w:szCs w:val="20"/>
              </w:rPr>
            </w:pPr>
            <w:r w:rsidRPr="00922317">
              <w:rPr>
                <w:color w:val="000000"/>
                <w:sz w:val="20"/>
                <w:szCs w:val="20"/>
              </w:rPr>
              <w:t>0.004 014 742 13</w:t>
            </w:r>
          </w:p>
        </w:tc>
      </w:tr>
      <w:tr w:rsidR="00153661" w:rsidRPr="00922317" w14:paraId="38B167DA" w14:textId="77777777" w:rsidTr="00922317">
        <w:trPr>
          <w:cantSplit/>
          <w:trHeight w:val="346"/>
        </w:trPr>
        <w:tc>
          <w:tcPr>
            <w:tcW w:w="1710" w:type="dxa"/>
            <w:tcBorders>
              <w:top w:val="nil"/>
              <w:bottom w:val="nil"/>
            </w:tcBorders>
            <w:vAlign w:val="center"/>
          </w:tcPr>
          <w:p w14:paraId="4EB2F480" w14:textId="77777777" w:rsidR="00D70D56" w:rsidRPr="00922317" w:rsidRDefault="00D70D56" w:rsidP="00E05828">
            <w:pPr>
              <w:keepNext/>
              <w:tabs>
                <w:tab w:val="right" w:pos="1481"/>
              </w:tabs>
              <w:rPr>
                <w:sz w:val="20"/>
                <w:szCs w:val="20"/>
              </w:rPr>
            </w:pPr>
            <w:r w:rsidRPr="00922317">
              <w:rPr>
                <w:sz w:val="20"/>
                <w:szCs w:val="20"/>
              </w:rPr>
              <w:t>1 kPa</w:t>
            </w:r>
            <w:r w:rsidRPr="00922317">
              <w:rPr>
                <w:sz w:val="20"/>
                <w:szCs w:val="20"/>
              </w:rPr>
              <w:tab/>
              <w:t>=</w:t>
            </w:r>
          </w:p>
        </w:tc>
        <w:tc>
          <w:tcPr>
            <w:tcW w:w="810" w:type="dxa"/>
            <w:tcBorders>
              <w:top w:val="nil"/>
              <w:left w:val="nil"/>
              <w:bottom w:val="nil"/>
              <w:right w:val="single" w:sz="4" w:space="0" w:color="auto"/>
            </w:tcBorders>
            <w:shd w:val="clear" w:color="auto" w:fill="auto"/>
            <w:vAlign w:val="center"/>
          </w:tcPr>
          <w:p w14:paraId="425AB6E7" w14:textId="77777777" w:rsidR="00D70D56" w:rsidRPr="00922317" w:rsidRDefault="00D70D56" w:rsidP="00E05828">
            <w:pPr>
              <w:keepNext/>
              <w:ind w:left="-110" w:right="-7"/>
              <w:jc w:val="right"/>
              <w:rPr>
                <w:color w:val="000000"/>
                <w:sz w:val="20"/>
                <w:szCs w:val="20"/>
                <w:u w:val="single"/>
              </w:rPr>
            </w:pPr>
          </w:p>
        </w:tc>
        <w:tc>
          <w:tcPr>
            <w:tcW w:w="990" w:type="dxa"/>
            <w:tcBorders>
              <w:top w:val="nil"/>
              <w:left w:val="single" w:sz="4" w:space="0" w:color="auto"/>
              <w:bottom w:val="nil"/>
              <w:right w:val="single" w:sz="4" w:space="0" w:color="auto"/>
            </w:tcBorders>
            <w:vAlign w:val="center"/>
          </w:tcPr>
          <w:p w14:paraId="2D27A50B"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1000.0</w:t>
            </w:r>
          </w:p>
        </w:tc>
        <w:tc>
          <w:tcPr>
            <w:tcW w:w="1170" w:type="dxa"/>
            <w:tcBorders>
              <w:top w:val="nil"/>
              <w:left w:val="single" w:sz="4" w:space="0" w:color="auto"/>
              <w:bottom w:val="nil"/>
              <w:right w:val="single" w:sz="4" w:space="0" w:color="auto"/>
            </w:tcBorders>
            <w:shd w:val="clear" w:color="auto" w:fill="auto"/>
            <w:vAlign w:val="center"/>
          </w:tcPr>
          <w:p w14:paraId="64F36AC4"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w:t>
            </w:r>
          </w:p>
        </w:tc>
        <w:tc>
          <w:tcPr>
            <w:tcW w:w="1440" w:type="dxa"/>
            <w:tcBorders>
              <w:top w:val="nil"/>
              <w:left w:val="single" w:sz="4" w:space="0" w:color="auto"/>
              <w:bottom w:val="nil"/>
              <w:right w:val="single" w:sz="4" w:space="0" w:color="auto"/>
            </w:tcBorders>
            <w:shd w:val="clear" w:color="auto" w:fill="auto"/>
            <w:vAlign w:val="center"/>
          </w:tcPr>
          <w:p w14:paraId="6953BDE3"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 xml:space="preserve">0.001 </w:t>
            </w:r>
          </w:p>
        </w:tc>
        <w:tc>
          <w:tcPr>
            <w:tcW w:w="1620" w:type="dxa"/>
            <w:tcBorders>
              <w:top w:val="nil"/>
              <w:left w:val="single" w:sz="4" w:space="0" w:color="auto"/>
              <w:bottom w:val="nil"/>
              <w:right w:val="single" w:sz="4" w:space="0" w:color="auto"/>
            </w:tcBorders>
            <w:shd w:val="clear" w:color="auto" w:fill="auto"/>
            <w:vAlign w:val="center"/>
          </w:tcPr>
          <w:p w14:paraId="4CA8A1C1" w14:textId="77777777" w:rsidR="00D70D56" w:rsidRPr="00922317" w:rsidRDefault="00D70D56" w:rsidP="00E05828">
            <w:pPr>
              <w:keepNext/>
              <w:ind w:left="-110"/>
              <w:jc w:val="right"/>
              <w:rPr>
                <w:color w:val="000000"/>
                <w:sz w:val="20"/>
                <w:szCs w:val="20"/>
              </w:rPr>
            </w:pPr>
            <w:r w:rsidRPr="00922317">
              <w:rPr>
                <w:color w:val="000000"/>
                <w:sz w:val="20"/>
                <w:szCs w:val="20"/>
              </w:rPr>
              <w:t>0.145 037 744</w:t>
            </w:r>
          </w:p>
        </w:tc>
        <w:tc>
          <w:tcPr>
            <w:tcW w:w="1350" w:type="dxa"/>
            <w:tcBorders>
              <w:top w:val="nil"/>
              <w:left w:val="single" w:sz="4" w:space="0" w:color="auto"/>
              <w:bottom w:val="nil"/>
              <w:right w:val="single" w:sz="4" w:space="0" w:color="auto"/>
            </w:tcBorders>
            <w:shd w:val="clear" w:color="auto" w:fill="auto"/>
            <w:vAlign w:val="center"/>
          </w:tcPr>
          <w:p w14:paraId="7C523F5A" w14:textId="77777777" w:rsidR="00D70D56" w:rsidRPr="00922317" w:rsidRDefault="00D70D56" w:rsidP="00E05828">
            <w:pPr>
              <w:keepNext/>
              <w:ind w:left="-110" w:right="-20"/>
              <w:jc w:val="right"/>
              <w:rPr>
                <w:color w:val="000000"/>
                <w:sz w:val="20"/>
                <w:szCs w:val="20"/>
              </w:rPr>
            </w:pPr>
            <w:r w:rsidRPr="00922317">
              <w:rPr>
                <w:color w:val="000000"/>
                <w:sz w:val="20"/>
                <w:szCs w:val="20"/>
              </w:rPr>
              <w:t>7.500 615 05</w:t>
            </w:r>
          </w:p>
        </w:tc>
        <w:tc>
          <w:tcPr>
            <w:tcW w:w="1530" w:type="dxa"/>
            <w:tcBorders>
              <w:top w:val="nil"/>
              <w:left w:val="single" w:sz="4" w:space="0" w:color="auto"/>
              <w:bottom w:val="nil"/>
              <w:right w:val="double" w:sz="4" w:space="0" w:color="auto"/>
            </w:tcBorders>
            <w:shd w:val="clear" w:color="auto" w:fill="auto"/>
            <w:vAlign w:val="center"/>
          </w:tcPr>
          <w:p w14:paraId="7A556284" w14:textId="77777777" w:rsidR="00D70D56" w:rsidRPr="00922317" w:rsidRDefault="00D70D56" w:rsidP="00E05828">
            <w:pPr>
              <w:keepNext/>
              <w:ind w:left="-110" w:right="-24"/>
              <w:jc w:val="right"/>
              <w:rPr>
                <w:color w:val="000000"/>
                <w:sz w:val="20"/>
                <w:szCs w:val="20"/>
              </w:rPr>
            </w:pPr>
            <w:r w:rsidRPr="00922317">
              <w:rPr>
                <w:color w:val="000000"/>
                <w:sz w:val="20"/>
                <w:szCs w:val="20"/>
              </w:rPr>
              <w:t>4.014 742 133</w:t>
            </w:r>
          </w:p>
        </w:tc>
      </w:tr>
      <w:tr w:rsidR="00153661" w:rsidRPr="00922317" w14:paraId="2DCAB87F" w14:textId="77777777" w:rsidTr="00922317">
        <w:trPr>
          <w:cantSplit/>
          <w:trHeight w:val="346"/>
        </w:trPr>
        <w:tc>
          <w:tcPr>
            <w:tcW w:w="1710" w:type="dxa"/>
            <w:tcBorders>
              <w:top w:val="nil"/>
              <w:bottom w:val="nil"/>
            </w:tcBorders>
            <w:vAlign w:val="center"/>
          </w:tcPr>
          <w:p w14:paraId="08E9E074" w14:textId="77777777" w:rsidR="00D70D56" w:rsidRPr="00922317" w:rsidRDefault="00D70D56" w:rsidP="00E05828">
            <w:pPr>
              <w:keepNext/>
              <w:tabs>
                <w:tab w:val="right" w:pos="1481"/>
              </w:tabs>
              <w:rPr>
                <w:sz w:val="20"/>
                <w:szCs w:val="20"/>
              </w:rPr>
            </w:pPr>
            <w:r w:rsidRPr="00922317">
              <w:rPr>
                <w:sz w:val="20"/>
                <w:szCs w:val="20"/>
              </w:rPr>
              <w:t>1 MPa</w:t>
            </w:r>
            <w:r w:rsidRPr="00922317">
              <w:rPr>
                <w:sz w:val="20"/>
                <w:szCs w:val="20"/>
              </w:rPr>
              <w:tab/>
              <w:t>=</w:t>
            </w:r>
          </w:p>
        </w:tc>
        <w:tc>
          <w:tcPr>
            <w:tcW w:w="810" w:type="dxa"/>
            <w:tcBorders>
              <w:top w:val="nil"/>
              <w:left w:val="nil"/>
              <w:bottom w:val="nil"/>
              <w:right w:val="single" w:sz="4" w:space="0" w:color="auto"/>
            </w:tcBorders>
            <w:shd w:val="clear" w:color="auto" w:fill="auto"/>
            <w:vAlign w:val="center"/>
          </w:tcPr>
          <w:p w14:paraId="0F5475D8" w14:textId="77777777" w:rsidR="00D70D56" w:rsidRPr="00922317" w:rsidRDefault="00D70D56" w:rsidP="00E05828">
            <w:pPr>
              <w:keepNext/>
              <w:ind w:left="-110" w:right="-7"/>
              <w:jc w:val="right"/>
              <w:rPr>
                <w:color w:val="000000"/>
                <w:sz w:val="20"/>
                <w:szCs w:val="20"/>
                <w:u w:val="single"/>
              </w:rPr>
            </w:pPr>
          </w:p>
        </w:tc>
        <w:tc>
          <w:tcPr>
            <w:tcW w:w="990" w:type="dxa"/>
            <w:tcBorders>
              <w:top w:val="nil"/>
              <w:left w:val="single" w:sz="4" w:space="0" w:color="auto"/>
              <w:bottom w:val="nil"/>
              <w:right w:val="single" w:sz="4" w:space="0" w:color="auto"/>
            </w:tcBorders>
            <w:vAlign w:val="center"/>
          </w:tcPr>
          <w:p w14:paraId="36399FAF"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1 000 000</w:t>
            </w:r>
          </w:p>
        </w:tc>
        <w:tc>
          <w:tcPr>
            <w:tcW w:w="1170" w:type="dxa"/>
            <w:tcBorders>
              <w:top w:val="nil"/>
              <w:left w:val="single" w:sz="4" w:space="0" w:color="auto"/>
              <w:bottom w:val="nil"/>
              <w:right w:val="single" w:sz="4" w:space="0" w:color="auto"/>
            </w:tcBorders>
            <w:shd w:val="clear" w:color="auto" w:fill="auto"/>
            <w:vAlign w:val="center"/>
          </w:tcPr>
          <w:p w14:paraId="5BAFC999"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 xml:space="preserve">1 000 </w:t>
            </w:r>
          </w:p>
        </w:tc>
        <w:tc>
          <w:tcPr>
            <w:tcW w:w="1440" w:type="dxa"/>
            <w:tcBorders>
              <w:top w:val="nil"/>
              <w:left w:val="single" w:sz="4" w:space="0" w:color="auto"/>
              <w:bottom w:val="nil"/>
              <w:right w:val="single" w:sz="4" w:space="0" w:color="auto"/>
            </w:tcBorders>
            <w:shd w:val="clear" w:color="auto" w:fill="auto"/>
            <w:vAlign w:val="center"/>
          </w:tcPr>
          <w:p w14:paraId="01D5E84C"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w:t>
            </w:r>
          </w:p>
        </w:tc>
        <w:tc>
          <w:tcPr>
            <w:tcW w:w="1620" w:type="dxa"/>
            <w:tcBorders>
              <w:top w:val="nil"/>
              <w:left w:val="single" w:sz="4" w:space="0" w:color="auto"/>
              <w:bottom w:val="nil"/>
              <w:right w:val="single" w:sz="4" w:space="0" w:color="auto"/>
            </w:tcBorders>
            <w:shd w:val="clear" w:color="auto" w:fill="auto"/>
            <w:vAlign w:val="center"/>
          </w:tcPr>
          <w:p w14:paraId="063D6CCD" w14:textId="77777777" w:rsidR="00D70D56" w:rsidRPr="00922317" w:rsidRDefault="00D70D56" w:rsidP="00E05828">
            <w:pPr>
              <w:keepNext/>
              <w:ind w:left="-110"/>
              <w:jc w:val="right"/>
              <w:rPr>
                <w:color w:val="000000"/>
                <w:sz w:val="20"/>
                <w:szCs w:val="20"/>
              </w:rPr>
            </w:pPr>
            <w:r w:rsidRPr="00922317">
              <w:rPr>
                <w:color w:val="000000"/>
                <w:sz w:val="20"/>
                <w:szCs w:val="20"/>
              </w:rPr>
              <w:t>145.037 744</w:t>
            </w:r>
          </w:p>
        </w:tc>
        <w:tc>
          <w:tcPr>
            <w:tcW w:w="1350" w:type="dxa"/>
            <w:tcBorders>
              <w:top w:val="nil"/>
              <w:left w:val="single" w:sz="4" w:space="0" w:color="auto"/>
              <w:bottom w:val="nil"/>
              <w:right w:val="single" w:sz="4" w:space="0" w:color="auto"/>
            </w:tcBorders>
            <w:shd w:val="clear" w:color="auto" w:fill="auto"/>
            <w:vAlign w:val="center"/>
          </w:tcPr>
          <w:p w14:paraId="7D83A8FF" w14:textId="77777777" w:rsidR="00D70D56" w:rsidRPr="00922317" w:rsidRDefault="00D70D56" w:rsidP="00E05828">
            <w:pPr>
              <w:keepNext/>
              <w:ind w:left="-110" w:right="-20"/>
              <w:jc w:val="right"/>
              <w:rPr>
                <w:color w:val="000000"/>
                <w:sz w:val="20"/>
                <w:szCs w:val="20"/>
              </w:rPr>
            </w:pPr>
            <w:r w:rsidRPr="00922317">
              <w:rPr>
                <w:color w:val="000000"/>
                <w:sz w:val="20"/>
                <w:szCs w:val="20"/>
              </w:rPr>
              <w:t>7 500.615 05</w:t>
            </w:r>
          </w:p>
        </w:tc>
        <w:tc>
          <w:tcPr>
            <w:tcW w:w="1530" w:type="dxa"/>
            <w:tcBorders>
              <w:top w:val="nil"/>
              <w:left w:val="single" w:sz="4" w:space="0" w:color="auto"/>
              <w:bottom w:val="nil"/>
              <w:right w:val="double" w:sz="4" w:space="0" w:color="auto"/>
            </w:tcBorders>
            <w:shd w:val="clear" w:color="auto" w:fill="auto"/>
            <w:vAlign w:val="center"/>
          </w:tcPr>
          <w:p w14:paraId="3EF73C22" w14:textId="77777777" w:rsidR="00D70D56" w:rsidRPr="00922317" w:rsidRDefault="00D70D56" w:rsidP="00E05828">
            <w:pPr>
              <w:keepNext/>
              <w:ind w:left="-110" w:right="-24"/>
              <w:jc w:val="right"/>
              <w:rPr>
                <w:color w:val="000000"/>
                <w:sz w:val="20"/>
                <w:szCs w:val="20"/>
              </w:rPr>
            </w:pPr>
            <w:r w:rsidRPr="00922317">
              <w:rPr>
                <w:color w:val="000000"/>
                <w:sz w:val="20"/>
                <w:szCs w:val="20"/>
              </w:rPr>
              <w:t>4 014.742 13</w:t>
            </w:r>
          </w:p>
        </w:tc>
      </w:tr>
      <w:tr w:rsidR="00153661" w:rsidRPr="00922317" w14:paraId="7FA49678" w14:textId="77777777" w:rsidTr="00922317">
        <w:trPr>
          <w:cantSplit/>
          <w:trHeight w:val="346"/>
        </w:trPr>
        <w:tc>
          <w:tcPr>
            <w:tcW w:w="1710" w:type="dxa"/>
            <w:tcBorders>
              <w:top w:val="nil"/>
              <w:bottom w:val="nil"/>
            </w:tcBorders>
            <w:vAlign w:val="center"/>
          </w:tcPr>
          <w:p w14:paraId="5514B94D" w14:textId="77777777" w:rsidR="00D70D56" w:rsidRPr="00922317" w:rsidRDefault="00D70D56" w:rsidP="00E05828">
            <w:pPr>
              <w:keepNext/>
              <w:tabs>
                <w:tab w:val="right" w:pos="1481"/>
              </w:tabs>
              <w:rPr>
                <w:sz w:val="20"/>
                <w:szCs w:val="20"/>
              </w:rPr>
            </w:pPr>
            <w:r w:rsidRPr="00922317">
              <w:rPr>
                <w:sz w:val="20"/>
                <w:szCs w:val="20"/>
              </w:rPr>
              <w:t>1 psi (lbf/in</w:t>
            </w:r>
            <w:r w:rsidRPr="00922317">
              <w:rPr>
                <w:sz w:val="20"/>
                <w:szCs w:val="20"/>
                <w:vertAlign w:val="superscript"/>
              </w:rPr>
              <w:t>2</w:t>
            </w:r>
            <w:r w:rsidRPr="00922317">
              <w:rPr>
                <w:sz w:val="20"/>
                <w:szCs w:val="20"/>
              </w:rPr>
              <w:t>)</w:t>
            </w:r>
            <w:r w:rsidRPr="00922317">
              <w:rPr>
                <w:sz w:val="20"/>
                <w:szCs w:val="20"/>
              </w:rPr>
              <w:tab/>
              <w:t>=</w:t>
            </w:r>
          </w:p>
        </w:tc>
        <w:tc>
          <w:tcPr>
            <w:tcW w:w="810" w:type="dxa"/>
            <w:tcBorders>
              <w:top w:val="nil"/>
              <w:left w:val="nil"/>
              <w:bottom w:val="nil"/>
              <w:right w:val="single" w:sz="4" w:space="0" w:color="auto"/>
            </w:tcBorders>
            <w:shd w:val="clear" w:color="auto" w:fill="auto"/>
            <w:vAlign w:val="center"/>
          </w:tcPr>
          <w:p w14:paraId="17159EA9" w14:textId="77777777" w:rsidR="00D70D56" w:rsidRPr="00922317" w:rsidRDefault="00D70D56" w:rsidP="00E05828">
            <w:pPr>
              <w:keepNext/>
              <w:ind w:left="-110" w:right="-7"/>
              <w:jc w:val="right"/>
              <w:rPr>
                <w:color w:val="000000"/>
                <w:sz w:val="20"/>
                <w:szCs w:val="20"/>
              </w:rPr>
            </w:pPr>
          </w:p>
        </w:tc>
        <w:tc>
          <w:tcPr>
            <w:tcW w:w="990" w:type="dxa"/>
            <w:tcBorders>
              <w:top w:val="nil"/>
              <w:left w:val="single" w:sz="4" w:space="0" w:color="auto"/>
              <w:bottom w:val="nil"/>
              <w:right w:val="single" w:sz="4" w:space="0" w:color="auto"/>
            </w:tcBorders>
            <w:vAlign w:val="center"/>
          </w:tcPr>
          <w:p w14:paraId="33746B26" w14:textId="77777777" w:rsidR="00D70D56" w:rsidRPr="00922317" w:rsidRDefault="00D70D56" w:rsidP="00E05828">
            <w:pPr>
              <w:keepNext/>
              <w:ind w:left="-110"/>
              <w:jc w:val="right"/>
              <w:rPr>
                <w:color w:val="000000"/>
                <w:sz w:val="20"/>
                <w:szCs w:val="20"/>
              </w:rPr>
            </w:pPr>
            <w:r w:rsidRPr="00922317">
              <w:rPr>
                <w:color w:val="000000"/>
                <w:sz w:val="20"/>
                <w:szCs w:val="20"/>
              </w:rPr>
              <w:t xml:space="preserve">6 894.757 </w:t>
            </w:r>
          </w:p>
        </w:tc>
        <w:tc>
          <w:tcPr>
            <w:tcW w:w="1170" w:type="dxa"/>
            <w:tcBorders>
              <w:top w:val="nil"/>
              <w:left w:val="single" w:sz="4" w:space="0" w:color="auto"/>
              <w:bottom w:val="nil"/>
              <w:right w:val="single" w:sz="4" w:space="0" w:color="auto"/>
            </w:tcBorders>
            <w:shd w:val="clear" w:color="auto" w:fill="auto"/>
            <w:vAlign w:val="center"/>
          </w:tcPr>
          <w:p w14:paraId="143F5BA9" w14:textId="77777777" w:rsidR="00D70D56" w:rsidRPr="00922317" w:rsidRDefault="00D70D56" w:rsidP="00E05828">
            <w:pPr>
              <w:keepNext/>
              <w:ind w:left="-110"/>
              <w:jc w:val="right"/>
              <w:rPr>
                <w:color w:val="000000"/>
                <w:sz w:val="20"/>
                <w:szCs w:val="20"/>
              </w:rPr>
            </w:pPr>
            <w:r w:rsidRPr="00922317">
              <w:rPr>
                <w:color w:val="000000"/>
                <w:sz w:val="20"/>
                <w:szCs w:val="20"/>
              </w:rPr>
              <w:t>6.894 757</w:t>
            </w:r>
          </w:p>
        </w:tc>
        <w:tc>
          <w:tcPr>
            <w:tcW w:w="1440" w:type="dxa"/>
            <w:tcBorders>
              <w:top w:val="nil"/>
              <w:left w:val="single" w:sz="4" w:space="0" w:color="auto"/>
              <w:bottom w:val="nil"/>
              <w:right w:val="single" w:sz="4" w:space="0" w:color="auto"/>
            </w:tcBorders>
            <w:shd w:val="clear" w:color="auto" w:fill="auto"/>
            <w:vAlign w:val="center"/>
          </w:tcPr>
          <w:p w14:paraId="5DAC277A" w14:textId="77777777" w:rsidR="00D70D56" w:rsidRPr="00922317" w:rsidRDefault="00D70D56" w:rsidP="00E05828">
            <w:pPr>
              <w:keepNext/>
              <w:ind w:left="-110"/>
              <w:jc w:val="right"/>
              <w:rPr>
                <w:color w:val="000000"/>
                <w:sz w:val="20"/>
                <w:szCs w:val="20"/>
              </w:rPr>
            </w:pPr>
            <w:r w:rsidRPr="00922317">
              <w:rPr>
                <w:color w:val="000000"/>
                <w:sz w:val="20"/>
                <w:szCs w:val="20"/>
              </w:rPr>
              <w:t>0.006 894 757</w:t>
            </w:r>
          </w:p>
        </w:tc>
        <w:tc>
          <w:tcPr>
            <w:tcW w:w="1620" w:type="dxa"/>
            <w:tcBorders>
              <w:top w:val="nil"/>
              <w:left w:val="single" w:sz="4" w:space="0" w:color="auto"/>
              <w:bottom w:val="nil"/>
              <w:right w:val="single" w:sz="4" w:space="0" w:color="auto"/>
            </w:tcBorders>
            <w:shd w:val="clear" w:color="auto" w:fill="auto"/>
            <w:vAlign w:val="center"/>
          </w:tcPr>
          <w:p w14:paraId="30735F4B"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w:t>
            </w:r>
          </w:p>
        </w:tc>
        <w:tc>
          <w:tcPr>
            <w:tcW w:w="1350" w:type="dxa"/>
            <w:tcBorders>
              <w:top w:val="nil"/>
              <w:left w:val="single" w:sz="4" w:space="0" w:color="auto"/>
              <w:bottom w:val="nil"/>
              <w:right w:val="single" w:sz="4" w:space="0" w:color="auto"/>
            </w:tcBorders>
            <w:shd w:val="clear" w:color="auto" w:fill="auto"/>
            <w:vAlign w:val="center"/>
          </w:tcPr>
          <w:p w14:paraId="551B9045" w14:textId="77777777" w:rsidR="00D70D56" w:rsidRPr="00922317" w:rsidRDefault="00D70D56" w:rsidP="00E05828">
            <w:pPr>
              <w:keepNext/>
              <w:ind w:left="-110" w:right="-20"/>
              <w:jc w:val="right"/>
              <w:rPr>
                <w:color w:val="000000"/>
                <w:sz w:val="20"/>
                <w:szCs w:val="20"/>
              </w:rPr>
            </w:pPr>
            <w:r w:rsidRPr="00922317">
              <w:rPr>
                <w:color w:val="000000"/>
                <w:sz w:val="20"/>
                <w:szCs w:val="20"/>
              </w:rPr>
              <w:t>51.714 918 1</w:t>
            </w:r>
          </w:p>
        </w:tc>
        <w:tc>
          <w:tcPr>
            <w:tcW w:w="1530" w:type="dxa"/>
            <w:tcBorders>
              <w:top w:val="nil"/>
              <w:left w:val="single" w:sz="4" w:space="0" w:color="auto"/>
              <w:bottom w:val="nil"/>
              <w:right w:val="double" w:sz="4" w:space="0" w:color="auto"/>
            </w:tcBorders>
            <w:shd w:val="clear" w:color="auto" w:fill="auto"/>
            <w:vAlign w:val="center"/>
          </w:tcPr>
          <w:p w14:paraId="1D7A809C" w14:textId="77777777" w:rsidR="00D70D56" w:rsidRPr="00922317" w:rsidRDefault="00D70D56" w:rsidP="00E05828">
            <w:pPr>
              <w:keepNext/>
              <w:ind w:left="-110"/>
              <w:jc w:val="right"/>
              <w:rPr>
                <w:color w:val="000000"/>
                <w:sz w:val="20"/>
                <w:szCs w:val="20"/>
              </w:rPr>
            </w:pPr>
            <w:r w:rsidRPr="00922317">
              <w:rPr>
                <w:color w:val="000000"/>
                <w:sz w:val="20"/>
                <w:szCs w:val="20"/>
              </w:rPr>
              <w:t>27.680 671 4</w:t>
            </w:r>
          </w:p>
        </w:tc>
      </w:tr>
      <w:tr w:rsidR="00153661" w:rsidRPr="00922317" w14:paraId="52D94B4C" w14:textId="77777777" w:rsidTr="00871E01">
        <w:trPr>
          <w:cantSplit/>
          <w:trHeight w:val="346"/>
        </w:trPr>
        <w:tc>
          <w:tcPr>
            <w:tcW w:w="1710" w:type="dxa"/>
            <w:tcBorders>
              <w:top w:val="nil"/>
              <w:bottom w:val="nil"/>
            </w:tcBorders>
            <w:vAlign w:val="center"/>
          </w:tcPr>
          <w:p w14:paraId="682D6377" w14:textId="77777777" w:rsidR="00D70D56" w:rsidRPr="00922317" w:rsidRDefault="00D70D56" w:rsidP="00E05828">
            <w:pPr>
              <w:keepNext/>
              <w:tabs>
                <w:tab w:val="right" w:pos="1236"/>
              </w:tabs>
              <w:rPr>
                <w:sz w:val="20"/>
                <w:szCs w:val="20"/>
              </w:rPr>
            </w:pPr>
            <w:r w:rsidRPr="00922317">
              <w:rPr>
                <w:sz w:val="20"/>
                <w:szCs w:val="20"/>
              </w:rPr>
              <w:t>1 mm</w:t>
            </w:r>
            <w:r w:rsidR="00744A04" w:rsidRPr="00922317">
              <w:rPr>
                <w:sz w:val="20"/>
                <w:szCs w:val="20"/>
              </w:rPr>
              <w:t xml:space="preserve"> </w:t>
            </w:r>
            <w:r w:rsidRPr="00922317">
              <w:rPr>
                <w:sz w:val="20"/>
                <w:szCs w:val="20"/>
              </w:rPr>
              <w:t>Hg (0</w:t>
            </w:r>
            <w:r w:rsidR="00744A04" w:rsidRPr="00922317">
              <w:rPr>
                <w:sz w:val="20"/>
                <w:szCs w:val="20"/>
              </w:rPr>
              <w:t> </w:t>
            </w:r>
            <w:r w:rsidRPr="00922317">
              <w:rPr>
                <w:sz w:val="20"/>
                <w:szCs w:val="20"/>
              </w:rPr>
              <w:t>°C)</w:t>
            </w:r>
            <w:r w:rsidR="00153661" w:rsidRPr="00555ADC">
              <w:rPr>
                <w:sz w:val="20"/>
                <w:szCs w:val="20"/>
              </w:rPr>
              <w:t xml:space="preserve"> </w:t>
            </w:r>
            <w:r w:rsidR="00153661">
              <w:rPr>
                <w:sz w:val="20"/>
                <w:szCs w:val="20"/>
              </w:rPr>
              <w:t xml:space="preserve">   </w:t>
            </w:r>
            <w:r w:rsidRPr="00922317">
              <w:rPr>
                <w:sz w:val="20"/>
                <w:szCs w:val="20"/>
              </w:rPr>
              <w:t>=</w:t>
            </w:r>
          </w:p>
        </w:tc>
        <w:tc>
          <w:tcPr>
            <w:tcW w:w="810" w:type="dxa"/>
            <w:tcBorders>
              <w:top w:val="nil"/>
              <w:left w:val="nil"/>
              <w:bottom w:val="nil"/>
              <w:right w:val="single" w:sz="4" w:space="0" w:color="auto"/>
            </w:tcBorders>
            <w:shd w:val="clear" w:color="auto" w:fill="auto"/>
            <w:vAlign w:val="center"/>
          </w:tcPr>
          <w:p w14:paraId="304DBF66" w14:textId="77777777" w:rsidR="00D70D56" w:rsidRPr="00922317" w:rsidRDefault="00D70D56" w:rsidP="00E05828">
            <w:pPr>
              <w:keepNext/>
              <w:ind w:left="-110" w:right="-7"/>
              <w:jc w:val="right"/>
              <w:rPr>
                <w:color w:val="000000"/>
                <w:sz w:val="20"/>
                <w:szCs w:val="20"/>
              </w:rPr>
            </w:pPr>
          </w:p>
        </w:tc>
        <w:tc>
          <w:tcPr>
            <w:tcW w:w="990" w:type="dxa"/>
            <w:tcBorders>
              <w:top w:val="nil"/>
              <w:left w:val="single" w:sz="4" w:space="0" w:color="auto"/>
              <w:bottom w:val="nil"/>
              <w:right w:val="single" w:sz="4" w:space="0" w:color="auto"/>
            </w:tcBorders>
            <w:vAlign w:val="center"/>
          </w:tcPr>
          <w:p w14:paraId="31B46680" w14:textId="77777777" w:rsidR="00D70D56" w:rsidRPr="00922317" w:rsidRDefault="00D70D56" w:rsidP="00E05828">
            <w:pPr>
              <w:keepNext/>
              <w:ind w:left="-110"/>
              <w:jc w:val="right"/>
              <w:rPr>
                <w:color w:val="000000"/>
                <w:sz w:val="20"/>
                <w:szCs w:val="20"/>
              </w:rPr>
            </w:pPr>
            <w:r w:rsidRPr="00922317">
              <w:rPr>
                <w:color w:val="000000"/>
                <w:sz w:val="20"/>
                <w:szCs w:val="20"/>
              </w:rPr>
              <w:t>133.322 4</w:t>
            </w:r>
          </w:p>
        </w:tc>
        <w:tc>
          <w:tcPr>
            <w:tcW w:w="1170" w:type="dxa"/>
            <w:tcBorders>
              <w:top w:val="nil"/>
              <w:left w:val="single" w:sz="4" w:space="0" w:color="auto"/>
              <w:bottom w:val="nil"/>
              <w:right w:val="single" w:sz="4" w:space="0" w:color="auto"/>
            </w:tcBorders>
            <w:shd w:val="clear" w:color="auto" w:fill="auto"/>
            <w:vAlign w:val="center"/>
          </w:tcPr>
          <w:p w14:paraId="70CD0A0C" w14:textId="77777777" w:rsidR="00D70D56" w:rsidRPr="00922317" w:rsidRDefault="00D70D56" w:rsidP="00E05828">
            <w:pPr>
              <w:keepNext/>
              <w:ind w:left="-110"/>
              <w:jc w:val="right"/>
              <w:rPr>
                <w:color w:val="000000"/>
                <w:sz w:val="20"/>
                <w:szCs w:val="20"/>
              </w:rPr>
            </w:pPr>
            <w:r w:rsidRPr="00922317">
              <w:rPr>
                <w:color w:val="000000"/>
                <w:sz w:val="20"/>
                <w:szCs w:val="20"/>
              </w:rPr>
              <w:t>0.133 322 4</w:t>
            </w:r>
          </w:p>
        </w:tc>
        <w:tc>
          <w:tcPr>
            <w:tcW w:w="1440" w:type="dxa"/>
            <w:tcBorders>
              <w:top w:val="nil"/>
              <w:left w:val="single" w:sz="4" w:space="0" w:color="auto"/>
              <w:bottom w:val="nil"/>
              <w:right w:val="single" w:sz="4" w:space="0" w:color="auto"/>
            </w:tcBorders>
            <w:shd w:val="clear" w:color="auto" w:fill="auto"/>
            <w:vAlign w:val="center"/>
          </w:tcPr>
          <w:p w14:paraId="05076E7E" w14:textId="77777777" w:rsidR="00D70D56" w:rsidRPr="00922317" w:rsidRDefault="00D70D56" w:rsidP="00E05828">
            <w:pPr>
              <w:keepNext/>
              <w:ind w:left="-110"/>
              <w:jc w:val="right"/>
              <w:rPr>
                <w:color w:val="000000"/>
                <w:sz w:val="20"/>
                <w:szCs w:val="20"/>
              </w:rPr>
            </w:pPr>
            <w:r w:rsidRPr="00922317">
              <w:rPr>
                <w:color w:val="000000"/>
                <w:sz w:val="20"/>
                <w:szCs w:val="20"/>
              </w:rPr>
              <w:t>0.000 133 322 4</w:t>
            </w:r>
          </w:p>
        </w:tc>
        <w:tc>
          <w:tcPr>
            <w:tcW w:w="1620" w:type="dxa"/>
            <w:tcBorders>
              <w:top w:val="nil"/>
              <w:left w:val="single" w:sz="4" w:space="0" w:color="auto"/>
              <w:bottom w:val="nil"/>
              <w:right w:val="single" w:sz="4" w:space="0" w:color="auto"/>
            </w:tcBorders>
            <w:shd w:val="clear" w:color="auto" w:fill="auto"/>
            <w:vAlign w:val="center"/>
          </w:tcPr>
          <w:p w14:paraId="09267C44" w14:textId="77777777" w:rsidR="00D70D56" w:rsidRPr="00922317" w:rsidRDefault="00D70D56" w:rsidP="00E05828">
            <w:pPr>
              <w:keepNext/>
              <w:ind w:left="-110"/>
              <w:jc w:val="right"/>
              <w:rPr>
                <w:color w:val="000000"/>
                <w:sz w:val="20"/>
                <w:szCs w:val="20"/>
              </w:rPr>
            </w:pPr>
            <w:r w:rsidRPr="00922317">
              <w:rPr>
                <w:color w:val="000000"/>
                <w:sz w:val="20"/>
                <w:szCs w:val="20"/>
              </w:rPr>
              <w:t>0.019 336 78</w:t>
            </w:r>
          </w:p>
        </w:tc>
        <w:tc>
          <w:tcPr>
            <w:tcW w:w="1350" w:type="dxa"/>
            <w:tcBorders>
              <w:top w:val="nil"/>
              <w:left w:val="single" w:sz="4" w:space="0" w:color="auto"/>
              <w:bottom w:val="nil"/>
              <w:right w:val="single" w:sz="4" w:space="0" w:color="auto"/>
            </w:tcBorders>
            <w:shd w:val="clear" w:color="auto" w:fill="auto"/>
            <w:vAlign w:val="center"/>
          </w:tcPr>
          <w:p w14:paraId="247A01CA" w14:textId="77777777" w:rsidR="00D70D56" w:rsidRPr="00922317" w:rsidRDefault="00D70D56" w:rsidP="00E05828">
            <w:pPr>
              <w:keepNext/>
              <w:ind w:left="-110" w:right="-20"/>
              <w:jc w:val="right"/>
              <w:rPr>
                <w:color w:val="000000"/>
                <w:sz w:val="20"/>
                <w:szCs w:val="20"/>
                <w:u w:val="single"/>
              </w:rPr>
            </w:pPr>
            <w:r w:rsidRPr="00922317">
              <w:rPr>
                <w:color w:val="000000"/>
                <w:sz w:val="20"/>
                <w:szCs w:val="20"/>
                <w:u w:val="single"/>
              </w:rPr>
              <w:t>1</w:t>
            </w:r>
          </w:p>
        </w:tc>
        <w:tc>
          <w:tcPr>
            <w:tcW w:w="1530" w:type="dxa"/>
            <w:tcBorders>
              <w:top w:val="nil"/>
              <w:left w:val="single" w:sz="4" w:space="0" w:color="auto"/>
              <w:bottom w:val="nil"/>
              <w:right w:val="double" w:sz="4" w:space="0" w:color="auto"/>
            </w:tcBorders>
            <w:shd w:val="clear" w:color="auto" w:fill="auto"/>
            <w:vAlign w:val="center"/>
          </w:tcPr>
          <w:p w14:paraId="77A367FD" w14:textId="77777777" w:rsidR="00D70D56" w:rsidRPr="00922317" w:rsidRDefault="00D70D56" w:rsidP="00E05828">
            <w:pPr>
              <w:keepNext/>
              <w:ind w:left="-110" w:right="-29"/>
              <w:jc w:val="right"/>
              <w:rPr>
                <w:color w:val="000000"/>
                <w:sz w:val="20"/>
                <w:szCs w:val="20"/>
              </w:rPr>
            </w:pPr>
            <w:r w:rsidRPr="00922317">
              <w:rPr>
                <w:color w:val="000000"/>
                <w:sz w:val="20"/>
                <w:szCs w:val="20"/>
              </w:rPr>
              <w:t>0.535 255 057</w:t>
            </w:r>
          </w:p>
        </w:tc>
      </w:tr>
      <w:tr w:rsidR="00153661" w:rsidRPr="00922317" w14:paraId="04DB3CC7" w14:textId="77777777" w:rsidTr="00871E01">
        <w:trPr>
          <w:cantSplit/>
          <w:trHeight w:val="346"/>
        </w:trPr>
        <w:tc>
          <w:tcPr>
            <w:tcW w:w="1710" w:type="dxa"/>
            <w:tcBorders>
              <w:top w:val="nil"/>
              <w:bottom w:val="double" w:sz="4" w:space="0" w:color="auto"/>
            </w:tcBorders>
            <w:vAlign w:val="center"/>
          </w:tcPr>
          <w:p w14:paraId="752A7C25" w14:textId="77777777" w:rsidR="00D70D56" w:rsidRPr="00922317" w:rsidRDefault="00D70D56" w:rsidP="00E05828">
            <w:pPr>
              <w:keepNext/>
              <w:tabs>
                <w:tab w:val="right" w:pos="1236"/>
                <w:tab w:val="left" w:pos="1400"/>
              </w:tabs>
              <w:rPr>
                <w:sz w:val="20"/>
                <w:szCs w:val="20"/>
              </w:rPr>
            </w:pPr>
            <w:r w:rsidRPr="00922317">
              <w:rPr>
                <w:sz w:val="20"/>
                <w:szCs w:val="20"/>
              </w:rPr>
              <w:t>1 in</w:t>
            </w:r>
            <w:r w:rsidR="00744A04" w:rsidRPr="00922317">
              <w:rPr>
                <w:sz w:val="20"/>
                <w:szCs w:val="20"/>
              </w:rPr>
              <w:t xml:space="preserve"> </w:t>
            </w:r>
            <w:r w:rsidRPr="00922317">
              <w:rPr>
                <w:sz w:val="20"/>
                <w:szCs w:val="20"/>
              </w:rPr>
              <w:t>H</w:t>
            </w:r>
            <w:r w:rsidRPr="00922317">
              <w:rPr>
                <w:sz w:val="20"/>
                <w:szCs w:val="20"/>
                <w:vertAlign w:val="subscript"/>
              </w:rPr>
              <w:t>2</w:t>
            </w:r>
            <w:r w:rsidRPr="00922317">
              <w:rPr>
                <w:sz w:val="20"/>
                <w:szCs w:val="20"/>
              </w:rPr>
              <w:t>O (4 °C)</w:t>
            </w:r>
            <w:r w:rsidRPr="00922317">
              <w:rPr>
                <w:sz w:val="20"/>
                <w:szCs w:val="20"/>
              </w:rPr>
              <w:tab/>
            </w:r>
            <w:r w:rsidR="00744A04" w:rsidRPr="00922317">
              <w:rPr>
                <w:sz w:val="20"/>
                <w:szCs w:val="20"/>
              </w:rPr>
              <w:tab/>
            </w:r>
            <w:r w:rsidRPr="00922317">
              <w:rPr>
                <w:sz w:val="20"/>
                <w:szCs w:val="20"/>
              </w:rPr>
              <w:t>=</w:t>
            </w:r>
          </w:p>
        </w:tc>
        <w:tc>
          <w:tcPr>
            <w:tcW w:w="810" w:type="dxa"/>
            <w:tcBorders>
              <w:top w:val="nil"/>
              <w:left w:val="nil"/>
              <w:bottom w:val="double" w:sz="4" w:space="0" w:color="auto"/>
              <w:right w:val="single" w:sz="4" w:space="0" w:color="auto"/>
            </w:tcBorders>
            <w:shd w:val="clear" w:color="auto" w:fill="auto"/>
            <w:vAlign w:val="center"/>
          </w:tcPr>
          <w:p w14:paraId="79E999F7" w14:textId="77777777" w:rsidR="00D70D56" w:rsidRPr="00922317" w:rsidRDefault="00D70D56" w:rsidP="00E05828">
            <w:pPr>
              <w:keepNext/>
              <w:ind w:left="-110" w:right="-7"/>
              <w:jc w:val="right"/>
              <w:rPr>
                <w:color w:val="000000"/>
                <w:sz w:val="20"/>
                <w:szCs w:val="20"/>
              </w:rPr>
            </w:pPr>
          </w:p>
        </w:tc>
        <w:tc>
          <w:tcPr>
            <w:tcW w:w="990" w:type="dxa"/>
            <w:tcBorders>
              <w:top w:val="nil"/>
              <w:left w:val="single" w:sz="4" w:space="0" w:color="auto"/>
              <w:bottom w:val="double" w:sz="4" w:space="0" w:color="auto"/>
              <w:right w:val="single" w:sz="4" w:space="0" w:color="auto"/>
            </w:tcBorders>
            <w:vAlign w:val="center"/>
          </w:tcPr>
          <w:p w14:paraId="11C482C2" w14:textId="77777777" w:rsidR="00D70D56" w:rsidRPr="00922317" w:rsidRDefault="00D70D56" w:rsidP="00E05828">
            <w:pPr>
              <w:keepNext/>
              <w:ind w:left="-110"/>
              <w:jc w:val="right"/>
              <w:rPr>
                <w:color w:val="000000"/>
                <w:sz w:val="20"/>
                <w:szCs w:val="20"/>
              </w:rPr>
            </w:pPr>
            <w:r w:rsidRPr="00922317">
              <w:rPr>
                <w:color w:val="000000"/>
                <w:sz w:val="20"/>
                <w:szCs w:val="20"/>
              </w:rPr>
              <w:t>249.082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3AD900DA" w14:textId="77777777" w:rsidR="00D70D56" w:rsidRPr="00922317" w:rsidRDefault="00D70D56" w:rsidP="00E05828">
            <w:pPr>
              <w:keepNext/>
              <w:ind w:left="-110"/>
              <w:jc w:val="right"/>
              <w:rPr>
                <w:color w:val="000000"/>
                <w:sz w:val="20"/>
                <w:szCs w:val="20"/>
              </w:rPr>
            </w:pPr>
            <w:r w:rsidRPr="00922317">
              <w:rPr>
                <w:color w:val="000000"/>
                <w:sz w:val="20"/>
                <w:szCs w:val="20"/>
              </w:rPr>
              <w:t>0.249 082</w:t>
            </w:r>
          </w:p>
        </w:tc>
        <w:tc>
          <w:tcPr>
            <w:tcW w:w="1440" w:type="dxa"/>
            <w:tcBorders>
              <w:top w:val="nil"/>
              <w:left w:val="single" w:sz="4" w:space="0" w:color="auto"/>
              <w:bottom w:val="double" w:sz="4" w:space="0" w:color="auto"/>
              <w:right w:val="single" w:sz="4" w:space="0" w:color="auto"/>
            </w:tcBorders>
            <w:shd w:val="clear" w:color="auto" w:fill="auto"/>
            <w:vAlign w:val="center"/>
          </w:tcPr>
          <w:p w14:paraId="320283C3" w14:textId="77777777" w:rsidR="00D70D56" w:rsidRPr="00922317" w:rsidRDefault="00D70D56" w:rsidP="00E05828">
            <w:pPr>
              <w:keepNext/>
              <w:ind w:left="-110"/>
              <w:jc w:val="right"/>
              <w:rPr>
                <w:color w:val="000000"/>
                <w:sz w:val="20"/>
                <w:szCs w:val="20"/>
              </w:rPr>
            </w:pPr>
            <w:r w:rsidRPr="00922317">
              <w:rPr>
                <w:color w:val="000000"/>
                <w:sz w:val="20"/>
                <w:szCs w:val="20"/>
              </w:rPr>
              <w:t>0.000 249 082</w:t>
            </w:r>
          </w:p>
        </w:tc>
        <w:tc>
          <w:tcPr>
            <w:tcW w:w="1620" w:type="dxa"/>
            <w:tcBorders>
              <w:top w:val="nil"/>
              <w:left w:val="single" w:sz="4" w:space="0" w:color="auto"/>
              <w:bottom w:val="double" w:sz="4" w:space="0" w:color="auto"/>
              <w:right w:val="single" w:sz="4" w:space="0" w:color="auto"/>
            </w:tcBorders>
            <w:shd w:val="clear" w:color="auto" w:fill="auto"/>
            <w:vAlign w:val="center"/>
          </w:tcPr>
          <w:p w14:paraId="25859E24" w14:textId="77777777" w:rsidR="00D70D56" w:rsidRPr="00922317" w:rsidRDefault="00D70D56" w:rsidP="00E05828">
            <w:pPr>
              <w:keepNext/>
              <w:ind w:left="-110"/>
              <w:jc w:val="right"/>
              <w:rPr>
                <w:color w:val="000000"/>
                <w:sz w:val="20"/>
                <w:szCs w:val="20"/>
              </w:rPr>
            </w:pPr>
            <w:r w:rsidRPr="00922317">
              <w:rPr>
                <w:color w:val="000000"/>
                <w:sz w:val="20"/>
                <w:szCs w:val="20"/>
              </w:rPr>
              <w:t>0.036 126 291</w:t>
            </w:r>
          </w:p>
        </w:tc>
        <w:tc>
          <w:tcPr>
            <w:tcW w:w="1350" w:type="dxa"/>
            <w:tcBorders>
              <w:top w:val="nil"/>
              <w:left w:val="single" w:sz="4" w:space="0" w:color="auto"/>
              <w:bottom w:val="double" w:sz="4" w:space="0" w:color="auto"/>
              <w:right w:val="single" w:sz="4" w:space="0" w:color="auto"/>
            </w:tcBorders>
            <w:shd w:val="clear" w:color="auto" w:fill="auto"/>
            <w:vAlign w:val="center"/>
          </w:tcPr>
          <w:p w14:paraId="12109DCD" w14:textId="77777777" w:rsidR="00D70D56" w:rsidRPr="00922317" w:rsidRDefault="00D70D56" w:rsidP="00E05828">
            <w:pPr>
              <w:keepNext/>
              <w:ind w:left="-110" w:right="-20"/>
              <w:jc w:val="right"/>
              <w:rPr>
                <w:color w:val="000000"/>
                <w:sz w:val="20"/>
                <w:szCs w:val="20"/>
              </w:rPr>
            </w:pPr>
            <w:r w:rsidRPr="00922317">
              <w:rPr>
                <w:color w:val="000000"/>
                <w:sz w:val="20"/>
                <w:szCs w:val="20"/>
              </w:rPr>
              <w:t>1.868 268 198</w:t>
            </w:r>
          </w:p>
        </w:tc>
        <w:tc>
          <w:tcPr>
            <w:tcW w:w="1530" w:type="dxa"/>
            <w:tcBorders>
              <w:top w:val="nil"/>
              <w:left w:val="single" w:sz="4" w:space="0" w:color="auto"/>
              <w:bottom w:val="double" w:sz="4" w:space="0" w:color="auto"/>
              <w:right w:val="double" w:sz="4" w:space="0" w:color="auto"/>
            </w:tcBorders>
            <w:shd w:val="clear" w:color="auto" w:fill="auto"/>
            <w:vAlign w:val="center"/>
          </w:tcPr>
          <w:p w14:paraId="22828955" w14:textId="77777777" w:rsidR="00D70D56" w:rsidRPr="00922317" w:rsidRDefault="00D70D56" w:rsidP="00E05828">
            <w:pPr>
              <w:keepNext/>
              <w:ind w:left="-110" w:right="-24"/>
              <w:jc w:val="right"/>
              <w:rPr>
                <w:color w:val="000000"/>
                <w:sz w:val="20"/>
                <w:szCs w:val="20"/>
                <w:u w:val="single"/>
              </w:rPr>
            </w:pPr>
            <w:r w:rsidRPr="00922317">
              <w:rPr>
                <w:color w:val="000000"/>
                <w:sz w:val="20"/>
                <w:szCs w:val="20"/>
                <w:u w:val="single"/>
              </w:rPr>
              <w:t>1</w:t>
            </w:r>
          </w:p>
        </w:tc>
      </w:tr>
    </w:tbl>
    <w:p w14:paraId="69B748ED" w14:textId="77777777" w:rsidR="00D70D56" w:rsidRDefault="00D70D56" w:rsidP="00E05828">
      <w:pPr>
        <w:keepNext/>
        <w:spacing w:after="0" w:line="240" w:lineRule="auto"/>
        <w:rPr>
          <w:rFonts w:ascii="Calibri" w:hAnsi="Calibri" w:cs="Times New Roman"/>
        </w:rPr>
      </w:pPr>
    </w:p>
    <w:p w14:paraId="37759380" w14:textId="77777777" w:rsidR="00742D53" w:rsidRDefault="00742D53">
      <w:pPr>
        <w:rPr>
          <w:rFonts w:ascii="Calibri" w:hAnsi="Calibri" w:cs="Times New Roman"/>
        </w:rPr>
      </w:pPr>
      <w:r>
        <w:rPr>
          <w:rFonts w:ascii="Calibri" w:hAnsi="Calibri" w:cs="Times New Roman"/>
        </w:rPr>
        <w:br w:type="page"/>
      </w:r>
    </w:p>
    <w:tbl>
      <w:tblPr>
        <w:tblStyle w:val="TableGrid1"/>
        <w:tblW w:w="10587" w:type="dxa"/>
        <w:tblInd w:w="-612" w:type="dxa"/>
        <w:tblLook w:val="04A0" w:firstRow="1" w:lastRow="0" w:firstColumn="1" w:lastColumn="0" w:noHBand="0" w:noVBand="1"/>
      </w:tblPr>
      <w:tblGrid>
        <w:gridCol w:w="1711"/>
        <w:gridCol w:w="1891"/>
        <w:gridCol w:w="2035"/>
        <w:gridCol w:w="1170"/>
        <w:gridCol w:w="1903"/>
        <w:gridCol w:w="1877"/>
      </w:tblGrid>
      <w:tr w:rsidR="003F0BA8" w:rsidRPr="003F0BA8" w14:paraId="3AD5C486" w14:textId="77777777" w:rsidTr="0086144B">
        <w:trPr>
          <w:tblHeader/>
        </w:trPr>
        <w:tc>
          <w:tcPr>
            <w:tcW w:w="10587" w:type="dxa"/>
            <w:gridSpan w:val="6"/>
            <w:tcBorders>
              <w:top w:val="single" w:sz="12" w:space="0" w:color="auto"/>
              <w:left w:val="single" w:sz="12" w:space="0" w:color="auto"/>
              <w:bottom w:val="single" w:sz="12" w:space="0" w:color="auto"/>
              <w:right w:val="single" w:sz="12" w:space="0" w:color="auto"/>
            </w:tcBorders>
          </w:tcPr>
          <w:p w14:paraId="34A86274" w14:textId="77777777" w:rsidR="003F0BA8" w:rsidRPr="00FB19F8" w:rsidRDefault="003F0BA8" w:rsidP="009110DB">
            <w:pPr>
              <w:keepNext/>
              <w:spacing w:before="40" w:after="40"/>
              <w:jc w:val="center"/>
              <w:rPr>
                <w:b/>
                <w:sz w:val="21"/>
                <w:szCs w:val="21"/>
              </w:rPr>
            </w:pPr>
            <w:r w:rsidRPr="00FB19F8">
              <w:rPr>
                <w:b/>
                <w:sz w:val="21"/>
                <w:szCs w:val="21"/>
              </w:rPr>
              <w:lastRenderedPageBreak/>
              <w:t>Hydrogen and Other Vehicle Fuels</w:t>
            </w:r>
            <w:r w:rsidR="00AB2145">
              <w:rPr>
                <w:b/>
                <w:sz w:val="21"/>
                <w:szCs w:val="21"/>
              </w:rPr>
              <w:t xml:space="preserve"> Comparison Table</w:t>
            </w:r>
          </w:p>
        </w:tc>
      </w:tr>
      <w:tr w:rsidR="003F0BA8" w:rsidRPr="003F0BA8" w14:paraId="09C1ACC9" w14:textId="77777777" w:rsidTr="0086144B">
        <w:trPr>
          <w:trHeight w:val="608"/>
          <w:tblHeader/>
        </w:trPr>
        <w:tc>
          <w:tcPr>
            <w:tcW w:w="1711" w:type="dxa"/>
            <w:vMerge w:val="restart"/>
            <w:tcBorders>
              <w:top w:val="single" w:sz="12" w:space="0" w:color="auto"/>
              <w:left w:val="single" w:sz="12" w:space="0" w:color="auto"/>
              <w:right w:val="single" w:sz="12" w:space="0" w:color="auto"/>
            </w:tcBorders>
            <w:shd w:val="clear" w:color="auto" w:fill="auto"/>
            <w:vAlign w:val="center"/>
          </w:tcPr>
          <w:p w14:paraId="35E10DFD" w14:textId="77777777" w:rsidR="003F0BA8" w:rsidRPr="00FB19F8" w:rsidRDefault="003F0BA8" w:rsidP="003F0BA8">
            <w:pPr>
              <w:jc w:val="center"/>
              <w:rPr>
                <w:b/>
                <w:sz w:val="21"/>
                <w:szCs w:val="21"/>
              </w:rPr>
            </w:pPr>
            <w:r w:rsidRPr="00FB19F8">
              <w:rPr>
                <w:b/>
                <w:sz w:val="21"/>
                <w:szCs w:val="21"/>
              </w:rPr>
              <w:t>Retail Vehicle Fuel</w:t>
            </w:r>
          </w:p>
        </w:tc>
        <w:tc>
          <w:tcPr>
            <w:tcW w:w="1891" w:type="dxa"/>
            <w:tcBorders>
              <w:top w:val="single" w:sz="12" w:space="0" w:color="auto"/>
              <w:left w:val="single" w:sz="12" w:space="0" w:color="auto"/>
              <w:right w:val="single" w:sz="12" w:space="0" w:color="auto"/>
            </w:tcBorders>
            <w:shd w:val="clear" w:color="auto" w:fill="auto"/>
            <w:vAlign w:val="center"/>
          </w:tcPr>
          <w:p w14:paraId="15E27D6D" w14:textId="77777777" w:rsidR="003F0BA8" w:rsidRPr="00FB19F8" w:rsidRDefault="003F0BA8" w:rsidP="00C37614">
            <w:pPr>
              <w:jc w:val="center"/>
              <w:rPr>
                <w:b/>
                <w:sz w:val="21"/>
                <w:szCs w:val="21"/>
              </w:rPr>
            </w:pPr>
            <w:r w:rsidRPr="00FB19F8">
              <w:rPr>
                <w:b/>
                <w:sz w:val="21"/>
                <w:szCs w:val="21"/>
              </w:rPr>
              <w:t>Method of Sale</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2CF28242" w14:textId="77777777" w:rsidR="003F0BA8" w:rsidRPr="00FB19F8" w:rsidRDefault="003F0BA8" w:rsidP="003F0BA8">
            <w:pPr>
              <w:jc w:val="center"/>
              <w:rPr>
                <w:b/>
                <w:sz w:val="21"/>
                <w:szCs w:val="21"/>
                <w:vertAlign w:val="superscript"/>
              </w:rPr>
            </w:pPr>
            <w:r w:rsidRPr="00FB19F8">
              <w:rPr>
                <w:b/>
                <w:sz w:val="21"/>
                <w:szCs w:val="21"/>
              </w:rPr>
              <w:t>Energy Content</w:t>
            </w:r>
            <w:r w:rsidRPr="00FB19F8">
              <w:rPr>
                <w:b/>
                <w:sz w:val="21"/>
                <w:szCs w:val="21"/>
                <w:vertAlign w:val="superscript"/>
              </w:rPr>
              <w:t>1</w:t>
            </w:r>
          </w:p>
          <w:p w14:paraId="6E7BF8A3" w14:textId="77777777" w:rsidR="003F0BA8" w:rsidRPr="00FB19F8" w:rsidRDefault="003F0BA8" w:rsidP="003F0BA8">
            <w:pPr>
              <w:jc w:val="center"/>
              <w:rPr>
                <w:b/>
                <w:sz w:val="21"/>
                <w:szCs w:val="21"/>
              </w:rPr>
            </w:pPr>
            <w:r w:rsidRPr="00FB19F8">
              <w:rPr>
                <w:b/>
                <w:sz w:val="21"/>
                <w:szCs w:val="21"/>
              </w:rPr>
              <w:t xml:space="preserve">(compared to </w:t>
            </w:r>
            <w:r w:rsidR="005F3698" w:rsidRPr="00FB19F8">
              <w:rPr>
                <w:b/>
                <w:sz w:val="21"/>
                <w:szCs w:val="21"/>
              </w:rPr>
              <w:t>3.785 liters</w:t>
            </w:r>
            <w:r w:rsidR="00CA467B" w:rsidRPr="00FB19F8">
              <w:rPr>
                <w:b/>
                <w:sz w:val="21"/>
                <w:szCs w:val="21"/>
              </w:rPr>
              <w:t xml:space="preserve"> (L)</w:t>
            </w:r>
            <w:r w:rsidR="005F3698" w:rsidRPr="00FB19F8">
              <w:rPr>
                <w:b/>
                <w:sz w:val="21"/>
                <w:szCs w:val="21"/>
              </w:rPr>
              <w:t xml:space="preserve"> (</w:t>
            </w:r>
            <w:r w:rsidRPr="00FB19F8">
              <w:rPr>
                <w:b/>
                <w:sz w:val="21"/>
                <w:szCs w:val="21"/>
              </w:rPr>
              <w:t xml:space="preserve">1 gallon </w:t>
            </w:r>
            <w:r w:rsidR="0053059B" w:rsidRPr="00FB19F8">
              <w:rPr>
                <w:b/>
                <w:sz w:val="21"/>
                <w:szCs w:val="21"/>
              </w:rPr>
              <w:t xml:space="preserve">(gal) </w:t>
            </w:r>
            <w:r w:rsidRPr="00FB19F8">
              <w:rPr>
                <w:b/>
                <w:sz w:val="21"/>
                <w:szCs w:val="21"/>
              </w:rPr>
              <w:t>of gasoline)</w:t>
            </w:r>
          </w:p>
        </w:tc>
        <w:tc>
          <w:tcPr>
            <w:tcW w:w="3073" w:type="dxa"/>
            <w:gridSpan w:val="2"/>
            <w:tcBorders>
              <w:top w:val="single" w:sz="12" w:space="0" w:color="auto"/>
              <w:left w:val="single" w:sz="12" w:space="0" w:color="auto"/>
              <w:right w:val="single" w:sz="12" w:space="0" w:color="auto"/>
            </w:tcBorders>
            <w:vAlign w:val="center"/>
          </w:tcPr>
          <w:p w14:paraId="24FE7D2D" w14:textId="77777777" w:rsidR="003F0BA8" w:rsidRPr="00922317" w:rsidRDefault="003F0BA8" w:rsidP="003F0BA8">
            <w:pPr>
              <w:jc w:val="center"/>
              <w:rPr>
                <w:b/>
                <w:sz w:val="21"/>
                <w:szCs w:val="21"/>
                <w:vertAlign w:val="superscript"/>
              </w:rPr>
            </w:pPr>
            <w:r w:rsidRPr="00922317">
              <w:rPr>
                <w:b/>
                <w:sz w:val="21"/>
                <w:szCs w:val="21"/>
              </w:rPr>
              <w:t>Approximate Specific Gravity</w:t>
            </w:r>
            <w:r w:rsidR="00344D7D">
              <w:rPr>
                <w:b/>
                <w:sz w:val="21"/>
                <w:szCs w:val="21"/>
                <w:vertAlign w:val="superscript"/>
              </w:rPr>
              <w:t>2</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5214F9D8" w14:textId="77777777" w:rsidR="003F0BA8" w:rsidRPr="00FB19F8" w:rsidRDefault="003F0BA8" w:rsidP="003F0BA8">
            <w:pPr>
              <w:jc w:val="center"/>
              <w:rPr>
                <w:b/>
                <w:sz w:val="21"/>
                <w:szCs w:val="21"/>
              </w:rPr>
            </w:pPr>
            <w:r w:rsidRPr="00FB19F8">
              <w:rPr>
                <w:b/>
                <w:sz w:val="21"/>
                <w:szCs w:val="21"/>
              </w:rPr>
              <w:t>State of Fuel</w:t>
            </w:r>
          </w:p>
        </w:tc>
      </w:tr>
      <w:tr w:rsidR="003F0BA8" w:rsidRPr="003F0BA8" w14:paraId="2C610B6D" w14:textId="77777777" w:rsidTr="0086144B">
        <w:trPr>
          <w:tblHeader/>
        </w:trPr>
        <w:tc>
          <w:tcPr>
            <w:tcW w:w="1711" w:type="dxa"/>
            <w:vMerge/>
            <w:tcBorders>
              <w:left w:val="single" w:sz="12" w:space="0" w:color="auto"/>
              <w:bottom w:val="single" w:sz="12" w:space="0" w:color="auto"/>
              <w:right w:val="single" w:sz="12" w:space="0" w:color="auto"/>
            </w:tcBorders>
            <w:shd w:val="clear" w:color="auto" w:fill="auto"/>
          </w:tcPr>
          <w:p w14:paraId="660E6246" w14:textId="77777777" w:rsidR="003F0BA8" w:rsidRPr="00FB19F8" w:rsidRDefault="003F0BA8" w:rsidP="003F0BA8">
            <w:pPr>
              <w:rPr>
                <w:sz w:val="21"/>
                <w:szCs w:val="21"/>
              </w:rPr>
            </w:pPr>
          </w:p>
        </w:tc>
        <w:tc>
          <w:tcPr>
            <w:tcW w:w="1891" w:type="dxa"/>
            <w:tcBorders>
              <w:left w:val="single" w:sz="12" w:space="0" w:color="auto"/>
              <w:bottom w:val="single" w:sz="12" w:space="0" w:color="auto"/>
              <w:right w:val="single" w:sz="12" w:space="0" w:color="auto"/>
            </w:tcBorders>
            <w:shd w:val="clear" w:color="auto" w:fill="auto"/>
          </w:tcPr>
          <w:p w14:paraId="50DD0DAA" w14:textId="77777777" w:rsidR="003F0BA8" w:rsidRPr="00FB19F8" w:rsidRDefault="00C37614" w:rsidP="00C37614">
            <w:pPr>
              <w:jc w:val="center"/>
              <w:rPr>
                <w:sz w:val="21"/>
                <w:szCs w:val="21"/>
              </w:rPr>
            </w:pPr>
            <w:r w:rsidRPr="00FB19F8">
              <w:rPr>
                <w:b/>
                <w:sz w:val="21"/>
                <w:szCs w:val="21"/>
              </w:rPr>
              <w:t>Unit of Measurement</w:t>
            </w:r>
          </w:p>
        </w:tc>
        <w:tc>
          <w:tcPr>
            <w:tcW w:w="2035" w:type="dxa"/>
            <w:vMerge/>
            <w:tcBorders>
              <w:left w:val="single" w:sz="12" w:space="0" w:color="auto"/>
              <w:bottom w:val="single" w:sz="12" w:space="0" w:color="auto"/>
              <w:right w:val="single" w:sz="12" w:space="0" w:color="auto"/>
            </w:tcBorders>
            <w:shd w:val="clear" w:color="auto" w:fill="auto"/>
          </w:tcPr>
          <w:p w14:paraId="4B6224B9" w14:textId="77777777" w:rsidR="003F0BA8" w:rsidRPr="00FB19F8" w:rsidRDefault="003F0BA8" w:rsidP="003F0BA8">
            <w:pPr>
              <w:rPr>
                <w:sz w:val="21"/>
                <w:szCs w:val="21"/>
              </w:rPr>
            </w:pPr>
          </w:p>
        </w:tc>
        <w:tc>
          <w:tcPr>
            <w:tcW w:w="1170" w:type="dxa"/>
            <w:tcBorders>
              <w:left w:val="single" w:sz="12" w:space="0" w:color="auto"/>
              <w:bottom w:val="single" w:sz="12" w:space="0" w:color="auto"/>
            </w:tcBorders>
          </w:tcPr>
          <w:p w14:paraId="0F27B19D" w14:textId="77777777" w:rsidR="003F0BA8" w:rsidRPr="00FB19F8" w:rsidRDefault="003F0BA8" w:rsidP="003F0BA8">
            <w:pPr>
              <w:jc w:val="center"/>
              <w:rPr>
                <w:sz w:val="21"/>
                <w:szCs w:val="21"/>
              </w:rPr>
            </w:pPr>
            <w:r w:rsidRPr="00FB19F8">
              <w:rPr>
                <w:b/>
                <w:sz w:val="21"/>
                <w:szCs w:val="21"/>
              </w:rPr>
              <w:t>(Air = 1.0)</w:t>
            </w:r>
          </w:p>
        </w:tc>
        <w:tc>
          <w:tcPr>
            <w:tcW w:w="1903" w:type="dxa"/>
            <w:tcBorders>
              <w:bottom w:val="single" w:sz="12" w:space="0" w:color="auto"/>
              <w:right w:val="single" w:sz="12" w:space="0" w:color="auto"/>
            </w:tcBorders>
            <w:shd w:val="clear" w:color="auto" w:fill="auto"/>
          </w:tcPr>
          <w:p w14:paraId="00D596CD" w14:textId="77777777" w:rsidR="003F0BA8" w:rsidRPr="00FB19F8" w:rsidRDefault="003F0BA8" w:rsidP="003F0BA8">
            <w:pPr>
              <w:jc w:val="center"/>
              <w:rPr>
                <w:sz w:val="21"/>
                <w:szCs w:val="21"/>
              </w:rPr>
            </w:pPr>
            <w:r w:rsidRPr="00FB19F8">
              <w:rPr>
                <w:b/>
                <w:sz w:val="21"/>
                <w:szCs w:val="21"/>
              </w:rPr>
              <w:t>(Water = 1.0)</w:t>
            </w:r>
          </w:p>
        </w:tc>
        <w:tc>
          <w:tcPr>
            <w:tcW w:w="1877" w:type="dxa"/>
            <w:vMerge/>
            <w:tcBorders>
              <w:left w:val="single" w:sz="12" w:space="0" w:color="auto"/>
              <w:bottom w:val="single" w:sz="12" w:space="0" w:color="auto"/>
              <w:right w:val="single" w:sz="12" w:space="0" w:color="auto"/>
            </w:tcBorders>
            <w:shd w:val="clear" w:color="auto" w:fill="auto"/>
          </w:tcPr>
          <w:p w14:paraId="1D06E3E2" w14:textId="77777777" w:rsidR="003F0BA8" w:rsidRPr="00FB19F8" w:rsidRDefault="003F0BA8" w:rsidP="003F0BA8">
            <w:pPr>
              <w:jc w:val="center"/>
              <w:rPr>
                <w:sz w:val="21"/>
                <w:szCs w:val="21"/>
              </w:rPr>
            </w:pPr>
          </w:p>
        </w:tc>
      </w:tr>
      <w:tr w:rsidR="00C37614" w:rsidRPr="003F0BA8" w14:paraId="5EE8FCD3" w14:textId="77777777" w:rsidTr="00FB19F8">
        <w:trPr>
          <w:trHeight w:val="579"/>
        </w:trPr>
        <w:tc>
          <w:tcPr>
            <w:tcW w:w="1711" w:type="dxa"/>
            <w:vMerge w:val="restart"/>
            <w:tcBorders>
              <w:top w:val="single" w:sz="12" w:space="0" w:color="auto"/>
              <w:left w:val="single" w:sz="12" w:space="0" w:color="auto"/>
              <w:right w:val="single" w:sz="12" w:space="0" w:color="auto"/>
            </w:tcBorders>
            <w:shd w:val="clear" w:color="auto" w:fill="auto"/>
            <w:vAlign w:val="center"/>
          </w:tcPr>
          <w:p w14:paraId="22002E07" w14:textId="77777777" w:rsidR="00C37614" w:rsidRPr="00FB19F8" w:rsidRDefault="00C37614" w:rsidP="003F0BA8">
            <w:pPr>
              <w:jc w:val="center"/>
              <w:rPr>
                <w:sz w:val="21"/>
                <w:szCs w:val="21"/>
              </w:rPr>
            </w:pPr>
            <w:r w:rsidRPr="00FB19F8">
              <w:rPr>
                <w:sz w:val="21"/>
                <w:szCs w:val="21"/>
              </w:rPr>
              <w:t>Compressed Hydrogen Gas</w:t>
            </w:r>
          </w:p>
        </w:tc>
        <w:tc>
          <w:tcPr>
            <w:tcW w:w="1891" w:type="dxa"/>
            <w:tcBorders>
              <w:top w:val="single" w:sz="12" w:space="0" w:color="auto"/>
              <w:left w:val="single" w:sz="12" w:space="0" w:color="auto"/>
              <w:right w:val="single" w:sz="12" w:space="0" w:color="auto"/>
            </w:tcBorders>
            <w:shd w:val="clear" w:color="auto" w:fill="auto"/>
            <w:vAlign w:val="center"/>
          </w:tcPr>
          <w:p w14:paraId="7BF28111" w14:textId="77777777" w:rsidR="00C37614" w:rsidRPr="00FB19F8" w:rsidRDefault="00C37614" w:rsidP="00C37614">
            <w:pPr>
              <w:jc w:val="center"/>
              <w:rPr>
                <w:sz w:val="21"/>
                <w:szCs w:val="21"/>
              </w:rPr>
            </w:pPr>
            <w:r w:rsidRPr="00FB19F8">
              <w:rPr>
                <w:sz w:val="21"/>
                <w:szCs w:val="21"/>
              </w:rPr>
              <w:t>Mass</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214E6C6A" w14:textId="77777777" w:rsidR="00C37614" w:rsidRPr="00FB19F8" w:rsidRDefault="00C37614" w:rsidP="003F0BA8">
            <w:pPr>
              <w:jc w:val="center"/>
              <w:rPr>
                <w:sz w:val="21"/>
                <w:szCs w:val="21"/>
              </w:rPr>
            </w:pPr>
            <w:r w:rsidRPr="00FB19F8">
              <w:rPr>
                <w:sz w:val="21"/>
                <w:szCs w:val="21"/>
              </w:rPr>
              <w:t>1.0 kg (2.</w:t>
            </w:r>
            <w:r w:rsidR="00AB29C9" w:rsidRPr="00FB19F8">
              <w:rPr>
                <w:sz w:val="21"/>
                <w:szCs w:val="21"/>
              </w:rPr>
              <w:t>205</w:t>
            </w:r>
            <w:r w:rsidR="00AB29C9">
              <w:rPr>
                <w:sz w:val="21"/>
                <w:szCs w:val="21"/>
              </w:rPr>
              <w:t> </w:t>
            </w:r>
            <w:r w:rsidR="00E01306">
              <w:rPr>
                <w:sz w:val="21"/>
                <w:szCs w:val="21"/>
              </w:rPr>
              <w:t>pound [</w:t>
            </w:r>
            <w:r w:rsidR="00AB29C9">
              <w:rPr>
                <w:sz w:val="21"/>
                <w:szCs w:val="21"/>
              </w:rPr>
              <w:t>lb</w:t>
            </w:r>
            <w:r w:rsidR="00E01306">
              <w:rPr>
                <w:sz w:val="21"/>
                <w:szCs w:val="21"/>
              </w:rPr>
              <w:t>]</w:t>
            </w:r>
            <w:r w:rsidRPr="00FB19F8">
              <w:rPr>
                <w:sz w:val="21"/>
                <w:szCs w:val="21"/>
              </w:rPr>
              <w:t>) has slightly more than 100</w:t>
            </w:r>
            <w:r w:rsidR="00615E5D">
              <w:rPr>
                <w:sz w:val="21"/>
                <w:szCs w:val="21"/>
              </w:rPr>
              <w:t> </w:t>
            </w:r>
            <w:r w:rsidRPr="00FB19F8">
              <w:rPr>
                <w:sz w:val="21"/>
                <w:szCs w:val="21"/>
              </w:rPr>
              <w:t>% of the energy</w:t>
            </w:r>
          </w:p>
        </w:tc>
        <w:tc>
          <w:tcPr>
            <w:tcW w:w="1170" w:type="dxa"/>
            <w:vMerge w:val="restart"/>
            <w:tcBorders>
              <w:top w:val="single" w:sz="12" w:space="0" w:color="auto"/>
              <w:left w:val="single" w:sz="12" w:space="0" w:color="auto"/>
            </w:tcBorders>
            <w:vAlign w:val="center"/>
          </w:tcPr>
          <w:p w14:paraId="58A1EAB5" w14:textId="77777777" w:rsidR="00C37614" w:rsidRPr="00FB19F8" w:rsidRDefault="00C37614" w:rsidP="003F0BA8">
            <w:pPr>
              <w:jc w:val="center"/>
              <w:rPr>
                <w:sz w:val="21"/>
                <w:szCs w:val="21"/>
              </w:rPr>
            </w:pPr>
            <w:r w:rsidRPr="005D0505">
              <w:rPr>
                <w:sz w:val="21"/>
                <w:szCs w:val="21"/>
              </w:rPr>
              <w:t>0.0</w:t>
            </w:r>
            <w:r w:rsidR="0014505B" w:rsidRPr="005D0505">
              <w:rPr>
                <w:sz w:val="21"/>
                <w:szCs w:val="21"/>
              </w:rPr>
              <w:t>696</w:t>
            </w:r>
          </w:p>
          <w:p w14:paraId="56B6178A"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BFBFBF" w:themeFill="background1" w:themeFillShade="BF"/>
            <w:vAlign w:val="center"/>
          </w:tcPr>
          <w:p w14:paraId="22B1F7A7" w14:textId="77777777" w:rsidR="00C37614" w:rsidRPr="00FB19F8" w:rsidRDefault="00C37614" w:rsidP="003F0BA8">
            <w:pPr>
              <w:jc w:val="center"/>
              <w:rPr>
                <w:sz w:val="21"/>
                <w:szCs w:val="21"/>
              </w:rPr>
            </w:pP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20769870" w14:textId="77777777" w:rsidR="00C37614" w:rsidRPr="00FB19F8" w:rsidRDefault="00C37614" w:rsidP="003F0BA8">
            <w:pPr>
              <w:jc w:val="center"/>
              <w:rPr>
                <w:sz w:val="21"/>
                <w:szCs w:val="21"/>
              </w:rPr>
            </w:pPr>
            <w:r w:rsidRPr="00FB19F8">
              <w:rPr>
                <w:sz w:val="21"/>
                <w:szCs w:val="21"/>
              </w:rPr>
              <w:t>Compressed gas at</w:t>
            </w:r>
          </w:p>
          <w:p w14:paraId="00C2C134" w14:textId="77777777" w:rsidR="00C37614" w:rsidRPr="00FB19F8" w:rsidRDefault="00C37614" w:rsidP="003F0BA8">
            <w:pPr>
              <w:jc w:val="center"/>
              <w:rPr>
                <w:sz w:val="21"/>
                <w:szCs w:val="21"/>
                <w:vertAlign w:val="superscript"/>
              </w:rPr>
            </w:pPr>
            <w:r w:rsidRPr="00FB19F8">
              <w:rPr>
                <w:sz w:val="21"/>
                <w:szCs w:val="21"/>
              </w:rPr>
              <w:t>35</w:t>
            </w:r>
            <w:r w:rsidR="007D6E59">
              <w:rPr>
                <w:sz w:val="21"/>
                <w:szCs w:val="21"/>
              </w:rPr>
              <w:t xml:space="preserve"> MPa</w:t>
            </w:r>
            <w:r w:rsidR="002B22F8" w:rsidRPr="00922317">
              <w:rPr>
                <w:sz w:val="21"/>
                <w:szCs w:val="21"/>
                <w:vertAlign w:val="superscript"/>
              </w:rPr>
              <w:t>3</w:t>
            </w:r>
            <w:r w:rsidRPr="00FB19F8">
              <w:rPr>
                <w:sz w:val="21"/>
                <w:szCs w:val="21"/>
              </w:rPr>
              <w:t xml:space="preserve"> to </w:t>
            </w:r>
            <w:r w:rsidR="00E05828" w:rsidRPr="00FB19F8">
              <w:rPr>
                <w:sz w:val="21"/>
                <w:szCs w:val="21"/>
              </w:rPr>
              <w:t>70</w:t>
            </w:r>
            <w:r w:rsidR="00E05828">
              <w:rPr>
                <w:sz w:val="21"/>
                <w:szCs w:val="21"/>
              </w:rPr>
              <w:t> </w:t>
            </w:r>
            <w:r w:rsidRPr="00FB19F8">
              <w:rPr>
                <w:sz w:val="21"/>
                <w:szCs w:val="21"/>
              </w:rPr>
              <w:t>MPa</w:t>
            </w:r>
            <w:r w:rsidR="002B22F8">
              <w:rPr>
                <w:sz w:val="21"/>
                <w:szCs w:val="21"/>
                <w:vertAlign w:val="superscript"/>
              </w:rPr>
              <w:t>3</w:t>
            </w:r>
          </w:p>
          <w:p w14:paraId="4A7AAA6D" w14:textId="77777777" w:rsidR="00C37614" w:rsidRPr="00FB19F8" w:rsidRDefault="00C37614" w:rsidP="003F0BA8">
            <w:pPr>
              <w:jc w:val="center"/>
              <w:rPr>
                <w:sz w:val="21"/>
                <w:szCs w:val="21"/>
              </w:rPr>
            </w:pPr>
            <w:r w:rsidRPr="00FB19F8">
              <w:rPr>
                <w:sz w:val="21"/>
                <w:szCs w:val="21"/>
              </w:rPr>
              <w:t xml:space="preserve">(5000 </w:t>
            </w:r>
            <w:r w:rsidR="007D6E59">
              <w:rPr>
                <w:sz w:val="21"/>
                <w:szCs w:val="21"/>
              </w:rPr>
              <w:t xml:space="preserve">psi </w:t>
            </w:r>
            <w:r w:rsidRPr="00FB19F8">
              <w:rPr>
                <w:sz w:val="21"/>
                <w:szCs w:val="21"/>
              </w:rPr>
              <w:t>to 1</w:t>
            </w:r>
            <w:r w:rsidR="00B21E77" w:rsidRPr="00FB19F8">
              <w:rPr>
                <w:sz w:val="21"/>
                <w:szCs w:val="21"/>
              </w:rPr>
              <w:t>0</w:t>
            </w:r>
            <w:r w:rsidR="0070512B">
              <w:rPr>
                <w:sz w:val="21"/>
                <w:szCs w:val="21"/>
              </w:rPr>
              <w:t> </w:t>
            </w:r>
            <w:r w:rsidR="00B21E77" w:rsidRPr="00FB19F8">
              <w:rPr>
                <w:sz w:val="21"/>
                <w:szCs w:val="21"/>
              </w:rPr>
              <w:t>00</w:t>
            </w:r>
            <w:r w:rsidR="00F16546">
              <w:rPr>
                <w:sz w:val="21"/>
                <w:szCs w:val="21"/>
              </w:rPr>
              <w:t>0</w:t>
            </w:r>
            <w:r w:rsidR="00B21E77">
              <w:rPr>
                <w:sz w:val="21"/>
                <w:szCs w:val="21"/>
              </w:rPr>
              <w:t> </w:t>
            </w:r>
            <w:r w:rsidRPr="00FB19F8">
              <w:rPr>
                <w:sz w:val="21"/>
                <w:szCs w:val="21"/>
              </w:rPr>
              <w:t>psi)</w:t>
            </w:r>
          </w:p>
        </w:tc>
      </w:tr>
      <w:tr w:rsidR="00C37614" w:rsidRPr="003F0BA8" w14:paraId="4E430F89" w14:textId="77777777" w:rsidTr="00FB19F8">
        <w:trPr>
          <w:trHeight w:val="578"/>
        </w:trPr>
        <w:tc>
          <w:tcPr>
            <w:tcW w:w="1711" w:type="dxa"/>
            <w:vMerge/>
            <w:tcBorders>
              <w:left w:val="single" w:sz="12" w:space="0" w:color="auto"/>
              <w:bottom w:val="single" w:sz="12" w:space="0" w:color="auto"/>
              <w:right w:val="single" w:sz="12" w:space="0" w:color="auto"/>
            </w:tcBorders>
            <w:shd w:val="clear" w:color="auto" w:fill="auto"/>
            <w:vAlign w:val="center"/>
          </w:tcPr>
          <w:p w14:paraId="2B381F2B"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23107968" w14:textId="77777777" w:rsidR="00C37614" w:rsidRPr="00FB19F8" w:rsidRDefault="00C37614" w:rsidP="003F0BA8">
            <w:pPr>
              <w:jc w:val="center"/>
              <w:rPr>
                <w:sz w:val="21"/>
                <w:szCs w:val="21"/>
              </w:rPr>
            </w:pPr>
            <w:r w:rsidRPr="00FB19F8">
              <w:rPr>
                <w:sz w:val="21"/>
                <w:szCs w:val="21"/>
              </w:rPr>
              <w:t>Kilogram (kg)</w:t>
            </w:r>
          </w:p>
        </w:tc>
        <w:tc>
          <w:tcPr>
            <w:tcW w:w="2035" w:type="dxa"/>
            <w:vMerge/>
            <w:tcBorders>
              <w:left w:val="single" w:sz="12" w:space="0" w:color="auto"/>
              <w:bottom w:val="single" w:sz="12" w:space="0" w:color="auto"/>
              <w:right w:val="single" w:sz="12" w:space="0" w:color="auto"/>
            </w:tcBorders>
            <w:shd w:val="clear" w:color="auto" w:fill="auto"/>
            <w:vAlign w:val="center"/>
          </w:tcPr>
          <w:p w14:paraId="4A0E5AE1"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vAlign w:val="center"/>
          </w:tcPr>
          <w:p w14:paraId="23C14A3F"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BFBFBF" w:themeFill="background1" w:themeFillShade="BF"/>
            <w:vAlign w:val="center"/>
          </w:tcPr>
          <w:p w14:paraId="494A2AED"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3D5DB059" w14:textId="77777777" w:rsidR="00C37614" w:rsidRPr="00FB19F8" w:rsidRDefault="00C37614" w:rsidP="003F0BA8">
            <w:pPr>
              <w:jc w:val="center"/>
              <w:rPr>
                <w:sz w:val="21"/>
                <w:szCs w:val="21"/>
              </w:rPr>
            </w:pPr>
          </w:p>
        </w:tc>
      </w:tr>
      <w:tr w:rsidR="00C37614" w:rsidRPr="003F0BA8" w14:paraId="2FCD9535" w14:textId="77777777" w:rsidTr="0086144B">
        <w:trPr>
          <w:trHeight w:val="579"/>
        </w:trPr>
        <w:tc>
          <w:tcPr>
            <w:tcW w:w="1711" w:type="dxa"/>
            <w:vMerge w:val="restart"/>
            <w:tcBorders>
              <w:top w:val="single" w:sz="12" w:space="0" w:color="auto"/>
              <w:left w:val="single" w:sz="12" w:space="0" w:color="auto"/>
              <w:right w:val="single" w:sz="12" w:space="0" w:color="auto"/>
            </w:tcBorders>
            <w:shd w:val="clear" w:color="auto" w:fill="auto"/>
            <w:vAlign w:val="center"/>
          </w:tcPr>
          <w:p w14:paraId="7DB7E65D" w14:textId="77777777" w:rsidR="00C37614" w:rsidRPr="00FB19F8" w:rsidRDefault="00C37614" w:rsidP="003F0BA8">
            <w:pPr>
              <w:jc w:val="center"/>
              <w:rPr>
                <w:sz w:val="21"/>
                <w:szCs w:val="21"/>
              </w:rPr>
            </w:pPr>
            <w:r w:rsidRPr="00FB19F8">
              <w:rPr>
                <w:sz w:val="21"/>
                <w:szCs w:val="21"/>
              </w:rPr>
              <w:t>Liquefied Petroleum Gas (LPG) or Commercial Propane</w:t>
            </w:r>
          </w:p>
        </w:tc>
        <w:tc>
          <w:tcPr>
            <w:tcW w:w="1891" w:type="dxa"/>
            <w:tcBorders>
              <w:top w:val="single" w:sz="12" w:space="0" w:color="auto"/>
              <w:left w:val="single" w:sz="12" w:space="0" w:color="auto"/>
              <w:right w:val="single" w:sz="12" w:space="0" w:color="auto"/>
            </w:tcBorders>
            <w:shd w:val="clear" w:color="auto" w:fill="auto"/>
            <w:vAlign w:val="center"/>
          </w:tcPr>
          <w:p w14:paraId="130D77B2" w14:textId="77777777" w:rsidR="00C37614" w:rsidRPr="00FB19F8" w:rsidRDefault="00C37614" w:rsidP="009E301E">
            <w:pPr>
              <w:jc w:val="center"/>
              <w:rPr>
                <w:sz w:val="21"/>
                <w:szCs w:val="21"/>
              </w:rPr>
            </w:pPr>
            <w:r w:rsidRPr="00FB19F8">
              <w:rPr>
                <w:sz w:val="21"/>
                <w:szCs w:val="21"/>
              </w:rPr>
              <w:t>Volume or Mass</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06B5AF86" w14:textId="77777777" w:rsidR="00C37614" w:rsidRPr="00FB19F8" w:rsidRDefault="00CA467B" w:rsidP="003F0BA8">
            <w:pPr>
              <w:jc w:val="center"/>
              <w:rPr>
                <w:sz w:val="21"/>
                <w:szCs w:val="21"/>
              </w:rPr>
            </w:pPr>
            <w:r w:rsidRPr="00FB19F8">
              <w:rPr>
                <w:sz w:val="21"/>
                <w:szCs w:val="21"/>
              </w:rPr>
              <w:t>3.785 L (</w:t>
            </w:r>
            <w:r w:rsidR="00C37614" w:rsidRPr="00FB19F8">
              <w:rPr>
                <w:sz w:val="21"/>
                <w:szCs w:val="21"/>
              </w:rPr>
              <w:t>1 gal</w:t>
            </w:r>
            <w:r w:rsidRPr="00FB19F8">
              <w:rPr>
                <w:sz w:val="21"/>
                <w:szCs w:val="21"/>
              </w:rPr>
              <w:t>)</w:t>
            </w:r>
            <w:r w:rsidR="00C37614" w:rsidRPr="00FB19F8">
              <w:rPr>
                <w:sz w:val="21"/>
                <w:szCs w:val="21"/>
              </w:rPr>
              <w:t xml:space="preserve"> has 73</w:t>
            </w:r>
            <w:r w:rsidR="001112A7">
              <w:rPr>
                <w:sz w:val="21"/>
                <w:szCs w:val="21"/>
              </w:rPr>
              <w:t> </w:t>
            </w:r>
            <w:r w:rsidR="00C37614" w:rsidRPr="00FB19F8">
              <w:rPr>
                <w:sz w:val="21"/>
                <w:szCs w:val="21"/>
              </w:rPr>
              <w:t>% of the energy</w:t>
            </w:r>
          </w:p>
        </w:tc>
        <w:tc>
          <w:tcPr>
            <w:tcW w:w="1170" w:type="dxa"/>
            <w:vMerge w:val="restart"/>
            <w:tcBorders>
              <w:top w:val="single" w:sz="12" w:space="0" w:color="auto"/>
              <w:left w:val="single" w:sz="12" w:space="0" w:color="auto"/>
            </w:tcBorders>
            <w:shd w:val="clear" w:color="auto" w:fill="BFBFBF" w:themeFill="background1" w:themeFillShade="BF"/>
            <w:vAlign w:val="center"/>
          </w:tcPr>
          <w:p w14:paraId="031B6294"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auto"/>
            <w:vAlign w:val="center"/>
          </w:tcPr>
          <w:p w14:paraId="4CA17266" w14:textId="77777777" w:rsidR="00C37614" w:rsidRPr="00FB19F8" w:rsidRDefault="00C37614" w:rsidP="003F0BA8">
            <w:pPr>
              <w:jc w:val="center"/>
              <w:rPr>
                <w:sz w:val="21"/>
                <w:szCs w:val="21"/>
              </w:rPr>
            </w:pPr>
            <w:r w:rsidRPr="00FB19F8">
              <w:rPr>
                <w:sz w:val="21"/>
                <w:szCs w:val="21"/>
              </w:rPr>
              <w:t xml:space="preserve">0.500 </w:t>
            </w:r>
            <w:r w:rsidR="00503842" w:rsidRPr="00FB19F8">
              <w:rPr>
                <w:sz w:val="21"/>
                <w:szCs w:val="21"/>
              </w:rPr>
              <w:t>to</w:t>
            </w:r>
            <w:r w:rsidRPr="00FB19F8">
              <w:rPr>
                <w:sz w:val="21"/>
                <w:szCs w:val="21"/>
              </w:rPr>
              <w:t xml:space="preserve"> 0.580</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68AE9A75" w14:textId="77777777" w:rsidR="00C37614" w:rsidRPr="00FB19F8" w:rsidRDefault="00C37614" w:rsidP="003F0BA8">
            <w:pPr>
              <w:jc w:val="center"/>
              <w:rPr>
                <w:sz w:val="21"/>
                <w:szCs w:val="21"/>
              </w:rPr>
            </w:pPr>
            <w:r w:rsidRPr="00FB19F8">
              <w:rPr>
                <w:sz w:val="21"/>
                <w:szCs w:val="21"/>
              </w:rPr>
              <w:t>Pressurized liquid at</w:t>
            </w:r>
          </w:p>
          <w:p w14:paraId="0D685E76" w14:textId="77777777" w:rsidR="00C37614" w:rsidRPr="00FB19F8" w:rsidRDefault="00C37614" w:rsidP="003F0BA8">
            <w:pPr>
              <w:jc w:val="center"/>
              <w:rPr>
                <w:sz w:val="21"/>
                <w:szCs w:val="21"/>
              </w:rPr>
            </w:pPr>
            <w:r w:rsidRPr="00FB19F8">
              <w:rPr>
                <w:sz w:val="21"/>
                <w:szCs w:val="21"/>
              </w:rPr>
              <w:t>1.6 MPa</w:t>
            </w:r>
          </w:p>
          <w:p w14:paraId="77FC942E" w14:textId="77777777" w:rsidR="00C37614" w:rsidRPr="00FB19F8" w:rsidRDefault="00C37614" w:rsidP="003F0BA8">
            <w:pPr>
              <w:jc w:val="center"/>
              <w:rPr>
                <w:sz w:val="21"/>
                <w:szCs w:val="21"/>
              </w:rPr>
            </w:pPr>
            <w:r w:rsidRPr="00FB19F8">
              <w:rPr>
                <w:sz w:val="21"/>
                <w:szCs w:val="21"/>
              </w:rPr>
              <w:t>(250 psi)</w:t>
            </w:r>
          </w:p>
        </w:tc>
      </w:tr>
      <w:tr w:rsidR="00C37614" w:rsidRPr="003F0BA8" w14:paraId="5A8742FF" w14:textId="77777777" w:rsidTr="00FB19F8">
        <w:trPr>
          <w:trHeight w:val="578"/>
        </w:trPr>
        <w:tc>
          <w:tcPr>
            <w:tcW w:w="1711" w:type="dxa"/>
            <w:vMerge/>
            <w:tcBorders>
              <w:left w:val="single" w:sz="12" w:space="0" w:color="auto"/>
              <w:bottom w:val="single" w:sz="12" w:space="0" w:color="auto"/>
              <w:right w:val="single" w:sz="12" w:space="0" w:color="auto"/>
            </w:tcBorders>
            <w:shd w:val="clear" w:color="auto" w:fill="auto"/>
            <w:vAlign w:val="center"/>
          </w:tcPr>
          <w:p w14:paraId="7CE1ECB0"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0242255C" w14:textId="77777777" w:rsidR="00C37614" w:rsidRPr="00FB19F8" w:rsidRDefault="00C37614" w:rsidP="003F0BA8">
            <w:pPr>
              <w:jc w:val="center"/>
              <w:rPr>
                <w:sz w:val="21"/>
                <w:szCs w:val="21"/>
              </w:rPr>
            </w:pPr>
            <w:r w:rsidRPr="00FB19F8">
              <w:rPr>
                <w:sz w:val="21"/>
                <w:szCs w:val="21"/>
              </w:rPr>
              <w:t>Gallon</w:t>
            </w:r>
            <w:r w:rsidR="002B22F8">
              <w:rPr>
                <w:sz w:val="21"/>
                <w:szCs w:val="21"/>
                <w:vertAlign w:val="superscript"/>
              </w:rPr>
              <w:t>4</w:t>
            </w:r>
            <w:r w:rsidRPr="00FB19F8">
              <w:rPr>
                <w:sz w:val="21"/>
                <w:szCs w:val="21"/>
              </w:rPr>
              <w:t xml:space="preserve"> or Pound</w:t>
            </w:r>
          </w:p>
        </w:tc>
        <w:tc>
          <w:tcPr>
            <w:tcW w:w="2035" w:type="dxa"/>
            <w:vMerge/>
            <w:tcBorders>
              <w:left w:val="single" w:sz="12" w:space="0" w:color="auto"/>
              <w:bottom w:val="single" w:sz="12" w:space="0" w:color="auto"/>
              <w:right w:val="single" w:sz="12" w:space="0" w:color="auto"/>
            </w:tcBorders>
            <w:shd w:val="clear" w:color="auto" w:fill="auto"/>
            <w:vAlign w:val="center"/>
          </w:tcPr>
          <w:p w14:paraId="3E9FF2FE"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shd w:val="clear" w:color="auto" w:fill="BFBFBF" w:themeFill="background1" w:themeFillShade="BF"/>
            <w:vAlign w:val="center"/>
          </w:tcPr>
          <w:p w14:paraId="1939D970"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auto"/>
            <w:vAlign w:val="center"/>
          </w:tcPr>
          <w:p w14:paraId="5B575C07"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4172572D" w14:textId="77777777" w:rsidR="00C37614" w:rsidRPr="00FB19F8" w:rsidRDefault="00C37614" w:rsidP="003F0BA8">
            <w:pPr>
              <w:jc w:val="center"/>
              <w:rPr>
                <w:sz w:val="21"/>
                <w:szCs w:val="21"/>
              </w:rPr>
            </w:pPr>
          </w:p>
        </w:tc>
      </w:tr>
      <w:tr w:rsidR="00C37614" w:rsidRPr="003F0BA8" w14:paraId="578035D2" w14:textId="77777777" w:rsidTr="001112A7">
        <w:trPr>
          <w:trHeight w:val="579"/>
        </w:trPr>
        <w:tc>
          <w:tcPr>
            <w:tcW w:w="1711" w:type="dxa"/>
            <w:vMerge w:val="restart"/>
            <w:tcBorders>
              <w:top w:val="single" w:sz="12" w:space="0" w:color="auto"/>
              <w:left w:val="single" w:sz="12" w:space="0" w:color="auto"/>
              <w:right w:val="single" w:sz="12" w:space="0" w:color="auto"/>
            </w:tcBorders>
            <w:shd w:val="clear" w:color="auto" w:fill="auto"/>
            <w:vAlign w:val="center"/>
          </w:tcPr>
          <w:p w14:paraId="12220ED3" w14:textId="77777777" w:rsidR="00C37614" w:rsidRPr="00FB19F8" w:rsidRDefault="00C37614" w:rsidP="003F0BA8">
            <w:pPr>
              <w:jc w:val="center"/>
              <w:rPr>
                <w:sz w:val="21"/>
                <w:szCs w:val="21"/>
              </w:rPr>
            </w:pPr>
            <w:r w:rsidRPr="00FB19F8">
              <w:rPr>
                <w:sz w:val="21"/>
                <w:szCs w:val="21"/>
              </w:rPr>
              <w:t>Liquefied Natural Gas (LNG)</w:t>
            </w:r>
          </w:p>
        </w:tc>
        <w:tc>
          <w:tcPr>
            <w:tcW w:w="1891" w:type="dxa"/>
            <w:tcBorders>
              <w:top w:val="single" w:sz="12" w:space="0" w:color="auto"/>
              <w:left w:val="single" w:sz="12" w:space="0" w:color="auto"/>
              <w:right w:val="single" w:sz="12" w:space="0" w:color="auto"/>
            </w:tcBorders>
            <w:shd w:val="clear" w:color="auto" w:fill="auto"/>
            <w:vAlign w:val="center"/>
          </w:tcPr>
          <w:p w14:paraId="3F9F747E" w14:textId="77777777" w:rsidR="00C37614" w:rsidRPr="00FB19F8" w:rsidRDefault="00C37614" w:rsidP="00C37614">
            <w:pPr>
              <w:jc w:val="center"/>
              <w:rPr>
                <w:sz w:val="21"/>
                <w:szCs w:val="21"/>
              </w:rPr>
            </w:pPr>
            <w:r w:rsidRPr="00FB19F8">
              <w:rPr>
                <w:sz w:val="21"/>
                <w:szCs w:val="21"/>
              </w:rPr>
              <w:t>Volume Equivalent Units or Mass</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6344D652" w14:textId="77777777" w:rsidR="00C37614" w:rsidRPr="00FB19F8" w:rsidRDefault="00CA467B" w:rsidP="003F0BA8">
            <w:pPr>
              <w:jc w:val="center"/>
              <w:rPr>
                <w:sz w:val="21"/>
                <w:szCs w:val="21"/>
              </w:rPr>
            </w:pPr>
            <w:r w:rsidRPr="00FB19F8">
              <w:rPr>
                <w:sz w:val="21"/>
                <w:szCs w:val="21"/>
              </w:rPr>
              <w:t>3.785 L (</w:t>
            </w:r>
            <w:r w:rsidR="00C37614" w:rsidRPr="00FB19F8">
              <w:rPr>
                <w:sz w:val="21"/>
                <w:szCs w:val="21"/>
              </w:rPr>
              <w:t>1 gal</w:t>
            </w:r>
            <w:r w:rsidRPr="00FB19F8">
              <w:rPr>
                <w:sz w:val="21"/>
                <w:szCs w:val="21"/>
              </w:rPr>
              <w:t>)</w:t>
            </w:r>
            <w:r w:rsidR="00C37614" w:rsidRPr="00FB19F8">
              <w:rPr>
                <w:sz w:val="21"/>
                <w:szCs w:val="21"/>
              </w:rPr>
              <w:t xml:space="preserve"> has 64</w:t>
            </w:r>
            <w:r w:rsidR="001112A7">
              <w:rPr>
                <w:sz w:val="21"/>
                <w:szCs w:val="21"/>
              </w:rPr>
              <w:t> </w:t>
            </w:r>
            <w:r w:rsidR="00C37614" w:rsidRPr="00FB19F8">
              <w:rPr>
                <w:sz w:val="21"/>
                <w:szCs w:val="21"/>
              </w:rPr>
              <w:t>% of the energy</w:t>
            </w:r>
          </w:p>
        </w:tc>
        <w:tc>
          <w:tcPr>
            <w:tcW w:w="1170" w:type="dxa"/>
            <w:vMerge w:val="restart"/>
            <w:tcBorders>
              <w:top w:val="single" w:sz="12" w:space="0" w:color="auto"/>
              <w:left w:val="single" w:sz="12" w:space="0" w:color="auto"/>
            </w:tcBorders>
            <w:shd w:val="clear" w:color="auto" w:fill="BFBFBF" w:themeFill="background1" w:themeFillShade="BF"/>
            <w:vAlign w:val="center"/>
          </w:tcPr>
          <w:p w14:paraId="62DEEBBE"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auto"/>
            <w:vAlign w:val="center"/>
          </w:tcPr>
          <w:p w14:paraId="1D06BDB4" w14:textId="77777777" w:rsidR="00C37614" w:rsidRPr="00FB19F8" w:rsidRDefault="00C37614" w:rsidP="003F0BA8">
            <w:pPr>
              <w:jc w:val="center"/>
              <w:rPr>
                <w:sz w:val="21"/>
                <w:szCs w:val="21"/>
              </w:rPr>
            </w:pPr>
            <w:r w:rsidRPr="00FB19F8">
              <w:rPr>
                <w:sz w:val="21"/>
                <w:szCs w:val="21"/>
              </w:rPr>
              <w:t xml:space="preserve">0.41 </w:t>
            </w:r>
            <w:r w:rsidR="00503842" w:rsidRPr="00FB19F8">
              <w:rPr>
                <w:sz w:val="21"/>
                <w:szCs w:val="21"/>
              </w:rPr>
              <w:t>to</w:t>
            </w:r>
            <w:r w:rsidRPr="00FB19F8">
              <w:rPr>
                <w:sz w:val="21"/>
                <w:szCs w:val="21"/>
              </w:rPr>
              <w:t xml:space="preserve"> 0.50</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26A86886" w14:textId="77777777" w:rsidR="00C37614" w:rsidRPr="00FB19F8" w:rsidRDefault="00C37614" w:rsidP="003F0BA8">
            <w:pPr>
              <w:jc w:val="center"/>
              <w:rPr>
                <w:sz w:val="21"/>
                <w:szCs w:val="21"/>
              </w:rPr>
            </w:pPr>
            <w:r w:rsidRPr="00FB19F8">
              <w:rPr>
                <w:sz w:val="21"/>
                <w:szCs w:val="21"/>
              </w:rPr>
              <w:t>Liquid</w:t>
            </w:r>
          </w:p>
          <w:p w14:paraId="25BEB71F" w14:textId="77777777" w:rsidR="00C73606" w:rsidRPr="00922317" w:rsidRDefault="00C37614" w:rsidP="003F0BA8">
            <w:pPr>
              <w:jc w:val="center"/>
              <w:rPr>
                <w:sz w:val="21"/>
                <w:szCs w:val="21"/>
              </w:rPr>
            </w:pPr>
            <w:r w:rsidRPr="00922317">
              <w:rPr>
                <w:sz w:val="21"/>
                <w:szCs w:val="21"/>
              </w:rPr>
              <w:t>(</w:t>
            </w:r>
            <w:r w:rsidR="00AB29C9">
              <w:rPr>
                <w:rFonts w:ascii="Times New Roman" w:hAnsi="Times New Roman" w:cs="Times New Roman"/>
                <w:sz w:val="21"/>
                <w:szCs w:val="21"/>
              </w:rPr>
              <w:t>−</w:t>
            </w:r>
            <w:r w:rsidR="00AB29C9">
              <w:rPr>
                <w:rFonts w:ascii="Arial" w:hAnsi="Arial" w:cs="Arial"/>
                <w:sz w:val="21"/>
                <w:szCs w:val="21"/>
              </w:rPr>
              <w:t> </w:t>
            </w:r>
            <w:r w:rsidRPr="00922317">
              <w:rPr>
                <w:sz w:val="21"/>
                <w:szCs w:val="21"/>
              </w:rPr>
              <w:t>16</w:t>
            </w:r>
            <w:r w:rsidR="00C73606" w:rsidRPr="00E85794">
              <w:rPr>
                <w:sz w:val="21"/>
                <w:szCs w:val="21"/>
              </w:rPr>
              <w:t>2</w:t>
            </w:r>
            <w:r w:rsidRPr="00922317">
              <w:rPr>
                <w:sz w:val="21"/>
                <w:szCs w:val="21"/>
              </w:rPr>
              <w:t xml:space="preserve"> </w:t>
            </w:r>
            <w:r w:rsidRPr="00922317">
              <w:rPr>
                <w:rFonts w:ascii="Times New Roman" w:hAnsi="Times New Roman" w:cs="Times New Roman"/>
                <w:sz w:val="21"/>
                <w:szCs w:val="21"/>
              </w:rPr>
              <w:t>º</w:t>
            </w:r>
            <w:r w:rsidRPr="00922317">
              <w:rPr>
                <w:sz w:val="21"/>
                <w:szCs w:val="21"/>
              </w:rPr>
              <w:t xml:space="preserve">C @ </w:t>
            </w:r>
            <w:r w:rsidR="00C73606" w:rsidRPr="00E85794">
              <w:rPr>
                <w:sz w:val="21"/>
                <w:szCs w:val="21"/>
              </w:rPr>
              <w:t xml:space="preserve">101.325 kPa </w:t>
            </w:r>
          </w:p>
          <w:p w14:paraId="2083DCF5" w14:textId="77777777" w:rsidR="00C37614" w:rsidRDefault="00AB29C9" w:rsidP="003F0BA8">
            <w:pPr>
              <w:jc w:val="center"/>
              <w:rPr>
                <w:sz w:val="21"/>
                <w:szCs w:val="21"/>
              </w:rPr>
            </w:pPr>
            <w:r>
              <w:rPr>
                <w:rFonts w:ascii="Arial" w:hAnsi="Arial" w:cs="Arial"/>
                <w:sz w:val="21"/>
                <w:szCs w:val="21"/>
              </w:rPr>
              <w:t>[</w:t>
            </w:r>
            <w:r>
              <w:rPr>
                <w:rFonts w:ascii="Times New Roman" w:hAnsi="Times New Roman" w:cs="Times New Roman"/>
                <w:sz w:val="21"/>
                <w:szCs w:val="21"/>
              </w:rPr>
              <w:t>−</w:t>
            </w:r>
            <w:r>
              <w:rPr>
                <w:rFonts w:ascii="Arial" w:hAnsi="Arial" w:cs="Arial"/>
                <w:sz w:val="21"/>
                <w:szCs w:val="21"/>
              </w:rPr>
              <w:t> </w:t>
            </w:r>
            <w:r w:rsidR="00C73606" w:rsidRPr="00E85794">
              <w:rPr>
                <w:sz w:val="21"/>
                <w:szCs w:val="21"/>
              </w:rPr>
              <w:t xml:space="preserve">260 ˚F @ </w:t>
            </w:r>
            <w:r w:rsidR="00E05828" w:rsidRPr="00E85794">
              <w:rPr>
                <w:sz w:val="21"/>
                <w:szCs w:val="21"/>
              </w:rPr>
              <w:t>1</w:t>
            </w:r>
            <w:r w:rsidR="00E05828">
              <w:rPr>
                <w:sz w:val="21"/>
                <w:szCs w:val="21"/>
              </w:rPr>
              <w:t> </w:t>
            </w:r>
            <w:r w:rsidR="00C73606" w:rsidRPr="00E85794">
              <w:rPr>
                <w:sz w:val="21"/>
                <w:szCs w:val="21"/>
              </w:rPr>
              <w:t>atm</w:t>
            </w:r>
            <w:r w:rsidR="002B22F8" w:rsidRPr="00922317">
              <w:rPr>
                <w:sz w:val="21"/>
                <w:szCs w:val="21"/>
                <w:vertAlign w:val="superscript"/>
              </w:rPr>
              <w:t>6</w:t>
            </w:r>
            <w:r>
              <w:rPr>
                <w:sz w:val="21"/>
                <w:szCs w:val="21"/>
              </w:rPr>
              <w:t>]</w:t>
            </w:r>
            <w:r w:rsidR="00C37614" w:rsidRPr="00E85794">
              <w:rPr>
                <w:sz w:val="21"/>
                <w:szCs w:val="21"/>
              </w:rPr>
              <w:t>)</w:t>
            </w:r>
          </w:p>
          <w:p w14:paraId="7DC05B6C" w14:textId="77777777" w:rsidR="00416050" w:rsidRPr="00FB19F8" w:rsidRDefault="00416050" w:rsidP="003F0BA8">
            <w:pPr>
              <w:jc w:val="center"/>
              <w:rPr>
                <w:sz w:val="21"/>
                <w:szCs w:val="21"/>
              </w:rPr>
            </w:pPr>
          </w:p>
        </w:tc>
      </w:tr>
      <w:tr w:rsidR="00C37614" w:rsidRPr="003F0BA8" w14:paraId="09839746" w14:textId="77777777" w:rsidTr="001112A7">
        <w:trPr>
          <w:trHeight w:val="578"/>
        </w:trPr>
        <w:tc>
          <w:tcPr>
            <w:tcW w:w="1711" w:type="dxa"/>
            <w:vMerge/>
            <w:tcBorders>
              <w:left w:val="single" w:sz="12" w:space="0" w:color="auto"/>
              <w:bottom w:val="single" w:sz="12" w:space="0" w:color="auto"/>
              <w:right w:val="single" w:sz="12" w:space="0" w:color="auto"/>
            </w:tcBorders>
            <w:shd w:val="clear" w:color="auto" w:fill="auto"/>
            <w:vAlign w:val="center"/>
          </w:tcPr>
          <w:p w14:paraId="6C9D8F3B"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738CB162" w14:textId="77777777" w:rsidR="00C37614" w:rsidRPr="00FB19F8" w:rsidRDefault="00C37614" w:rsidP="003F0BA8">
            <w:pPr>
              <w:jc w:val="center"/>
              <w:rPr>
                <w:sz w:val="21"/>
                <w:szCs w:val="21"/>
              </w:rPr>
            </w:pPr>
            <w:r w:rsidRPr="00FB19F8">
              <w:rPr>
                <w:sz w:val="21"/>
                <w:szCs w:val="21"/>
              </w:rPr>
              <w:t>Diesel Gallon Equivalent</w:t>
            </w:r>
            <w:r w:rsidR="002B22F8" w:rsidRPr="00922317">
              <w:rPr>
                <w:sz w:val="21"/>
                <w:szCs w:val="21"/>
                <w:vertAlign w:val="superscript"/>
              </w:rPr>
              <w:t>5</w:t>
            </w:r>
            <w:r w:rsidRPr="00FB19F8">
              <w:rPr>
                <w:sz w:val="21"/>
                <w:szCs w:val="21"/>
              </w:rPr>
              <w:t xml:space="preserve"> (DGE</w:t>
            </w:r>
            <w:r w:rsidR="00503842" w:rsidRPr="00FB19F8">
              <w:rPr>
                <w:sz w:val="21"/>
                <w:szCs w:val="21"/>
                <w:vertAlign w:val="subscript"/>
              </w:rPr>
              <w:t>LNG</w:t>
            </w:r>
            <w:r w:rsidRPr="00FB19F8">
              <w:rPr>
                <w:sz w:val="21"/>
                <w:szCs w:val="21"/>
              </w:rPr>
              <w:t>) or Pound or kg</w:t>
            </w:r>
          </w:p>
        </w:tc>
        <w:tc>
          <w:tcPr>
            <w:tcW w:w="2035" w:type="dxa"/>
            <w:vMerge/>
            <w:tcBorders>
              <w:left w:val="single" w:sz="12" w:space="0" w:color="auto"/>
              <w:bottom w:val="single" w:sz="12" w:space="0" w:color="auto"/>
              <w:right w:val="single" w:sz="12" w:space="0" w:color="auto"/>
            </w:tcBorders>
            <w:shd w:val="clear" w:color="auto" w:fill="auto"/>
            <w:vAlign w:val="center"/>
          </w:tcPr>
          <w:p w14:paraId="777DEC9E"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shd w:val="clear" w:color="auto" w:fill="BFBFBF" w:themeFill="background1" w:themeFillShade="BF"/>
            <w:vAlign w:val="center"/>
          </w:tcPr>
          <w:p w14:paraId="34EB5885"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auto"/>
            <w:vAlign w:val="center"/>
          </w:tcPr>
          <w:p w14:paraId="43AFA82E"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44D3B996" w14:textId="77777777" w:rsidR="00C37614" w:rsidRPr="00FB19F8" w:rsidRDefault="00C37614" w:rsidP="003F0BA8">
            <w:pPr>
              <w:jc w:val="center"/>
              <w:rPr>
                <w:sz w:val="21"/>
                <w:szCs w:val="21"/>
              </w:rPr>
            </w:pPr>
          </w:p>
        </w:tc>
      </w:tr>
      <w:tr w:rsidR="00C37614" w:rsidRPr="003F0BA8" w14:paraId="4E022B59" w14:textId="77777777" w:rsidTr="001112A7">
        <w:trPr>
          <w:trHeight w:val="428"/>
        </w:trPr>
        <w:tc>
          <w:tcPr>
            <w:tcW w:w="1711" w:type="dxa"/>
            <w:vMerge w:val="restart"/>
            <w:tcBorders>
              <w:top w:val="single" w:sz="12" w:space="0" w:color="auto"/>
              <w:left w:val="single" w:sz="12" w:space="0" w:color="auto"/>
              <w:right w:val="single" w:sz="12" w:space="0" w:color="auto"/>
            </w:tcBorders>
            <w:shd w:val="clear" w:color="auto" w:fill="auto"/>
            <w:vAlign w:val="center"/>
          </w:tcPr>
          <w:p w14:paraId="184EFB80" w14:textId="77777777" w:rsidR="00C37614" w:rsidRPr="00FB19F8" w:rsidRDefault="00C37614" w:rsidP="003F0BA8">
            <w:pPr>
              <w:jc w:val="center"/>
              <w:rPr>
                <w:sz w:val="21"/>
                <w:szCs w:val="21"/>
              </w:rPr>
            </w:pPr>
            <w:r w:rsidRPr="00FB19F8">
              <w:rPr>
                <w:sz w:val="21"/>
                <w:szCs w:val="21"/>
              </w:rPr>
              <w:t>Diesel Fuel No. 2</w:t>
            </w:r>
          </w:p>
        </w:tc>
        <w:tc>
          <w:tcPr>
            <w:tcW w:w="1891" w:type="dxa"/>
            <w:tcBorders>
              <w:top w:val="single" w:sz="12" w:space="0" w:color="auto"/>
              <w:left w:val="single" w:sz="12" w:space="0" w:color="auto"/>
              <w:right w:val="single" w:sz="12" w:space="0" w:color="auto"/>
            </w:tcBorders>
            <w:shd w:val="clear" w:color="auto" w:fill="auto"/>
            <w:vAlign w:val="center"/>
          </w:tcPr>
          <w:p w14:paraId="29131147" w14:textId="77777777" w:rsidR="00C37614" w:rsidRPr="00FB19F8" w:rsidRDefault="00C37614" w:rsidP="00C37614">
            <w:pPr>
              <w:jc w:val="center"/>
              <w:rPr>
                <w:sz w:val="21"/>
                <w:szCs w:val="21"/>
              </w:rPr>
            </w:pPr>
            <w:r w:rsidRPr="00FB19F8">
              <w:rPr>
                <w:sz w:val="21"/>
                <w:szCs w:val="21"/>
              </w:rPr>
              <w:t>Volume</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5B8A97F9" w14:textId="77777777" w:rsidR="00C37614" w:rsidRPr="00FB19F8" w:rsidRDefault="00CA467B" w:rsidP="003F0BA8">
            <w:pPr>
              <w:jc w:val="center"/>
              <w:rPr>
                <w:sz w:val="21"/>
                <w:szCs w:val="21"/>
              </w:rPr>
            </w:pPr>
            <w:r w:rsidRPr="00FB19F8">
              <w:rPr>
                <w:sz w:val="21"/>
                <w:szCs w:val="21"/>
              </w:rPr>
              <w:t>3.785 L (</w:t>
            </w:r>
            <w:r w:rsidR="00C37614" w:rsidRPr="00FB19F8">
              <w:rPr>
                <w:sz w:val="21"/>
                <w:szCs w:val="21"/>
              </w:rPr>
              <w:t>1 gal</w:t>
            </w:r>
            <w:r w:rsidRPr="00FB19F8">
              <w:rPr>
                <w:sz w:val="21"/>
                <w:szCs w:val="21"/>
              </w:rPr>
              <w:t>)</w:t>
            </w:r>
            <w:r w:rsidR="00C37614" w:rsidRPr="00FB19F8">
              <w:rPr>
                <w:sz w:val="21"/>
                <w:szCs w:val="21"/>
              </w:rPr>
              <w:t xml:space="preserve"> has 113</w:t>
            </w:r>
            <w:r w:rsidR="001112A7">
              <w:rPr>
                <w:sz w:val="21"/>
                <w:szCs w:val="21"/>
              </w:rPr>
              <w:t> </w:t>
            </w:r>
            <w:r w:rsidR="00C37614" w:rsidRPr="00FB19F8">
              <w:rPr>
                <w:sz w:val="21"/>
                <w:szCs w:val="21"/>
              </w:rPr>
              <w:t>% of the energy</w:t>
            </w:r>
          </w:p>
        </w:tc>
        <w:tc>
          <w:tcPr>
            <w:tcW w:w="1170" w:type="dxa"/>
            <w:vMerge w:val="restart"/>
            <w:tcBorders>
              <w:top w:val="single" w:sz="12" w:space="0" w:color="auto"/>
              <w:left w:val="single" w:sz="12" w:space="0" w:color="auto"/>
            </w:tcBorders>
            <w:shd w:val="clear" w:color="auto" w:fill="BFBFBF" w:themeFill="background1" w:themeFillShade="BF"/>
            <w:vAlign w:val="center"/>
          </w:tcPr>
          <w:p w14:paraId="6EF51AB9"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auto"/>
            <w:vAlign w:val="center"/>
          </w:tcPr>
          <w:p w14:paraId="4C0F214B" w14:textId="77777777" w:rsidR="00C37614" w:rsidRPr="00FB19F8" w:rsidRDefault="00C37614" w:rsidP="00B0466E">
            <w:pPr>
              <w:spacing w:before="40"/>
              <w:jc w:val="center"/>
              <w:rPr>
                <w:sz w:val="21"/>
                <w:szCs w:val="21"/>
              </w:rPr>
            </w:pPr>
            <w:r w:rsidRPr="00FB19F8">
              <w:rPr>
                <w:sz w:val="21"/>
                <w:szCs w:val="21"/>
              </w:rPr>
              <w:t>0.85</w:t>
            </w:r>
          </w:p>
          <w:p w14:paraId="7B7D1E46" w14:textId="77777777" w:rsidR="00F64DE7" w:rsidRPr="00FB19F8" w:rsidRDefault="0086700A" w:rsidP="003F0BA8">
            <w:pPr>
              <w:jc w:val="center"/>
              <w:rPr>
                <w:sz w:val="21"/>
                <w:szCs w:val="21"/>
              </w:rPr>
            </w:pPr>
            <w:r>
              <w:rPr>
                <w:sz w:val="21"/>
                <w:szCs w:val="21"/>
              </w:rPr>
              <w:t>(</w:t>
            </w:r>
            <w:r w:rsidR="00F64DE7" w:rsidRPr="00FB19F8">
              <w:rPr>
                <w:sz w:val="21"/>
                <w:szCs w:val="21"/>
              </w:rPr>
              <w:t xml:space="preserve">15 ˚C @ </w:t>
            </w:r>
            <w:r w:rsidR="00F64DE7" w:rsidRPr="00922317">
              <w:rPr>
                <w:sz w:val="21"/>
                <w:szCs w:val="21"/>
              </w:rPr>
              <w:t>101.</w:t>
            </w:r>
            <w:r w:rsidR="00AB29C9" w:rsidRPr="00922317">
              <w:rPr>
                <w:sz w:val="21"/>
                <w:szCs w:val="21"/>
              </w:rPr>
              <w:t>325</w:t>
            </w:r>
            <w:r w:rsidR="00AB29C9">
              <w:rPr>
                <w:sz w:val="21"/>
                <w:szCs w:val="21"/>
              </w:rPr>
              <w:t> </w:t>
            </w:r>
            <w:r w:rsidR="00F64DE7" w:rsidRPr="00922317">
              <w:rPr>
                <w:sz w:val="21"/>
                <w:szCs w:val="21"/>
              </w:rPr>
              <w:t>kPa</w:t>
            </w:r>
          </w:p>
          <w:p w14:paraId="09FF5014" w14:textId="77777777" w:rsidR="00C37614" w:rsidRPr="00FB19F8" w:rsidRDefault="00AB29C9" w:rsidP="003F0BA8">
            <w:pPr>
              <w:jc w:val="center"/>
              <w:rPr>
                <w:sz w:val="21"/>
                <w:szCs w:val="21"/>
              </w:rPr>
            </w:pPr>
            <w:r>
              <w:rPr>
                <w:sz w:val="21"/>
                <w:szCs w:val="21"/>
              </w:rPr>
              <w:t>[</w:t>
            </w:r>
            <w:r w:rsidR="00C37614" w:rsidRPr="00FB19F8">
              <w:rPr>
                <w:sz w:val="21"/>
                <w:szCs w:val="21"/>
              </w:rPr>
              <w:t>60 ˚F @</w:t>
            </w:r>
            <w:r w:rsidR="0094006B" w:rsidRPr="00FB19F8">
              <w:rPr>
                <w:sz w:val="21"/>
                <w:szCs w:val="21"/>
              </w:rPr>
              <w:t xml:space="preserve"> </w:t>
            </w:r>
            <w:r w:rsidR="00C37614" w:rsidRPr="00FB19F8">
              <w:rPr>
                <w:sz w:val="21"/>
                <w:szCs w:val="21"/>
              </w:rPr>
              <w:t>1 atm</w:t>
            </w:r>
            <w:r w:rsidR="002B22F8">
              <w:rPr>
                <w:sz w:val="21"/>
                <w:szCs w:val="21"/>
                <w:vertAlign w:val="superscript"/>
              </w:rPr>
              <w:t>6</w:t>
            </w:r>
            <w:r>
              <w:rPr>
                <w:sz w:val="21"/>
                <w:szCs w:val="21"/>
              </w:rPr>
              <w:t>])</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22AFD16E" w14:textId="77777777" w:rsidR="00C37614" w:rsidRPr="00FB19F8" w:rsidRDefault="00C37614" w:rsidP="003F0BA8">
            <w:pPr>
              <w:jc w:val="center"/>
              <w:rPr>
                <w:sz w:val="21"/>
                <w:szCs w:val="21"/>
              </w:rPr>
            </w:pPr>
            <w:r w:rsidRPr="00FB19F8">
              <w:rPr>
                <w:sz w:val="21"/>
                <w:szCs w:val="21"/>
              </w:rPr>
              <w:t>Liquid</w:t>
            </w:r>
          </w:p>
        </w:tc>
      </w:tr>
      <w:tr w:rsidR="00C37614" w:rsidRPr="003F0BA8" w14:paraId="68127E4A" w14:textId="77777777" w:rsidTr="001112A7">
        <w:trPr>
          <w:trHeight w:val="231"/>
        </w:trPr>
        <w:tc>
          <w:tcPr>
            <w:tcW w:w="1711" w:type="dxa"/>
            <w:vMerge/>
            <w:tcBorders>
              <w:left w:val="single" w:sz="12" w:space="0" w:color="auto"/>
              <w:bottom w:val="single" w:sz="12" w:space="0" w:color="auto"/>
              <w:right w:val="single" w:sz="12" w:space="0" w:color="auto"/>
            </w:tcBorders>
            <w:shd w:val="clear" w:color="auto" w:fill="auto"/>
            <w:vAlign w:val="center"/>
          </w:tcPr>
          <w:p w14:paraId="4445CCA0"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44C7E10E" w14:textId="77777777" w:rsidR="00C37614" w:rsidRPr="00FB19F8" w:rsidRDefault="00C37614" w:rsidP="003F0BA8">
            <w:pPr>
              <w:jc w:val="center"/>
              <w:rPr>
                <w:sz w:val="21"/>
                <w:szCs w:val="21"/>
              </w:rPr>
            </w:pPr>
            <w:r w:rsidRPr="00FB19F8">
              <w:rPr>
                <w:sz w:val="21"/>
                <w:szCs w:val="21"/>
              </w:rPr>
              <w:t>Gallon or Liter</w:t>
            </w:r>
          </w:p>
        </w:tc>
        <w:tc>
          <w:tcPr>
            <w:tcW w:w="2035" w:type="dxa"/>
            <w:vMerge/>
            <w:tcBorders>
              <w:left w:val="single" w:sz="12" w:space="0" w:color="auto"/>
              <w:bottom w:val="single" w:sz="12" w:space="0" w:color="auto"/>
              <w:right w:val="single" w:sz="12" w:space="0" w:color="auto"/>
            </w:tcBorders>
            <w:shd w:val="clear" w:color="auto" w:fill="auto"/>
            <w:vAlign w:val="center"/>
          </w:tcPr>
          <w:p w14:paraId="4311A223"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shd w:val="clear" w:color="auto" w:fill="BFBFBF" w:themeFill="background1" w:themeFillShade="BF"/>
            <w:vAlign w:val="center"/>
          </w:tcPr>
          <w:p w14:paraId="16860091"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auto"/>
            <w:vAlign w:val="center"/>
          </w:tcPr>
          <w:p w14:paraId="2DD08B13"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34742DEC" w14:textId="77777777" w:rsidR="00C37614" w:rsidRPr="00FB19F8" w:rsidRDefault="00C37614" w:rsidP="003F0BA8">
            <w:pPr>
              <w:jc w:val="center"/>
              <w:rPr>
                <w:sz w:val="21"/>
                <w:szCs w:val="21"/>
              </w:rPr>
            </w:pPr>
          </w:p>
        </w:tc>
      </w:tr>
      <w:tr w:rsidR="00C37614" w:rsidRPr="003F0BA8" w14:paraId="255EBA58" w14:textId="77777777" w:rsidTr="001112A7">
        <w:trPr>
          <w:trHeight w:val="347"/>
        </w:trPr>
        <w:tc>
          <w:tcPr>
            <w:tcW w:w="1711" w:type="dxa"/>
            <w:vMerge w:val="restart"/>
            <w:tcBorders>
              <w:top w:val="single" w:sz="12" w:space="0" w:color="auto"/>
              <w:left w:val="single" w:sz="12" w:space="0" w:color="auto"/>
              <w:right w:val="single" w:sz="12" w:space="0" w:color="auto"/>
            </w:tcBorders>
            <w:shd w:val="clear" w:color="auto" w:fill="auto"/>
            <w:vAlign w:val="center"/>
          </w:tcPr>
          <w:p w14:paraId="2883C8A2" w14:textId="77777777" w:rsidR="00C37614" w:rsidRPr="00FB19F8" w:rsidRDefault="00C37614" w:rsidP="003F0BA8">
            <w:pPr>
              <w:jc w:val="center"/>
              <w:rPr>
                <w:sz w:val="21"/>
                <w:szCs w:val="21"/>
              </w:rPr>
            </w:pPr>
            <w:r w:rsidRPr="00FB19F8">
              <w:rPr>
                <w:sz w:val="21"/>
                <w:szCs w:val="21"/>
              </w:rPr>
              <w:t>Gasoline</w:t>
            </w:r>
          </w:p>
        </w:tc>
        <w:tc>
          <w:tcPr>
            <w:tcW w:w="1891" w:type="dxa"/>
            <w:tcBorders>
              <w:top w:val="single" w:sz="12" w:space="0" w:color="auto"/>
              <w:left w:val="single" w:sz="12" w:space="0" w:color="auto"/>
              <w:right w:val="single" w:sz="12" w:space="0" w:color="auto"/>
            </w:tcBorders>
            <w:shd w:val="clear" w:color="auto" w:fill="auto"/>
            <w:vAlign w:val="center"/>
          </w:tcPr>
          <w:p w14:paraId="62B4A9F8" w14:textId="77777777" w:rsidR="00C37614" w:rsidRPr="00FB19F8" w:rsidRDefault="00C37614" w:rsidP="00C37614">
            <w:pPr>
              <w:jc w:val="center"/>
              <w:rPr>
                <w:sz w:val="21"/>
                <w:szCs w:val="21"/>
              </w:rPr>
            </w:pPr>
            <w:r w:rsidRPr="00FB19F8">
              <w:rPr>
                <w:sz w:val="21"/>
                <w:szCs w:val="21"/>
              </w:rPr>
              <w:t>Volume</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47E974FF" w14:textId="77777777" w:rsidR="00C37614" w:rsidRPr="00FB19F8" w:rsidRDefault="00C37614" w:rsidP="003F0BA8">
            <w:pPr>
              <w:jc w:val="center"/>
              <w:rPr>
                <w:sz w:val="21"/>
                <w:szCs w:val="21"/>
              </w:rPr>
            </w:pPr>
            <w:r w:rsidRPr="00FB19F8">
              <w:rPr>
                <w:sz w:val="21"/>
                <w:szCs w:val="21"/>
              </w:rPr>
              <w:t>100</w:t>
            </w:r>
            <w:r w:rsidR="00615E5D">
              <w:rPr>
                <w:sz w:val="21"/>
                <w:szCs w:val="21"/>
              </w:rPr>
              <w:t> </w:t>
            </w:r>
            <w:r w:rsidRPr="00FB19F8">
              <w:rPr>
                <w:sz w:val="21"/>
                <w:szCs w:val="21"/>
              </w:rPr>
              <w:t>% of the energy</w:t>
            </w:r>
          </w:p>
        </w:tc>
        <w:tc>
          <w:tcPr>
            <w:tcW w:w="1170" w:type="dxa"/>
            <w:vMerge w:val="restart"/>
            <w:tcBorders>
              <w:top w:val="single" w:sz="12" w:space="0" w:color="auto"/>
              <w:left w:val="single" w:sz="12" w:space="0" w:color="auto"/>
            </w:tcBorders>
            <w:shd w:val="clear" w:color="auto" w:fill="BFBFBF" w:themeFill="background1" w:themeFillShade="BF"/>
            <w:vAlign w:val="center"/>
          </w:tcPr>
          <w:p w14:paraId="623A35AC"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auto"/>
            <w:vAlign w:val="center"/>
          </w:tcPr>
          <w:p w14:paraId="6E29FBEC" w14:textId="77777777" w:rsidR="00C37614" w:rsidRPr="00FB19F8" w:rsidRDefault="00C37614" w:rsidP="003F0BA8">
            <w:pPr>
              <w:jc w:val="center"/>
              <w:rPr>
                <w:sz w:val="21"/>
                <w:szCs w:val="21"/>
              </w:rPr>
            </w:pPr>
            <w:r w:rsidRPr="00FB19F8">
              <w:rPr>
                <w:sz w:val="21"/>
                <w:szCs w:val="21"/>
              </w:rPr>
              <w:t xml:space="preserve">0.72 </w:t>
            </w:r>
            <w:r w:rsidR="00F64DE7" w:rsidRPr="00FB19F8">
              <w:rPr>
                <w:sz w:val="21"/>
                <w:szCs w:val="21"/>
              </w:rPr>
              <w:t>to</w:t>
            </w:r>
            <w:r w:rsidRPr="00FB19F8">
              <w:rPr>
                <w:sz w:val="21"/>
                <w:szCs w:val="21"/>
              </w:rPr>
              <w:t xml:space="preserve"> 0.78</w:t>
            </w:r>
          </w:p>
          <w:p w14:paraId="5BB270EA" w14:textId="77777777" w:rsidR="00F64DE7" w:rsidRPr="00FB19F8" w:rsidRDefault="00F23DF4" w:rsidP="003F0BA8">
            <w:pPr>
              <w:jc w:val="center"/>
              <w:rPr>
                <w:sz w:val="21"/>
                <w:szCs w:val="21"/>
              </w:rPr>
            </w:pPr>
            <w:r>
              <w:rPr>
                <w:sz w:val="21"/>
                <w:szCs w:val="21"/>
              </w:rPr>
              <w:t>(</w:t>
            </w:r>
            <w:r w:rsidR="00F64DE7" w:rsidRPr="00FB19F8">
              <w:rPr>
                <w:sz w:val="21"/>
                <w:szCs w:val="21"/>
              </w:rPr>
              <w:t xml:space="preserve">15 ˚C </w:t>
            </w:r>
            <w:r w:rsidR="00F64DE7" w:rsidRPr="005C17B0">
              <w:rPr>
                <w:sz w:val="21"/>
                <w:szCs w:val="21"/>
              </w:rPr>
              <w:t xml:space="preserve">@ </w:t>
            </w:r>
            <w:r w:rsidR="00F64DE7" w:rsidRPr="00922317">
              <w:rPr>
                <w:sz w:val="21"/>
                <w:szCs w:val="21"/>
              </w:rPr>
              <w:t>101.</w:t>
            </w:r>
            <w:r w:rsidR="00AB29C9" w:rsidRPr="00922317">
              <w:rPr>
                <w:sz w:val="21"/>
                <w:szCs w:val="21"/>
              </w:rPr>
              <w:t>325</w:t>
            </w:r>
            <w:r w:rsidR="00AB29C9">
              <w:rPr>
                <w:sz w:val="21"/>
                <w:szCs w:val="21"/>
              </w:rPr>
              <w:t> </w:t>
            </w:r>
            <w:r w:rsidR="00F64DE7" w:rsidRPr="00922317">
              <w:rPr>
                <w:sz w:val="21"/>
                <w:szCs w:val="21"/>
              </w:rPr>
              <w:t>kPa</w:t>
            </w:r>
          </w:p>
          <w:p w14:paraId="67A2954D" w14:textId="77777777" w:rsidR="00C37614" w:rsidRPr="00FB19F8" w:rsidRDefault="00AB29C9" w:rsidP="00B0466E">
            <w:pPr>
              <w:spacing w:after="40"/>
              <w:jc w:val="center"/>
              <w:rPr>
                <w:sz w:val="21"/>
                <w:szCs w:val="21"/>
              </w:rPr>
            </w:pPr>
            <w:r>
              <w:rPr>
                <w:sz w:val="21"/>
                <w:szCs w:val="21"/>
              </w:rPr>
              <w:t>[</w:t>
            </w:r>
            <w:r w:rsidR="00C37614" w:rsidRPr="00FB19F8">
              <w:rPr>
                <w:sz w:val="21"/>
                <w:szCs w:val="21"/>
              </w:rPr>
              <w:t>60 ˚F @</w:t>
            </w:r>
            <w:r w:rsidR="0094006B" w:rsidRPr="00FB19F8">
              <w:rPr>
                <w:sz w:val="21"/>
                <w:szCs w:val="21"/>
              </w:rPr>
              <w:t xml:space="preserve"> </w:t>
            </w:r>
            <w:r w:rsidR="00E05828" w:rsidRPr="00FB19F8">
              <w:rPr>
                <w:sz w:val="21"/>
                <w:szCs w:val="21"/>
              </w:rPr>
              <w:t>1</w:t>
            </w:r>
            <w:r w:rsidR="00E05828">
              <w:rPr>
                <w:sz w:val="21"/>
                <w:szCs w:val="21"/>
              </w:rPr>
              <w:t> </w:t>
            </w:r>
            <w:r w:rsidR="00C37614" w:rsidRPr="00FB19F8">
              <w:rPr>
                <w:sz w:val="21"/>
                <w:szCs w:val="21"/>
              </w:rPr>
              <w:t>atm</w:t>
            </w:r>
            <w:r w:rsidR="00BF6030">
              <w:rPr>
                <w:sz w:val="21"/>
                <w:szCs w:val="21"/>
                <w:vertAlign w:val="superscript"/>
              </w:rPr>
              <w:t>6</w:t>
            </w:r>
            <w:r>
              <w:rPr>
                <w:sz w:val="21"/>
                <w:szCs w:val="21"/>
              </w:rPr>
              <w:t>])</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63469212" w14:textId="77777777" w:rsidR="00C37614" w:rsidRPr="00FB19F8" w:rsidRDefault="00C37614" w:rsidP="003F0BA8">
            <w:pPr>
              <w:jc w:val="center"/>
              <w:rPr>
                <w:sz w:val="21"/>
                <w:szCs w:val="21"/>
              </w:rPr>
            </w:pPr>
            <w:r w:rsidRPr="00FB19F8">
              <w:rPr>
                <w:sz w:val="21"/>
                <w:szCs w:val="21"/>
              </w:rPr>
              <w:t>Liquid</w:t>
            </w:r>
          </w:p>
        </w:tc>
      </w:tr>
      <w:tr w:rsidR="00C37614" w:rsidRPr="003F0BA8" w14:paraId="11FEAD75" w14:textId="77777777" w:rsidTr="001112A7">
        <w:trPr>
          <w:trHeight w:val="347"/>
        </w:trPr>
        <w:tc>
          <w:tcPr>
            <w:tcW w:w="1711" w:type="dxa"/>
            <w:vMerge/>
            <w:tcBorders>
              <w:left w:val="single" w:sz="12" w:space="0" w:color="auto"/>
              <w:bottom w:val="single" w:sz="12" w:space="0" w:color="auto"/>
              <w:right w:val="single" w:sz="12" w:space="0" w:color="auto"/>
            </w:tcBorders>
            <w:shd w:val="clear" w:color="auto" w:fill="auto"/>
            <w:vAlign w:val="center"/>
          </w:tcPr>
          <w:p w14:paraId="3E1F9AD6"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5D83C78D" w14:textId="77777777" w:rsidR="00C37614" w:rsidRPr="00FB19F8" w:rsidRDefault="00C37614" w:rsidP="003F0BA8">
            <w:pPr>
              <w:jc w:val="center"/>
              <w:rPr>
                <w:sz w:val="21"/>
                <w:szCs w:val="21"/>
              </w:rPr>
            </w:pPr>
            <w:r w:rsidRPr="00FB19F8">
              <w:rPr>
                <w:sz w:val="21"/>
                <w:szCs w:val="21"/>
              </w:rPr>
              <w:t>Gallon or Liter</w:t>
            </w:r>
          </w:p>
        </w:tc>
        <w:tc>
          <w:tcPr>
            <w:tcW w:w="2035" w:type="dxa"/>
            <w:vMerge/>
            <w:tcBorders>
              <w:left w:val="single" w:sz="12" w:space="0" w:color="auto"/>
              <w:bottom w:val="single" w:sz="12" w:space="0" w:color="auto"/>
              <w:right w:val="single" w:sz="12" w:space="0" w:color="auto"/>
            </w:tcBorders>
            <w:shd w:val="clear" w:color="auto" w:fill="auto"/>
            <w:vAlign w:val="center"/>
          </w:tcPr>
          <w:p w14:paraId="238B54D3"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shd w:val="clear" w:color="auto" w:fill="BFBFBF" w:themeFill="background1" w:themeFillShade="BF"/>
            <w:vAlign w:val="center"/>
          </w:tcPr>
          <w:p w14:paraId="3341EC02"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auto"/>
            <w:vAlign w:val="center"/>
          </w:tcPr>
          <w:p w14:paraId="0307DBE7"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5F8BD1DB" w14:textId="77777777" w:rsidR="00C37614" w:rsidRPr="00FB19F8" w:rsidRDefault="00C37614" w:rsidP="003F0BA8">
            <w:pPr>
              <w:jc w:val="center"/>
              <w:rPr>
                <w:sz w:val="21"/>
                <w:szCs w:val="21"/>
              </w:rPr>
            </w:pPr>
          </w:p>
        </w:tc>
      </w:tr>
      <w:tr w:rsidR="00503842" w:rsidRPr="003F0BA8" w14:paraId="6F5F8C0F" w14:textId="77777777" w:rsidTr="005D0505">
        <w:trPr>
          <w:trHeight w:val="146"/>
        </w:trPr>
        <w:tc>
          <w:tcPr>
            <w:tcW w:w="1711" w:type="dxa"/>
            <w:vMerge w:val="restart"/>
            <w:tcBorders>
              <w:left w:val="single" w:sz="12" w:space="0" w:color="auto"/>
              <w:right w:val="single" w:sz="12" w:space="0" w:color="auto"/>
            </w:tcBorders>
            <w:shd w:val="clear" w:color="auto" w:fill="auto"/>
            <w:vAlign w:val="center"/>
          </w:tcPr>
          <w:p w14:paraId="72512563" w14:textId="77777777" w:rsidR="00503842" w:rsidRPr="00FB19F8" w:rsidRDefault="00503842" w:rsidP="003F0BA8">
            <w:pPr>
              <w:jc w:val="center"/>
              <w:rPr>
                <w:sz w:val="21"/>
                <w:szCs w:val="21"/>
              </w:rPr>
            </w:pPr>
            <w:r w:rsidRPr="00FB19F8">
              <w:rPr>
                <w:sz w:val="21"/>
                <w:szCs w:val="21"/>
              </w:rPr>
              <w:t>Compressed Natural Gas</w:t>
            </w:r>
          </w:p>
          <w:p w14:paraId="2E143689" w14:textId="77777777" w:rsidR="00503842" w:rsidRPr="00FB19F8" w:rsidRDefault="00503842" w:rsidP="003F0BA8">
            <w:pPr>
              <w:jc w:val="center"/>
              <w:rPr>
                <w:sz w:val="21"/>
                <w:szCs w:val="21"/>
              </w:rPr>
            </w:pPr>
            <w:r w:rsidRPr="00FB19F8">
              <w:rPr>
                <w:sz w:val="21"/>
                <w:szCs w:val="21"/>
              </w:rPr>
              <w:t>(CNG)</w:t>
            </w:r>
          </w:p>
        </w:tc>
        <w:tc>
          <w:tcPr>
            <w:tcW w:w="1891" w:type="dxa"/>
            <w:tcBorders>
              <w:left w:val="single" w:sz="12" w:space="0" w:color="auto"/>
              <w:bottom w:val="single" w:sz="4" w:space="0" w:color="auto"/>
              <w:right w:val="single" w:sz="12" w:space="0" w:color="auto"/>
            </w:tcBorders>
            <w:shd w:val="clear" w:color="auto" w:fill="auto"/>
            <w:vAlign w:val="center"/>
          </w:tcPr>
          <w:p w14:paraId="587CEB14" w14:textId="77777777" w:rsidR="00503842" w:rsidRPr="00FB19F8" w:rsidRDefault="00503842" w:rsidP="00FB19F8">
            <w:pPr>
              <w:spacing w:before="60"/>
              <w:jc w:val="center"/>
              <w:rPr>
                <w:sz w:val="21"/>
                <w:szCs w:val="21"/>
              </w:rPr>
            </w:pPr>
            <w:r w:rsidRPr="00FB19F8">
              <w:rPr>
                <w:sz w:val="21"/>
                <w:szCs w:val="21"/>
              </w:rPr>
              <w:t>Volume Equivalent Units or Mass</w:t>
            </w:r>
          </w:p>
        </w:tc>
        <w:tc>
          <w:tcPr>
            <w:tcW w:w="2035" w:type="dxa"/>
            <w:vMerge w:val="restart"/>
            <w:tcBorders>
              <w:left w:val="single" w:sz="12" w:space="0" w:color="auto"/>
              <w:right w:val="single" w:sz="12" w:space="0" w:color="auto"/>
            </w:tcBorders>
            <w:shd w:val="clear" w:color="auto" w:fill="auto"/>
            <w:vAlign w:val="center"/>
          </w:tcPr>
          <w:p w14:paraId="4B5338C7" w14:textId="77777777" w:rsidR="00503842" w:rsidRPr="00FB19F8" w:rsidRDefault="0096227F" w:rsidP="003F0BA8">
            <w:pPr>
              <w:jc w:val="center"/>
              <w:rPr>
                <w:sz w:val="21"/>
                <w:szCs w:val="21"/>
              </w:rPr>
            </w:pPr>
            <w:r w:rsidRPr="00FB19F8">
              <w:rPr>
                <w:sz w:val="21"/>
                <w:szCs w:val="21"/>
              </w:rPr>
              <w:t>2.567 kg (5.660 lb) has 100% of the energy</w:t>
            </w:r>
          </w:p>
        </w:tc>
        <w:tc>
          <w:tcPr>
            <w:tcW w:w="1170" w:type="dxa"/>
            <w:vMerge w:val="restart"/>
            <w:tcBorders>
              <w:left w:val="single" w:sz="12" w:space="0" w:color="auto"/>
            </w:tcBorders>
            <w:shd w:val="clear" w:color="auto" w:fill="auto"/>
            <w:vAlign w:val="center"/>
          </w:tcPr>
          <w:p w14:paraId="52B61451" w14:textId="77777777" w:rsidR="00503842" w:rsidRPr="00FB19F8" w:rsidRDefault="002A1FE2" w:rsidP="003F0BA8">
            <w:pPr>
              <w:jc w:val="center"/>
              <w:rPr>
                <w:sz w:val="21"/>
                <w:szCs w:val="21"/>
              </w:rPr>
            </w:pPr>
            <w:r w:rsidRPr="005C17B0">
              <w:rPr>
                <w:sz w:val="21"/>
                <w:szCs w:val="21"/>
              </w:rPr>
              <w:t>0.6</w:t>
            </w:r>
            <w:r w:rsidR="00BA5BD7" w:rsidRPr="005C17B0">
              <w:rPr>
                <w:sz w:val="21"/>
                <w:szCs w:val="21"/>
              </w:rPr>
              <w:t xml:space="preserve"> to 0.8</w:t>
            </w:r>
          </w:p>
        </w:tc>
        <w:tc>
          <w:tcPr>
            <w:tcW w:w="1903" w:type="dxa"/>
            <w:vMerge w:val="restart"/>
            <w:tcBorders>
              <w:right w:val="single" w:sz="12" w:space="0" w:color="auto"/>
            </w:tcBorders>
            <w:shd w:val="clear" w:color="auto" w:fill="BFBFBF" w:themeFill="background1" w:themeFillShade="BF"/>
            <w:vAlign w:val="center"/>
          </w:tcPr>
          <w:p w14:paraId="2E364217" w14:textId="77777777" w:rsidR="00503842" w:rsidRPr="00FB19F8" w:rsidRDefault="00503842" w:rsidP="003F0BA8">
            <w:pPr>
              <w:jc w:val="center"/>
              <w:rPr>
                <w:sz w:val="21"/>
                <w:szCs w:val="21"/>
              </w:rPr>
            </w:pPr>
          </w:p>
        </w:tc>
        <w:tc>
          <w:tcPr>
            <w:tcW w:w="1877" w:type="dxa"/>
            <w:vMerge w:val="restart"/>
            <w:tcBorders>
              <w:left w:val="single" w:sz="12" w:space="0" w:color="auto"/>
              <w:right w:val="single" w:sz="12" w:space="0" w:color="auto"/>
            </w:tcBorders>
            <w:shd w:val="clear" w:color="auto" w:fill="auto"/>
            <w:vAlign w:val="center"/>
          </w:tcPr>
          <w:p w14:paraId="72923DF3" w14:textId="77777777" w:rsidR="00503842" w:rsidRPr="00FB19F8" w:rsidRDefault="00994414" w:rsidP="003F0BA8">
            <w:pPr>
              <w:jc w:val="center"/>
              <w:rPr>
                <w:sz w:val="21"/>
                <w:szCs w:val="21"/>
              </w:rPr>
            </w:pPr>
            <w:r w:rsidRPr="00FB19F8">
              <w:rPr>
                <w:sz w:val="21"/>
                <w:szCs w:val="21"/>
              </w:rPr>
              <w:t>Compressed gas at 20 MPa to 35 MPa (3000 psi to 5000 psi)</w:t>
            </w:r>
          </w:p>
        </w:tc>
      </w:tr>
      <w:tr w:rsidR="00503842" w:rsidRPr="003F0BA8" w14:paraId="2D209F04" w14:textId="77777777" w:rsidTr="005D0505">
        <w:trPr>
          <w:trHeight w:val="145"/>
        </w:trPr>
        <w:tc>
          <w:tcPr>
            <w:tcW w:w="1711" w:type="dxa"/>
            <w:vMerge/>
            <w:tcBorders>
              <w:left w:val="single" w:sz="12" w:space="0" w:color="auto"/>
              <w:bottom w:val="single" w:sz="12" w:space="0" w:color="auto"/>
              <w:right w:val="single" w:sz="12" w:space="0" w:color="auto"/>
            </w:tcBorders>
            <w:shd w:val="clear" w:color="auto" w:fill="auto"/>
            <w:vAlign w:val="center"/>
          </w:tcPr>
          <w:p w14:paraId="3F8D1429" w14:textId="77777777" w:rsidR="00503842" w:rsidRPr="00FB19F8" w:rsidRDefault="00503842" w:rsidP="003F0BA8">
            <w:pPr>
              <w:jc w:val="center"/>
              <w:rPr>
                <w:sz w:val="21"/>
                <w:szCs w:val="21"/>
              </w:rPr>
            </w:pPr>
          </w:p>
        </w:tc>
        <w:tc>
          <w:tcPr>
            <w:tcW w:w="1891" w:type="dxa"/>
            <w:tcBorders>
              <w:top w:val="single" w:sz="4" w:space="0" w:color="auto"/>
              <w:left w:val="single" w:sz="12" w:space="0" w:color="auto"/>
              <w:bottom w:val="single" w:sz="12" w:space="0" w:color="auto"/>
              <w:right w:val="single" w:sz="12" w:space="0" w:color="auto"/>
            </w:tcBorders>
            <w:shd w:val="clear" w:color="auto" w:fill="auto"/>
            <w:vAlign w:val="center"/>
          </w:tcPr>
          <w:p w14:paraId="224B3459" w14:textId="77777777" w:rsidR="00503842" w:rsidRPr="00FB19F8" w:rsidRDefault="00503842" w:rsidP="00FB19F8">
            <w:pPr>
              <w:spacing w:after="60"/>
              <w:jc w:val="center"/>
              <w:rPr>
                <w:sz w:val="21"/>
                <w:szCs w:val="21"/>
              </w:rPr>
            </w:pPr>
            <w:r w:rsidRPr="00FB19F8">
              <w:rPr>
                <w:sz w:val="21"/>
                <w:szCs w:val="21"/>
              </w:rPr>
              <w:t>Gasoline Gallon Equivalent</w:t>
            </w:r>
            <w:r w:rsidR="002B22F8" w:rsidRPr="00922317">
              <w:rPr>
                <w:sz w:val="21"/>
                <w:szCs w:val="21"/>
                <w:vertAlign w:val="superscript"/>
              </w:rPr>
              <w:t>7</w:t>
            </w:r>
            <w:r w:rsidRPr="00FB19F8">
              <w:rPr>
                <w:sz w:val="21"/>
                <w:szCs w:val="21"/>
              </w:rPr>
              <w:t xml:space="preserve"> (GGE</w:t>
            </w:r>
            <w:r w:rsidRPr="00FB19F8">
              <w:rPr>
                <w:sz w:val="21"/>
                <w:szCs w:val="21"/>
                <w:vertAlign w:val="subscript"/>
              </w:rPr>
              <w:t>CNG</w:t>
            </w:r>
            <w:r w:rsidRPr="00FB19F8">
              <w:rPr>
                <w:sz w:val="21"/>
                <w:szCs w:val="21"/>
              </w:rPr>
              <w:t>), Diesel Gallon Equivalent</w:t>
            </w:r>
            <w:r w:rsidR="002B22F8" w:rsidRPr="00940D67">
              <w:rPr>
                <w:sz w:val="21"/>
                <w:szCs w:val="21"/>
                <w:vertAlign w:val="superscript"/>
              </w:rPr>
              <w:t>7</w:t>
            </w:r>
            <w:r w:rsidRPr="00FB19F8">
              <w:rPr>
                <w:sz w:val="21"/>
                <w:szCs w:val="21"/>
              </w:rPr>
              <w:t xml:space="preserve"> (DGE</w:t>
            </w:r>
            <w:r w:rsidRPr="00FB19F8">
              <w:rPr>
                <w:sz w:val="21"/>
                <w:szCs w:val="21"/>
                <w:vertAlign w:val="subscript"/>
              </w:rPr>
              <w:t>CNG</w:t>
            </w:r>
            <w:r w:rsidRPr="00FB19F8">
              <w:rPr>
                <w:sz w:val="21"/>
                <w:szCs w:val="21"/>
              </w:rPr>
              <w:t>), Pound or kg</w:t>
            </w:r>
          </w:p>
        </w:tc>
        <w:tc>
          <w:tcPr>
            <w:tcW w:w="2035" w:type="dxa"/>
            <w:vMerge/>
            <w:tcBorders>
              <w:left w:val="single" w:sz="12" w:space="0" w:color="auto"/>
              <w:bottom w:val="single" w:sz="12" w:space="0" w:color="auto"/>
              <w:right w:val="single" w:sz="12" w:space="0" w:color="auto"/>
            </w:tcBorders>
            <w:shd w:val="clear" w:color="auto" w:fill="auto"/>
            <w:vAlign w:val="center"/>
          </w:tcPr>
          <w:p w14:paraId="3A2410CD" w14:textId="77777777" w:rsidR="00503842" w:rsidRPr="00FB19F8" w:rsidRDefault="00503842" w:rsidP="003F0BA8">
            <w:pPr>
              <w:jc w:val="center"/>
              <w:rPr>
                <w:sz w:val="21"/>
                <w:szCs w:val="21"/>
              </w:rPr>
            </w:pPr>
          </w:p>
        </w:tc>
        <w:tc>
          <w:tcPr>
            <w:tcW w:w="1170" w:type="dxa"/>
            <w:vMerge/>
            <w:tcBorders>
              <w:left w:val="single" w:sz="12" w:space="0" w:color="auto"/>
              <w:bottom w:val="single" w:sz="12" w:space="0" w:color="auto"/>
            </w:tcBorders>
            <w:shd w:val="clear" w:color="auto" w:fill="auto"/>
            <w:vAlign w:val="center"/>
          </w:tcPr>
          <w:p w14:paraId="14A5537B" w14:textId="77777777" w:rsidR="00503842" w:rsidRPr="00FB19F8" w:rsidRDefault="00503842" w:rsidP="003F0BA8">
            <w:pPr>
              <w:jc w:val="center"/>
              <w:rPr>
                <w:sz w:val="21"/>
                <w:szCs w:val="21"/>
              </w:rPr>
            </w:pPr>
          </w:p>
        </w:tc>
        <w:tc>
          <w:tcPr>
            <w:tcW w:w="1903" w:type="dxa"/>
            <w:vMerge/>
            <w:tcBorders>
              <w:bottom w:val="single" w:sz="12" w:space="0" w:color="auto"/>
              <w:right w:val="single" w:sz="12" w:space="0" w:color="auto"/>
            </w:tcBorders>
            <w:shd w:val="clear" w:color="auto" w:fill="BFBFBF" w:themeFill="background1" w:themeFillShade="BF"/>
            <w:vAlign w:val="center"/>
          </w:tcPr>
          <w:p w14:paraId="25804258" w14:textId="77777777" w:rsidR="00503842" w:rsidRPr="00FB19F8" w:rsidRDefault="00503842"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447DE756" w14:textId="77777777" w:rsidR="00503842" w:rsidRPr="00FB19F8" w:rsidRDefault="00503842" w:rsidP="003F0BA8">
            <w:pPr>
              <w:jc w:val="center"/>
              <w:rPr>
                <w:sz w:val="21"/>
                <w:szCs w:val="21"/>
              </w:rPr>
            </w:pPr>
          </w:p>
        </w:tc>
      </w:tr>
      <w:tr w:rsidR="003F0BA8" w:rsidRPr="003F0BA8" w14:paraId="0F35D35F" w14:textId="77777777" w:rsidTr="001112A7">
        <w:tc>
          <w:tcPr>
            <w:tcW w:w="10587" w:type="dxa"/>
            <w:gridSpan w:val="6"/>
            <w:tcBorders>
              <w:top w:val="single" w:sz="12" w:space="0" w:color="auto"/>
              <w:left w:val="single" w:sz="12" w:space="0" w:color="auto"/>
              <w:bottom w:val="single" w:sz="12" w:space="0" w:color="auto"/>
              <w:right w:val="single" w:sz="12" w:space="0" w:color="auto"/>
            </w:tcBorders>
            <w:vAlign w:val="center"/>
          </w:tcPr>
          <w:p w14:paraId="57812EF3" w14:textId="77777777" w:rsidR="003F0BA8" w:rsidRDefault="003F0BA8" w:rsidP="003F0BA8">
            <w:pPr>
              <w:rPr>
                <w:sz w:val="21"/>
                <w:szCs w:val="21"/>
              </w:rPr>
            </w:pPr>
            <w:r w:rsidRPr="00FB19F8">
              <w:rPr>
                <w:sz w:val="21"/>
                <w:szCs w:val="21"/>
                <w:vertAlign w:val="superscript"/>
              </w:rPr>
              <w:t>1</w:t>
            </w:r>
            <w:r w:rsidRPr="00FB19F8">
              <w:rPr>
                <w:sz w:val="21"/>
                <w:szCs w:val="21"/>
              </w:rPr>
              <w:t xml:space="preserve">The energy content values are not exact and are for information purposes since there are multiple variables that </w:t>
            </w:r>
            <w:r w:rsidR="00BD6117" w:rsidRPr="00FB19F8">
              <w:rPr>
                <w:sz w:val="21"/>
                <w:szCs w:val="21"/>
              </w:rPr>
              <w:t>a</w:t>
            </w:r>
            <w:r w:rsidRPr="00FB19F8">
              <w:rPr>
                <w:sz w:val="21"/>
                <w:szCs w:val="21"/>
              </w:rPr>
              <w:t>ffect the energy content of a fuel supply</w:t>
            </w:r>
            <w:r w:rsidR="003E0D10">
              <w:rPr>
                <w:sz w:val="21"/>
                <w:szCs w:val="21"/>
              </w:rPr>
              <w:t>.</w:t>
            </w:r>
            <w:r w:rsidR="0094006B" w:rsidRPr="00FB19F8">
              <w:rPr>
                <w:sz w:val="21"/>
                <w:szCs w:val="21"/>
              </w:rPr>
              <w:t xml:space="preserve"> </w:t>
            </w:r>
          </w:p>
          <w:p w14:paraId="11F2F998" w14:textId="77777777" w:rsidR="002B22F8" w:rsidRPr="002B22F8" w:rsidRDefault="002B22F8" w:rsidP="003F0BA8">
            <w:pPr>
              <w:rPr>
                <w:sz w:val="21"/>
                <w:szCs w:val="21"/>
              </w:rPr>
            </w:pPr>
            <w:r>
              <w:rPr>
                <w:sz w:val="21"/>
                <w:szCs w:val="21"/>
                <w:vertAlign w:val="superscript"/>
              </w:rPr>
              <w:t>2</w:t>
            </w:r>
            <w:r>
              <w:rPr>
                <w:sz w:val="21"/>
                <w:szCs w:val="21"/>
              </w:rPr>
              <w:t xml:space="preserve">Specific Gravity </w:t>
            </w:r>
            <w:r w:rsidR="009E1DAA">
              <w:rPr>
                <w:sz w:val="21"/>
                <w:szCs w:val="21"/>
              </w:rPr>
              <w:t>–</w:t>
            </w:r>
            <w:r>
              <w:rPr>
                <w:sz w:val="21"/>
                <w:szCs w:val="21"/>
              </w:rPr>
              <w:t xml:space="preserve"> </w:t>
            </w:r>
            <w:bookmarkStart w:id="2" w:name="_Hlk529461519"/>
            <w:r w:rsidR="001D2FC7">
              <w:rPr>
                <w:sz w:val="21"/>
                <w:szCs w:val="21"/>
              </w:rPr>
              <w:t>The r</w:t>
            </w:r>
            <w:r w:rsidR="009E1DAA">
              <w:rPr>
                <w:sz w:val="21"/>
                <w:szCs w:val="21"/>
              </w:rPr>
              <w:t xml:space="preserve">atio of the density </w:t>
            </w:r>
            <w:r w:rsidR="00477B69" w:rsidRPr="00477B69">
              <w:rPr>
                <w:sz w:val="21"/>
                <w:szCs w:val="21"/>
              </w:rPr>
              <w:t>(mass per unit volume)</w:t>
            </w:r>
            <w:r w:rsidR="00477B69">
              <w:rPr>
                <w:sz w:val="21"/>
                <w:szCs w:val="21"/>
              </w:rPr>
              <w:t xml:space="preserve"> </w:t>
            </w:r>
            <w:r w:rsidR="009E1DAA">
              <w:rPr>
                <w:sz w:val="21"/>
                <w:szCs w:val="21"/>
              </w:rPr>
              <w:t xml:space="preserve">of a liquid to the density of water or the ratio of the density of a gas to the density of air at standard conditions. </w:t>
            </w:r>
          </w:p>
          <w:bookmarkEnd w:id="2"/>
          <w:p w14:paraId="315E037A" w14:textId="77777777" w:rsidR="003F0BA8" w:rsidRPr="00FB19F8" w:rsidRDefault="002B22F8" w:rsidP="003F0BA8">
            <w:pPr>
              <w:rPr>
                <w:sz w:val="21"/>
                <w:szCs w:val="21"/>
              </w:rPr>
            </w:pPr>
            <w:r>
              <w:rPr>
                <w:sz w:val="21"/>
                <w:szCs w:val="21"/>
                <w:vertAlign w:val="superscript"/>
              </w:rPr>
              <w:t>3</w:t>
            </w:r>
            <w:r w:rsidR="003F0BA8" w:rsidRPr="00FB19F8">
              <w:rPr>
                <w:sz w:val="21"/>
                <w:szCs w:val="21"/>
              </w:rPr>
              <w:t xml:space="preserve">NOTE: Liquid storage is at </w:t>
            </w:r>
            <w:r w:rsidR="0094006B" w:rsidRPr="00FB19F8">
              <w:rPr>
                <w:sz w:val="21"/>
                <w:szCs w:val="21"/>
              </w:rPr>
              <w:t xml:space="preserve">a </w:t>
            </w:r>
            <w:r w:rsidR="003F0BA8" w:rsidRPr="00FB19F8">
              <w:rPr>
                <w:sz w:val="21"/>
                <w:szCs w:val="21"/>
              </w:rPr>
              <w:t xml:space="preserve">pressure of 1 </w:t>
            </w:r>
            <w:r w:rsidR="0096227F" w:rsidRPr="00FB19F8">
              <w:rPr>
                <w:sz w:val="21"/>
                <w:szCs w:val="21"/>
              </w:rPr>
              <w:t xml:space="preserve">MPa </w:t>
            </w:r>
            <w:r w:rsidR="003F0BA8" w:rsidRPr="00FB19F8">
              <w:rPr>
                <w:sz w:val="21"/>
                <w:szCs w:val="21"/>
              </w:rPr>
              <w:t>(150 psi).</w:t>
            </w:r>
          </w:p>
          <w:p w14:paraId="7EB82F31" w14:textId="77777777" w:rsidR="003F0BA8" w:rsidRPr="00FB19F8" w:rsidRDefault="002B22F8" w:rsidP="003F0BA8">
            <w:pPr>
              <w:rPr>
                <w:sz w:val="21"/>
                <w:szCs w:val="21"/>
              </w:rPr>
            </w:pPr>
            <w:r>
              <w:rPr>
                <w:sz w:val="21"/>
                <w:szCs w:val="21"/>
                <w:vertAlign w:val="superscript"/>
              </w:rPr>
              <w:t>4</w:t>
            </w:r>
            <w:r w:rsidR="003F0BA8" w:rsidRPr="00FB19F8">
              <w:rPr>
                <w:sz w:val="21"/>
                <w:szCs w:val="21"/>
              </w:rPr>
              <w:t>Retail motor-fuel application</w:t>
            </w:r>
          </w:p>
          <w:p w14:paraId="7AF75CC3" w14:textId="77777777" w:rsidR="003F0BA8" w:rsidRPr="00FB19F8" w:rsidRDefault="003F0BA8" w:rsidP="003F0BA8">
            <w:pPr>
              <w:rPr>
                <w:sz w:val="21"/>
                <w:szCs w:val="21"/>
              </w:rPr>
            </w:pPr>
            <w:r w:rsidRPr="00FB19F8">
              <w:rPr>
                <w:sz w:val="21"/>
                <w:szCs w:val="21"/>
              </w:rPr>
              <w:t>At this time the weights and measures community has only addressed retail sales of gaseous (rather than liquid) hydrogen for vehicle refueling applications.</w:t>
            </w:r>
          </w:p>
          <w:p w14:paraId="7EAEAFAE" w14:textId="77777777" w:rsidR="002B22F8" w:rsidRDefault="002B22F8" w:rsidP="003F0BA8">
            <w:pPr>
              <w:rPr>
                <w:sz w:val="21"/>
                <w:szCs w:val="21"/>
                <w:vertAlign w:val="superscript"/>
              </w:rPr>
            </w:pPr>
            <w:r w:rsidRPr="00940D67">
              <w:rPr>
                <w:sz w:val="21"/>
                <w:szCs w:val="21"/>
                <w:vertAlign w:val="superscript"/>
              </w:rPr>
              <w:t>5</w:t>
            </w:r>
            <w:r w:rsidRPr="00FB19F8">
              <w:rPr>
                <w:sz w:val="21"/>
                <w:szCs w:val="21"/>
              </w:rPr>
              <w:t xml:space="preserve">Diesel Gallon Equivalent (DGE) means 6.059 </w:t>
            </w:r>
            <w:r w:rsidR="00AB29C9">
              <w:rPr>
                <w:sz w:val="21"/>
                <w:szCs w:val="21"/>
              </w:rPr>
              <w:t>lb</w:t>
            </w:r>
            <w:r w:rsidR="00AB29C9" w:rsidRPr="00FB19F8">
              <w:rPr>
                <w:sz w:val="21"/>
                <w:szCs w:val="21"/>
              </w:rPr>
              <w:t xml:space="preserve"> </w:t>
            </w:r>
            <w:r w:rsidRPr="00FB19F8">
              <w:rPr>
                <w:sz w:val="21"/>
                <w:szCs w:val="21"/>
              </w:rPr>
              <w:t>of liquefied natural gas</w:t>
            </w:r>
            <w:r w:rsidR="00AB29C9">
              <w:rPr>
                <w:sz w:val="21"/>
                <w:szCs w:val="21"/>
              </w:rPr>
              <w:t>.</w:t>
            </w:r>
          </w:p>
          <w:p w14:paraId="0E969662" w14:textId="77777777" w:rsidR="003F0BA8" w:rsidRPr="00FB19F8" w:rsidRDefault="002B22F8" w:rsidP="003F0BA8">
            <w:pPr>
              <w:rPr>
                <w:sz w:val="21"/>
                <w:szCs w:val="21"/>
              </w:rPr>
            </w:pPr>
            <w:r>
              <w:rPr>
                <w:sz w:val="21"/>
                <w:szCs w:val="21"/>
                <w:vertAlign w:val="superscript"/>
              </w:rPr>
              <w:t>6</w:t>
            </w:r>
            <w:r w:rsidR="005F74C4" w:rsidRPr="00FB19F8">
              <w:rPr>
                <w:sz w:val="21"/>
                <w:szCs w:val="21"/>
                <w:vertAlign w:val="superscript"/>
              </w:rPr>
              <w:t xml:space="preserve"> </w:t>
            </w:r>
            <w:r w:rsidR="005F74C4" w:rsidRPr="00FB19F8">
              <w:rPr>
                <w:sz w:val="21"/>
                <w:szCs w:val="21"/>
              </w:rPr>
              <w:t xml:space="preserve">atm </w:t>
            </w:r>
            <w:r w:rsidR="00AB29C9">
              <w:rPr>
                <w:sz w:val="21"/>
                <w:szCs w:val="21"/>
              </w:rPr>
              <w:t>–</w:t>
            </w:r>
            <w:r w:rsidR="005F74C4" w:rsidRPr="00FB19F8">
              <w:rPr>
                <w:sz w:val="21"/>
                <w:szCs w:val="21"/>
              </w:rPr>
              <w:t xml:space="preserve"> atmosphere </w:t>
            </w:r>
          </w:p>
          <w:p w14:paraId="4213DDEE" w14:textId="77777777" w:rsidR="00FB19F8" w:rsidRPr="00FB19F8" w:rsidRDefault="002B22F8">
            <w:pPr>
              <w:rPr>
                <w:sz w:val="21"/>
                <w:szCs w:val="21"/>
              </w:rPr>
            </w:pPr>
            <w:r>
              <w:rPr>
                <w:sz w:val="21"/>
                <w:szCs w:val="21"/>
                <w:vertAlign w:val="superscript"/>
              </w:rPr>
              <w:t>7</w:t>
            </w:r>
            <w:r w:rsidR="00F2740C" w:rsidRPr="00FB19F8">
              <w:rPr>
                <w:sz w:val="21"/>
                <w:szCs w:val="21"/>
              </w:rPr>
              <w:t xml:space="preserve">Gasoline Gallon Equivalent (GGE) means 5.660 </w:t>
            </w:r>
            <w:r w:rsidR="00AB29C9">
              <w:rPr>
                <w:sz w:val="21"/>
                <w:szCs w:val="21"/>
              </w:rPr>
              <w:t>lb</w:t>
            </w:r>
            <w:r w:rsidR="00AB29C9" w:rsidRPr="00FB19F8">
              <w:rPr>
                <w:sz w:val="21"/>
                <w:szCs w:val="21"/>
              </w:rPr>
              <w:t xml:space="preserve"> </w:t>
            </w:r>
            <w:r w:rsidR="00F2740C" w:rsidRPr="00FB19F8">
              <w:rPr>
                <w:sz w:val="21"/>
                <w:szCs w:val="21"/>
              </w:rPr>
              <w:t xml:space="preserve">of compressed natural gas; Diesel Gallon Equivalent (DGE) means 6.384 </w:t>
            </w:r>
            <w:r w:rsidR="00AB29C9">
              <w:rPr>
                <w:sz w:val="21"/>
                <w:szCs w:val="21"/>
              </w:rPr>
              <w:t>lb</w:t>
            </w:r>
            <w:r w:rsidR="00AB29C9" w:rsidRPr="00FB19F8">
              <w:rPr>
                <w:sz w:val="21"/>
                <w:szCs w:val="21"/>
              </w:rPr>
              <w:t xml:space="preserve"> </w:t>
            </w:r>
            <w:r w:rsidR="00F2740C" w:rsidRPr="00FB19F8">
              <w:rPr>
                <w:sz w:val="21"/>
                <w:szCs w:val="21"/>
              </w:rPr>
              <w:t>of compressed natural gas</w:t>
            </w:r>
            <w:r w:rsidR="00AB29C9">
              <w:rPr>
                <w:sz w:val="21"/>
                <w:szCs w:val="21"/>
              </w:rPr>
              <w:t>.</w:t>
            </w:r>
          </w:p>
        </w:tc>
      </w:tr>
    </w:tbl>
    <w:p w14:paraId="1EFAAA2C" w14:textId="77777777" w:rsidR="003F0BA8" w:rsidRPr="003F0BA8" w:rsidRDefault="003F0BA8"/>
    <w:sectPr w:rsidR="003F0BA8" w:rsidRPr="003F0BA8" w:rsidSect="00FB19F8">
      <w:footerReference w:type="default" r:id="rId22"/>
      <w:pgSz w:w="12240" w:h="15840"/>
      <w:pgMar w:top="937" w:right="1440" w:bottom="9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8525" w14:textId="77777777" w:rsidR="00CC100D" w:rsidRDefault="00CC100D" w:rsidP="00193C21">
      <w:pPr>
        <w:spacing w:after="0" w:line="240" w:lineRule="auto"/>
      </w:pPr>
      <w:r>
        <w:separator/>
      </w:r>
    </w:p>
  </w:endnote>
  <w:endnote w:type="continuationSeparator" w:id="0">
    <w:p w14:paraId="2C45AA33" w14:textId="77777777" w:rsidR="00CC100D" w:rsidRDefault="00CC100D" w:rsidP="0019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92442135"/>
      <w:docPartObj>
        <w:docPartGallery w:val="Page Numbers (Bottom of Page)"/>
        <w:docPartUnique/>
      </w:docPartObj>
    </w:sdtPr>
    <w:sdtEndPr/>
    <w:sdtContent>
      <w:p w14:paraId="7EA6DF2B" w14:textId="77777777" w:rsidR="006C3345" w:rsidRPr="006C3345" w:rsidRDefault="006C3345">
        <w:pPr>
          <w:pStyle w:val="Footer"/>
          <w:rPr>
            <w:sz w:val="20"/>
            <w:szCs w:val="20"/>
          </w:rPr>
        </w:pPr>
        <w:r w:rsidRPr="006C3345">
          <w:rPr>
            <w:sz w:val="20"/>
            <w:szCs w:val="20"/>
          </w:rPr>
          <w:t>NIST Weights and Measures</w:t>
        </w:r>
        <w:r w:rsidRPr="006C3345">
          <w:rPr>
            <w:sz w:val="20"/>
            <w:szCs w:val="20"/>
          </w:rPr>
          <w:ptab w:relativeTo="margin" w:alignment="center" w:leader="none"/>
        </w:r>
        <w:r w:rsidRPr="006C3345">
          <w:rPr>
            <w:rStyle w:val="PageNumber"/>
            <w:sz w:val="20"/>
            <w:szCs w:val="20"/>
          </w:rPr>
          <w:fldChar w:fldCharType="begin"/>
        </w:r>
        <w:r w:rsidRPr="007C534C">
          <w:rPr>
            <w:rStyle w:val="PageNumber"/>
            <w:sz w:val="20"/>
            <w:szCs w:val="20"/>
            <w:rPrChange w:id="3" w:author="Crown, Linda D." w:date="2013-05-30T16:12:00Z">
              <w:rPr>
                <w:rStyle w:val="PageNumber"/>
                <w:sz w:val="18"/>
                <w:szCs w:val="18"/>
              </w:rPr>
            </w:rPrChange>
          </w:rPr>
          <w:instrText xml:space="preserve"> PAGE   \* MERGEFORMAT </w:instrText>
        </w:r>
        <w:r w:rsidRPr="006C3345">
          <w:rPr>
            <w:rStyle w:val="PageNumber"/>
            <w:sz w:val="20"/>
            <w:szCs w:val="20"/>
          </w:rPr>
          <w:fldChar w:fldCharType="separate"/>
        </w:r>
        <w:r>
          <w:rPr>
            <w:rStyle w:val="PageNumber"/>
            <w:noProof/>
            <w:sz w:val="20"/>
            <w:szCs w:val="20"/>
          </w:rPr>
          <w:t>1</w:t>
        </w:r>
        <w:r w:rsidRPr="006C3345">
          <w:rPr>
            <w:rStyle w:val="PageNumber"/>
            <w:sz w:val="20"/>
            <w:szCs w:val="20"/>
          </w:rPr>
          <w:fldChar w:fldCharType="end"/>
        </w:r>
        <w:r w:rsidRPr="006C3345">
          <w:rPr>
            <w:rStyle w:val="PageNumber"/>
            <w:sz w:val="20"/>
            <w:szCs w:val="20"/>
          </w:rPr>
          <w:t xml:space="preserve"> of </w:t>
        </w:r>
        <w:r w:rsidRPr="006C3345">
          <w:fldChar w:fldCharType="begin"/>
        </w:r>
        <w:r w:rsidRPr="006C3345">
          <w:rPr>
            <w:sz w:val="20"/>
            <w:szCs w:val="20"/>
          </w:rPr>
          <w:instrText xml:space="preserve"> NUMPAGES   \* MERGEFORMAT </w:instrText>
        </w:r>
        <w:r w:rsidRPr="006C3345">
          <w:rPr>
            <w:rPrChange w:id="4" w:author="Crown, Linda D." w:date="2013-05-30T16:12:00Z">
              <w:rPr>
                <w:rStyle w:val="PageNumber"/>
                <w:noProof/>
                <w:sz w:val="20"/>
                <w:szCs w:val="20"/>
              </w:rPr>
            </w:rPrChange>
          </w:rPr>
          <w:fldChar w:fldCharType="separate"/>
        </w:r>
        <w:r w:rsidRPr="00500B30">
          <w:rPr>
            <w:rStyle w:val="PageNumber"/>
            <w:noProof/>
          </w:rPr>
          <w:t>2</w:t>
        </w:r>
        <w:r w:rsidRPr="006C3345">
          <w:rPr>
            <w:rStyle w:val="PageNumber"/>
            <w:noProof/>
            <w:sz w:val="20"/>
            <w:szCs w:val="20"/>
          </w:rPr>
          <w:fldChar w:fldCharType="end"/>
        </w:r>
        <w:r w:rsidRPr="006C3345">
          <w:rPr>
            <w:sz w:val="20"/>
            <w:szCs w:val="20"/>
          </w:rPr>
          <w:ptab w:relativeTo="margin" w:alignment="right" w:leader="none"/>
        </w:r>
        <w:r w:rsidR="007117DD">
          <w:rPr>
            <w:sz w:val="20"/>
            <w:szCs w:val="20"/>
          </w:rPr>
          <w:t>Septem</w:t>
        </w:r>
        <w:r>
          <w:rPr>
            <w:sz w:val="20"/>
            <w:szCs w:val="20"/>
          </w:rPr>
          <w:t>ber 201</w:t>
        </w:r>
        <w:r w:rsidR="007117DD">
          <w:rPr>
            <w:sz w:val="20"/>
            <w:szCs w:val="20"/>
          </w:rPr>
          <w:t>9</w:t>
        </w:r>
      </w:p>
    </w:sdtContent>
  </w:sdt>
  <w:p w14:paraId="62CC7379" w14:textId="77777777" w:rsidR="00041285" w:rsidRDefault="00041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636E2" w14:textId="77777777" w:rsidR="00CC100D" w:rsidRDefault="00CC100D" w:rsidP="00193C21">
      <w:pPr>
        <w:spacing w:after="0" w:line="240" w:lineRule="auto"/>
      </w:pPr>
      <w:r>
        <w:separator/>
      </w:r>
    </w:p>
  </w:footnote>
  <w:footnote w:type="continuationSeparator" w:id="0">
    <w:p w14:paraId="3BAAF077" w14:textId="77777777" w:rsidR="00CC100D" w:rsidRDefault="00CC100D" w:rsidP="00193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47F6"/>
    <w:multiLevelType w:val="hybridMultilevel"/>
    <w:tmpl w:val="C6F8C2EE"/>
    <w:lvl w:ilvl="0" w:tplc="53F8A1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25B5C"/>
    <w:multiLevelType w:val="hybridMultilevel"/>
    <w:tmpl w:val="3890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41B79"/>
    <w:multiLevelType w:val="hybridMultilevel"/>
    <w:tmpl w:val="1E644A74"/>
    <w:lvl w:ilvl="0" w:tplc="F7E219F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F2D44"/>
    <w:multiLevelType w:val="hybridMultilevel"/>
    <w:tmpl w:val="9452818E"/>
    <w:lvl w:ilvl="0" w:tplc="C5F6E0C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05969"/>
    <w:multiLevelType w:val="hybridMultilevel"/>
    <w:tmpl w:val="A1409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7F3E6B"/>
    <w:multiLevelType w:val="hybridMultilevel"/>
    <w:tmpl w:val="01E4EBCC"/>
    <w:lvl w:ilvl="0" w:tplc="7042059E">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728C1"/>
    <w:multiLevelType w:val="hybridMultilevel"/>
    <w:tmpl w:val="9570792A"/>
    <w:lvl w:ilvl="0" w:tplc="7042F48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20647C6"/>
    <w:multiLevelType w:val="hybridMultilevel"/>
    <w:tmpl w:val="6CC2C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B5EBD"/>
    <w:multiLevelType w:val="hybridMultilevel"/>
    <w:tmpl w:val="A2A2A414"/>
    <w:lvl w:ilvl="0" w:tplc="52E0A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641CF"/>
    <w:multiLevelType w:val="hybridMultilevel"/>
    <w:tmpl w:val="BACC9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23BF4"/>
    <w:multiLevelType w:val="hybridMultilevel"/>
    <w:tmpl w:val="997E20F8"/>
    <w:lvl w:ilvl="0" w:tplc="4CDE6C9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F39A8"/>
    <w:multiLevelType w:val="hybridMultilevel"/>
    <w:tmpl w:val="4280A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6"/>
  </w:num>
  <w:num w:numId="3">
    <w:abstractNumId w:val="1"/>
  </w:num>
  <w:num w:numId="4">
    <w:abstractNumId w:val="7"/>
  </w:num>
  <w:num w:numId="5">
    <w:abstractNumId w:val="3"/>
  </w:num>
  <w:num w:numId="6">
    <w:abstractNumId w:val="10"/>
  </w:num>
  <w:num w:numId="7">
    <w:abstractNumId w:val="2"/>
  </w:num>
  <w:num w:numId="8">
    <w:abstractNumId w:val="6"/>
  </w:num>
  <w:num w:numId="9">
    <w:abstractNumId w:val="5"/>
  </w:num>
  <w:num w:numId="10">
    <w:abstractNumId w:val="0"/>
  </w:num>
  <w:num w:numId="11">
    <w:abstractNumId w:val="8"/>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D5"/>
    <w:rsid w:val="00001B5F"/>
    <w:rsid w:val="00002F0C"/>
    <w:rsid w:val="00003ABB"/>
    <w:rsid w:val="00005AEF"/>
    <w:rsid w:val="00041285"/>
    <w:rsid w:val="000425F1"/>
    <w:rsid w:val="00043070"/>
    <w:rsid w:val="00046EB6"/>
    <w:rsid w:val="00047DD7"/>
    <w:rsid w:val="000507D2"/>
    <w:rsid w:val="00050B21"/>
    <w:rsid w:val="00053182"/>
    <w:rsid w:val="00053ED4"/>
    <w:rsid w:val="000549AB"/>
    <w:rsid w:val="00056371"/>
    <w:rsid w:val="000575D5"/>
    <w:rsid w:val="000705CB"/>
    <w:rsid w:val="00071D41"/>
    <w:rsid w:val="000808A6"/>
    <w:rsid w:val="000932BE"/>
    <w:rsid w:val="0009339C"/>
    <w:rsid w:val="00094DB8"/>
    <w:rsid w:val="000A52D4"/>
    <w:rsid w:val="000A571C"/>
    <w:rsid w:val="000C36B6"/>
    <w:rsid w:val="000C5F8A"/>
    <w:rsid w:val="000D1081"/>
    <w:rsid w:val="000D1EEC"/>
    <w:rsid w:val="000D4045"/>
    <w:rsid w:val="000D6E4C"/>
    <w:rsid w:val="000D7770"/>
    <w:rsid w:val="000D7C09"/>
    <w:rsid w:val="000E5271"/>
    <w:rsid w:val="000F0D54"/>
    <w:rsid w:val="000F3840"/>
    <w:rsid w:val="000F3BA3"/>
    <w:rsid w:val="000F3C04"/>
    <w:rsid w:val="00107537"/>
    <w:rsid w:val="001109FB"/>
    <w:rsid w:val="001112A7"/>
    <w:rsid w:val="00113026"/>
    <w:rsid w:val="00116B46"/>
    <w:rsid w:val="00122C5A"/>
    <w:rsid w:val="0012325F"/>
    <w:rsid w:val="00127F90"/>
    <w:rsid w:val="0013157C"/>
    <w:rsid w:val="001341EC"/>
    <w:rsid w:val="00134A5C"/>
    <w:rsid w:val="00134B92"/>
    <w:rsid w:val="00135410"/>
    <w:rsid w:val="00136519"/>
    <w:rsid w:val="00142673"/>
    <w:rsid w:val="001445F1"/>
    <w:rsid w:val="0014505B"/>
    <w:rsid w:val="00150D04"/>
    <w:rsid w:val="00153661"/>
    <w:rsid w:val="00165CE8"/>
    <w:rsid w:val="001679D0"/>
    <w:rsid w:val="00167D70"/>
    <w:rsid w:val="001745CB"/>
    <w:rsid w:val="00191A20"/>
    <w:rsid w:val="00193C21"/>
    <w:rsid w:val="001A06CF"/>
    <w:rsid w:val="001A2089"/>
    <w:rsid w:val="001A5912"/>
    <w:rsid w:val="001A5B8A"/>
    <w:rsid w:val="001A5F10"/>
    <w:rsid w:val="001B09E6"/>
    <w:rsid w:val="001B0C6A"/>
    <w:rsid w:val="001B2496"/>
    <w:rsid w:val="001B7EFD"/>
    <w:rsid w:val="001C597D"/>
    <w:rsid w:val="001D0DC3"/>
    <w:rsid w:val="001D2FC7"/>
    <w:rsid w:val="001D51C7"/>
    <w:rsid w:val="001E096D"/>
    <w:rsid w:val="001E4B99"/>
    <w:rsid w:val="001E65F3"/>
    <w:rsid w:val="001E69D0"/>
    <w:rsid w:val="001E712E"/>
    <w:rsid w:val="001F05A1"/>
    <w:rsid w:val="001F5B30"/>
    <w:rsid w:val="00212BF2"/>
    <w:rsid w:val="00213301"/>
    <w:rsid w:val="00215AF2"/>
    <w:rsid w:val="00217C71"/>
    <w:rsid w:val="002222D5"/>
    <w:rsid w:val="00224971"/>
    <w:rsid w:val="00225BA4"/>
    <w:rsid w:val="002302C6"/>
    <w:rsid w:val="002434FB"/>
    <w:rsid w:val="002524DA"/>
    <w:rsid w:val="00253545"/>
    <w:rsid w:val="00253FDF"/>
    <w:rsid w:val="00262A61"/>
    <w:rsid w:val="00267B33"/>
    <w:rsid w:val="00271797"/>
    <w:rsid w:val="00280DD3"/>
    <w:rsid w:val="002821F8"/>
    <w:rsid w:val="00287CD7"/>
    <w:rsid w:val="00287E97"/>
    <w:rsid w:val="00292387"/>
    <w:rsid w:val="00292F22"/>
    <w:rsid w:val="002952A3"/>
    <w:rsid w:val="00296FD3"/>
    <w:rsid w:val="0029780B"/>
    <w:rsid w:val="002A0369"/>
    <w:rsid w:val="002A1284"/>
    <w:rsid w:val="002A1FE2"/>
    <w:rsid w:val="002A46C9"/>
    <w:rsid w:val="002A7BA1"/>
    <w:rsid w:val="002B22F8"/>
    <w:rsid w:val="002B2805"/>
    <w:rsid w:val="002B7360"/>
    <w:rsid w:val="002C2CA0"/>
    <w:rsid w:val="002C565C"/>
    <w:rsid w:val="002D14E2"/>
    <w:rsid w:val="002D1ED7"/>
    <w:rsid w:val="002D78D4"/>
    <w:rsid w:val="002E4BB6"/>
    <w:rsid w:val="002E5EEC"/>
    <w:rsid w:val="002F73B0"/>
    <w:rsid w:val="002F780D"/>
    <w:rsid w:val="00301CB7"/>
    <w:rsid w:val="003064CC"/>
    <w:rsid w:val="00315CD5"/>
    <w:rsid w:val="00322509"/>
    <w:rsid w:val="00324919"/>
    <w:rsid w:val="00325A84"/>
    <w:rsid w:val="00327B17"/>
    <w:rsid w:val="00330170"/>
    <w:rsid w:val="00331FD5"/>
    <w:rsid w:val="003448D6"/>
    <w:rsid w:val="00344D7D"/>
    <w:rsid w:val="0035056A"/>
    <w:rsid w:val="00352504"/>
    <w:rsid w:val="00354DD5"/>
    <w:rsid w:val="00372097"/>
    <w:rsid w:val="003734B1"/>
    <w:rsid w:val="00374D6E"/>
    <w:rsid w:val="00380591"/>
    <w:rsid w:val="00381BD6"/>
    <w:rsid w:val="00387118"/>
    <w:rsid w:val="003A22CC"/>
    <w:rsid w:val="003A45B6"/>
    <w:rsid w:val="003C14A6"/>
    <w:rsid w:val="003C2C04"/>
    <w:rsid w:val="003D3BE7"/>
    <w:rsid w:val="003D4C38"/>
    <w:rsid w:val="003D53B6"/>
    <w:rsid w:val="003D7AB1"/>
    <w:rsid w:val="003E0D10"/>
    <w:rsid w:val="003E115D"/>
    <w:rsid w:val="003E133D"/>
    <w:rsid w:val="003E1DED"/>
    <w:rsid w:val="003E444B"/>
    <w:rsid w:val="003F0BA8"/>
    <w:rsid w:val="003F17AD"/>
    <w:rsid w:val="003F4BC5"/>
    <w:rsid w:val="003F6E23"/>
    <w:rsid w:val="003F72C6"/>
    <w:rsid w:val="00400403"/>
    <w:rsid w:val="00404B58"/>
    <w:rsid w:val="00412209"/>
    <w:rsid w:val="00413047"/>
    <w:rsid w:val="00416050"/>
    <w:rsid w:val="00422618"/>
    <w:rsid w:val="004229E2"/>
    <w:rsid w:val="00430AFB"/>
    <w:rsid w:val="00440FA2"/>
    <w:rsid w:val="00444107"/>
    <w:rsid w:val="004471E7"/>
    <w:rsid w:val="00447AAA"/>
    <w:rsid w:val="00450429"/>
    <w:rsid w:val="00451030"/>
    <w:rsid w:val="00454EE4"/>
    <w:rsid w:val="00455A51"/>
    <w:rsid w:val="00460B98"/>
    <w:rsid w:val="0046594B"/>
    <w:rsid w:val="00475697"/>
    <w:rsid w:val="00477A84"/>
    <w:rsid w:val="00477B69"/>
    <w:rsid w:val="00492129"/>
    <w:rsid w:val="004A3420"/>
    <w:rsid w:val="004A40E7"/>
    <w:rsid w:val="004A5BCD"/>
    <w:rsid w:val="004A63B9"/>
    <w:rsid w:val="004A64A9"/>
    <w:rsid w:val="004A7AB7"/>
    <w:rsid w:val="004B0C44"/>
    <w:rsid w:val="004B15B0"/>
    <w:rsid w:val="004C0D94"/>
    <w:rsid w:val="004C10B3"/>
    <w:rsid w:val="004C3F23"/>
    <w:rsid w:val="004C7E99"/>
    <w:rsid w:val="004D11CF"/>
    <w:rsid w:val="004D2025"/>
    <w:rsid w:val="004D2717"/>
    <w:rsid w:val="004D776A"/>
    <w:rsid w:val="004E0B76"/>
    <w:rsid w:val="004E340E"/>
    <w:rsid w:val="004E71F7"/>
    <w:rsid w:val="004F6184"/>
    <w:rsid w:val="004F7436"/>
    <w:rsid w:val="00503842"/>
    <w:rsid w:val="00504044"/>
    <w:rsid w:val="005049D9"/>
    <w:rsid w:val="0050667C"/>
    <w:rsid w:val="005072CC"/>
    <w:rsid w:val="00507682"/>
    <w:rsid w:val="00512058"/>
    <w:rsid w:val="0051338E"/>
    <w:rsid w:val="00513892"/>
    <w:rsid w:val="0053059B"/>
    <w:rsid w:val="005318A6"/>
    <w:rsid w:val="00534FF6"/>
    <w:rsid w:val="00535A42"/>
    <w:rsid w:val="00536870"/>
    <w:rsid w:val="0054098F"/>
    <w:rsid w:val="00541011"/>
    <w:rsid w:val="00545DA2"/>
    <w:rsid w:val="0055080E"/>
    <w:rsid w:val="00553D53"/>
    <w:rsid w:val="005574F8"/>
    <w:rsid w:val="00565BC8"/>
    <w:rsid w:val="00565DE7"/>
    <w:rsid w:val="005660C7"/>
    <w:rsid w:val="00571C00"/>
    <w:rsid w:val="0057214B"/>
    <w:rsid w:val="0057354D"/>
    <w:rsid w:val="005738DC"/>
    <w:rsid w:val="00582A46"/>
    <w:rsid w:val="005853E2"/>
    <w:rsid w:val="005858A0"/>
    <w:rsid w:val="00587783"/>
    <w:rsid w:val="00594772"/>
    <w:rsid w:val="005961B1"/>
    <w:rsid w:val="00596EFE"/>
    <w:rsid w:val="00597A15"/>
    <w:rsid w:val="005A2BAE"/>
    <w:rsid w:val="005A7677"/>
    <w:rsid w:val="005A7DC1"/>
    <w:rsid w:val="005B27FB"/>
    <w:rsid w:val="005B4212"/>
    <w:rsid w:val="005B75BC"/>
    <w:rsid w:val="005C10C6"/>
    <w:rsid w:val="005C17B0"/>
    <w:rsid w:val="005C30E0"/>
    <w:rsid w:val="005C3FB8"/>
    <w:rsid w:val="005C5B12"/>
    <w:rsid w:val="005D0328"/>
    <w:rsid w:val="005D0505"/>
    <w:rsid w:val="005D06A3"/>
    <w:rsid w:val="005D1BF5"/>
    <w:rsid w:val="005D3916"/>
    <w:rsid w:val="005D447E"/>
    <w:rsid w:val="005D4606"/>
    <w:rsid w:val="005D75F1"/>
    <w:rsid w:val="005E18A8"/>
    <w:rsid w:val="005E552D"/>
    <w:rsid w:val="005F005F"/>
    <w:rsid w:val="005F142A"/>
    <w:rsid w:val="005F3698"/>
    <w:rsid w:val="005F64CB"/>
    <w:rsid w:val="005F7483"/>
    <w:rsid w:val="005F74C4"/>
    <w:rsid w:val="006120E2"/>
    <w:rsid w:val="00613652"/>
    <w:rsid w:val="00614463"/>
    <w:rsid w:val="00615E5D"/>
    <w:rsid w:val="00620110"/>
    <w:rsid w:val="00620D9F"/>
    <w:rsid w:val="00624E2B"/>
    <w:rsid w:val="0062682A"/>
    <w:rsid w:val="00633EF7"/>
    <w:rsid w:val="006359F5"/>
    <w:rsid w:val="00641EEF"/>
    <w:rsid w:val="00643ABC"/>
    <w:rsid w:val="00645757"/>
    <w:rsid w:val="00647C85"/>
    <w:rsid w:val="0065474E"/>
    <w:rsid w:val="006575A8"/>
    <w:rsid w:val="006675A2"/>
    <w:rsid w:val="00674A36"/>
    <w:rsid w:val="00682FD1"/>
    <w:rsid w:val="00686F19"/>
    <w:rsid w:val="00695847"/>
    <w:rsid w:val="006A2429"/>
    <w:rsid w:val="006A3A4E"/>
    <w:rsid w:val="006A4A85"/>
    <w:rsid w:val="006A5401"/>
    <w:rsid w:val="006A7EB4"/>
    <w:rsid w:val="006B15A8"/>
    <w:rsid w:val="006B240E"/>
    <w:rsid w:val="006B4F20"/>
    <w:rsid w:val="006C2B45"/>
    <w:rsid w:val="006C3345"/>
    <w:rsid w:val="006C4034"/>
    <w:rsid w:val="006C40BA"/>
    <w:rsid w:val="006C4D61"/>
    <w:rsid w:val="006C6581"/>
    <w:rsid w:val="006D457A"/>
    <w:rsid w:val="006D54CC"/>
    <w:rsid w:val="006D6F2F"/>
    <w:rsid w:val="006D71C2"/>
    <w:rsid w:val="006E7662"/>
    <w:rsid w:val="006E7AE0"/>
    <w:rsid w:val="006F43A0"/>
    <w:rsid w:val="006F5139"/>
    <w:rsid w:val="006F748D"/>
    <w:rsid w:val="00701BD5"/>
    <w:rsid w:val="00703704"/>
    <w:rsid w:val="0070512B"/>
    <w:rsid w:val="007100D9"/>
    <w:rsid w:val="00710128"/>
    <w:rsid w:val="007117DD"/>
    <w:rsid w:val="007142B8"/>
    <w:rsid w:val="00714FFB"/>
    <w:rsid w:val="00717ECD"/>
    <w:rsid w:val="00720311"/>
    <w:rsid w:val="00725557"/>
    <w:rsid w:val="00725ACE"/>
    <w:rsid w:val="00740C77"/>
    <w:rsid w:val="00742D53"/>
    <w:rsid w:val="00744A04"/>
    <w:rsid w:val="007462F1"/>
    <w:rsid w:val="0075245B"/>
    <w:rsid w:val="00754C47"/>
    <w:rsid w:val="0075560E"/>
    <w:rsid w:val="00756C2A"/>
    <w:rsid w:val="00761FA9"/>
    <w:rsid w:val="00762320"/>
    <w:rsid w:val="007635D1"/>
    <w:rsid w:val="007638D6"/>
    <w:rsid w:val="00763C13"/>
    <w:rsid w:val="00771CDA"/>
    <w:rsid w:val="00772B55"/>
    <w:rsid w:val="0077660E"/>
    <w:rsid w:val="00781FA2"/>
    <w:rsid w:val="00784AF7"/>
    <w:rsid w:val="007872D3"/>
    <w:rsid w:val="0079073F"/>
    <w:rsid w:val="00791599"/>
    <w:rsid w:val="007922A8"/>
    <w:rsid w:val="007936B4"/>
    <w:rsid w:val="007A53BD"/>
    <w:rsid w:val="007A6568"/>
    <w:rsid w:val="007A776B"/>
    <w:rsid w:val="007B0268"/>
    <w:rsid w:val="007B26CB"/>
    <w:rsid w:val="007C1B11"/>
    <w:rsid w:val="007C315B"/>
    <w:rsid w:val="007C32ED"/>
    <w:rsid w:val="007C3E33"/>
    <w:rsid w:val="007C49D4"/>
    <w:rsid w:val="007C6ACB"/>
    <w:rsid w:val="007D28BF"/>
    <w:rsid w:val="007D3C0B"/>
    <w:rsid w:val="007D6E59"/>
    <w:rsid w:val="007E3290"/>
    <w:rsid w:val="007F2890"/>
    <w:rsid w:val="00800A2A"/>
    <w:rsid w:val="00800C31"/>
    <w:rsid w:val="00801BBF"/>
    <w:rsid w:val="0080227F"/>
    <w:rsid w:val="00805C1B"/>
    <w:rsid w:val="00807B83"/>
    <w:rsid w:val="00811361"/>
    <w:rsid w:val="0081356F"/>
    <w:rsid w:val="0081422B"/>
    <w:rsid w:val="00820835"/>
    <w:rsid w:val="00823931"/>
    <w:rsid w:val="00826408"/>
    <w:rsid w:val="008345B6"/>
    <w:rsid w:val="0084002A"/>
    <w:rsid w:val="00843482"/>
    <w:rsid w:val="008522FA"/>
    <w:rsid w:val="00856CCE"/>
    <w:rsid w:val="00856FF9"/>
    <w:rsid w:val="00861105"/>
    <w:rsid w:val="0086144B"/>
    <w:rsid w:val="008615DB"/>
    <w:rsid w:val="00862207"/>
    <w:rsid w:val="00865BC2"/>
    <w:rsid w:val="0086700A"/>
    <w:rsid w:val="008704F1"/>
    <w:rsid w:val="00871E01"/>
    <w:rsid w:val="00874290"/>
    <w:rsid w:val="008817EC"/>
    <w:rsid w:val="00883568"/>
    <w:rsid w:val="008944DA"/>
    <w:rsid w:val="00894BD3"/>
    <w:rsid w:val="00897061"/>
    <w:rsid w:val="008A003F"/>
    <w:rsid w:val="008A6988"/>
    <w:rsid w:val="008A6DEC"/>
    <w:rsid w:val="008B1B8D"/>
    <w:rsid w:val="008B2392"/>
    <w:rsid w:val="008C3694"/>
    <w:rsid w:val="008D1D25"/>
    <w:rsid w:val="008D1E54"/>
    <w:rsid w:val="008D3CC6"/>
    <w:rsid w:val="008D639D"/>
    <w:rsid w:val="008F08CD"/>
    <w:rsid w:val="008F640B"/>
    <w:rsid w:val="008F683B"/>
    <w:rsid w:val="008F6C46"/>
    <w:rsid w:val="00900DF8"/>
    <w:rsid w:val="009031EA"/>
    <w:rsid w:val="00907EAC"/>
    <w:rsid w:val="009110DB"/>
    <w:rsid w:val="00913CB2"/>
    <w:rsid w:val="00913CF4"/>
    <w:rsid w:val="00916655"/>
    <w:rsid w:val="00921051"/>
    <w:rsid w:val="00922317"/>
    <w:rsid w:val="00930757"/>
    <w:rsid w:val="0094006B"/>
    <w:rsid w:val="00942210"/>
    <w:rsid w:val="00951BF3"/>
    <w:rsid w:val="00952722"/>
    <w:rsid w:val="009527C0"/>
    <w:rsid w:val="00952A32"/>
    <w:rsid w:val="00956FCA"/>
    <w:rsid w:val="00962016"/>
    <w:rsid w:val="0096227F"/>
    <w:rsid w:val="00963C32"/>
    <w:rsid w:val="009726A7"/>
    <w:rsid w:val="0097449F"/>
    <w:rsid w:val="009821E3"/>
    <w:rsid w:val="00985458"/>
    <w:rsid w:val="00987B9B"/>
    <w:rsid w:val="00990F5D"/>
    <w:rsid w:val="00994414"/>
    <w:rsid w:val="00997ABD"/>
    <w:rsid w:val="009A6DFF"/>
    <w:rsid w:val="009B2688"/>
    <w:rsid w:val="009B2A6D"/>
    <w:rsid w:val="009B6B94"/>
    <w:rsid w:val="009B7645"/>
    <w:rsid w:val="009C63CD"/>
    <w:rsid w:val="009E1118"/>
    <w:rsid w:val="009E1DAA"/>
    <w:rsid w:val="009E287B"/>
    <w:rsid w:val="009E301E"/>
    <w:rsid w:val="009E37E0"/>
    <w:rsid w:val="009E496D"/>
    <w:rsid w:val="009F714E"/>
    <w:rsid w:val="009F7837"/>
    <w:rsid w:val="00A05D17"/>
    <w:rsid w:val="00A07C44"/>
    <w:rsid w:val="00A11740"/>
    <w:rsid w:val="00A1439E"/>
    <w:rsid w:val="00A23839"/>
    <w:rsid w:val="00A26BD4"/>
    <w:rsid w:val="00A270EE"/>
    <w:rsid w:val="00A359A6"/>
    <w:rsid w:val="00A42609"/>
    <w:rsid w:val="00A46304"/>
    <w:rsid w:val="00A4730E"/>
    <w:rsid w:val="00A51CCD"/>
    <w:rsid w:val="00A54BA9"/>
    <w:rsid w:val="00A5617F"/>
    <w:rsid w:val="00A60D6D"/>
    <w:rsid w:val="00A621F4"/>
    <w:rsid w:val="00A66E29"/>
    <w:rsid w:val="00A7271C"/>
    <w:rsid w:val="00A7636A"/>
    <w:rsid w:val="00A81D67"/>
    <w:rsid w:val="00A83D45"/>
    <w:rsid w:val="00A85D66"/>
    <w:rsid w:val="00A9018B"/>
    <w:rsid w:val="00A92B3A"/>
    <w:rsid w:val="00A93398"/>
    <w:rsid w:val="00AA3460"/>
    <w:rsid w:val="00AA700F"/>
    <w:rsid w:val="00AB09EB"/>
    <w:rsid w:val="00AB2145"/>
    <w:rsid w:val="00AB29C9"/>
    <w:rsid w:val="00AB3146"/>
    <w:rsid w:val="00AB4FA1"/>
    <w:rsid w:val="00AB6B51"/>
    <w:rsid w:val="00AB76D4"/>
    <w:rsid w:val="00AC5C5D"/>
    <w:rsid w:val="00AC5F73"/>
    <w:rsid w:val="00AC7C93"/>
    <w:rsid w:val="00AD0A04"/>
    <w:rsid w:val="00AE01A5"/>
    <w:rsid w:val="00AE07F1"/>
    <w:rsid w:val="00AE2508"/>
    <w:rsid w:val="00AE3392"/>
    <w:rsid w:val="00AE3D8B"/>
    <w:rsid w:val="00AE3E36"/>
    <w:rsid w:val="00AF002A"/>
    <w:rsid w:val="00AF5EBB"/>
    <w:rsid w:val="00B0466E"/>
    <w:rsid w:val="00B12ECB"/>
    <w:rsid w:val="00B139D2"/>
    <w:rsid w:val="00B2051C"/>
    <w:rsid w:val="00B21E77"/>
    <w:rsid w:val="00B2387B"/>
    <w:rsid w:val="00B41FF3"/>
    <w:rsid w:val="00B421AA"/>
    <w:rsid w:val="00B43F64"/>
    <w:rsid w:val="00B4491F"/>
    <w:rsid w:val="00B462B6"/>
    <w:rsid w:val="00B46E84"/>
    <w:rsid w:val="00B4729A"/>
    <w:rsid w:val="00B50880"/>
    <w:rsid w:val="00B52A6F"/>
    <w:rsid w:val="00B57158"/>
    <w:rsid w:val="00B6170E"/>
    <w:rsid w:val="00B70C06"/>
    <w:rsid w:val="00B70E73"/>
    <w:rsid w:val="00B716C5"/>
    <w:rsid w:val="00B724C8"/>
    <w:rsid w:val="00B73653"/>
    <w:rsid w:val="00B804A7"/>
    <w:rsid w:val="00B818CE"/>
    <w:rsid w:val="00B86399"/>
    <w:rsid w:val="00B90C7E"/>
    <w:rsid w:val="00B961E2"/>
    <w:rsid w:val="00B96838"/>
    <w:rsid w:val="00BA0A99"/>
    <w:rsid w:val="00BA5BD7"/>
    <w:rsid w:val="00BA6C39"/>
    <w:rsid w:val="00BB28B7"/>
    <w:rsid w:val="00BB3D23"/>
    <w:rsid w:val="00BB7537"/>
    <w:rsid w:val="00BB7AC0"/>
    <w:rsid w:val="00BC372D"/>
    <w:rsid w:val="00BC4127"/>
    <w:rsid w:val="00BC458C"/>
    <w:rsid w:val="00BD6117"/>
    <w:rsid w:val="00BE05BC"/>
    <w:rsid w:val="00BE0E55"/>
    <w:rsid w:val="00BE2B4F"/>
    <w:rsid w:val="00BE59AE"/>
    <w:rsid w:val="00BF0A69"/>
    <w:rsid w:val="00BF3BC0"/>
    <w:rsid w:val="00BF4266"/>
    <w:rsid w:val="00BF6030"/>
    <w:rsid w:val="00C00E49"/>
    <w:rsid w:val="00C04866"/>
    <w:rsid w:val="00C061BE"/>
    <w:rsid w:val="00C12823"/>
    <w:rsid w:val="00C14C94"/>
    <w:rsid w:val="00C163BA"/>
    <w:rsid w:val="00C23995"/>
    <w:rsid w:val="00C32C01"/>
    <w:rsid w:val="00C36EB7"/>
    <w:rsid w:val="00C37614"/>
    <w:rsid w:val="00C424BB"/>
    <w:rsid w:val="00C50ACC"/>
    <w:rsid w:val="00C52BFB"/>
    <w:rsid w:val="00C52F79"/>
    <w:rsid w:val="00C55012"/>
    <w:rsid w:val="00C578CD"/>
    <w:rsid w:val="00C60D88"/>
    <w:rsid w:val="00C61D7A"/>
    <w:rsid w:val="00C64F0A"/>
    <w:rsid w:val="00C70F9D"/>
    <w:rsid w:val="00C73606"/>
    <w:rsid w:val="00C75307"/>
    <w:rsid w:val="00C7731B"/>
    <w:rsid w:val="00C77FD4"/>
    <w:rsid w:val="00C873B0"/>
    <w:rsid w:val="00C90760"/>
    <w:rsid w:val="00C95175"/>
    <w:rsid w:val="00C97311"/>
    <w:rsid w:val="00CA467B"/>
    <w:rsid w:val="00CA6F33"/>
    <w:rsid w:val="00CB40D0"/>
    <w:rsid w:val="00CB495D"/>
    <w:rsid w:val="00CB7DCA"/>
    <w:rsid w:val="00CC100D"/>
    <w:rsid w:val="00CC259B"/>
    <w:rsid w:val="00CC5253"/>
    <w:rsid w:val="00CD204B"/>
    <w:rsid w:val="00CE2B83"/>
    <w:rsid w:val="00CE563E"/>
    <w:rsid w:val="00CE6085"/>
    <w:rsid w:val="00CF0300"/>
    <w:rsid w:val="00CF3C18"/>
    <w:rsid w:val="00D02583"/>
    <w:rsid w:val="00D03848"/>
    <w:rsid w:val="00D047AF"/>
    <w:rsid w:val="00D11632"/>
    <w:rsid w:val="00D12E5D"/>
    <w:rsid w:val="00D16DF5"/>
    <w:rsid w:val="00D21FBE"/>
    <w:rsid w:val="00D221E3"/>
    <w:rsid w:val="00D22C48"/>
    <w:rsid w:val="00D24C71"/>
    <w:rsid w:val="00D25D2B"/>
    <w:rsid w:val="00D26A45"/>
    <w:rsid w:val="00D321FC"/>
    <w:rsid w:val="00D34B68"/>
    <w:rsid w:val="00D37020"/>
    <w:rsid w:val="00D410F3"/>
    <w:rsid w:val="00D440C1"/>
    <w:rsid w:val="00D445A0"/>
    <w:rsid w:val="00D4579E"/>
    <w:rsid w:val="00D45D73"/>
    <w:rsid w:val="00D4709C"/>
    <w:rsid w:val="00D51255"/>
    <w:rsid w:val="00D515B0"/>
    <w:rsid w:val="00D56F0E"/>
    <w:rsid w:val="00D5727D"/>
    <w:rsid w:val="00D577B2"/>
    <w:rsid w:val="00D62D59"/>
    <w:rsid w:val="00D65C9B"/>
    <w:rsid w:val="00D70D56"/>
    <w:rsid w:val="00D72F23"/>
    <w:rsid w:val="00D76AED"/>
    <w:rsid w:val="00D77B3B"/>
    <w:rsid w:val="00D84AFF"/>
    <w:rsid w:val="00D92BE2"/>
    <w:rsid w:val="00D92D73"/>
    <w:rsid w:val="00D94AFE"/>
    <w:rsid w:val="00D95E0E"/>
    <w:rsid w:val="00D96967"/>
    <w:rsid w:val="00DA09FB"/>
    <w:rsid w:val="00DA268E"/>
    <w:rsid w:val="00DA280B"/>
    <w:rsid w:val="00DA2BD5"/>
    <w:rsid w:val="00DA6020"/>
    <w:rsid w:val="00DB18B0"/>
    <w:rsid w:val="00DB28E1"/>
    <w:rsid w:val="00DC06DD"/>
    <w:rsid w:val="00DC2601"/>
    <w:rsid w:val="00DC444D"/>
    <w:rsid w:val="00DD1317"/>
    <w:rsid w:val="00DD1CA8"/>
    <w:rsid w:val="00DD3215"/>
    <w:rsid w:val="00DD4589"/>
    <w:rsid w:val="00DD6903"/>
    <w:rsid w:val="00DD7E6F"/>
    <w:rsid w:val="00DE340B"/>
    <w:rsid w:val="00DE5875"/>
    <w:rsid w:val="00DE5A24"/>
    <w:rsid w:val="00DE5C63"/>
    <w:rsid w:val="00DE64AA"/>
    <w:rsid w:val="00DF4B0C"/>
    <w:rsid w:val="00E01306"/>
    <w:rsid w:val="00E04B3F"/>
    <w:rsid w:val="00E04E62"/>
    <w:rsid w:val="00E05828"/>
    <w:rsid w:val="00E07C29"/>
    <w:rsid w:val="00E15EA9"/>
    <w:rsid w:val="00E21DBE"/>
    <w:rsid w:val="00E22489"/>
    <w:rsid w:val="00E23753"/>
    <w:rsid w:val="00E24256"/>
    <w:rsid w:val="00E26F73"/>
    <w:rsid w:val="00E31D33"/>
    <w:rsid w:val="00E34C48"/>
    <w:rsid w:val="00E52985"/>
    <w:rsid w:val="00E5676B"/>
    <w:rsid w:val="00E64DE0"/>
    <w:rsid w:val="00E709DD"/>
    <w:rsid w:val="00E73CAF"/>
    <w:rsid w:val="00E827C0"/>
    <w:rsid w:val="00E83EEC"/>
    <w:rsid w:val="00E8528C"/>
    <w:rsid w:val="00E85794"/>
    <w:rsid w:val="00E9406A"/>
    <w:rsid w:val="00EA08DF"/>
    <w:rsid w:val="00EA354D"/>
    <w:rsid w:val="00EA6FE9"/>
    <w:rsid w:val="00EB2622"/>
    <w:rsid w:val="00EB4A48"/>
    <w:rsid w:val="00EB5E75"/>
    <w:rsid w:val="00EB6B52"/>
    <w:rsid w:val="00EC3634"/>
    <w:rsid w:val="00EC4BE1"/>
    <w:rsid w:val="00EC5977"/>
    <w:rsid w:val="00ED6FD3"/>
    <w:rsid w:val="00EE069C"/>
    <w:rsid w:val="00EE08C5"/>
    <w:rsid w:val="00EF274D"/>
    <w:rsid w:val="00F00380"/>
    <w:rsid w:val="00F0057D"/>
    <w:rsid w:val="00F06619"/>
    <w:rsid w:val="00F071AE"/>
    <w:rsid w:val="00F12370"/>
    <w:rsid w:val="00F16546"/>
    <w:rsid w:val="00F23DF4"/>
    <w:rsid w:val="00F2740C"/>
    <w:rsid w:val="00F27C21"/>
    <w:rsid w:val="00F31B78"/>
    <w:rsid w:val="00F355EB"/>
    <w:rsid w:val="00F35716"/>
    <w:rsid w:val="00F46ACF"/>
    <w:rsid w:val="00F569A8"/>
    <w:rsid w:val="00F61B62"/>
    <w:rsid w:val="00F62333"/>
    <w:rsid w:val="00F64DE7"/>
    <w:rsid w:val="00F67E63"/>
    <w:rsid w:val="00F700F9"/>
    <w:rsid w:val="00F72B1C"/>
    <w:rsid w:val="00F80340"/>
    <w:rsid w:val="00F80827"/>
    <w:rsid w:val="00F83191"/>
    <w:rsid w:val="00F858E0"/>
    <w:rsid w:val="00F85D9E"/>
    <w:rsid w:val="00F9399E"/>
    <w:rsid w:val="00F94B1A"/>
    <w:rsid w:val="00FA1424"/>
    <w:rsid w:val="00FA3072"/>
    <w:rsid w:val="00FA3B31"/>
    <w:rsid w:val="00FA4BE3"/>
    <w:rsid w:val="00FB19F8"/>
    <w:rsid w:val="00FB3F11"/>
    <w:rsid w:val="00FC561E"/>
    <w:rsid w:val="00FC6118"/>
    <w:rsid w:val="00FC63FF"/>
    <w:rsid w:val="00FD5B5E"/>
    <w:rsid w:val="00FD7E6B"/>
    <w:rsid w:val="00FE1183"/>
    <w:rsid w:val="00FE2333"/>
    <w:rsid w:val="00FE3BDE"/>
    <w:rsid w:val="00FE3D3D"/>
    <w:rsid w:val="00FF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1DBF85"/>
  <w15:docId w15:val="{F65F4DFE-1EEA-4099-84D4-C59CAC3C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D70D56"/>
    <w:pPr>
      <w:keepNext/>
      <w:keepLines/>
      <w:spacing w:before="120" w:after="0" w:line="240" w:lineRule="auto"/>
      <w:jc w:val="center"/>
      <w:outlineLvl w:val="2"/>
    </w:pPr>
    <w:rPr>
      <w:rFonts w:ascii="Times New Roman" w:eastAsiaTheme="majorEastAsia" w:hAnsi="Times New Roman"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7F"/>
    <w:rPr>
      <w:rFonts w:ascii="Tahoma" w:hAnsi="Tahoma" w:cs="Tahoma"/>
      <w:sz w:val="16"/>
      <w:szCs w:val="16"/>
    </w:rPr>
  </w:style>
  <w:style w:type="character" w:styleId="Hyperlink">
    <w:name w:val="Hyperlink"/>
    <w:basedOn w:val="DefaultParagraphFont"/>
    <w:uiPriority w:val="99"/>
    <w:unhideWhenUsed/>
    <w:rsid w:val="00D95E0E"/>
    <w:rPr>
      <w:color w:val="0000FF" w:themeColor="hyperlink"/>
      <w:u w:val="single"/>
    </w:rPr>
  </w:style>
  <w:style w:type="paragraph" w:styleId="ListParagraph">
    <w:name w:val="List Paragraph"/>
    <w:basedOn w:val="Normal"/>
    <w:uiPriority w:val="34"/>
    <w:qFormat/>
    <w:rsid w:val="00B70E73"/>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5574F8"/>
    <w:rPr>
      <w:color w:val="800080" w:themeColor="followedHyperlink"/>
      <w:u w:val="single"/>
    </w:rPr>
  </w:style>
  <w:style w:type="table" w:styleId="TableGrid">
    <w:name w:val="Table Grid"/>
    <w:basedOn w:val="TableNormal"/>
    <w:rsid w:val="0072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21"/>
  </w:style>
  <w:style w:type="paragraph" w:styleId="Footer">
    <w:name w:val="footer"/>
    <w:basedOn w:val="Normal"/>
    <w:link w:val="FooterChar"/>
    <w:uiPriority w:val="99"/>
    <w:unhideWhenUsed/>
    <w:rsid w:val="00193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21"/>
  </w:style>
  <w:style w:type="character" w:styleId="CommentReference">
    <w:name w:val="annotation reference"/>
    <w:basedOn w:val="DefaultParagraphFont"/>
    <w:uiPriority w:val="99"/>
    <w:semiHidden/>
    <w:unhideWhenUsed/>
    <w:rsid w:val="001E4B99"/>
    <w:rPr>
      <w:sz w:val="16"/>
      <w:szCs w:val="16"/>
    </w:rPr>
  </w:style>
  <w:style w:type="paragraph" w:styleId="CommentText">
    <w:name w:val="annotation text"/>
    <w:basedOn w:val="Normal"/>
    <w:link w:val="CommentTextChar"/>
    <w:uiPriority w:val="99"/>
    <w:unhideWhenUsed/>
    <w:rsid w:val="001E4B99"/>
    <w:pPr>
      <w:spacing w:line="240" w:lineRule="auto"/>
    </w:pPr>
    <w:rPr>
      <w:sz w:val="20"/>
      <w:szCs w:val="20"/>
    </w:rPr>
  </w:style>
  <w:style w:type="character" w:customStyle="1" w:styleId="CommentTextChar">
    <w:name w:val="Comment Text Char"/>
    <w:basedOn w:val="DefaultParagraphFont"/>
    <w:link w:val="CommentText"/>
    <w:uiPriority w:val="99"/>
    <w:rsid w:val="001E4B99"/>
    <w:rPr>
      <w:sz w:val="20"/>
      <w:szCs w:val="20"/>
    </w:rPr>
  </w:style>
  <w:style w:type="paragraph" w:styleId="CommentSubject">
    <w:name w:val="annotation subject"/>
    <w:basedOn w:val="CommentText"/>
    <w:next w:val="CommentText"/>
    <w:link w:val="CommentSubjectChar"/>
    <w:uiPriority w:val="99"/>
    <w:semiHidden/>
    <w:unhideWhenUsed/>
    <w:rsid w:val="001E4B99"/>
    <w:rPr>
      <w:b/>
      <w:bCs/>
    </w:rPr>
  </w:style>
  <w:style w:type="character" w:customStyle="1" w:styleId="CommentSubjectChar">
    <w:name w:val="Comment Subject Char"/>
    <w:basedOn w:val="CommentTextChar"/>
    <w:link w:val="CommentSubject"/>
    <w:uiPriority w:val="99"/>
    <w:semiHidden/>
    <w:rsid w:val="001E4B99"/>
    <w:rPr>
      <w:b/>
      <w:bCs/>
      <w:sz w:val="20"/>
      <w:szCs w:val="20"/>
    </w:rPr>
  </w:style>
  <w:style w:type="paragraph" w:styleId="Revision">
    <w:name w:val="Revision"/>
    <w:hidden/>
    <w:uiPriority w:val="99"/>
    <w:semiHidden/>
    <w:rsid w:val="00134B92"/>
    <w:pPr>
      <w:spacing w:after="0" w:line="240" w:lineRule="auto"/>
    </w:pPr>
  </w:style>
  <w:style w:type="table" w:customStyle="1" w:styleId="TableGrid1">
    <w:name w:val="Table Grid1"/>
    <w:basedOn w:val="TableNormal"/>
    <w:next w:val="TableGrid"/>
    <w:uiPriority w:val="59"/>
    <w:rsid w:val="003F0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59AE"/>
    <w:rPr>
      <w:color w:val="808080"/>
      <w:shd w:val="clear" w:color="auto" w:fill="E6E6E6"/>
    </w:rPr>
  </w:style>
  <w:style w:type="character" w:customStyle="1" w:styleId="Heading3Char">
    <w:name w:val="Heading 3 Char"/>
    <w:basedOn w:val="DefaultParagraphFont"/>
    <w:link w:val="Heading3"/>
    <w:rsid w:val="00D70D56"/>
    <w:rPr>
      <w:rFonts w:ascii="Times New Roman" w:eastAsiaTheme="majorEastAsia" w:hAnsi="Times New Roman" w:cstheme="majorBidi"/>
      <w:b/>
      <w:bCs/>
      <w:sz w:val="20"/>
      <w:szCs w:val="20"/>
    </w:rPr>
  </w:style>
  <w:style w:type="character" w:styleId="PageNumber">
    <w:name w:val="page number"/>
    <w:basedOn w:val="DefaultParagraphFont"/>
    <w:rsid w:val="0004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22138">
      <w:bodyDiv w:val="1"/>
      <w:marLeft w:val="0"/>
      <w:marRight w:val="0"/>
      <w:marTop w:val="0"/>
      <w:marBottom w:val="0"/>
      <w:divBdr>
        <w:top w:val="none" w:sz="0" w:space="0" w:color="auto"/>
        <w:left w:val="none" w:sz="0" w:space="0" w:color="auto"/>
        <w:bottom w:val="none" w:sz="0" w:space="0" w:color="auto"/>
        <w:right w:val="none" w:sz="0" w:space="0" w:color="auto"/>
      </w:divBdr>
    </w:div>
    <w:div w:id="811562115">
      <w:bodyDiv w:val="1"/>
      <w:marLeft w:val="0"/>
      <w:marRight w:val="0"/>
      <w:marTop w:val="0"/>
      <w:marBottom w:val="0"/>
      <w:divBdr>
        <w:top w:val="none" w:sz="0" w:space="0" w:color="auto"/>
        <w:left w:val="none" w:sz="0" w:space="0" w:color="auto"/>
        <w:bottom w:val="none" w:sz="0" w:space="0" w:color="auto"/>
        <w:right w:val="none" w:sz="0" w:space="0" w:color="auto"/>
      </w:divBdr>
    </w:div>
    <w:div w:id="888148895">
      <w:bodyDiv w:val="1"/>
      <w:marLeft w:val="0"/>
      <w:marRight w:val="0"/>
      <w:marTop w:val="0"/>
      <w:marBottom w:val="0"/>
      <w:divBdr>
        <w:top w:val="none" w:sz="0" w:space="0" w:color="auto"/>
        <w:left w:val="none" w:sz="0" w:space="0" w:color="auto"/>
        <w:bottom w:val="none" w:sz="0" w:space="0" w:color="auto"/>
        <w:right w:val="none" w:sz="0" w:space="0" w:color="auto"/>
      </w:divBdr>
    </w:div>
    <w:div w:id="1279873655">
      <w:bodyDiv w:val="1"/>
      <w:marLeft w:val="0"/>
      <w:marRight w:val="0"/>
      <w:marTop w:val="0"/>
      <w:marBottom w:val="0"/>
      <w:divBdr>
        <w:top w:val="none" w:sz="0" w:space="0" w:color="auto"/>
        <w:left w:val="none" w:sz="0" w:space="0" w:color="auto"/>
        <w:bottom w:val="none" w:sz="0" w:space="0" w:color="auto"/>
        <w:right w:val="none" w:sz="0" w:space="0" w:color="auto"/>
      </w:divBdr>
    </w:div>
    <w:div w:id="1571884578">
      <w:bodyDiv w:val="1"/>
      <w:marLeft w:val="0"/>
      <w:marRight w:val="0"/>
      <w:marTop w:val="0"/>
      <w:marBottom w:val="0"/>
      <w:divBdr>
        <w:top w:val="none" w:sz="0" w:space="0" w:color="auto"/>
        <w:left w:val="none" w:sz="0" w:space="0" w:color="auto"/>
        <w:bottom w:val="none" w:sz="0" w:space="0" w:color="auto"/>
        <w:right w:val="none" w:sz="0" w:space="0" w:color="auto"/>
      </w:divBdr>
    </w:div>
    <w:div w:id="1806383788">
      <w:bodyDiv w:val="1"/>
      <w:marLeft w:val="0"/>
      <w:marRight w:val="0"/>
      <w:marTop w:val="0"/>
      <w:marBottom w:val="0"/>
      <w:divBdr>
        <w:top w:val="none" w:sz="0" w:space="0" w:color="auto"/>
        <w:left w:val="none" w:sz="0" w:space="0" w:color="auto"/>
        <w:bottom w:val="none" w:sz="0" w:space="0" w:color="auto"/>
        <w:right w:val="none" w:sz="0" w:space="0" w:color="auto"/>
      </w:divBdr>
    </w:div>
    <w:div w:id="2131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chea.org/factsheets/" TargetMode="External"/><Relationship Id="rId18" Type="http://schemas.openxmlformats.org/officeDocument/2006/relationships/hyperlink" Target="http://www.oiml.org/en" TargetMode="External"/><Relationship Id="rId3" Type="http://schemas.openxmlformats.org/officeDocument/2006/relationships/styles" Target="styles.xml"/><Relationship Id="rId21" Type="http://schemas.openxmlformats.org/officeDocument/2006/relationships/hyperlink" Target="https://www.nist.gov/pml/weights-and-measures/publications" TargetMode="External"/><Relationship Id="rId7" Type="http://schemas.openxmlformats.org/officeDocument/2006/relationships/endnotes" Target="endnotes.xml"/><Relationship Id="rId12" Type="http://schemas.openxmlformats.org/officeDocument/2006/relationships/hyperlink" Target="http://energy.gov/eere/fuelcells/hydrogen-delivery" TargetMode="External"/><Relationship Id="rId17" Type="http://schemas.openxmlformats.org/officeDocument/2006/relationships/hyperlink" Target="http://www.nist.gov/pml/wmd/lmdg/usnwg.cfm" TargetMode="External"/><Relationship Id="rId2" Type="http://schemas.openxmlformats.org/officeDocument/2006/relationships/numbering" Target="numbering.xml"/><Relationship Id="rId16" Type="http://schemas.openxmlformats.org/officeDocument/2006/relationships/hyperlink" Target="http://www.nist.gov/pml/wmd/" TargetMode="External"/><Relationship Id="rId20" Type="http://schemas.openxmlformats.org/officeDocument/2006/relationships/hyperlink" Target="https://www.nist.gov/pml/weights-and-measures/publications/metric-pub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ergy.gov/eere/fuelcells/hydrogen-stor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fcp.org/faqs" TargetMode="External"/><Relationship Id="rId23" Type="http://schemas.openxmlformats.org/officeDocument/2006/relationships/fontTable" Target="fontTable.xml"/><Relationship Id="rId10" Type="http://schemas.openxmlformats.org/officeDocument/2006/relationships/hyperlink" Target="https://www.energy.gov/eere/fuelcells/fuel-cell-technologies-office" TargetMode="External"/><Relationship Id="rId19" Type="http://schemas.openxmlformats.org/officeDocument/2006/relationships/hyperlink" Target="https://www.ncwm.com/ntep-about" TargetMode="External"/><Relationship Id="rId4" Type="http://schemas.openxmlformats.org/officeDocument/2006/relationships/settings" Target="settings.xml"/><Relationship Id="rId9" Type="http://schemas.openxmlformats.org/officeDocument/2006/relationships/hyperlink" Target="https://www.nist.gov/pml/weights-and-measures/legal-metrology-devices/hydrogen-us-national-work-group" TargetMode="External"/><Relationship Id="rId14" Type="http://schemas.openxmlformats.org/officeDocument/2006/relationships/hyperlink" Target="http://www.h2usa.org/fa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2D48-EC49-4D26-8462-B6E35368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Buttler, Marc</dc:creator>
  <cp:keywords/>
  <dc:description/>
  <cp:lastModifiedBy>Branden, Yvonne A. (Fed)</cp:lastModifiedBy>
  <cp:revision>5</cp:revision>
  <cp:lastPrinted>2019-09-19T14:58:00Z</cp:lastPrinted>
  <dcterms:created xsi:type="dcterms:W3CDTF">2019-10-03T14:24:00Z</dcterms:created>
  <dcterms:modified xsi:type="dcterms:W3CDTF">2020-02-25T16:21:00Z</dcterms:modified>
</cp:coreProperties>
</file>