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12748" w14:textId="23CCEFAE" w:rsidR="006B6DEC" w:rsidRPr="006B6DEC" w:rsidRDefault="006B6DEC" w:rsidP="006B6DEC">
      <w:pPr>
        <w:spacing w:line="360" w:lineRule="auto"/>
        <w:jc w:val="center"/>
        <w:rPr>
          <w:b/>
        </w:rPr>
      </w:pPr>
      <w:r w:rsidRPr="006B6DEC">
        <w:rPr>
          <w:b/>
        </w:rPr>
        <w:t>Action Research for Innovation</w:t>
      </w:r>
      <w:r w:rsidR="00994ED5">
        <w:rPr>
          <w:b/>
        </w:rPr>
        <w:t xml:space="preserve"> and Technology Transfer</w:t>
      </w:r>
      <w:r w:rsidRPr="006B6DEC">
        <w:rPr>
          <w:b/>
        </w:rPr>
        <w:t>:</w:t>
      </w:r>
    </w:p>
    <w:p w14:paraId="00229040" w14:textId="18454892" w:rsidR="00A72D34" w:rsidRDefault="006B6DEC" w:rsidP="006B6DEC">
      <w:pPr>
        <w:spacing w:line="360" w:lineRule="auto"/>
        <w:jc w:val="center"/>
        <w:rPr>
          <w:b/>
        </w:rPr>
      </w:pPr>
      <w:r>
        <w:rPr>
          <w:b/>
        </w:rPr>
        <w:t>A Response to the Request For Information from National Institute f</w:t>
      </w:r>
      <w:r w:rsidRPr="006B6DEC">
        <w:rPr>
          <w:b/>
        </w:rPr>
        <w:t>or Standards And Technology</w:t>
      </w:r>
    </w:p>
    <w:p w14:paraId="3F82B3A2" w14:textId="77777777" w:rsidR="00E219B0" w:rsidRDefault="00E219B0" w:rsidP="006B6DEC">
      <w:pPr>
        <w:spacing w:line="360" w:lineRule="auto"/>
        <w:jc w:val="center"/>
        <w:rPr>
          <w:b/>
        </w:rPr>
      </w:pPr>
    </w:p>
    <w:p w14:paraId="5820DA82" w14:textId="77777777" w:rsidR="00326487" w:rsidRPr="00326487" w:rsidRDefault="00326487" w:rsidP="00326487">
      <w:pPr>
        <w:spacing w:line="360" w:lineRule="auto"/>
        <w:ind w:firstLine="0"/>
        <w:jc w:val="center"/>
      </w:pPr>
      <w:r w:rsidRPr="00326487">
        <w:t>Chester C. Warzynski</w:t>
      </w:r>
    </w:p>
    <w:p w14:paraId="50FA9287" w14:textId="6822083B" w:rsidR="00326487" w:rsidRPr="00326487" w:rsidRDefault="001C6D6D" w:rsidP="00326487">
      <w:pPr>
        <w:spacing w:line="360" w:lineRule="auto"/>
        <w:ind w:firstLine="0"/>
        <w:jc w:val="center"/>
      </w:pPr>
      <w:hyperlink r:id="rId7" w:history="1">
        <w:r w:rsidR="00326487" w:rsidRPr="00326487">
          <w:rPr>
            <w:rStyle w:val="Hyperlink"/>
          </w:rPr>
          <w:t>c.warzynski@cornell.edu</w:t>
        </w:r>
      </w:hyperlink>
    </w:p>
    <w:p w14:paraId="0813AD2C" w14:textId="37D42B3F" w:rsidR="00E219B0" w:rsidRPr="00326487" w:rsidRDefault="00E219B0" w:rsidP="00326487">
      <w:pPr>
        <w:spacing w:line="360" w:lineRule="auto"/>
        <w:ind w:firstLine="0"/>
        <w:jc w:val="center"/>
      </w:pPr>
      <w:r w:rsidRPr="00326487">
        <w:t>July 30, 2018</w:t>
      </w:r>
    </w:p>
    <w:p w14:paraId="49049003" w14:textId="77777777" w:rsidR="00A72D34" w:rsidRDefault="00A72D34" w:rsidP="00A72D34">
      <w:pPr>
        <w:pStyle w:val="Heading2"/>
      </w:pPr>
      <w:bookmarkStart w:id="0" w:name="_Toc519357705"/>
      <w:bookmarkStart w:id="1" w:name="_Toc393438644"/>
      <w:r w:rsidRPr="00025EED">
        <w:t>Introduction</w:t>
      </w:r>
      <w:bookmarkEnd w:id="0"/>
      <w:bookmarkEnd w:id="1"/>
    </w:p>
    <w:p w14:paraId="0A1E42F0" w14:textId="51965E8A" w:rsidR="00F306AD" w:rsidRDefault="009E1D69" w:rsidP="001E742E">
      <w:pPr>
        <w:widowControl w:val="0"/>
        <w:autoSpaceDE w:val="0"/>
        <w:autoSpaceDN w:val="0"/>
        <w:adjustRightInd w:val="0"/>
      </w:pPr>
      <w:r>
        <w:t>This submission is in response to the Request for Information (RFI) from the</w:t>
      </w:r>
      <w:r w:rsidR="008F3A76" w:rsidRPr="009E1D69">
        <w:t xml:space="preserve"> National Institute for Standards and Technology (NIST)</w:t>
      </w:r>
      <w:r>
        <w:t xml:space="preserve"> and the White House Office of Science and Technology Policy (OSTP)</w:t>
      </w:r>
      <w:r w:rsidR="00F306AD">
        <w:t>,</w:t>
      </w:r>
      <w:r>
        <w:t xml:space="preserve"> published in the Federal Register, Vol. 83, No. 84, N</w:t>
      </w:r>
      <w:r w:rsidR="00F306AD">
        <w:t>otices 19053-19054, May 1, 2018</w:t>
      </w:r>
      <w:r w:rsidR="00A55A91">
        <w:t>,</w:t>
      </w:r>
      <w:r w:rsidR="00F306AD">
        <w:t xml:space="preserve"> to obtain</w:t>
      </w:r>
      <w:r>
        <w:t xml:space="preserve"> information relative to</w:t>
      </w:r>
      <w:r w:rsidR="00F306AD">
        <w:t xml:space="preserve"> optimizing technology transfer and</w:t>
      </w:r>
      <w:r>
        <w:t xml:space="preserve"> increasing the return on investment (ROI) from federally funded research. </w:t>
      </w:r>
    </w:p>
    <w:p w14:paraId="2D4B7F4C" w14:textId="1476DA4E" w:rsidR="001E742E" w:rsidRDefault="00F306AD" w:rsidP="001E742E">
      <w:pPr>
        <w:widowControl w:val="0"/>
        <w:autoSpaceDE w:val="0"/>
        <w:autoSpaceDN w:val="0"/>
        <w:adjustRightInd w:val="0"/>
      </w:pPr>
      <w:r>
        <w:t>The</w:t>
      </w:r>
      <w:r w:rsidR="00E44685">
        <w:t xml:space="preserve"> purpose of this submission is </w:t>
      </w:r>
      <w:r w:rsidRPr="00D57C54">
        <w:t>to identify and articulate the essential fact</w:t>
      </w:r>
      <w:r w:rsidRPr="003A7DCC">
        <w:t>ors for successful innovation</w:t>
      </w:r>
      <w:r w:rsidR="00994ED5">
        <w:t xml:space="preserve"> and technology transfer</w:t>
      </w:r>
      <w:r>
        <w:t xml:space="preserve">, including the determination of leadership behaviors, </w:t>
      </w:r>
      <w:r w:rsidRPr="003A7DCC">
        <w:t>methods</w:t>
      </w:r>
      <w:r>
        <w:t xml:space="preserve"> and practices for creating </w:t>
      </w:r>
      <w:r w:rsidRPr="003A7DCC">
        <w:t xml:space="preserve">a culture of innovation. </w:t>
      </w:r>
      <w:r w:rsidR="00A54FA2">
        <w:t xml:space="preserve">Furthermore, </w:t>
      </w:r>
      <w:r w:rsidRPr="003A7DCC">
        <w:t xml:space="preserve">the outcomes of this study </w:t>
      </w:r>
      <w:r>
        <w:t xml:space="preserve">can offer </w:t>
      </w:r>
      <w:r w:rsidRPr="003A7DCC">
        <w:t>a basis for examining</w:t>
      </w:r>
      <w:r w:rsidR="00E44685">
        <w:t xml:space="preserve"> and instituting</w:t>
      </w:r>
      <w:r w:rsidRPr="003A7DCC">
        <w:t xml:space="preserve"> </w:t>
      </w:r>
      <w:r w:rsidR="00A55A91">
        <w:t xml:space="preserve">recommended </w:t>
      </w:r>
      <w:r w:rsidR="00681DC2">
        <w:t>policy changes</w:t>
      </w:r>
      <w:r w:rsidRPr="003A7DCC">
        <w:t xml:space="preserve"> for improving research </w:t>
      </w:r>
      <w:r>
        <w:t>productivit</w:t>
      </w:r>
      <w:r w:rsidR="00A54FA2">
        <w:t>y,</w:t>
      </w:r>
      <w:r w:rsidR="00E44685">
        <w:t xml:space="preserve"> innovation</w:t>
      </w:r>
      <w:r w:rsidR="00A54FA2">
        <w:t>, and sustainability</w:t>
      </w:r>
      <w:r w:rsidR="00994ED5">
        <w:t xml:space="preserve"> from f</w:t>
      </w:r>
      <w:r w:rsidR="00E44685">
        <w:t>ederally funded laboratories and universities</w:t>
      </w:r>
      <w:r w:rsidRPr="003A7DCC">
        <w:t>.</w:t>
      </w:r>
      <w:bookmarkStart w:id="2" w:name="_Toc519357675"/>
      <w:bookmarkStart w:id="3" w:name="_Toc519357706"/>
      <w:bookmarkStart w:id="4" w:name="_Toc393438645"/>
    </w:p>
    <w:p w14:paraId="11026FBB" w14:textId="08F732FD" w:rsidR="00D117A1" w:rsidRDefault="00D117A1" w:rsidP="00D117A1">
      <w:pPr>
        <w:ind w:firstLine="0"/>
        <w:rPr>
          <w:rStyle w:val="Heading3Char"/>
        </w:rPr>
      </w:pPr>
      <w:r>
        <w:rPr>
          <w:rStyle w:val="Heading3Char"/>
        </w:rPr>
        <w:t>Invention</w:t>
      </w:r>
      <w:r w:rsidR="00994ED5">
        <w:rPr>
          <w:rStyle w:val="Heading3Char"/>
        </w:rPr>
        <w:t xml:space="preserve"> and Innovation</w:t>
      </w:r>
    </w:p>
    <w:p w14:paraId="25850AB0" w14:textId="3B705139" w:rsidR="00D117A1" w:rsidRDefault="00D117A1" w:rsidP="00D117A1">
      <w:r>
        <w:t>Invention is developing new ideas. Innovation is getting those ide</w:t>
      </w:r>
      <w:r w:rsidR="00E44685">
        <w:t>as adopted in the marketplace</w:t>
      </w:r>
      <w:r w:rsidR="00681DC2">
        <w:t xml:space="preserve"> and receiving a sustainable return on investment</w:t>
      </w:r>
      <w:r w:rsidR="00E44685">
        <w:t>. Most federal laboratories and u</w:t>
      </w:r>
      <w:r>
        <w:t xml:space="preserve">niversities are good at invention but not at innovation. A study by the </w:t>
      </w:r>
      <w:r>
        <w:lastRenderedPageBreak/>
        <w:t xml:space="preserve">Brookings Institution indicates that 84% of the Technology Transfer units within universities do not even cover their </w:t>
      </w:r>
      <w:r w:rsidR="00681DC2">
        <w:t xml:space="preserve">operating </w:t>
      </w:r>
      <w:r>
        <w:t xml:space="preserve">costs (Valdivia, 2013). </w:t>
      </w:r>
    </w:p>
    <w:p w14:paraId="7BF7CCCA" w14:textId="16732740" w:rsidR="00D117A1" w:rsidRPr="00E82F56" w:rsidRDefault="00D117A1" w:rsidP="00D117A1">
      <w:r>
        <w:t>The innovation pr</w:t>
      </w:r>
      <w:r w:rsidRPr="003710FC">
        <w:t>ocess</w:t>
      </w:r>
      <w:r>
        <w:t xml:space="preserve"> involves </w:t>
      </w:r>
      <w:r w:rsidRPr="003710FC">
        <w:t>conceiving and producing</w:t>
      </w:r>
      <w:r>
        <w:t xml:space="preserve"> an</w:t>
      </w:r>
      <w:r w:rsidRPr="003710FC">
        <w:t xml:space="preserve"> output (for </w:t>
      </w:r>
      <w:r>
        <w:t>instance</w:t>
      </w:r>
      <w:r w:rsidRPr="003710FC">
        <w:t>, new ideas, products, technologies, and services) within a</w:t>
      </w:r>
      <w:r>
        <w:t>n environment and</w:t>
      </w:r>
      <w:r w:rsidRPr="003710FC">
        <w:t xml:space="preserve"> normative</w:t>
      </w:r>
      <w:r>
        <w:t xml:space="preserve"> context (economy, market, and culture) and getting it adopted and embedded </w:t>
      </w:r>
      <w:r w:rsidRPr="003710FC">
        <w:t xml:space="preserve">in the </w:t>
      </w:r>
      <w:r w:rsidR="001E742E">
        <w:t>organization</w:t>
      </w:r>
      <w:r>
        <w:t xml:space="preserve"> and</w:t>
      </w:r>
      <w:r w:rsidR="001E742E">
        <w:t xml:space="preserve"> its</w:t>
      </w:r>
      <w:r>
        <w:t xml:space="preserve"> ecosystem’s </w:t>
      </w:r>
      <w:r w:rsidRPr="003710FC">
        <w:t>cu</w:t>
      </w:r>
      <w:r>
        <w:t xml:space="preserve">lture. </w:t>
      </w:r>
      <w:r w:rsidR="00994ED5">
        <w:t xml:space="preserve">Innovation is a product, process, and context. As a process of social action, it involves the practical engagement of diverse groups of stakeholders in interaction performing essential functions and tasks that transforms work into products and services that are valuable and useful for people and society </w:t>
      </w:r>
      <w:r w:rsidR="00422BB0">
        <w:t>(Hellstrom, 2004</w:t>
      </w:r>
      <w:r w:rsidR="00994ED5">
        <w:t xml:space="preserve">, p. </w:t>
      </w:r>
      <w:r w:rsidR="00BE2615">
        <w:t>645</w:t>
      </w:r>
      <w:r w:rsidR="00994ED5">
        <w:t>)</w:t>
      </w:r>
      <w:r w:rsidR="00BE2615">
        <w:t>.</w:t>
      </w:r>
      <w:r w:rsidR="001E742E">
        <w:t xml:space="preserve"> </w:t>
      </w:r>
    </w:p>
    <w:p w14:paraId="6C784CD4" w14:textId="3694FC79" w:rsidR="00D117A1" w:rsidRPr="003710FC" w:rsidRDefault="00623B7D" w:rsidP="00D117A1">
      <w:r>
        <w:t xml:space="preserve">As a product, innovation is an outcome, which could include products, services, and new technologies but also fundamental change or transformation of an organization or ecosystem. </w:t>
      </w:r>
      <w:r w:rsidR="00D117A1" w:rsidRPr="003710FC">
        <w:t xml:space="preserve">For innovation to be sustainable, a sufficient </w:t>
      </w:r>
      <w:r w:rsidR="00BE2615">
        <w:t>return on investment (ROI)</w:t>
      </w:r>
      <w:r w:rsidR="00D117A1" w:rsidRPr="003710FC">
        <w:t xml:space="preserve"> is required</w:t>
      </w:r>
      <w:r w:rsidR="00D117A1">
        <w:t xml:space="preserve"> </w:t>
      </w:r>
      <w:r w:rsidR="00D117A1" w:rsidRPr="003710FC">
        <w:t>to compensate stakeholders, payback investors, and replenish the resources consumed. Accordingly, the pr</w:t>
      </w:r>
      <w:r w:rsidR="00610E6C">
        <w:t xml:space="preserve">oductivity of the </w:t>
      </w:r>
      <w:r w:rsidR="00D117A1" w:rsidRPr="003710FC">
        <w:t>R&amp;D</w:t>
      </w:r>
      <w:r w:rsidR="00610E6C">
        <w:t xml:space="preserve"> and innovation</w:t>
      </w:r>
      <w:r w:rsidR="00D117A1" w:rsidRPr="003710FC">
        <w:t xml:space="preserve"> process is a measure of </w:t>
      </w:r>
      <w:r w:rsidR="00D117A1">
        <w:t>the</w:t>
      </w:r>
      <w:r>
        <w:t xml:space="preserve"> amount of</w:t>
      </w:r>
      <w:r w:rsidR="00D117A1">
        <w:t xml:space="preserve"> </w:t>
      </w:r>
      <w:r w:rsidR="00D117A1" w:rsidRPr="003710FC">
        <w:t>resources</w:t>
      </w:r>
      <w:r w:rsidR="00610E6C">
        <w:t xml:space="preserve"> utilized</w:t>
      </w:r>
      <w:r w:rsidR="00BE2615">
        <w:t xml:space="preserve"> and</w:t>
      </w:r>
      <w:r>
        <w:t xml:space="preserve"> the</w:t>
      </w:r>
      <w:r w:rsidR="00BE2615">
        <w:t xml:space="preserve"> return achieved</w:t>
      </w:r>
      <w:r>
        <w:t xml:space="preserve"> in the form of a societal benefit</w:t>
      </w:r>
      <w:r w:rsidR="00264C8B">
        <w:t xml:space="preserve"> as well as return on resources consumed</w:t>
      </w:r>
      <w:r>
        <w:t xml:space="preserve"> to replenish</w:t>
      </w:r>
      <w:r w:rsidR="00264C8B">
        <w:t xml:space="preserve"> the capital base and provide incentives and profit</w:t>
      </w:r>
      <w:r w:rsidR="00BE2615">
        <w:t xml:space="preserve"> through</w:t>
      </w:r>
      <w:r w:rsidR="00D117A1" w:rsidRPr="003710FC">
        <w:t xml:space="preserve"> the process of conceiving, developing, diffusing, and adopting new ideas</w:t>
      </w:r>
      <w:r w:rsidR="00BE2615">
        <w:t>, products, and services. The goal</w:t>
      </w:r>
      <w:r w:rsidR="00D117A1" w:rsidRPr="003710FC">
        <w:t xml:space="preserve"> of innovation productivity is to</w:t>
      </w:r>
      <w:r w:rsidR="00610E6C">
        <w:t xml:space="preserve"> develop and get new </w:t>
      </w:r>
      <w:r w:rsidR="00D117A1" w:rsidRPr="003710FC">
        <w:t>ideas and products adopted (effectiveness)</w:t>
      </w:r>
      <w:r w:rsidR="00610E6C">
        <w:t xml:space="preserve"> with the least</w:t>
      </w:r>
      <w:r w:rsidR="00D117A1">
        <w:t xml:space="preserve"> consumption of </w:t>
      </w:r>
      <w:r w:rsidR="00BE2615">
        <w:t>resources (input</w:t>
      </w:r>
      <w:r w:rsidR="00D117A1" w:rsidRPr="003710FC">
        <w:t>)</w:t>
      </w:r>
      <w:r w:rsidR="00D117A1">
        <w:t xml:space="preserve"> and</w:t>
      </w:r>
      <w:r w:rsidR="00BE2615">
        <w:t xml:space="preserve"> the</w:t>
      </w:r>
      <w:r w:rsidR="00D117A1">
        <w:t xml:space="preserve"> attainment of maximum utility and return</w:t>
      </w:r>
      <w:r w:rsidR="00BE2615">
        <w:t xml:space="preserve"> (output)</w:t>
      </w:r>
      <w:r w:rsidR="00D117A1" w:rsidRPr="003710FC">
        <w:t xml:space="preserve">. In this </w:t>
      </w:r>
      <w:r w:rsidR="00D117A1">
        <w:t>regard</w:t>
      </w:r>
      <w:r w:rsidR="00D117A1" w:rsidRPr="003710FC">
        <w:t>, productivity improvement at each stage of the innovation proces</w:t>
      </w:r>
      <w:r w:rsidR="00610E6C">
        <w:t xml:space="preserve">s </w:t>
      </w:r>
      <w:r w:rsidR="00610E6C">
        <w:lastRenderedPageBreak/>
        <w:t>is an important objective</w:t>
      </w:r>
      <w:r w:rsidR="00BE2615">
        <w:t xml:space="preserve"> of the federal government as well as</w:t>
      </w:r>
      <w:r w:rsidR="00681DC2">
        <w:t xml:space="preserve"> federally funded labs and universities</w:t>
      </w:r>
      <w:r w:rsidR="00D117A1" w:rsidRPr="003710FC">
        <w:t xml:space="preserve">. </w:t>
      </w:r>
    </w:p>
    <w:p w14:paraId="0A58E591" w14:textId="77777777" w:rsidR="00BE2615" w:rsidRDefault="00D117A1" w:rsidP="00D117A1">
      <w:r w:rsidRPr="001978A0">
        <w:t xml:space="preserve">Innovation productivity </w:t>
      </w:r>
      <w:r>
        <w:t xml:space="preserve">can </w:t>
      </w:r>
      <w:r w:rsidRPr="001978A0">
        <w:t>be im</w:t>
      </w:r>
      <w:r w:rsidR="00681DC2">
        <w:t xml:space="preserve">proved </w:t>
      </w:r>
      <w:r w:rsidRPr="001978A0">
        <w:t>as long as the</w:t>
      </w:r>
      <w:r w:rsidR="00BE2615">
        <w:t xml:space="preserve"> ratio of input to output</w:t>
      </w:r>
      <w:r w:rsidRPr="003710FC">
        <w:t xml:space="preserve"> increases over time. </w:t>
      </w:r>
      <w:r>
        <w:t>This is because e</w:t>
      </w:r>
      <w:r w:rsidR="00BE2615">
        <w:t>ffectiveness of output and efficiency of input</w:t>
      </w:r>
      <w:r w:rsidRPr="003710FC">
        <w:t xml:space="preserve"> </w:t>
      </w:r>
      <w:r>
        <w:t xml:space="preserve">represent </w:t>
      </w:r>
      <w:r w:rsidRPr="003710FC">
        <w:t>the crucial dependent variables invo</w:t>
      </w:r>
      <w:r>
        <w:t xml:space="preserve">lved in innovation productivity. In the world of democratic capitalism, the </w:t>
      </w:r>
      <w:r w:rsidRPr="003710FC">
        <w:t>resources consumed to p</w:t>
      </w:r>
      <w:r>
        <w:t xml:space="preserve">roduce successful innovation </w:t>
      </w:r>
      <w:r w:rsidRPr="003710FC">
        <w:t>are returned to the investors and owners of the innovation</w:t>
      </w:r>
      <w:r w:rsidR="00BE2615">
        <w:t xml:space="preserve"> creating a sustainable cycle of input to output</w:t>
      </w:r>
      <w:r w:rsidRPr="003710FC">
        <w:t xml:space="preserve">. </w:t>
      </w:r>
    </w:p>
    <w:p w14:paraId="3D87203A" w14:textId="5B75DD7B" w:rsidR="00D117A1" w:rsidRPr="003710FC" w:rsidRDefault="00D117A1" w:rsidP="00D117A1">
      <w:r>
        <w:t>The conc</w:t>
      </w:r>
      <w:r w:rsidR="00610E6C">
        <w:t>ept of ne</w:t>
      </w:r>
      <w:r w:rsidR="00422BB0">
        <w:t xml:space="preserve">w growth theory (NGT) </w:t>
      </w:r>
      <w:r>
        <w:t>suggests that there is significant potential for increasing innovation with existing resources, i.e., increasing the number of new products, services, and other outputs while holding the resources constant</w:t>
      </w:r>
      <w:r w:rsidR="00422BB0">
        <w:t xml:space="preserve"> (Romer, 2007</w:t>
      </w:r>
      <w:r w:rsidR="002606BD">
        <w:t>; Cortright, 2001</w:t>
      </w:r>
      <w:r w:rsidR="00422BB0">
        <w:t>)</w:t>
      </w:r>
      <w:r>
        <w:t xml:space="preserve">. </w:t>
      </w:r>
      <w:r w:rsidRPr="003710FC">
        <w:t>This definition and method of measuring innovation productivity lends itself to applications in all types of organizations</w:t>
      </w:r>
      <w:r w:rsidR="00BE2615">
        <w:t>, and a</w:t>
      </w:r>
      <w:r w:rsidR="00264C8B">
        <w:t>t</w:t>
      </w:r>
      <w:r w:rsidR="00BE2615">
        <w:t xml:space="preserve"> all levels</w:t>
      </w:r>
      <w:r w:rsidRPr="003710FC">
        <w:t xml:space="preserve">. It satisfies </w:t>
      </w:r>
      <w:r>
        <w:t xml:space="preserve">the </w:t>
      </w:r>
      <w:r w:rsidRPr="003710FC">
        <w:t>criteria of scope and precision</w:t>
      </w:r>
      <w:r>
        <w:t>,</w:t>
      </w:r>
      <w:r w:rsidRPr="003710FC">
        <w:t xml:space="preserve"> and if standardized, could </w:t>
      </w:r>
      <w:r w:rsidR="00BE2615">
        <w:t xml:space="preserve">facilitate </w:t>
      </w:r>
      <w:r w:rsidR="00521B43">
        <w:t>a central focus and common</w:t>
      </w:r>
      <w:r w:rsidR="00264C8B">
        <w:t>ly accepted</w:t>
      </w:r>
      <w:r w:rsidR="00521B43">
        <w:t xml:space="preserve"> perspective </w:t>
      </w:r>
      <w:r w:rsidRPr="003710FC">
        <w:t xml:space="preserve">among stakeholders. </w:t>
      </w:r>
    </w:p>
    <w:p w14:paraId="03EC27C4" w14:textId="42A02440" w:rsidR="00D117A1" w:rsidRDefault="00001E83" w:rsidP="00D117A1">
      <w:pPr>
        <w:ind w:firstLine="0"/>
        <w:rPr>
          <w:b/>
        </w:rPr>
      </w:pPr>
      <w:r>
        <w:rPr>
          <w:rStyle w:val="Heading3Char"/>
        </w:rPr>
        <w:t>Barriers to I</w:t>
      </w:r>
      <w:r w:rsidR="00D117A1" w:rsidRPr="00025EED">
        <w:rPr>
          <w:rStyle w:val="Heading3Char"/>
        </w:rPr>
        <w:t>nnovation</w:t>
      </w:r>
      <w:bookmarkEnd w:id="2"/>
      <w:r>
        <w:rPr>
          <w:rStyle w:val="Heading3Char"/>
        </w:rPr>
        <w:t xml:space="preserve"> in </w:t>
      </w:r>
      <w:r w:rsidR="00681DC2">
        <w:rPr>
          <w:rStyle w:val="Heading3Char"/>
        </w:rPr>
        <w:t>Federally Funded Labs and Universities</w:t>
      </w:r>
    </w:p>
    <w:p w14:paraId="15BE43C0" w14:textId="3E87C7C2" w:rsidR="00D117A1" w:rsidRPr="007C655B" w:rsidRDefault="00521B43" w:rsidP="00D117A1">
      <w:r>
        <w:t>There are four</w:t>
      </w:r>
      <w:r w:rsidR="00D117A1">
        <w:t xml:space="preserve"> </w:t>
      </w:r>
      <w:r w:rsidR="00D117A1" w:rsidRPr="007C655B">
        <w:t xml:space="preserve">barriers </w:t>
      </w:r>
      <w:r w:rsidR="00D117A1">
        <w:t>to</w:t>
      </w:r>
      <w:r w:rsidR="00D117A1" w:rsidRPr="007C655B">
        <w:t xml:space="preserve"> innovation</w:t>
      </w:r>
      <w:r>
        <w:t xml:space="preserve"> in federally funded labs and universities: </w:t>
      </w:r>
      <w:r w:rsidR="00D117A1" w:rsidRPr="007C655B">
        <w:t xml:space="preserve">the enduring emphasis </w:t>
      </w:r>
      <w:r w:rsidR="00D117A1">
        <w:t xml:space="preserve">in </w:t>
      </w:r>
      <w:r w:rsidR="00D117A1" w:rsidRPr="007C655B">
        <w:t xml:space="preserve">research on </w:t>
      </w:r>
      <w:r w:rsidR="00D117A1">
        <w:t xml:space="preserve">the </w:t>
      </w:r>
      <w:r w:rsidR="00D117A1" w:rsidRPr="007C655B">
        <w:t>traditional scientific method, the disc</w:t>
      </w:r>
      <w:r>
        <w:t>iplinar</w:t>
      </w:r>
      <w:r w:rsidR="00264C8B">
        <w:t>y structure of universities and federal labs</w:t>
      </w:r>
      <w:r>
        <w:t xml:space="preserve">, </w:t>
      </w:r>
      <w:r w:rsidR="00D117A1" w:rsidRPr="007C655B">
        <w:t>the</w:t>
      </w:r>
      <w:r>
        <w:t xml:space="preserve"> strong emphasis on individual achievement</w:t>
      </w:r>
      <w:r w:rsidR="00264C8B">
        <w:t xml:space="preserve"> as opposed to collective achievement</w:t>
      </w:r>
      <w:r>
        <w:t xml:space="preserve">, and the </w:t>
      </w:r>
      <w:r w:rsidR="00D117A1" w:rsidRPr="007C655B">
        <w:t>fragmen</w:t>
      </w:r>
      <w:r>
        <w:t>ted culture</w:t>
      </w:r>
      <w:r w:rsidR="00264C8B">
        <w:t xml:space="preserve"> and competition</w:t>
      </w:r>
      <w:r>
        <w:t xml:space="preserve"> between</w:t>
      </w:r>
      <w:r w:rsidR="00264C8B">
        <w:t xml:space="preserve"> the subculture of research </w:t>
      </w:r>
      <w:r>
        <w:t>and</w:t>
      </w:r>
      <w:r w:rsidR="00264C8B">
        <w:t xml:space="preserve"> subculture</w:t>
      </w:r>
      <w:r>
        <w:t xml:space="preserve"> management</w:t>
      </w:r>
      <w:r w:rsidR="00D117A1" w:rsidRPr="007C655B">
        <w:t>.</w:t>
      </w:r>
    </w:p>
    <w:p w14:paraId="3F39E368" w14:textId="2BE9ED84" w:rsidR="00D117A1" w:rsidRDefault="00D117A1" w:rsidP="00D117A1">
      <w:r>
        <w:t>The first barrier to sustai</w:t>
      </w:r>
      <w:r w:rsidR="002606BD">
        <w:t>nable innovation is an over-</w:t>
      </w:r>
      <w:r>
        <w:t>emphasis on the applicatio</w:t>
      </w:r>
      <w:r w:rsidR="002606BD">
        <w:t xml:space="preserve">n of the traditional </w:t>
      </w:r>
      <w:r w:rsidRPr="001A1B5E">
        <w:t>scientific method</w:t>
      </w:r>
      <w:r>
        <w:t>, which attempts to reduce realities</w:t>
      </w:r>
      <w:r w:rsidRPr="00D47FCD">
        <w:t xml:space="preserve"> </w:t>
      </w:r>
      <w:r w:rsidRPr="00603F82">
        <w:t xml:space="preserve">to </w:t>
      </w:r>
      <w:r>
        <w:t xml:space="preserve">a single set of </w:t>
      </w:r>
      <w:r>
        <w:lastRenderedPageBreak/>
        <w:t>factors or methods. Several researchers have repeatedly demonstrated the way in which</w:t>
      </w:r>
      <w:r w:rsidR="00264C8B">
        <w:t xml:space="preserve"> the narrow perspective and method of the scientific method </w:t>
      </w:r>
      <w:r>
        <w:t xml:space="preserve">stalls </w:t>
      </w:r>
      <w:r w:rsidRPr="00603F82">
        <w:t xml:space="preserve">progress </w:t>
      </w:r>
      <w:r>
        <w:t xml:space="preserve">in </w:t>
      </w:r>
      <w:r w:rsidRPr="00603F82">
        <w:t xml:space="preserve">other </w:t>
      </w:r>
      <w:r>
        <w:t xml:space="preserve">areas </w:t>
      </w:r>
      <w:r w:rsidRPr="00603F82">
        <w:t xml:space="preserve">that </w:t>
      </w:r>
      <w:r>
        <w:t xml:space="preserve">might otherwise </w:t>
      </w:r>
      <w:r w:rsidRPr="00603F82">
        <w:t>contribute significantly to the development of knowledge</w:t>
      </w:r>
      <w:r w:rsidR="00264C8B">
        <w:t>, the use of resources,</w:t>
      </w:r>
      <w:r w:rsidRPr="00603F82">
        <w:t xml:space="preserve"> and</w:t>
      </w:r>
      <w:r w:rsidR="00264C8B">
        <w:t xml:space="preserve"> the implementation of the</w:t>
      </w:r>
      <w:r w:rsidRPr="00603F82">
        <w:t xml:space="preserve"> innovation</w:t>
      </w:r>
      <w:r w:rsidR="00264C8B">
        <w:t xml:space="preserve"> process</w:t>
      </w:r>
      <w:r w:rsidRPr="00603F82">
        <w:t xml:space="preserve"> in the new growth economy (Fuller, 2007; Gergen, 2001</w:t>
      </w:r>
      <w:r>
        <w:t>;</w:t>
      </w:r>
      <w:r w:rsidR="00001E83">
        <w:t xml:space="preserve"> 2015</w:t>
      </w:r>
      <w:r w:rsidRPr="00603F82">
        <w:t xml:space="preserve">; Gergen </w:t>
      </w:r>
      <w:r>
        <w:t xml:space="preserve">&amp; </w:t>
      </w:r>
      <w:r w:rsidR="00001E83">
        <w:t>Thatchenkery, 1998; Provance</w:t>
      </w:r>
      <w:r w:rsidRPr="00603F82">
        <w:t>, 2010).</w:t>
      </w:r>
      <w:r w:rsidRPr="00D47FCD">
        <w:t xml:space="preserve"> </w:t>
      </w:r>
      <w:r>
        <w:t xml:space="preserve">Some attributes of innovation cannot be quantified, as participants’ behavior in </w:t>
      </w:r>
      <w:r w:rsidRPr="002E49F0">
        <w:t>the activities of the innovation cycle differ</w:t>
      </w:r>
      <w:r>
        <w:t>s</w:t>
      </w:r>
      <w:r w:rsidRPr="002E49F0">
        <w:t xml:space="preserve"> according to </w:t>
      </w:r>
      <w:r>
        <w:t xml:space="preserve">individual and organizational </w:t>
      </w:r>
      <w:r w:rsidRPr="002E49F0">
        <w:t xml:space="preserve">history and culture. </w:t>
      </w:r>
      <w:r w:rsidR="002606BD">
        <w:t xml:space="preserve">Moreover, people </w:t>
      </w:r>
      <w:r>
        <w:t>engage with each other</w:t>
      </w:r>
      <w:r w:rsidR="009503BD">
        <w:t xml:space="preserve"> in a variety of contexts, which results in</w:t>
      </w:r>
      <w:r>
        <w:t xml:space="preserve"> different conceptions </w:t>
      </w:r>
      <w:r w:rsidRPr="002E49F0">
        <w:t>of innovation</w:t>
      </w:r>
      <w:r w:rsidR="00264C8B">
        <w:t>, are not generally going to commit and act upon a contrary view of the process</w:t>
      </w:r>
      <w:r>
        <w:t xml:space="preserve">. This </w:t>
      </w:r>
      <w:r w:rsidRPr="002E49F0">
        <w:t>dynamic</w:t>
      </w:r>
      <w:r>
        <w:t xml:space="preserve"> interaction and</w:t>
      </w:r>
      <w:r w:rsidRPr="002E49F0">
        <w:t xml:space="preserve"> interplay between</w:t>
      </w:r>
      <w:r w:rsidR="00264C8B">
        <w:t xml:space="preserve"> these</w:t>
      </w:r>
      <w:r w:rsidRPr="002E49F0">
        <w:t xml:space="preserve"> different </w:t>
      </w:r>
      <w:r>
        <w:t>sub</w:t>
      </w:r>
      <w:r w:rsidRPr="002E49F0">
        <w:t>cultur</w:t>
      </w:r>
      <w:r>
        <w:t>es</w:t>
      </w:r>
      <w:r w:rsidR="00521B43">
        <w:t xml:space="preserve"> </w:t>
      </w:r>
      <w:r w:rsidR="009503BD">
        <w:t>impede</w:t>
      </w:r>
      <w:r w:rsidR="00264C8B">
        <w:t>s</w:t>
      </w:r>
      <w:r w:rsidRPr="002E49F0">
        <w:t xml:space="preserve"> </w:t>
      </w:r>
      <w:r>
        <w:t>inno</w:t>
      </w:r>
      <w:r w:rsidR="009503BD">
        <w:t>vation</w:t>
      </w:r>
      <w:r w:rsidR="00264C8B">
        <w:t xml:space="preserve"> in universities as well as  business enterprises</w:t>
      </w:r>
      <w:r>
        <w:t>.</w:t>
      </w:r>
    </w:p>
    <w:p w14:paraId="57168170" w14:textId="77777777" w:rsidR="004740A7" w:rsidRDefault="00422BB0" w:rsidP="00D117A1">
      <w:pPr>
        <w:autoSpaceDE w:val="0"/>
        <w:autoSpaceDN w:val="0"/>
        <w:adjustRightInd w:val="0"/>
      </w:pPr>
      <w:r>
        <w:t xml:space="preserve">The </w:t>
      </w:r>
      <w:r w:rsidR="00D117A1">
        <w:t>second</w:t>
      </w:r>
      <w:r>
        <w:t xml:space="preserve"> barrier is </w:t>
      </w:r>
      <w:r w:rsidR="00D117A1">
        <w:t>the disciplinary</w:t>
      </w:r>
      <w:r w:rsidR="00D117A1" w:rsidRPr="00AB07BC">
        <w:t xml:space="preserve"> structure of universit</w:t>
      </w:r>
      <w:r w:rsidR="00D117A1">
        <w:t>ies</w:t>
      </w:r>
      <w:r w:rsidR="00D117A1" w:rsidRPr="00AB07BC">
        <w:t>, which segregates knowledge into numerous subject areas and departments</w:t>
      </w:r>
      <w:r w:rsidR="00D117A1">
        <w:t>.</w:t>
      </w:r>
      <w:r w:rsidR="00D117A1" w:rsidRPr="00AB07BC">
        <w:t xml:space="preserve"> </w:t>
      </w:r>
      <w:r w:rsidR="00D117A1">
        <w:t>M</w:t>
      </w:r>
      <w:r w:rsidR="00D117A1" w:rsidRPr="00E13248">
        <w:t>ost universities</w:t>
      </w:r>
      <w:r w:rsidR="00D117A1">
        <w:t xml:space="preserve">’ </w:t>
      </w:r>
      <w:r w:rsidR="009503BD">
        <w:t>departments</w:t>
      </w:r>
      <w:r w:rsidR="00D117A1" w:rsidRPr="00E13248">
        <w:t xml:space="preserve"> </w:t>
      </w:r>
      <w:r w:rsidR="00D117A1">
        <w:t>are extremely</w:t>
      </w:r>
      <w:r w:rsidR="00D117A1" w:rsidRPr="00E13248">
        <w:t xml:space="preserve"> decentralized</w:t>
      </w:r>
      <w:r w:rsidR="00D117A1">
        <w:t>,</w:t>
      </w:r>
      <w:r w:rsidR="00D117A1" w:rsidRPr="00E13248">
        <w:t xml:space="preserve"> based on academic di</w:t>
      </w:r>
      <w:r w:rsidR="009503BD">
        <w:t>scipline</w:t>
      </w:r>
      <w:r w:rsidR="00264C8B">
        <w:t>s and utilize different theories and methods of invention and innovation</w:t>
      </w:r>
      <w:r w:rsidR="00D117A1" w:rsidRPr="00E13248">
        <w:t xml:space="preserve">. These units </w:t>
      </w:r>
      <w:r w:rsidR="00D117A1">
        <w:t>enjoy</w:t>
      </w:r>
      <w:r w:rsidR="00D117A1" w:rsidRPr="00E13248">
        <w:t xml:space="preserve"> a</w:t>
      </w:r>
      <w:r w:rsidR="00D117A1" w:rsidRPr="00D47FCD">
        <w:t xml:space="preserve"> high degree of autonomy and academic freedom</w:t>
      </w:r>
      <w:r w:rsidR="00D117A1">
        <w:t xml:space="preserve"> and function </w:t>
      </w:r>
      <w:r w:rsidR="00D117A1" w:rsidRPr="00D47FCD">
        <w:t xml:space="preserve">according to their unique traditions and specializations. </w:t>
      </w:r>
      <w:r w:rsidR="00264C8B">
        <w:t>The hierarchy within each unit</w:t>
      </w:r>
      <w:r w:rsidR="004740A7">
        <w:t xml:space="preserve"> and the lack of engagement with a broad range of stakeholders need for successful innovation, in conjunction with a strong culture of </w:t>
      </w:r>
      <w:r w:rsidR="00264C8B">
        <w:t>individualism</w:t>
      </w:r>
      <w:r w:rsidR="004740A7">
        <w:t>, and the incentive systems, which emphasize individual performance over collective action, combined with the narrow</w:t>
      </w:r>
      <w:r w:rsidR="00264C8B">
        <w:t xml:space="preserve"> </w:t>
      </w:r>
      <w:r w:rsidR="004740A7">
        <w:t>focus and emphasis on analysis (deconstructing or breaking</w:t>
      </w:r>
      <w:r w:rsidR="00264C8B">
        <w:t xml:space="preserve"> reality down into </w:t>
      </w:r>
      <w:r w:rsidR="004740A7">
        <w:t xml:space="preserve">discrete variables and micro-units) further undermines successful innovation. </w:t>
      </w:r>
    </w:p>
    <w:p w14:paraId="16A87D6D" w14:textId="77777777" w:rsidR="004740A7" w:rsidRDefault="004740A7" w:rsidP="00D117A1">
      <w:pPr>
        <w:autoSpaceDE w:val="0"/>
        <w:autoSpaceDN w:val="0"/>
        <w:adjustRightInd w:val="0"/>
      </w:pPr>
    </w:p>
    <w:p w14:paraId="2AD5F1A3" w14:textId="311CAD8A" w:rsidR="00D117A1" w:rsidRPr="00603F82" w:rsidRDefault="004740A7" w:rsidP="00D117A1">
      <w:pPr>
        <w:autoSpaceDE w:val="0"/>
        <w:autoSpaceDN w:val="0"/>
        <w:adjustRightInd w:val="0"/>
      </w:pPr>
      <w:r>
        <w:t>In addition</w:t>
      </w:r>
      <w:r w:rsidR="00D117A1">
        <w:t xml:space="preserve">, </w:t>
      </w:r>
      <w:r>
        <w:t xml:space="preserve">the high degree of role specialization based on </w:t>
      </w:r>
      <w:r w:rsidR="00D117A1" w:rsidRPr="00D47FCD">
        <w:t>different functions</w:t>
      </w:r>
      <w:r>
        <w:t xml:space="preserve"> in organizations, including the functional areas of </w:t>
      </w:r>
      <w:r w:rsidR="00D117A1" w:rsidRPr="00D47FCD">
        <w:t>accounting, information technology, human resources</w:t>
      </w:r>
      <w:r>
        <w:t>, engineering, manufacturing,</w:t>
      </w:r>
      <w:r w:rsidR="00D117A1" w:rsidRPr="00D47FCD">
        <w:t xml:space="preserve"> facilities, </w:t>
      </w:r>
      <w:r>
        <w:t>marketing, distribution, sales, and so on—serve to fragment effort and un</w:t>
      </w:r>
      <w:r w:rsidR="0087714E">
        <w:t xml:space="preserve">dermine </w:t>
      </w:r>
      <w:r>
        <w:t>collective action</w:t>
      </w:r>
      <w:r w:rsidR="00D117A1" w:rsidRPr="00D47FCD">
        <w:t xml:space="preserve">. </w:t>
      </w:r>
      <w:r w:rsidR="0087714E">
        <w:t xml:space="preserve">This division of labor and </w:t>
      </w:r>
      <w:r w:rsidR="00D117A1">
        <w:t>dissociation between the parts of the whole is quite evident</w:t>
      </w:r>
      <w:r w:rsidR="009503BD">
        <w:t xml:space="preserve"> and affects the ability of people to work together toward common objectives</w:t>
      </w:r>
      <w:r w:rsidR="008F3113">
        <w:t xml:space="preserve"> </w:t>
      </w:r>
      <w:r w:rsidR="008F3113" w:rsidRPr="00603F82">
        <w:t>(Schneckenberg, 2009)</w:t>
      </w:r>
      <w:r w:rsidR="00D117A1">
        <w:t>.</w:t>
      </w:r>
    </w:p>
    <w:p w14:paraId="765891D2" w14:textId="2797BEE0" w:rsidR="009503BD" w:rsidRDefault="00D117A1" w:rsidP="008F3113">
      <w:r>
        <w:t xml:space="preserve">Part of the difficulty in fostering innovation also appears to stem </w:t>
      </w:r>
      <w:r w:rsidR="0087714E">
        <w:t xml:space="preserve">from </w:t>
      </w:r>
      <w:r>
        <w:t>the</w:t>
      </w:r>
      <w:r w:rsidR="0087714E">
        <w:t xml:space="preserve"> internal competition between administration and the faculty. </w:t>
      </w:r>
      <w:r>
        <w:t>Universities’ a</w:t>
      </w:r>
      <w:r w:rsidRPr="00025EED">
        <w:t>dministrative</w:t>
      </w:r>
      <w:r>
        <w:t xml:space="preserve"> culture, with its </w:t>
      </w:r>
      <w:r w:rsidRPr="002109FA">
        <w:t>strong emphasis on business efficiency and performance</w:t>
      </w:r>
      <w:r>
        <w:t>,</w:t>
      </w:r>
      <w:r w:rsidRPr="002109FA">
        <w:t xml:space="preserve"> compet</w:t>
      </w:r>
      <w:r>
        <w:t>es</w:t>
      </w:r>
      <w:r w:rsidRPr="002109FA">
        <w:t xml:space="preserve"> </w:t>
      </w:r>
      <w:r w:rsidR="0087714E" w:rsidRPr="002109FA">
        <w:t>for resources and attention</w:t>
      </w:r>
      <w:r w:rsidR="0087714E">
        <w:t xml:space="preserve"> </w:t>
      </w:r>
      <w:r>
        <w:t xml:space="preserve">with </w:t>
      </w:r>
      <w:r w:rsidRPr="002109FA">
        <w:t xml:space="preserve">the </w:t>
      </w:r>
      <w:r w:rsidRPr="00025EED">
        <w:t>academic</w:t>
      </w:r>
      <w:r w:rsidRPr="002109FA">
        <w:t xml:space="preserve"> culture of research and teaching. The clash between these </w:t>
      </w:r>
      <w:r>
        <w:t>divergent sub</w:t>
      </w:r>
      <w:r w:rsidRPr="002109FA">
        <w:t xml:space="preserve">cultures is a </w:t>
      </w:r>
      <w:r>
        <w:t xml:space="preserve">constant </w:t>
      </w:r>
      <w:r w:rsidRPr="002109FA">
        <w:t xml:space="preserve">source of </w:t>
      </w:r>
      <w:r w:rsidR="0087714E">
        <w:t xml:space="preserve">constant </w:t>
      </w:r>
      <w:r w:rsidRPr="002109FA">
        <w:t>frustration and confusion for many faculty and staff</w:t>
      </w:r>
      <w:r>
        <w:t xml:space="preserve"> members,</w:t>
      </w:r>
      <w:r w:rsidRPr="002109FA">
        <w:t xml:space="preserve"> </w:t>
      </w:r>
      <w:r>
        <w:t xml:space="preserve">which </w:t>
      </w:r>
      <w:r w:rsidR="0087714E">
        <w:t xml:space="preserve">often devolves into in-fighting with </w:t>
      </w:r>
      <w:r w:rsidRPr="002109FA">
        <w:t xml:space="preserve">both sides blaming the other for the </w:t>
      </w:r>
      <w:r>
        <w:t xml:space="preserve">issues faced by the </w:t>
      </w:r>
      <w:r w:rsidRPr="002109FA">
        <w:t>university (Sanderson, 2006).</w:t>
      </w:r>
      <w:r>
        <w:t xml:space="preserve"> </w:t>
      </w:r>
    </w:p>
    <w:p w14:paraId="6119D0A4" w14:textId="0680AC39" w:rsidR="00D117A1" w:rsidRPr="007C655B" w:rsidRDefault="009503BD" w:rsidP="008F3113">
      <w:r>
        <w:t>Finally, t</w:t>
      </w:r>
      <w:r w:rsidR="00D117A1">
        <w:t>he academic (and research) culture of most universities is generally more</w:t>
      </w:r>
      <w:r w:rsidR="00D117A1" w:rsidRPr="007B0DF7">
        <w:t xml:space="preserve"> oriented</w:t>
      </w:r>
      <w:r w:rsidR="00D117A1">
        <w:t xml:space="preserve"> </w:t>
      </w:r>
      <w:r w:rsidR="00D117A1" w:rsidRPr="007B0DF7">
        <w:t xml:space="preserve">toward individual achievement </w:t>
      </w:r>
      <w:r w:rsidR="00D117A1">
        <w:t>rather than</w:t>
      </w:r>
      <w:r w:rsidR="00D117A1" w:rsidRPr="007B0DF7">
        <w:t xml:space="preserve"> collective and relational action</w:t>
      </w:r>
      <w:r w:rsidR="008F3113">
        <w:t xml:space="preserve">. </w:t>
      </w:r>
      <w:r w:rsidR="00D117A1">
        <w:t>While t</w:t>
      </w:r>
      <w:r w:rsidR="00D117A1" w:rsidRPr="00B11C71">
        <w:t xml:space="preserve">he </w:t>
      </w:r>
      <w:r w:rsidR="00D117A1">
        <w:t xml:space="preserve">pervasive </w:t>
      </w:r>
      <w:r w:rsidR="00D117A1" w:rsidRPr="00B11C71">
        <w:t xml:space="preserve">culture of individualism </w:t>
      </w:r>
      <w:r w:rsidR="00D117A1">
        <w:t xml:space="preserve">in American universities </w:t>
      </w:r>
      <w:r w:rsidR="00D117A1" w:rsidRPr="00B11C71">
        <w:t xml:space="preserve">supports the process of </w:t>
      </w:r>
      <w:r w:rsidR="00D117A1">
        <w:t>discovery</w:t>
      </w:r>
      <w:r>
        <w:t xml:space="preserve"> and invention</w:t>
      </w:r>
      <w:r w:rsidR="00D117A1">
        <w:t xml:space="preserve">, it </w:t>
      </w:r>
      <w:r w:rsidR="00D117A1" w:rsidRPr="00B11C71">
        <w:t xml:space="preserve">is </w:t>
      </w:r>
      <w:r w:rsidR="00D117A1">
        <w:t xml:space="preserve">quite </w:t>
      </w:r>
      <w:r w:rsidR="00D117A1" w:rsidRPr="00B11C71">
        <w:t xml:space="preserve">often a barrier to </w:t>
      </w:r>
      <w:r w:rsidR="00D117A1">
        <w:t xml:space="preserve">the practical </w:t>
      </w:r>
      <w:r w:rsidR="00D117A1" w:rsidRPr="00B11C71">
        <w:t>implementation</w:t>
      </w:r>
      <w:r w:rsidR="00D117A1">
        <w:t xml:space="preserve"> of innovation.</w:t>
      </w:r>
      <w:r>
        <w:t xml:space="preserve"> While</w:t>
      </w:r>
      <w:r w:rsidR="00D117A1">
        <w:t xml:space="preserve"> the</w:t>
      </w:r>
      <w:r w:rsidR="00D117A1" w:rsidRPr="004E19F2">
        <w:t xml:space="preserve"> culture </w:t>
      </w:r>
      <w:r>
        <w:t xml:space="preserve">does </w:t>
      </w:r>
      <w:r w:rsidR="00D117A1" w:rsidRPr="004E19F2">
        <w:t xml:space="preserve">promote </w:t>
      </w:r>
      <w:r w:rsidR="00D117A1">
        <w:t xml:space="preserve">individuals’ novel </w:t>
      </w:r>
      <w:r w:rsidR="00D117A1" w:rsidRPr="004E19F2">
        <w:t>ideas, publications, and citations</w:t>
      </w:r>
      <w:r w:rsidR="00D117A1">
        <w:t>,</w:t>
      </w:r>
      <w:r w:rsidR="00D117A1" w:rsidRPr="004E19F2">
        <w:t xml:space="preserve"> </w:t>
      </w:r>
      <w:r w:rsidR="00D117A1">
        <w:t xml:space="preserve">it lacks </w:t>
      </w:r>
      <w:r w:rsidR="00D117A1" w:rsidRPr="004E19F2">
        <w:t>effective</w:t>
      </w:r>
      <w:r w:rsidR="00D117A1">
        <w:t>ness</w:t>
      </w:r>
      <w:r w:rsidR="00D117A1" w:rsidRPr="004E19F2">
        <w:t xml:space="preserve"> </w:t>
      </w:r>
      <w:r w:rsidR="00D117A1">
        <w:t xml:space="preserve">in </w:t>
      </w:r>
      <w:r w:rsidR="00D117A1" w:rsidRPr="004E19F2">
        <w:t>engaging</w:t>
      </w:r>
      <w:r w:rsidR="00D117A1">
        <w:t xml:space="preserve"> and coordinating</w:t>
      </w:r>
      <w:r w:rsidR="00D117A1" w:rsidRPr="004E19F2">
        <w:t xml:space="preserve"> the</w:t>
      </w:r>
      <w:r>
        <w:t xml:space="preserve"> knowledge and</w:t>
      </w:r>
      <w:r w:rsidR="00D117A1" w:rsidRPr="004E19F2">
        <w:t xml:space="preserve"> commitment of stakeholders </w:t>
      </w:r>
      <w:r w:rsidR="00D117A1">
        <w:t xml:space="preserve">for the </w:t>
      </w:r>
      <w:r w:rsidR="00D117A1" w:rsidRPr="004E19F2">
        <w:t>implement</w:t>
      </w:r>
      <w:r w:rsidR="00D117A1">
        <w:t>ation of</w:t>
      </w:r>
      <w:r w:rsidR="00D117A1" w:rsidRPr="004E19F2">
        <w:t xml:space="preserve"> those ideas</w:t>
      </w:r>
      <w:r>
        <w:t>. T</w:t>
      </w:r>
      <w:r w:rsidR="00D117A1">
        <w:t xml:space="preserve">he innovation process demands </w:t>
      </w:r>
      <w:r w:rsidR="00D117A1" w:rsidRPr="00B11C71">
        <w:t>a more relational and collaborative set of practic</w:t>
      </w:r>
      <w:r w:rsidR="00D117A1" w:rsidRPr="004E19F2">
        <w:t>es.</w:t>
      </w:r>
      <w:r w:rsidR="00D117A1">
        <w:t xml:space="preserve"> </w:t>
      </w:r>
      <w:r w:rsidR="00D117A1" w:rsidRPr="004E19F2">
        <w:t xml:space="preserve">In other words, </w:t>
      </w:r>
      <w:r w:rsidR="00D117A1" w:rsidRPr="007C655B">
        <w:t>the strong culture of individualism</w:t>
      </w:r>
      <w:r w:rsidR="00D117A1">
        <w:t>,</w:t>
      </w:r>
      <w:r w:rsidR="00D117A1" w:rsidRPr="007C655B">
        <w:t xml:space="preserve"> reinforced by universit</w:t>
      </w:r>
      <w:r w:rsidR="00D117A1">
        <w:t>ies’</w:t>
      </w:r>
      <w:r w:rsidR="00D117A1" w:rsidRPr="007C655B">
        <w:t xml:space="preserve"> promotion and tenure </w:t>
      </w:r>
      <w:r w:rsidR="00D117A1" w:rsidRPr="007C655B">
        <w:lastRenderedPageBreak/>
        <w:t>process</w:t>
      </w:r>
      <w:r w:rsidR="00D117A1">
        <w:t>es</w:t>
      </w:r>
      <w:r w:rsidR="0087714E">
        <w:t xml:space="preserve"> and incentive systems</w:t>
      </w:r>
      <w:r w:rsidR="00D117A1">
        <w:t>,</w:t>
      </w:r>
      <w:r w:rsidR="00D117A1" w:rsidRPr="007C655B">
        <w:t xml:space="preserve"> is not very </w:t>
      </w:r>
      <w:r>
        <w:t xml:space="preserve">effective </w:t>
      </w:r>
      <w:r w:rsidR="00D117A1">
        <w:t>in</w:t>
      </w:r>
      <w:r w:rsidR="0087714E">
        <w:t xml:space="preserve"> promoting teamwork and</w:t>
      </w:r>
      <w:r>
        <w:t xml:space="preserve"> collective</w:t>
      </w:r>
      <w:r w:rsidR="0087714E">
        <w:t xml:space="preserve"> action </w:t>
      </w:r>
      <w:r>
        <w:t>in</w:t>
      </w:r>
      <w:r w:rsidR="00D117A1">
        <w:t xml:space="preserve"> </w:t>
      </w:r>
      <w:r w:rsidR="00D117A1" w:rsidRPr="007C655B">
        <w:t>building and leveraging relationships across existing disciplinary</w:t>
      </w:r>
      <w:r w:rsidR="0087714E">
        <w:t>, functional, product, regional, and international</w:t>
      </w:r>
      <w:r w:rsidR="00D117A1" w:rsidRPr="007C655B">
        <w:t xml:space="preserve"> boundaries </w:t>
      </w:r>
      <w:r>
        <w:t xml:space="preserve">to </w:t>
      </w:r>
      <w:r w:rsidR="00D117A1" w:rsidRPr="007C655B">
        <w:t>capitaliz</w:t>
      </w:r>
      <w:r>
        <w:t>e</w:t>
      </w:r>
      <w:r w:rsidR="00D117A1" w:rsidRPr="007C655B">
        <w:t xml:space="preserve"> on new growth economics. </w:t>
      </w:r>
    </w:p>
    <w:p w14:paraId="36660283" w14:textId="5E76C268" w:rsidR="00D117A1" w:rsidRPr="00ED0A4C" w:rsidRDefault="00D117A1" w:rsidP="00D117A1">
      <w:r>
        <w:t>Research has demonstrated that</w:t>
      </w:r>
      <w:r w:rsidRPr="006F79B0">
        <w:t xml:space="preserve"> </w:t>
      </w:r>
      <w:r>
        <w:t xml:space="preserve">while </w:t>
      </w:r>
      <w:r w:rsidRPr="006F79B0">
        <w:t xml:space="preserve">individualistic cultures outperform most collectivistic cultures in </w:t>
      </w:r>
      <w:r>
        <w:t xml:space="preserve">the </w:t>
      </w:r>
      <w:r w:rsidRPr="006F79B0">
        <w:t>generati</w:t>
      </w:r>
      <w:r>
        <w:t>o</w:t>
      </w:r>
      <w:r w:rsidRPr="006F79B0">
        <w:t>n</w:t>
      </w:r>
      <w:r>
        <w:t xml:space="preserve"> of</w:t>
      </w:r>
      <w:r w:rsidRPr="006F79B0">
        <w:t xml:space="preserve"> new ideas, publications</w:t>
      </w:r>
      <w:r>
        <w:t>,</w:t>
      </w:r>
      <w:r w:rsidRPr="006F79B0">
        <w:t xml:space="preserve"> and citations</w:t>
      </w:r>
      <w:r>
        <w:t>,</w:t>
      </w:r>
      <w:r w:rsidRPr="006F79B0">
        <w:t xml:space="preserve"> culture</w:t>
      </w:r>
      <w:r>
        <w:t>s</w:t>
      </w:r>
      <w:r w:rsidRPr="006F79B0">
        <w:t xml:space="preserve"> </w:t>
      </w:r>
      <w:r w:rsidR="0087714E">
        <w:t>that place a</w:t>
      </w:r>
      <w:r>
        <w:t xml:space="preserve"> </w:t>
      </w:r>
      <w:r w:rsidRPr="006F79B0">
        <w:t xml:space="preserve">strong emphasis on collectivism </w:t>
      </w:r>
      <w:r>
        <w:t xml:space="preserve">are more </w:t>
      </w:r>
      <w:r w:rsidRPr="006F79B0">
        <w:t xml:space="preserve">effective </w:t>
      </w:r>
      <w:r>
        <w:t xml:space="preserve">in the </w:t>
      </w:r>
      <w:r w:rsidRPr="00025EED">
        <w:t>implement</w:t>
      </w:r>
      <w:r>
        <w:t>ation of</w:t>
      </w:r>
      <w:r w:rsidRPr="006F79B0">
        <w:t xml:space="preserve"> new ideas</w:t>
      </w:r>
      <w:r>
        <w:t xml:space="preserve"> </w:t>
      </w:r>
      <w:r w:rsidRPr="006F79B0">
        <w:t xml:space="preserve">(Taylor </w:t>
      </w:r>
      <w:r>
        <w:t xml:space="preserve">&amp; </w:t>
      </w:r>
      <w:r w:rsidRPr="006F79B0">
        <w:t>Wilson, 2012).</w:t>
      </w:r>
      <w:r w:rsidR="0087714E">
        <w:t xml:space="preserve"> This means</w:t>
      </w:r>
      <w:r>
        <w:t xml:space="preserve"> that a</w:t>
      </w:r>
      <w:r w:rsidRPr="006F79B0">
        <w:t xml:space="preserve"> culture </w:t>
      </w:r>
      <w:r>
        <w:t>that focuses</w:t>
      </w:r>
      <w:r w:rsidRPr="006F79B0">
        <w:t xml:space="preserve"> on individualism </w:t>
      </w:r>
      <w:r w:rsidR="0087714E">
        <w:t>would be more successful</w:t>
      </w:r>
      <w:r>
        <w:t xml:space="preserve"> in</w:t>
      </w:r>
      <w:r w:rsidR="0087714E">
        <w:t xml:space="preserve"> developing and</w:t>
      </w:r>
      <w:r>
        <w:t xml:space="preserve"> </w:t>
      </w:r>
      <w:r w:rsidRPr="00025EED">
        <w:t>fostering</w:t>
      </w:r>
      <w:r w:rsidRPr="006F79B0">
        <w:t xml:space="preserve"> new ideas and inventions</w:t>
      </w:r>
      <w:r>
        <w:t>,</w:t>
      </w:r>
      <w:r w:rsidRPr="006F79B0">
        <w:t xml:space="preserve"> </w:t>
      </w:r>
      <w:r>
        <w:t>while those based on collectivism would be</w:t>
      </w:r>
      <w:r w:rsidRPr="006F79B0">
        <w:t xml:space="preserve"> more effective </w:t>
      </w:r>
      <w:r>
        <w:t xml:space="preserve">in </w:t>
      </w:r>
      <w:r w:rsidRPr="006F79B0">
        <w:t>engaging key stakeholders, building relationships and social capital, and creating meaning</w:t>
      </w:r>
      <w:r w:rsidR="0087714E">
        <w:t xml:space="preserve"> and collective action</w:t>
      </w:r>
      <w:r w:rsidRPr="006F79B0">
        <w:t xml:space="preserve"> </w:t>
      </w:r>
      <w:r w:rsidR="0087714E">
        <w:t>in implementing those ideas</w:t>
      </w:r>
      <w:r w:rsidRPr="006F79B0">
        <w:t xml:space="preserve">. </w:t>
      </w:r>
      <w:r w:rsidR="0087714E">
        <w:t>T</w:t>
      </w:r>
      <w:r w:rsidRPr="007C655B">
        <w:t xml:space="preserve">he integration of both individual and collective perspectives is necessary for </w:t>
      </w:r>
      <w:r>
        <w:t xml:space="preserve">the complete </w:t>
      </w:r>
      <w:r w:rsidRPr="007C655B">
        <w:t>realiz</w:t>
      </w:r>
      <w:r>
        <w:t>ation of</w:t>
      </w:r>
      <w:r w:rsidRPr="007C655B">
        <w:t xml:space="preserve"> the innovation process.</w:t>
      </w:r>
      <w:r w:rsidRPr="00ED0A4C">
        <w:t xml:space="preserve"> </w:t>
      </w:r>
      <w:r>
        <w:t xml:space="preserve">Translating </w:t>
      </w:r>
      <w:r w:rsidRPr="00ED0A4C">
        <w:t>new idea</w:t>
      </w:r>
      <w:r>
        <w:t>s</w:t>
      </w:r>
      <w:r w:rsidRPr="00ED0A4C">
        <w:t xml:space="preserve"> from </w:t>
      </w:r>
      <w:r>
        <w:t xml:space="preserve">the </w:t>
      </w:r>
      <w:r w:rsidRPr="00ED0A4C">
        <w:t xml:space="preserve">research </w:t>
      </w:r>
      <w:r>
        <w:t xml:space="preserve">arena </w:t>
      </w:r>
      <w:r w:rsidRPr="00ED0A4C">
        <w:t xml:space="preserve">to </w:t>
      </w:r>
      <w:r>
        <w:t xml:space="preserve">the </w:t>
      </w:r>
      <w:r w:rsidRPr="00ED0A4C">
        <w:t>market</w:t>
      </w:r>
      <w:r>
        <w:t xml:space="preserve"> requires</w:t>
      </w:r>
      <w:r w:rsidRPr="00ED0A4C">
        <w:t xml:space="preserve"> proof of concept, legal protection, business planning, developing and testing prototypes, organizational design, hiring the right people, creating supplier and distribution contracts</w:t>
      </w:r>
      <w:r>
        <w:t xml:space="preserve"> and channels</w:t>
      </w:r>
      <w:r w:rsidRPr="00ED0A4C">
        <w:t>, and marketing the innovation to customers</w:t>
      </w:r>
      <w:r>
        <w:t>; in brief, collaboration across disciplines and functions is required.</w:t>
      </w:r>
      <w:r w:rsidRPr="00ED0A4C">
        <w:t xml:space="preserve"> </w:t>
      </w:r>
    </w:p>
    <w:p w14:paraId="027B3AC1" w14:textId="37836233" w:rsidR="00D117A1" w:rsidRDefault="00D117A1" w:rsidP="004E3583">
      <w:r>
        <w:t>The l</w:t>
      </w:r>
      <w:r w:rsidRPr="00507787">
        <w:t xml:space="preserve">ack </w:t>
      </w:r>
      <w:r>
        <w:t>in the</w:t>
      </w:r>
      <w:r w:rsidRPr="00507787">
        <w:t xml:space="preserve"> capabilit</w:t>
      </w:r>
      <w:r>
        <w:t>y</w:t>
      </w:r>
      <w:r w:rsidRPr="00507787">
        <w:t xml:space="preserve"> to engage, connect, collaborate</w:t>
      </w:r>
      <w:r>
        <w:t>,</w:t>
      </w:r>
      <w:r w:rsidRPr="00507787">
        <w:t xml:space="preserve"> and conduct interdisciplinary work and a culture </w:t>
      </w:r>
      <w:r>
        <w:t>that</w:t>
      </w:r>
      <w:r w:rsidRPr="00507787">
        <w:t xml:space="preserve"> </w:t>
      </w:r>
      <w:r>
        <w:t>expects and supports collective and coordinated behavior</w:t>
      </w:r>
      <w:r w:rsidR="009503BD">
        <w:t xml:space="preserve"> impedes</w:t>
      </w:r>
      <w:r w:rsidRPr="00507787">
        <w:t xml:space="preserve"> </w:t>
      </w:r>
      <w:r w:rsidR="009503BD">
        <w:t>successful</w:t>
      </w:r>
      <w:r>
        <w:t xml:space="preserve"> innovation</w:t>
      </w:r>
      <w:r w:rsidRPr="00507787">
        <w:t xml:space="preserve">. </w:t>
      </w:r>
      <w:r>
        <w:t>F</w:t>
      </w:r>
      <w:r w:rsidR="009503BD">
        <w:t>rom this perspective</w:t>
      </w:r>
      <w:r>
        <w:t>,</w:t>
      </w:r>
      <w:r w:rsidRPr="00507787">
        <w:t xml:space="preserve"> </w:t>
      </w:r>
      <w:r>
        <w:t>i</w:t>
      </w:r>
      <w:r w:rsidRPr="00507787">
        <w:t xml:space="preserve">t </w:t>
      </w:r>
      <w:r w:rsidR="009503BD">
        <w:t>seems apparent</w:t>
      </w:r>
      <w:r>
        <w:t xml:space="preserve"> </w:t>
      </w:r>
      <w:r w:rsidRPr="00507787">
        <w:t xml:space="preserve">that most </w:t>
      </w:r>
      <w:r>
        <w:t>American</w:t>
      </w:r>
      <w:r w:rsidRPr="00507787">
        <w:t xml:space="preserve"> </w:t>
      </w:r>
      <w:r>
        <w:t>u</w:t>
      </w:r>
      <w:r w:rsidRPr="00507787">
        <w:t>niversities are ill</w:t>
      </w:r>
      <w:r>
        <w:t>-</w:t>
      </w:r>
      <w:r w:rsidR="009503BD">
        <w:t xml:space="preserve">equipped </w:t>
      </w:r>
      <w:r w:rsidR="0087714E">
        <w:t xml:space="preserve">to become the </w:t>
      </w:r>
      <w:r w:rsidRPr="00507787">
        <w:t>engines of economic growth</w:t>
      </w:r>
      <w:r w:rsidR="0087714E">
        <w:t xml:space="preserve"> that they claim to be</w:t>
      </w:r>
      <w:r w:rsidRPr="00507787">
        <w:t xml:space="preserve">. </w:t>
      </w:r>
      <w:r>
        <w:t xml:space="preserve">This </w:t>
      </w:r>
      <w:r w:rsidRPr="00507787">
        <w:t xml:space="preserve">is not </w:t>
      </w:r>
      <w:r>
        <w:t xml:space="preserve">due to a </w:t>
      </w:r>
      <w:r w:rsidRPr="00507787">
        <w:t xml:space="preserve">lack </w:t>
      </w:r>
      <w:r>
        <w:t xml:space="preserve">of </w:t>
      </w:r>
      <w:r w:rsidRPr="00507787">
        <w:t>resources</w:t>
      </w:r>
      <w:r>
        <w:t>,</w:t>
      </w:r>
      <w:r w:rsidRPr="00507787">
        <w:t xml:space="preserve"> as </w:t>
      </w:r>
      <w:r w:rsidR="0087714E">
        <w:t>argued</w:t>
      </w:r>
      <w:r>
        <w:t xml:space="preserve"> </w:t>
      </w:r>
      <w:r w:rsidRPr="00C82B5E">
        <w:t xml:space="preserve">by many university </w:t>
      </w:r>
      <w:r w:rsidRPr="00C82B5E">
        <w:lastRenderedPageBreak/>
        <w:t>leaders</w:t>
      </w:r>
      <w:r>
        <w:t>,</w:t>
      </w:r>
      <w:r w:rsidRPr="00C82B5E">
        <w:t xml:space="preserve"> but </w:t>
      </w:r>
      <w:r w:rsidR="009503BD">
        <w:t xml:space="preserve">rather to </w:t>
      </w:r>
      <w:r>
        <w:t xml:space="preserve">a </w:t>
      </w:r>
      <w:r w:rsidRPr="00C82B5E">
        <w:t xml:space="preserve">lack </w:t>
      </w:r>
      <w:r>
        <w:t xml:space="preserve">of </w:t>
      </w:r>
      <w:r w:rsidRPr="00C82B5E">
        <w:t xml:space="preserve">leadership, </w:t>
      </w:r>
      <w:r>
        <w:t xml:space="preserve">suitable </w:t>
      </w:r>
      <w:r w:rsidRPr="00C82B5E">
        <w:t>culture</w:t>
      </w:r>
      <w:r>
        <w:t xml:space="preserve">, and relational structures, </w:t>
      </w:r>
      <w:r w:rsidRPr="00C82B5E">
        <w:t>methods</w:t>
      </w:r>
      <w:r w:rsidR="0055056F">
        <w:t xml:space="preserve">, </w:t>
      </w:r>
      <w:r>
        <w:t>practices</w:t>
      </w:r>
      <w:r w:rsidR="0055056F">
        <w:t>, and skills</w:t>
      </w:r>
      <w:r w:rsidRPr="00C82B5E">
        <w:t xml:space="preserve"> </w:t>
      </w:r>
      <w:r w:rsidR="0087714E">
        <w:t xml:space="preserve">that are required to effectively implement the innovation process, create jobs and industries, and </w:t>
      </w:r>
      <w:r w:rsidRPr="00C82B5E">
        <w:t>s</w:t>
      </w:r>
      <w:r>
        <w:t>timulate economic</w:t>
      </w:r>
      <w:r w:rsidR="0087714E">
        <w:t xml:space="preserve"> development and</w:t>
      </w:r>
      <w:r>
        <w:t xml:space="preserve"> gro</w:t>
      </w:r>
      <w:r w:rsidR="006D355D">
        <w:t>wth (National Science Board</w:t>
      </w:r>
      <w:r w:rsidRPr="00C82B5E">
        <w:t>, 2010)</w:t>
      </w:r>
      <w:r>
        <w:t>.</w:t>
      </w:r>
    </w:p>
    <w:p w14:paraId="4C89A573" w14:textId="77777777" w:rsidR="00A72D34" w:rsidRPr="00025EED" w:rsidRDefault="00A72D34" w:rsidP="00A72D34">
      <w:pPr>
        <w:pStyle w:val="Heading2"/>
      </w:pPr>
      <w:r w:rsidRPr="00025EED">
        <w:t xml:space="preserve">Need </w:t>
      </w:r>
      <w:r>
        <w:t>f</w:t>
      </w:r>
      <w:r w:rsidRPr="00025EED">
        <w:t xml:space="preserve">or </w:t>
      </w:r>
      <w:r>
        <w:t>a</w:t>
      </w:r>
      <w:r w:rsidRPr="00025EED">
        <w:t xml:space="preserve"> Shift </w:t>
      </w:r>
      <w:r>
        <w:t>i</w:t>
      </w:r>
      <w:r w:rsidRPr="00025EED">
        <w:t>n Perspective</w:t>
      </w:r>
      <w:bookmarkEnd w:id="3"/>
      <w:bookmarkEnd w:id="4"/>
      <w:r w:rsidRPr="00025EED">
        <w:t xml:space="preserve"> </w:t>
      </w:r>
    </w:p>
    <w:p w14:paraId="7C57752B" w14:textId="465B1CB6" w:rsidR="00582595" w:rsidRDefault="00A72D34" w:rsidP="00A72D34">
      <w:r w:rsidRPr="00910CD1">
        <w:t xml:space="preserve">Research universities have reified Vannevar Bush’s </w:t>
      </w:r>
      <w:r w:rsidRPr="00910CD1">
        <w:rPr>
          <w:i/>
        </w:rPr>
        <w:t xml:space="preserve">Science: </w:t>
      </w:r>
      <w:r>
        <w:rPr>
          <w:i/>
        </w:rPr>
        <w:t>T</w:t>
      </w:r>
      <w:r w:rsidRPr="00910CD1">
        <w:rPr>
          <w:i/>
        </w:rPr>
        <w:t>he Endless Frontier</w:t>
      </w:r>
      <w:r w:rsidRPr="00910CD1">
        <w:t xml:space="preserve"> (1945) from a proposed national policy to a complex, monolithic research system, with an expensive and ever-growing infrastructure that demands constant funding.</w:t>
      </w:r>
      <w:r>
        <w:t xml:space="preserve"> T</w:t>
      </w:r>
      <w:r w:rsidRPr="00910CD1">
        <w:t>he leaders of research universities</w:t>
      </w:r>
      <w:r>
        <w:t xml:space="preserve"> (and funding agencies such as the NSF and NIH and European Commission) assert that w</w:t>
      </w:r>
      <w:r w:rsidRPr="00910CD1">
        <w:t xml:space="preserve">ithout </w:t>
      </w:r>
      <w:r>
        <w:t>increased</w:t>
      </w:r>
      <w:r w:rsidRPr="00910CD1">
        <w:t xml:space="preserve"> funding</w:t>
      </w:r>
      <w:r>
        <w:t>,</w:t>
      </w:r>
      <w:r w:rsidRPr="00910CD1">
        <w:t xml:space="preserve"> an innovation crisis</w:t>
      </w:r>
      <w:r>
        <w:t xml:space="preserve"> will emerge</w:t>
      </w:r>
      <w:r w:rsidRPr="00910CD1">
        <w:t xml:space="preserve">, </w:t>
      </w:r>
      <w:r>
        <w:t xml:space="preserve">making </w:t>
      </w:r>
      <w:r w:rsidRPr="00910CD1">
        <w:t xml:space="preserve">the entire nation suffer. </w:t>
      </w:r>
    </w:p>
    <w:p w14:paraId="52F144AC" w14:textId="546E1256" w:rsidR="00582595" w:rsidRDefault="00046AB9" w:rsidP="00A72D34">
      <w:r>
        <w:t>But, if public</w:t>
      </w:r>
      <w:r w:rsidRPr="00910CD1">
        <w:t xml:space="preserve"> funding is only one of many causal or mediating variables,</w:t>
      </w:r>
      <w:r>
        <w:t xml:space="preserve"> including environment, culture, market, leadership, teamwork, competencies, skills and methods, </w:t>
      </w:r>
      <w:r w:rsidRPr="00910CD1">
        <w:t xml:space="preserve">how important is it to the outcome? How much of the relationship does it account for? </w:t>
      </w:r>
      <w:r>
        <w:t xml:space="preserve">Is the concept of new growth theory (NGT) simply a myth? </w:t>
      </w:r>
      <w:r w:rsidRPr="00910CD1">
        <w:t xml:space="preserve">Moreover, if innovation </w:t>
      </w:r>
      <w:r>
        <w:t xml:space="preserve">is observed in cases in which </w:t>
      </w:r>
      <w:r w:rsidRPr="00910CD1">
        <w:t>additional resources were not</w:t>
      </w:r>
      <w:r>
        <w:t xml:space="preserve"> supplied</w:t>
      </w:r>
      <w:r w:rsidRPr="00910CD1">
        <w:t xml:space="preserve">, such as in </w:t>
      </w:r>
      <w:r>
        <w:t>the case of NGT</w:t>
      </w:r>
      <w:r w:rsidRPr="00910CD1">
        <w:t>,</w:t>
      </w:r>
      <w:r>
        <w:t xml:space="preserve"> does</w:t>
      </w:r>
      <w:r w:rsidRPr="00910CD1">
        <w:t xml:space="preserve"> the argument for additional public funding </w:t>
      </w:r>
      <w:r w:rsidR="0087714E">
        <w:t>still hold</w:t>
      </w:r>
      <w:r w:rsidRPr="00910CD1">
        <w:t xml:space="preserve">? Finally, one must determine the limits or range of funding </w:t>
      </w:r>
      <w:r>
        <w:t xml:space="preserve">required </w:t>
      </w:r>
      <w:r w:rsidRPr="00910CD1">
        <w:t>for innovation.</w:t>
      </w:r>
    </w:p>
    <w:p w14:paraId="0E2F29B8" w14:textId="78494419" w:rsidR="00E42F38" w:rsidRDefault="00A72D34" w:rsidP="00046AB9">
      <w:r w:rsidRPr="00910CD1">
        <w:t>Considering all the questions associated with the relationship between public funding and innovation, one i</w:t>
      </w:r>
      <w:r>
        <w:t>s</w:t>
      </w:r>
      <w:r w:rsidRPr="00910CD1">
        <w:t xml:space="preserve"> left wondering whether the argument for </w:t>
      </w:r>
      <w:r>
        <w:t xml:space="preserve">increased </w:t>
      </w:r>
      <w:r w:rsidRPr="00910CD1">
        <w:t>public rese</w:t>
      </w:r>
      <w:r w:rsidR="007A699D">
        <w:t>arch funding is a response to a national</w:t>
      </w:r>
      <w:r w:rsidRPr="00910CD1">
        <w:t xml:space="preserve"> economic </w:t>
      </w:r>
      <w:r w:rsidR="0087714E">
        <w:t xml:space="preserve">crisis </w:t>
      </w:r>
      <w:r>
        <w:t>or a plea</w:t>
      </w:r>
      <w:r w:rsidR="0087714E">
        <w:t xml:space="preserve"> by research universities</w:t>
      </w:r>
      <w:r>
        <w:t xml:space="preserve"> to sustain an ever-growing infrastructure</w:t>
      </w:r>
      <w:r w:rsidR="007A699D">
        <w:t xml:space="preserve">. </w:t>
      </w:r>
    </w:p>
    <w:p w14:paraId="483862FF" w14:textId="2E559CE0" w:rsidR="00A72D34" w:rsidRPr="00910CD1" w:rsidRDefault="00A72D34" w:rsidP="007A699D">
      <w:r>
        <w:lastRenderedPageBreak/>
        <w:t>P</w:t>
      </w:r>
      <w:r w:rsidRPr="00910CD1">
        <w:t>resent</w:t>
      </w:r>
      <w:r>
        <w:t>ly</w:t>
      </w:r>
      <w:r w:rsidRPr="00910CD1">
        <w:t xml:space="preserve">, the question whether public funding </w:t>
      </w:r>
      <w:r>
        <w:t>lead</w:t>
      </w:r>
      <w:r w:rsidR="007A699D">
        <w:t xml:space="preserve">s to greater innovation even </w:t>
      </w:r>
      <w:r>
        <w:t>over</w:t>
      </w:r>
      <w:r w:rsidR="007A699D">
        <w:t xml:space="preserve"> long </w:t>
      </w:r>
      <w:r w:rsidRPr="00910CD1">
        <w:t xml:space="preserve">term </w:t>
      </w:r>
      <w:r>
        <w:t>remains debatable</w:t>
      </w:r>
      <w:r w:rsidR="00046AB9">
        <w:t>,</w:t>
      </w:r>
      <w:r w:rsidR="00681DC2">
        <w:t xml:space="preserve"> largely</w:t>
      </w:r>
      <w:r w:rsidRPr="00910CD1">
        <w:t xml:space="preserve"> </w:t>
      </w:r>
      <w:r>
        <w:t xml:space="preserve">due to </w:t>
      </w:r>
      <w:r w:rsidR="00681DC2">
        <w:t>a lack of standardized</w:t>
      </w:r>
      <w:r w:rsidR="007A699D">
        <w:t xml:space="preserve"> data,</w:t>
      </w:r>
      <w:r w:rsidR="00681DC2">
        <w:t xml:space="preserve"> metrics, </w:t>
      </w:r>
      <w:r w:rsidR="007A699D">
        <w:t xml:space="preserve">and reporting,  </w:t>
      </w:r>
      <w:r w:rsidR="00681DC2">
        <w:t>and uneven performance</w:t>
      </w:r>
      <w:r>
        <w:t xml:space="preserve">. </w:t>
      </w:r>
      <w:r w:rsidRPr="00910CD1">
        <w:t>Leaders in</w:t>
      </w:r>
      <w:r w:rsidR="00046AB9">
        <w:t xml:space="preserve"> government and</w:t>
      </w:r>
      <w:r w:rsidRPr="00910CD1">
        <w:t xml:space="preserve"> h</w:t>
      </w:r>
      <w:r w:rsidR="007A699D">
        <w:t xml:space="preserve">igher education need to be more </w:t>
      </w:r>
      <w:r w:rsidRPr="00910CD1">
        <w:t>transparent in acknowledging that a high percentage of public funding feeds the infrastructure of big science</w:t>
      </w:r>
      <w:r>
        <w:t>.</w:t>
      </w:r>
      <w:r w:rsidRPr="00910CD1">
        <w:t xml:space="preserve"> If researchers </w:t>
      </w:r>
      <w:r w:rsidR="007A699D">
        <w:t xml:space="preserve">are </w:t>
      </w:r>
      <w:r w:rsidRPr="00910CD1">
        <w:t>spend</w:t>
      </w:r>
      <w:r w:rsidR="007A699D">
        <w:t>ing</w:t>
      </w:r>
      <w:r w:rsidRPr="00910CD1">
        <w:t xml:space="preserve"> up to 40</w:t>
      </w:r>
      <w:r>
        <w:t xml:space="preserve">% </w:t>
      </w:r>
      <w:r w:rsidRPr="00910CD1">
        <w:t xml:space="preserve">of their time </w:t>
      </w:r>
      <w:r>
        <w:t xml:space="preserve">performing </w:t>
      </w:r>
      <w:r w:rsidRPr="00910CD1">
        <w:t xml:space="preserve">administrative </w:t>
      </w:r>
      <w:r>
        <w:t xml:space="preserve">tasks </w:t>
      </w:r>
      <w:r w:rsidRPr="00910CD1">
        <w:t>(National Science Board, 201</w:t>
      </w:r>
      <w:r>
        <w:t>2</w:t>
      </w:r>
      <w:r w:rsidR="007A699D">
        <w:t>) and</w:t>
      </w:r>
      <w:r w:rsidRPr="00910CD1">
        <w:t xml:space="preserve"> writing articles based on studies</w:t>
      </w:r>
      <w:r>
        <w:t>,</w:t>
      </w:r>
      <w:r w:rsidRPr="00910CD1">
        <w:t xml:space="preserve"> </w:t>
      </w:r>
      <w:r>
        <w:t>which</w:t>
      </w:r>
      <w:r w:rsidR="007A699D">
        <w:t xml:space="preserve"> are not relevant and contribute little to knowledge about improving performance  (Shapiro &amp; Kirkman, 2018; Pearce &amp; Huang; </w:t>
      </w:r>
      <w:r w:rsidR="007A699D" w:rsidRPr="009043D5">
        <w:t>2012</w:t>
      </w:r>
      <w:r w:rsidR="007A699D">
        <w:t xml:space="preserve">), or whose findings </w:t>
      </w:r>
      <w:r w:rsidRPr="00910CD1">
        <w:t>cannot be reproduced (Flaherty, 2015; Khaneman</w:t>
      </w:r>
      <w:r>
        <w:t>,</w:t>
      </w:r>
      <w:r w:rsidRPr="00910CD1">
        <w:t xml:space="preserve"> 2012</w:t>
      </w:r>
      <w:r>
        <w:t xml:space="preserve">; </w:t>
      </w:r>
      <w:r w:rsidRPr="00910CD1">
        <w:t>Nosek</w:t>
      </w:r>
      <w:r>
        <w:t>,</w:t>
      </w:r>
      <w:r w:rsidRPr="00910CD1">
        <w:t xml:space="preserve"> 2015; </w:t>
      </w:r>
      <w:r w:rsidRPr="00910CD1">
        <w:rPr>
          <w:color w:val="000000"/>
        </w:rPr>
        <w:t>Nosek</w:t>
      </w:r>
      <w:r>
        <w:rPr>
          <w:color w:val="000000"/>
        </w:rPr>
        <w:t>,</w:t>
      </w:r>
      <w:r w:rsidRPr="00910CD1">
        <w:rPr>
          <w:color w:val="000000"/>
        </w:rPr>
        <w:t xml:space="preserve"> Spies, </w:t>
      </w:r>
      <w:r>
        <w:rPr>
          <w:color w:val="000000"/>
        </w:rPr>
        <w:t xml:space="preserve">&amp; </w:t>
      </w:r>
      <w:r w:rsidRPr="00910CD1">
        <w:rPr>
          <w:color w:val="000000"/>
        </w:rPr>
        <w:t>Motyl, 2012</w:t>
      </w:r>
      <w:r w:rsidRPr="00910CD1">
        <w:t>) then</w:t>
      </w:r>
      <w:r>
        <w:t>, truly,</w:t>
      </w:r>
      <w:r w:rsidRPr="00910CD1">
        <w:t xml:space="preserve"> public funds are being wasted.</w:t>
      </w:r>
      <w:r>
        <w:t xml:space="preserve"> </w:t>
      </w:r>
      <w:r w:rsidRPr="00910CD1">
        <w:t xml:space="preserve">Recent studies </w:t>
      </w:r>
      <w:r>
        <w:t xml:space="preserve">have </w:t>
      </w:r>
      <w:r w:rsidRPr="00910CD1">
        <w:t>report</w:t>
      </w:r>
      <w:r>
        <w:t>ed</w:t>
      </w:r>
      <w:r w:rsidRPr="00910CD1">
        <w:t xml:space="preserve"> that </w:t>
      </w:r>
      <w:r>
        <w:t xml:space="preserve">out </w:t>
      </w:r>
      <w:r w:rsidRPr="00910CD1">
        <w:t xml:space="preserve">of the 1.9 million articles published each year in 28,000 journals, </w:t>
      </w:r>
      <w:r>
        <w:t xml:space="preserve">a mere </w:t>
      </w:r>
      <w:r w:rsidRPr="00910CD1">
        <w:t>10</w:t>
      </w:r>
      <w:r>
        <w:t xml:space="preserve">% </w:t>
      </w:r>
      <w:r w:rsidRPr="00910CD1">
        <w:t xml:space="preserve">are read by </w:t>
      </w:r>
      <w:r>
        <w:t xml:space="preserve">any individual apart from </w:t>
      </w:r>
      <w:r w:rsidRPr="00910CD1">
        <w:t xml:space="preserve">the author, editor, and reviewers (Eveleth, 2014). Moreover, </w:t>
      </w:r>
      <w:r w:rsidR="007A699D">
        <w:t>fewer</w:t>
      </w:r>
      <w:r>
        <w:t xml:space="preserve"> </w:t>
      </w:r>
      <w:r w:rsidRPr="00910CD1">
        <w:t>than 33</w:t>
      </w:r>
      <w:r>
        <w:t xml:space="preserve">% </w:t>
      </w:r>
      <w:r w:rsidRPr="00910CD1">
        <w:t xml:space="preserve">are </w:t>
      </w:r>
      <w:r>
        <w:t xml:space="preserve">even </w:t>
      </w:r>
      <w:r w:rsidRPr="00910CD1">
        <w:t xml:space="preserve">cited (Elsevier, 2013). </w:t>
      </w:r>
      <w:r>
        <w:t xml:space="preserve">Such findings weaken and make questionable </w:t>
      </w:r>
      <w:r w:rsidRPr="00910CD1">
        <w:t xml:space="preserve">the claim that </w:t>
      </w:r>
      <w:r>
        <w:t xml:space="preserve">greater </w:t>
      </w:r>
      <w:r w:rsidRPr="00910CD1">
        <w:t xml:space="preserve">funding will </w:t>
      </w:r>
      <w:r>
        <w:t xml:space="preserve">lead to increased </w:t>
      </w:r>
      <w:r w:rsidRPr="00910CD1">
        <w:t>innovation.</w:t>
      </w:r>
      <w:r>
        <w:t xml:space="preserve"> </w:t>
      </w:r>
    </w:p>
    <w:p w14:paraId="363ABEA2" w14:textId="4625199A" w:rsidR="00A72D34" w:rsidRPr="00910CD1" w:rsidRDefault="00A72D34" w:rsidP="006F586D">
      <w:r w:rsidRPr="00910CD1">
        <w:t xml:space="preserve">In addition to the difficulty of measuring the output of research funding, there are </w:t>
      </w:r>
      <w:r>
        <w:t>several</w:t>
      </w:r>
      <w:r w:rsidRPr="00910CD1">
        <w:t xml:space="preserve"> other issues and concerns </w:t>
      </w:r>
      <w:r>
        <w:t xml:space="preserve">associated with </w:t>
      </w:r>
      <w:r w:rsidRPr="00910CD1">
        <w:t>university research, including the high cost of compliance</w:t>
      </w:r>
      <w:r>
        <w:t xml:space="preserve"> (</w:t>
      </w:r>
      <w:r w:rsidRPr="00910CD1">
        <w:t xml:space="preserve">estimated </w:t>
      </w:r>
      <w:r w:rsidR="004C62B0">
        <w:t>to be 24</w:t>
      </w:r>
      <w:r>
        <w:t>%</w:t>
      </w:r>
      <w:r w:rsidRPr="00910CD1">
        <w:t xml:space="preserve"> </w:t>
      </w:r>
      <w:r>
        <w:t>of the</w:t>
      </w:r>
      <w:r w:rsidR="004C62B0">
        <w:t xml:space="preserve"> annual</w:t>
      </w:r>
      <w:r w:rsidRPr="00910CD1">
        <w:t xml:space="preserve"> research expenditure at Vanderbilt University</w:t>
      </w:r>
      <w:r w:rsidR="004C62B0">
        <w:t>; and</w:t>
      </w:r>
      <w:r w:rsidRPr="00910CD1">
        <w:t xml:space="preserve"> </w:t>
      </w:r>
      <w:r>
        <w:t>acc</w:t>
      </w:r>
      <w:r w:rsidR="004C62B0">
        <w:t>ording to a 2015 compliance study of eleven universities for 2013-14, estim</w:t>
      </w:r>
      <w:r w:rsidR="006F586D">
        <w:t>ated to be $27B per year for the 11</w:t>
      </w:r>
      <w:r w:rsidR="004C62B0">
        <w:t xml:space="preserve"> universities</w:t>
      </w:r>
      <w:r w:rsidRPr="00910CD1">
        <w:t>)</w:t>
      </w:r>
      <w:r>
        <w:t>,</w:t>
      </w:r>
      <w:r w:rsidRPr="00910CD1">
        <w:t xml:space="preserve"> unethical and fraudulent research practices, ineffective peer review (Bartlett, 2017</w:t>
      </w:r>
      <w:r>
        <w:t xml:space="preserve">; </w:t>
      </w:r>
      <w:r w:rsidRPr="00910CD1">
        <w:t xml:space="preserve">Colquhoun, 2016; Van Noorden, 2011), </w:t>
      </w:r>
      <w:r>
        <w:t xml:space="preserve">as well as </w:t>
      </w:r>
      <w:r w:rsidRPr="00910CD1">
        <w:t>recent claims of fake news by political parties regarding issues of national importance</w:t>
      </w:r>
      <w:r>
        <w:t>,</w:t>
      </w:r>
      <w:r w:rsidRPr="00910CD1">
        <w:t xml:space="preserve"> such as climate change. These concerns raise questions about the integrity of scientists and the reliability of their methods (</w:t>
      </w:r>
      <w:r w:rsidRPr="00735D2D">
        <w:rPr>
          <w:i/>
        </w:rPr>
        <w:t>Economist</w:t>
      </w:r>
      <w:r w:rsidRPr="00910CD1">
        <w:t>, 2013; Ioannidis, 2005</w:t>
      </w:r>
      <w:r>
        <w:t xml:space="preserve">; </w:t>
      </w:r>
      <w:r w:rsidR="002E036E">
        <w:t xml:space="preserve">Edwards </w:t>
      </w:r>
      <w:r w:rsidR="002E036E">
        <w:lastRenderedPageBreak/>
        <w:t xml:space="preserve">and </w:t>
      </w:r>
      <w:r w:rsidRPr="00910CD1">
        <w:t xml:space="preserve">Roy, 2017). To </w:t>
      </w:r>
      <w:r>
        <w:t xml:space="preserve">overlook </w:t>
      </w:r>
      <w:r w:rsidRPr="00910CD1">
        <w:t>these issues while increasing public funding</w:t>
      </w:r>
      <w:r>
        <w:t xml:space="preserve"> with</w:t>
      </w:r>
      <w:r w:rsidRPr="00910CD1">
        <w:t xml:space="preserve"> </w:t>
      </w:r>
      <w:r>
        <w:t xml:space="preserve">the </w:t>
      </w:r>
      <w:r w:rsidRPr="00910CD1">
        <w:t xml:space="preserve">hope </w:t>
      </w:r>
      <w:r w:rsidR="006F586D">
        <w:t>of improving</w:t>
      </w:r>
      <w:r w:rsidRPr="00910CD1">
        <w:t xml:space="preserve"> innovation will only continue to erode the public</w:t>
      </w:r>
      <w:r>
        <w:t>’</w:t>
      </w:r>
      <w:r w:rsidRPr="00910CD1">
        <w:t xml:space="preserve">s trust in science and the </w:t>
      </w:r>
      <w:r>
        <w:t xml:space="preserve">traditional </w:t>
      </w:r>
      <w:r w:rsidRPr="00910CD1">
        <w:t xml:space="preserve">scientific method. </w:t>
      </w:r>
      <w:r w:rsidR="003B475C">
        <w:t xml:space="preserve">What is needed </w:t>
      </w:r>
      <w:r w:rsidR="00A55A91">
        <w:t>is a sustainable method of funding</w:t>
      </w:r>
      <w:r w:rsidR="003F76E1">
        <w:t xml:space="preserve"> R&amp;D</w:t>
      </w:r>
      <w:r w:rsidR="003B475C">
        <w:t xml:space="preserve"> for invention</w:t>
      </w:r>
      <w:r w:rsidR="003F76E1">
        <w:t xml:space="preserve"> in labs and universities</w:t>
      </w:r>
      <w:r w:rsidR="003B475C">
        <w:t xml:space="preserve"> while connecting with the private sector for innovation</w:t>
      </w:r>
      <w:r w:rsidR="00A55A91">
        <w:t xml:space="preserve"> to improve technology transfer and increase return on investment</w:t>
      </w:r>
      <w:r w:rsidR="003B475C">
        <w:t xml:space="preserve"> as indicated in the President’s Management Agenda </w:t>
      </w:r>
      <w:r w:rsidR="003F76E1">
        <w:t xml:space="preserve">CAP Goal 14 (2018). </w:t>
      </w:r>
    </w:p>
    <w:p w14:paraId="06B01935" w14:textId="77777777" w:rsidR="00A72D34" w:rsidRPr="00025EED" w:rsidRDefault="00A72D34" w:rsidP="00A72D34">
      <w:pPr>
        <w:pStyle w:val="Heading2"/>
      </w:pPr>
      <w:bookmarkStart w:id="5" w:name="_Toc519357707"/>
      <w:bookmarkStart w:id="6" w:name="_Toc393438646"/>
      <w:r w:rsidRPr="00025EED">
        <w:t xml:space="preserve">Requirements </w:t>
      </w:r>
      <w:r>
        <w:t>f</w:t>
      </w:r>
      <w:r w:rsidRPr="00025EED">
        <w:t>or Successful Innovation</w:t>
      </w:r>
      <w:bookmarkEnd w:id="5"/>
      <w:bookmarkEnd w:id="6"/>
    </w:p>
    <w:p w14:paraId="2CC3BD41" w14:textId="04EB14B1" w:rsidR="00A72D34" w:rsidRDefault="00D4548A" w:rsidP="006F586D">
      <w:r>
        <w:t>Innovation</w:t>
      </w:r>
      <w:r w:rsidRPr="00B4336B">
        <w:t xml:space="preserve"> starts with </w:t>
      </w:r>
      <w:r>
        <w:t xml:space="preserve">engaging the right stakeholders and </w:t>
      </w:r>
      <w:r w:rsidRPr="00B4336B">
        <w:t>collecting da</w:t>
      </w:r>
      <w:r>
        <w:t>ta and developing explan</w:t>
      </w:r>
      <w:r w:rsidR="006F586D">
        <w:t xml:space="preserve">ations that reframe perceptions </w:t>
      </w:r>
      <w:r w:rsidRPr="00B4336B">
        <w:t>in new ways</w:t>
      </w:r>
      <w:r w:rsidR="006F586D">
        <w:t xml:space="preserve"> and</w:t>
      </w:r>
      <w:r>
        <w:t xml:space="preserve"> offer new insights and opportunities for change from existing thoughts, beliefs, and patterns of behavior. </w:t>
      </w:r>
      <w:r w:rsidR="00B23C06">
        <w:t>The basic premise of this submission is that s</w:t>
      </w:r>
      <w:r>
        <w:t>uccessful innovation</w:t>
      </w:r>
      <w:r w:rsidR="00A72D34" w:rsidRPr="00B4336B">
        <w:t xml:space="preserve"> essentially</w:t>
      </w:r>
      <w:r>
        <w:t xml:space="preserve"> involves Acti</w:t>
      </w:r>
      <w:r w:rsidR="00B23C06">
        <w:t>on Research (AR). AR</w:t>
      </w:r>
      <w:r>
        <w:t xml:space="preserve"> is </w:t>
      </w:r>
      <w:r w:rsidR="00497460">
        <w:t>based on mixed and</w:t>
      </w:r>
      <w:r w:rsidR="001078CD">
        <w:t xml:space="preserve"> </w:t>
      </w:r>
      <w:r w:rsidR="00A72D34" w:rsidRPr="00B4336B">
        <w:t>converging</w:t>
      </w:r>
      <w:r w:rsidR="009C7775">
        <w:t xml:space="preserve"> models and</w:t>
      </w:r>
      <w:r w:rsidR="00A72D34" w:rsidRPr="00B4336B">
        <w:t xml:space="preserve"> methods</w:t>
      </w:r>
      <w:r w:rsidR="00A72D34">
        <w:t xml:space="preserve"> of</w:t>
      </w:r>
      <w:r w:rsidR="006F586D">
        <w:t xml:space="preserve"> research </w:t>
      </w:r>
      <w:r>
        <w:t>performed by a</w:t>
      </w:r>
      <w:r w:rsidR="00A72D34">
        <w:t xml:space="preserve"> diverse group of stakeholders</w:t>
      </w:r>
      <w:r>
        <w:t xml:space="preserve"> who</w:t>
      </w:r>
      <w:r w:rsidR="00A72D34">
        <w:t xml:space="preserve"> come togethe</w:t>
      </w:r>
      <w:r w:rsidR="001078CD">
        <w:t xml:space="preserve">r, </w:t>
      </w:r>
      <w:r w:rsidR="00A72D34">
        <w:t xml:space="preserve">interact with and learn from each other, and construct or design something new, and then, test it, and collectively plan, enact, and embed it in the larger ecosystem. </w:t>
      </w:r>
    </w:p>
    <w:p w14:paraId="7A2A6268" w14:textId="236AB164" w:rsidR="00D4548A" w:rsidRPr="00D4548A" w:rsidRDefault="00D4548A" w:rsidP="00D4548A">
      <w:r w:rsidRPr="00D4548A">
        <w:t>Action research (AR)</w:t>
      </w:r>
      <w:r>
        <w:t xml:space="preserve"> derives</w:t>
      </w:r>
      <w:r w:rsidRPr="00D4548A">
        <w:t xml:space="preserve"> from</w:t>
      </w:r>
      <w:r w:rsidR="001B1DA5">
        <w:t xml:space="preserve"> a philosophy of</w:t>
      </w:r>
      <w:r w:rsidRPr="00D4548A">
        <w:t xml:space="preserve"> pragmatism. It embraces and utilizes a variety of mixed models, including appreciative inquiry, semiotics, science, and actor-network theory (ANT)</w:t>
      </w:r>
      <w:r w:rsidR="006F586D">
        <w:t xml:space="preserve"> to construct meaning while</w:t>
      </w:r>
      <w:r>
        <w:t xml:space="preserve"> build</w:t>
      </w:r>
      <w:r w:rsidR="006F586D">
        <w:t>ing a network of supporters to coordinate action and</w:t>
      </w:r>
      <w:r>
        <w:t xml:space="preserve"> solve a problem or </w:t>
      </w:r>
      <w:r w:rsidR="001B1DA5">
        <w:t xml:space="preserve">capitalize on an opportunity. It uses </w:t>
      </w:r>
      <w:r w:rsidRPr="00D4548A">
        <w:t>mixed methods of research and logical inference to collect and analyze data and develop grounded theory</w:t>
      </w:r>
      <w:r w:rsidR="001B1DA5">
        <w:t xml:space="preserve"> of action</w:t>
      </w:r>
      <w:r w:rsidRPr="00D4548A">
        <w:t xml:space="preserve"> based on the knowledge, experience of stakeholders, which, when enacted, can instig</w:t>
      </w:r>
      <w:r w:rsidR="001B1DA5">
        <w:t>ate the desired change. It forms</w:t>
      </w:r>
      <w:r w:rsidRPr="00D4548A">
        <w:t xml:space="preserve"> an inclusive, open, democratic, </w:t>
      </w:r>
      <w:r w:rsidRPr="00D4548A">
        <w:lastRenderedPageBreak/>
        <w:t>non-hierarchical, descriptive, meaningful, explanatory, predictive, and performative appr</w:t>
      </w:r>
      <w:r>
        <w:t xml:space="preserve">oach to innovation and change. </w:t>
      </w:r>
    </w:p>
    <w:p w14:paraId="470E3514" w14:textId="4FA90D1F" w:rsidR="00D4548A" w:rsidRPr="00D4548A" w:rsidRDefault="00D4548A" w:rsidP="00D4548A">
      <w:pPr>
        <w:rPr>
          <w:rFonts w:eastAsiaTheme="minorEastAsia"/>
        </w:rPr>
      </w:pPr>
      <w:r w:rsidRPr="00D4548A">
        <w:rPr>
          <w:rFonts w:eastAsiaTheme="minorEastAsia"/>
        </w:rPr>
        <w:t>Action research (AR) as conceived here is a face-to-face group pr</w:t>
      </w:r>
      <w:r w:rsidR="006F586D">
        <w:rPr>
          <w:rFonts w:eastAsiaTheme="minorEastAsia"/>
        </w:rPr>
        <w:t>ocess in which a group of diverse stakeholders, with</w:t>
      </w:r>
      <w:r w:rsidRPr="00D4548A">
        <w:rPr>
          <w:rFonts w:eastAsiaTheme="minorEastAsia"/>
        </w:rPr>
        <w:t xml:space="preserve"> different backgrounds, roles, and experiences</w:t>
      </w:r>
      <w:r w:rsidR="001B1DA5">
        <w:rPr>
          <w:rFonts w:eastAsiaTheme="minorEastAsia"/>
        </w:rPr>
        <w:t>,</w:t>
      </w:r>
      <w:r w:rsidRPr="00D4548A">
        <w:rPr>
          <w:rFonts w:eastAsiaTheme="minorEastAsia"/>
        </w:rPr>
        <w:t xml:space="preserve"> from different disciplines, organizations, and cultures gather in</w:t>
      </w:r>
      <w:r w:rsidR="001B1DA5">
        <w:rPr>
          <w:rFonts w:eastAsiaTheme="minorEastAsia"/>
        </w:rPr>
        <w:t xml:space="preserve"> a</w:t>
      </w:r>
      <w:r w:rsidRPr="00D4548A">
        <w:rPr>
          <w:rFonts w:eastAsiaTheme="minorEastAsia"/>
        </w:rPr>
        <w:t xml:space="preserve"> workshop setting to co-create a grounded theory of action resulting in new knowledge, improved relationships, increased commitment, and successful innovation. </w:t>
      </w:r>
    </w:p>
    <w:p w14:paraId="07171F81" w14:textId="6015AF6D" w:rsidR="00D4548A" w:rsidRPr="00D4548A" w:rsidRDefault="00D4548A" w:rsidP="00D4548A">
      <w:pPr>
        <w:rPr>
          <w:rFonts w:eastAsiaTheme="minorEastAsia"/>
        </w:rPr>
      </w:pPr>
      <w:r w:rsidRPr="00D4548A">
        <w:rPr>
          <w:rFonts w:eastAsiaTheme="minorEastAsia"/>
        </w:rPr>
        <w:t xml:space="preserve">AR is based on mixed models and methods, including </w:t>
      </w:r>
      <w:r w:rsidRPr="006F586D">
        <w:rPr>
          <w:rFonts w:eastAsiaTheme="minorEastAsia"/>
          <w:i/>
        </w:rPr>
        <w:t>Appreciative Inquiry</w:t>
      </w:r>
      <w:r w:rsidRPr="00D4548A">
        <w:rPr>
          <w:rFonts w:eastAsiaTheme="minorEastAsia"/>
        </w:rPr>
        <w:t xml:space="preserve"> to </w:t>
      </w:r>
      <w:r w:rsidR="001B1DA5">
        <w:rPr>
          <w:rFonts w:eastAsiaTheme="minorEastAsia"/>
        </w:rPr>
        <w:t xml:space="preserve">identify and </w:t>
      </w:r>
      <w:r w:rsidRPr="00D4548A">
        <w:rPr>
          <w:rFonts w:eastAsiaTheme="minorEastAsia"/>
        </w:rPr>
        <w:t>build on past st</w:t>
      </w:r>
      <w:r w:rsidR="001B1DA5">
        <w:rPr>
          <w:rFonts w:eastAsiaTheme="minorEastAsia"/>
        </w:rPr>
        <w:t>rengths and assets;</w:t>
      </w:r>
      <w:r w:rsidRPr="00D4548A">
        <w:rPr>
          <w:rFonts w:eastAsiaTheme="minorEastAsia"/>
        </w:rPr>
        <w:t xml:space="preserve"> </w:t>
      </w:r>
      <w:r w:rsidRPr="006F586D">
        <w:rPr>
          <w:rFonts w:eastAsiaTheme="minorEastAsia"/>
          <w:i/>
        </w:rPr>
        <w:t>Semiotics</w:t>
      </w:r>
      <w:r w:rsidRPr="00D4548A">
        <w:rPr>
          <w:rFonts w:eastAsiaTheme="minorEastAsia"/>
        </w:rPr>
        <w:t xml:space="preserve"> to develop meaningful hypotheses</w:t>
      </w:r>
      <w:r w:rsidR="001B1DA5">
        <w:rPr>
          <w:rFonts w:eastAsiaTheme="minorEastAsia"/>
        </w:rPr>
        <w:t>, propositions, strategies, explanations, and theories;</w:t>
      </w:r>
      <w:r w:rsidRPr="00D4548A">
        <w:rPr>
          <w:rFonts w:eastAsiaTheme="minorEastAsia"/>
        </w:rPr>
        <w:t xml:space="preserve"> </w:t>
      </w:r>
      <w:r w:rsidRPr="006F586D">
        <w:rPr>
          <w:rFonts w:eastAsiaTheme="minorEastAsia"/>
          <w:i/>
        </w:rPr>
        <w:t xml:space="preserve">Science </w:t>
      </w:r>
      <w:r w:rsidRPr="00D4548A">
        <w:rPr>
          <w:rFonts w:eastAsiaTheme="minorEastAsia"/>
        </w:rPr>
        <w:t>to evaluat</w:t>
      </w:r>
      <w:r w:rsidR="001B1DA5">
        <w:rPr>
          <w:rFonts w:eastAsiaTheme="minorEastAsia"/>
        </w:rPr>
        <w:t xml:space="preserve">e and test those hypotheses, </w:t>
      </w:r>
      <w:r w:rsidRPr="00D4548A">
        <w:rPr>
          <w:rFonts w:eastAsiaTheme="minorEastAsia"/>
        </w:rPr>
        <w:t xml:space="preserve">theories, </w:t>
      </w:r>
      <w:r w:rsidR="001B1DA5">
        <w:rPr>
          <w:rFonts w:eastAsiaTheme="minorEastAsia"/>
        </w:rPr>
        <w:t xml:space="preserve">and explanations; </w:t>
      </w:r>
      <w:r w:rsidRPr="00D4548A">
        <w:rPr>
          <w:rFonts w:eastAsiaTheme="minorEastAsia"/>
        </w:rPr>
        <w:t xml:space="preserve">and </w:t>
      </w:r>
      <w:r w:rsidRPr="006F586D">
        <w:rPr>
          <w:rFonts w:eastAsiaTheme="minorEastAsia"/>
          <w:i/>
        </w:rPr>
        <w:t>Actor-Network Theory</w:t>
      </w:r>
      <w:r w:rsidRPr="00D4548A">
        <w:rPr>
          <w:rFonts w:eastAsiaTheme="minorEastAsia"/>
        </w:rPr>
        <w:t xml:space="preserve"> to</w:t>
      </w:r>
      <w:r w:rsidR="001B1DA5">
        <w:rPr>
          <w:rFonts w:eastAsiaTheme="minorEastAsia"/>
        </w:rPr>
        <w:t xml:space="preserve"> deduce,</w:t>
      </w:r>
      <w:r w:rsidR="006F586D">
        <w:rPr>
          <w:rFonts w:eastAsiaTheme="minorEastAsia"/>
        </w:rPr>
        <w:t xml:space="preserve"> enact, diffuse, </w:t>
      </w:r>
      <w:r w:rsidRPr="00D4548A">
        <w:rPr>
          <w:rFonts w:eastAsiaTheme="minorEastAsia"/>
        </w:rPr>
        <w:t>and transform the</w:t>
      </w:r>
      <w:r w:rsidR="006F586D">
        <w:rPr>
          <w:rFonts w:eastAsiaTheme="minorEastAsia"/>
        </w:rPr>
        <w:t xml:space="preserve"> grounded</w:t>
      </w:r>
      <w:r w:rsidRPr="00D4548A">
        <w:rPr>
          <w:rFonts w:eastAsiaTheme="minorEastAsia"/>
        </w:rPr>
        <w:t xml:space="preserve"> theories</w:t>
      </w:r>
      <w:r w:rsidR="006F586D">
        <w:rPr>
          <w:rFonts w:eastAsiaTheme="minorEastAsia"/>
        </w:rPr>
        <w:t xml:space="preserve"> of action</w:t>
      </w:r>
      <w:r w:rsidRPr="00D4548A">
        <w:rPr>
          <w:rFonts w:eastAsiaTheme="minorEastAsia"/>
        </w:rPr>
        <w:t xml:space="preserve"> and knowledge into physical reality.</w:t>
      </w:r>
    </w:p>
    <w:p w14:paraId="1D20462C" w14:textId="3245B1E1" w:rsidR="00D4548A" w:rsidRPr="00D4548A" w:rsidRDefault="00D4548A" w:rsidP="00D4548A">
      <w:pPr>
        <w:rPr>
          <w:rFonts w:eastAsiaTheme="minorEastAsia"/>
        </w:rPr>
      </w:pPr>
      <w:r w:rsidRPr="00D4548A">
        <w:rPr>
          <w:rFonts w:eastAsiaTheme="minorEastAsia"/>
        </w:rPr>
        <w:t>AR is not a process in which a group o</w:t>
      </w:r>
      <w:r w:rsidR="001B1DA5">
        <w:rPr>
          <w:rFonts w:eastAsiaTheme="minorEastAsia"/>
        </w:rPr>
        <w:t>f expert researchers</w:t>
      </w:r>
      <w:r w:rsidR="006F586D">
        <w:rPr>
          <w:rFonts w:eastAsiaTheme="minorEastAsia"/>
        </w:rPr>
        <w:t xml:space="preserve"> or consultants</w:t>
      </w:r>
      <w:r w:rsidR="001B1DA5">
        <w:rPr>
          <w:rFonts w:eastAsiaTheme="minorEastAsia"/>
        </w:rPr>
        <w:t xml:space="preserve"> are used</w:t>
      </w:r>
      <w:r w:rsidRPr="00D4548A">
        <w:rPr>
          <w:rFonts w:eastAsiaTheme="minorEastAsia"/>
        </w:rPr>
        <w:t xml:space="preserve"> to collect and analyze data and present it back to a group of stakeholders for evaluation, decision, and action as traditionally conceived. Ra</w:t>
      </w:r>
      <w:r w:rsidR="001B1DA5">
        <w:rPr>
          <w:rFonts w:eastAsiaTheme="minorEastAsia"/>
        </w:rPr>
        <w:t xml:space="preserve">ther, it </w:t>
      </w:r>
      <w:r w:rsidR="006F586D">
        <w:rPr>
          <w:rFonts w:eastAsiaTheme="minorEastAsia"/>
        </w:rPr>
        <w:t xml:space="preserve">is a process in which the </w:t>
      </w:r>
      <w:r w:rsidR="001B1DA5">
        <w:rPr>
          <w:rFonts w:eastAsiaTheme="minorEastAsia"/>
        </w:rPr>
        <w:t xml:space="preserve"> stakeholders</w:t>
      </w:r>
      <w:r w:rsidR="006F586D">
        <w:rPr>
          <w:rFonts w:eastAsiaTheme="minorEastAsia"/>
        </w:rPr>
        <w:t xml:space="preserve"> themselves</w:t>
      </w:r>
      <w:r w:rsidR="001B1DA5">
        <w:rPr>
          <w:rFonts w:eastAsiaTheme="minorEastAsia"/>
        </w:rPr>
        <w:t xml:space="preserve"> engage</w:t>
      </w:r>
      <w:r w:rsidRPr="00D4548A">
        <w:rPr>
          <w:rFonts w:eastAsiaTheme="minorEastAsia"/>
        </w:rPr>
        <w:t xml:space="preserve"> in an interactive and rela</w:t>
      </w:r>
      <w:r w:rsidR="006F586D">
        <w:rPr>
          <w:rFonts w:eastAsiaTheme="minorEastAsia"/>
        </w:rPr>
        <w:t>tional process to</w:t>
      </w:r>
      <w:r w:rsidRPr="00D4548A">
        <w:rPr>
          <w:rFonts w:eastAsiaTheme="minorEastAsia"/>
        </w:rPr>
        <w:t xml:space="preserve"> collect data fr</w:t>
      </w:r>
      <w:r w:rsidR="001B1DA5">
        <w:rPr>
          <w:rFonts w:eastAsiaTheme="minorEastAsia"/>
        </w:rPr>
        <w:t>om themselves and other target</w:t>
      </w:r>
      <w:r w:rsidRPr="00D4548A">
        <w:rPr>
          <w:rFonts w:eastAsiaTheme="minorEastAsia"/>
        </w:rPr>
        <w:t xml:space="preserve"> groups through mixed metho</w:t>
      </w:r>
      <w:r w:rsidR="001B1DA5">
        <w:rPr>
          <w:rFonts w:eastAsiaTheme="minorEastAsia"/>
        </w:rPr>
        <w:t>ds of research</w:t>
      </w:r>
      <w:r w:rsidRPr="00D4548A">
        <w:rPr>
          <w:rFonts w:eastAsiaTheme="minorEastAsia"/>
        </w:rPr>
        <w:t>, an</w:t>
      </w:r>
      <w:r w:rsidR="006F586D">
        <w:rPr>
          <w:rFonts w:eastAsiaTheme="minorEastAsia"/>
        </w:rPr>
        <w:t>d then collectively interpret</w:t>
      </w:r>
      <w:r w:rsidRPr="00D4548A">
        <w:rPr>
          <w:rFonts w:eastAsiaTheme="minorEastAsia"/>
        </w:rPr>
        <w:t xml:space="preserve"> the data and develop a grounded theory of action. Throughout this process four critical metho</w:t>
      </w:r>
      <w:r w:rsidR="001B1DA5">
        <w:rPr>
          <w:rFonts w:eastAsiaTheme="minorEastAsia"/>
        </w:rPr>
        <w:t>ds of logical inference come into play</w:t>
      </w:r>
      <w:r w:rsidRPr="00D4548A">
        <w:rPr>
          <w:rFonts w:eastAsiaTheme="minorEastAsia"/>
        </w:rPr>
        <w:t>: (a) induction to gather and interpret data; (b) abduction to identify hypotheses; (c) retroduction to interpret the hypotheses and construct theories, and (d) deduction to derive action plans ba</w:t>
      </w:r>
      <w:r w:rsidR="001B1DA5">
        <w:rPr>
          <w:rFonts w:eastAsiaTheme="minorEastAsia"/>
        </w:rPr>
        <w:t>sed on those theories. T</w:t>
      </w:r>
      <w:r w:rsidRPr="00D4548A">
        <w:rPr>
          <w:rFonts w:eastAsiaTheme="minorEastAsia"/>
        </w:rPr>
        <w:t>he process recycles</w:t>
      </w:r>
      <w:r w:rsidR="001B1DA5">
        <w:rPr>
          <w:rFonts w:eastAsiaTheme="minorEastAsia"/>
        </w:rPr>
        <w:t xml:space="preserve"> in </w:t>
      </w:r>
      <w:r w:rsidRPr="00D4548A">
        <w:rPr>
          <w:rFonts w:eastAsiaTheme="minorEastAsia"/>
        </w:rPr>
        <w:t xml:space="preserve">multiple iterations of induction, abduction, retroduction, </w:t>
      </w:r>
      <w:r w:rsidRPr="00D4548A">
        <w:rPr>
          <w:rFonts w:eastAsiaTheme="minorEastAsia"/>
        </w:rPr>
        <w:lastRenderedPageBreak/>
        <w:t>and deduction to</w:t>
      </w:r>
      <w:r w:rsidR="006F586D">
        <w:rPr>
          <w:rFonts w:eastAsiaTheme="minorEastAsia"/>
        </w:rPr>
        <w:t xml:space="preserve"> develop,</w:t>
      </w:r>
      <w:r w:rsidR="001B1DA5">
        <w:rPr>
          <w:rFonts w:eastAsiaTheme="minorEastAsia"/>
        </w:rPr>
        <w:t xml:space="preserve"> evaluate,</w:t>
      </w:r>
      <w:r w:rsidRPr="00D4548A">
        <w:rPr>
          <w:rFonts w:eastAsiaTheme="minorEastAsia"/>
        </w:rPr>
        <w:t xml:space="preserve"> </w:t>
      </w:r>
      <w:r w:rsidR="006F586D">
        <w:rPr>
          <w:rFonts w:eastAsiaTheme="minorEastAsia"/>
        </w:rPr>
        <w:t xml:space="preserve">and test </w:t>
      </w:r>
      <w:r w:rsidRPr="00D4548A">
        <w:rPr>
          <w:rFonts w:eastAsiaTheme="minorEastAsia"/>
        </w:rPr>
        <w:t>those theories</w:t>
      </w:r>
      <w:r w:rsidR="001B1DA5">
        <w:rPr>
          <w:rFonts w:eastAsiaTheme="minorEastAsia"/>
        </w:rPr>
        <w:t xml:space="preserve"> and actions</w:t>
      </w:r>
      <w:r w:rsidR="00AC1FB7">
        <w:rPr>
          <w:rFonts w:eastAsiaTheme="minorEastAsia"/>
        </w:rPr>
        <w:t xml:space="preserve"> (Danermark, Ekstrom, Jakobsen, and Karlsson, (2002)</w:t>
      </w:r>
      <w:r w:rsidRPr="00D4548A">
        <w:rPr>
          <w:rFonts w:eastAsiaTheme="minorEastAsia"/>
        </w:rPr>
        <w:t xml:space="preserve">. </w:t>
      </w:r>
    </w:p>
    <w:p w14:paraId="3BBD64BA" w14:textId="1B7F4384" w:rsidR="00D4548A" w:rsidRPr="00D4548A" w:rsidRDefault="00D4548A" w:rsidP="001B1DA5">
      <w:r w:rsidRPr="00D4548A">
        <w:t xml:space="preserve">The tandem of AR and grounded theory are inclusive, with diverse identities, values, and perspectives, open to multiple interpretations and deductions, sensitive to the power dynamics of stakeholders in situations, </w:t>
      </w:r>
      <w:r w:rsidR="001B1DA5">
        <w:t>integrative</w:t>
      </w:r>
      <w:r w:rsidRPr="00D4548A">
        <w:t xml:space="preserve"> as they bring together and incorporate diverse and even paradoxical ideas</w:t>
      </w:r>
      <w:r w:rsidR="001B1DA5">
        <w:t xml:space="preserve"> and approaches, and generative</w:t>
      </w:r>
      <w:r w:rsidRPr="00D4548A">
        <w:t xml:space="preserve"> as they developing new ideas and action. Procedures involved in AR and grounded theory enable leaders, stakeholders, and researchers to assess phenomena from the standpoint of different identities, positions, and power</w:t>
      </w:r>
      <w:r w:rsidR="006F586D">
        <w:t xml:space="preserve">, </w:t>
      </w:r>
      <w:r w:rsidRPr="00D4548A">
        <w:t>and theorize the way in which they are going to act in different situations</w:t>
      </w:r>
      <w:r w:rsidR="006F586D">
        <w:t xml:space="preserve"> to develop, enact, embed, and</w:t>
      </w:r>
      <w:r w:rsidRPr="00D4548A">
        <w:t xml:space="preserve"> realize the future.</w:t>
      </w:r>
    </w:p>
    <w:p w14:paraId="5B07C543" w14:textId="1A7A82B1" w:rsidR="00D4548A" w:rsidRPr="00D4548A" w:rsidRDefault="00D4548A" w:rsidP="0018106B">
      <w:r w:rsidRPr="00D4548A">
        <w:t xml:space="preserve">The application of AR and grounded theory begins with leaders engaging stakeholder groups in appreciative inquiry to identify key categories and concepts derived from their </w:t>
      </w:r>
      <w:r w:rsidR="001B1DA5">
        <w:t xml:space="preserve">knowledge and </w:t>
      </w:r>
      <w:r w:rsidRPr="00D4548A">
        <w:t>experience. The stakeholder</w:t>
      </w:r>
      <w:r w:rsidR="001B1DA5">
        <w:t>s’ concepts and categories (</w:t>
      </w:r>
      <w:r w:rsidRPr="00D4548A">
        <w:rPr>
          <w:i/>
        </w:rPr>
        <w:t>signifiers</w:t>
      </w:r>
      <w:r w:rsidR="0018106B">
        <w:t>) focus</w:t>
      </w:r>
      <w:r w:rsidR="001B1DA5">
        <w:t xml:space="preserve"> initially on their </w:t>
      </w:r>
      <w:r w:rsidRPr="00D4548A">
        <w:t>strengths</w:t>
      </w:r>
      <w:r w:rsidR="001B1DA5">
        <w:t xml:space="preserve"> and assets</w:t>
      </w:r>
      <w:r w:rsidR="0018106B">
        <w:t xml:space="preserve"> using appreciative inquiry, which are then</w:t>
      </w:r>
      <w:r w:rsidRPr="00D4548A">
        <w:t xml:space="preserve"> analyzed and interpreted using semiotics to construct key hypotheses, propositions, and theories</w:t>
      </w:r>
      <w:r w:rsidR="006F586D">
        <w:t xml:space="preserve"> explaining the situation and</w:t>
      </w:r>
      <w:r w:rsidRPr="00D4548A">
        <w:t xml:space="preserve"> reflecting</w:t>
      </w:r>
      <w:r w:rsidR="00A611F2">
        <w:t xml:space="preserve"> the meaning, values, and possible strategies and actions</w:t>
      </w:r>
      <w:r w:rsidRPr="00D4548A">
        <w:t xml:space="preserve"> required to effect change. The hypotheses, propositions, theories, </w:t>
      </w:r>
      <w:r w:rsidR="00A611F2">
        <w:t xml:space="preserve">and actions </w:t>
      </w:r>
      <w:r w:rsidR="0018106B">
        <w:t>are</w:t>
      </w:r>
      <w:r w:rsidRPr="00D4548A">
        <w:t xml:space="preserve"> subsequently tested and enacted through lit</w:t>
      </w:r>
      <w:r w:rsidR="0018106B">
        <w:t>erature reviews, experiments</w:t>
      </w:r>
      <w:r w:rsidRPr="00D4548A">
        <w:t>, and pilot tests utilizing the scientific method. Finally, the grounded theories of action are enacted and institutionalized through the method of ANT to achieve innovation and effect change. The logic and flow of the AR, with converging models and mixed methods constitutes an abductive-hypothetico-i</w:t>
      </w:r>
      <w:r w:rsidR="0018106B">
        <w:t>nductive-retroductive-deductive-</w:t>
      </w:r>
      <w:r w:rsidRPr="00D4548A">
        <w:t>pro</w:t>
      </w:r>
      <w:r w:rsidR="0018106B">
        <w:t>cess, as illustrated in Figure 1</w:t>
      </w:r>
      <w:r w:rsidRPr="00D4548A">
        <w:t xml:space="preserve"> below. </w:t>
      </w:r>
    </w:p>
    <w:p w14:paraId="54279027" w14:textId="77777777" w:rsidR="00D4548A" w:rsidRPr="00D4548A" w:rsidRDefault="00D4548A" w:rsidP="00D4548A">
      <w:r w:rsidRPr="00D4548A">
        <w:rPr>
          <w:i/>
          <w:noProof/>
        </w:rPr>
        <w:lastRenderedPageBreak/>
        <w:drawing>
          <wp:anchor distT="0" distB="0" distL="114300" distR="114300" simplePos="0" relativeHeight="251664384" behindDoc="0" locked="0" layoutInCell="1" allowOverlap="1" wp14:anchorId="7FBF3367" wp14:editId="6523E250">
            <wp:simplePos x="0" y="0"/>
            <wp:positionH relativeFrom="column">
              <wp:posOffset>842010</wp:posOffset>
            </wp:positionH>
            <wp:positionV relativeFrom="paragraph">
              <wp:posOffset>266700</wp:posOffset>
            </wp:positionV>
            <wp:extent cx="4224655" cy="2764790"/>
            <wp:effectExtent l="0" t="19050" r="0" b="73660"/>
            <wp:wrapTopAndBottom/>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V relativeFrom="margin">
              <wp14:pctHeight>0</wp14:pctHeight>
            </wp14:sizeRelV>
          </wp:anchor>
        </w:drawing>
      </w:r>
    </w:p>
    <w:p w14:paraId="0CD208D4" w14:textId="5A9D7634" w:rsidR="00D4548A" w:rsidRDefault="00D4548A" w:rsidP="00D4548A">
      <w:pPr>
        <w:pStyle w:val="Figure"/>
      </w:pPr>
      <w:r w:rsidRPr="00D4548A">
        <w:rPr>
          <w:rFonts w:eastAsia="Times New Roman"/>
          <w:i/>
        </w:rPr>
        <w:t xml:space="preserve">Figure </w:t>
      </w:r>
      <w:r w:rsidR="0018106B">
        <w:rPr>
          <w:rFonts w:eastAsia="Times New Roman"/>
          <w:i/>
        </w:rPr>
        <w:t>1</w:t>
      </w:r>
      <w:r w:rsidRPr="00D4548A">
        <w:rPr>
          <w:rFonts w:eastAsia="Times New Roman"/>
        </w:rPr>
        <w:t>. Relational construction AR process</w:t>
      </w:r>
      <w:r w:rsidR="00D666EE">
        <w:t xml:space="preserve"> (Warzynski, 2018</w:t>
      </w:r>
      <w:r w:rsidRPr="00D4548A">
        <w:t>).</w:t>
      </w:r>
    </w:p>
    <w:p w14:paraId="35E4DC54" w14:textId="77777777" w:rsidR="0018106B" w:rsidRPr="00D4548A" w:rsidRDefault="0018106B" w:rsidP="00D4548A">
      <w:pPr>
        <w:pStyle w:val="Figure"/>
      </w:pPr>
    </w:p>
    <w:p w14:paraId="70A96CA1" w14:textId="218D0E07" w:rsidR="00D4548A" w:rsidRPr="00D4548A" w:rsidRDefault="0018106B" w:rsidP="00D4548A">
      <w:r>
        <w:t>T</w:t>
      </w:r>
      <w:r w:rsidR="00D4548A" w:rsidRPr="00D4548A">
        <w:t>he research strategy</w:t>
      </w:r>
      <w:r w:rsidR="00B23C06">
        <w:t xml:space="preserve"> and design</w:t>
      </w:r>
      <w:r w:rsidR="00D4548A" w:rsidRPr="00D4548A">
        <w:t xml:space="preserve"> for implementing the AR converging methods process</w:t>
      </w:r>
      <w:r>
        <w:t xml:space="preserve"> in Table 1 below </w:t>
      </w:r>
      <w:r w:rsidR="00D4548A" w:rsidRPr="00D4548A">
        <w:t>demo</w:t>
      </w:r>
      <w:r w:rsidR="00B23C06">
        <w:t>nstrates how</w:t>
      </w:r>
      <w:r w:rsidR="00A611F2">
        <w:t xml:space="preserve"> AR can</w:t>
      </w:r>
      <w:r>
        <w:t xml:space="preserve"> be used as</w:t>
      </w:r>
      <w:r w:rsidR="00D4548A" w:rsidRPr="00D4548A">
        <w:t xml:space="preserve"> inclusive </w:t>
      </w:r>
      <w:r w:rsidR="00B23C06">
        <w:t>approach to social inquiry, innovation</w:t>
      </w:r>
      <w:r w:rsidR="00A611F2">
        <w:t>,</w:t>
      </w:r>
      <w:r>
        <w:t xml:space="preserve"> and </w:t>
      </w:r>
      <w:r w:rsidR="00A611F2">
        <w:t xml:space="preserve">transformational </w:t>
      </w:r>
      <w:r>
        <w:t xml:space="preserve">change. </w:t>
      </w:r>
      <w:r w:rsidR="00D4548A" w:rsidRPr="00D4548A">
        <w:t xml:space="preserve"> </w:t>
      </w:r>
    </w:p>
    <w:p w14:paraId="2EB93E7F" w14:textId="6A7985AB" w:rsidR="00D4548A" w:rsidRPr="00D4548A" w:rsidRDefault="0018106B" w:rsidP="00D4548A">
      <w:pPr>
        <w:pStyle w:val="table"/>
      </w:pPr>
      <w:r>
        <w:t>Table 1</w:t>
      </w:r>
    </w:p>
    <w:p w14:paraId="139F5818" w14:textId="747D720C" w:rsidR="00D4548A" w:rsidRPr="00D4548A" w:rsidRDefault="00D4548A" w:rsidP="00D4548A">
      <w:pPr>
        <w:pStyle w:val="table"/>
        <w:spacing w:after="120"/>
        <w:rPr>
          <w:i/>
        </w:rPr>
      </w:pPr>
      <w:r w:rsidRPr="00D4548A">
        <w:rPr>
          <w:i/>
        </w:rPr>
        <w:t>Re</w:t>
      </w:r>
      <w:r w:rsidR="00D666EE">
        <w:rPr>
          <w:i/>
        </w:rPr>
        <w:t>search Strategy (Warzynski, 2018</w:t>
      </w:r>
      <w:r w:rsidRPr="00D4548A">
        <w:rPr>
          <w:i/>
        </w:rPr>
        <w:t>)</w:t>
      </w:r>
    </w:p>
    <w:tbl>
      <w:tblPr>
        <w:tblStyle w:val="TableGrid"/>
        <w:tblW w:w="5000" w:type="pct"/>
        <w:tblLook w:val="04A0" w:firstRow="1" w:lastRow="0" w:firstColumn="1" w:lastColumn="0" w:noHBand="0" w:noVBand="1"/>
      </w:tblPr>
      <w:tblGrid>
        <w:gridCol w:w="3078"/>
        <w:gridCol w:w="5778"/>
      </w:tblGrid>
      <w:tr w:rsidR="00D4548A" w:rsidRPr="00D4548A" w14:paraId="7161287E" w14:textId="77777777" w:rsidTr="00D4548A">
        <w:trPr>
          <w:trHeight w:val="63"/>
        </w:trPr>
        <w:tc>
          <w:tcPr>
            <w:tcW w:w="1738" w:type="pct"/>
          </w:tcPr>
          <w:p w14:paraId="63034EE8" w14:textId="77777777" w:rsidR="00D4548A" w:rsidRPr="00D4548A" w:rsidRDefault="00D4548A" w:rsidP="00D4548A">
            <w:pPr>
              <w:pStyle w:val="Tableheading"/>
              <w:rPr>
                <w:sz w:val="24"/>
                <w:szCs w:val="24"/>
              </w:rPr>
            </w:pPr>
            <w:r w:rsidRPr="00D4548A">
              <w:rPr>
                <w:sz w:val="24"/>
                <w:szCs w:val="24"/>
              </w:rPr>
              <w:t>Research Strategy and Design</w:t>
            </w:r>
          </w:p>
        </w:tc>
        <w:tc>
          <w:tcPr>
            <w:tcW w:w="3262" w:type="pct"/>
          </w:tcPr>
          <w:p w14:paraId="10F71158" w14:textId="77777777" w:rsidR="00D4548A" w:rsidRPr="00D4548A" w:rsidRDefault="00D4548A" w:rsidP="00D4548A">
            <w:pPr>
              <w:pStyle w:val="Tableheading"/>
              <w:rPr>
                <w:sz w:val="24"/>
                <w:szCs w:val="24"/>
              </w:rPr>
            </w:pPr>
            <w:r w:rsidRPr="00D4548A">
              <w:rPr>
                <w:sz w:val="24"/>
                <w:szCs w:val="24"/>
              </w:rPr>
              <w:t>Description</w:t>
            </w:r>
          </w:p>
        </w:tc>
      </w:tr>
      <w:tr w:rsidR="00D4548A" w:rsidRPr="00D4548A" w14:paraId="6A950EC8" w14:textId="77777777" w:rsidTr="00D4548A">
        <w:tc>
          <w:tcPr>
            <w:tcW w:w="1738" w:type="pct"/>
          </w:tcPr>
          <w:p w14:paraId="375B6D93" w14:textId="77777777" w:rsidR="00D4548A" w:rsidRPr="00D4548A" w:rsidRDefault="00D4548A" w:rsidP="00D4548A">
            <w:pPr>
              <w:pStyle w:val="Tabletext"/>
              <w:spacing w:after="60"/>
              <w:jc w:val="left"/>
              <w:rPr>
                <w:sz w:val="24"/>
                <w:szCs w:val="24"/>
              </w:rPr>
            </w:pPr>
            <w:r w:rsidRPr="00D4548A">
              <w:rPr>
                <w:sz w:val="24"/>
                <w:szCs w:val="24"/>
              </w:rPr>
              <w:t xml:space="preserve">1. </w:t>
            </w:r>
            <w:r w:rsidRPr="00D4548A">
              <w:rPr>
                <w:b/>
                <w:sz w:val="24"/>
                <w:szCs w:val="24"/>
              </w:rPr>
              <w:t>Philosophical context (ontology and epistemology)</w:t>
            </w:r>
          </w:p>
        </w:tc>
        <w:tc>
          <w:tcPr>
            <w:tcW w:w="3262" w:type="pct"/>
          </w:tcPr>
          <w:p w14:paraId="4987675C" w14:textId="77777777" w:rsidR="00D4548A" w:rsidRPr="00D4548A" w:rsidRDefault="00D4548A" w:rsidP="00D4548A">
            <w:pPr>
              <w:pStyle w:val="Tabletext"/>
              <w:spacing w:after="60"/>
              <w:jc w:val="left"/>
              <w:rPr>
                <w:sz w:val="24"/>
                <w:szCs w:val="24"/>
              </w:rPr>
            </w:pPr>
            <w:r w:rsidRPr="00D4548A">
              <w:rPr>
                <w:sz w:val="24"/>
                <w:szCs w:val="24"/>
              </w:rPr>
              <w:t xml:space="preserve">Pragmatism and social epistemology: Meaning, value, knowledge, and experience can be acquired through collective interaction of stakeholders in a normative context (Fuller, 2007; Latour, 1993; Rorty, 1982) </w:t>
            </w:r>
          </w:p>
        </w:tc>
      </w:tr>
      <w:tr w:rsidR="00D4548A" w:rsidRPr="00D4548A" w14:paraId="5A8A0C54" w14:textId="77777777" w:rsidTr="00D4548A">
        <w:tc>
          <w:tcPr>
            <w:tcW w:w="1738" w:type="pct"/>
          </w:tcPr>
          <w:p w14:paraId="7365111B" w14:textId="77777777" w:rsidR="00D4548A" w:rsidRPr="00D4548A" w:rsidRDefault="00D4548A" w:rsidP="00D4548A">
            <w:pPr>
              <w:pStyle w:val="Tabletext"/>
              <w:spacing w:after="60"/>
              <w:jc w:val="left"/>
              <w:rPr>
                <w:sz w:val="24"/>
                <w:szCs w:val="24"/>
              </w:rPr>
            </w:pPr>
            <w:r w:rsidRPr="00D4548A">
              <w:rPr>
                <w:sz w:val="24"/>
                <w:szCs w:val="24"/>
              </w:rPr>
              <w:t xml:space="preserve">2. </w:t>
            </w:r>
            <w:r w:rsidRPr="00D4548A">
              <w:rPr>
                <w:b/>
                <w:sz w:val="24"/>
                <w:szCs w:val="24"/>
              </w:rPr>
              <w:t>Methodological perspectives</w:t>
            </w:r>
          </w:p>
        </w:tc>
        <w:tc>
          <w:tcPr>
            <w:tcW w:w="3262" w:type="pct"/>
          </w:tcPr>
          <w:p w14:paraId="074E1BB8" w14:textId="77777777" w:rsidR="00D4548A" w:rsidRPr="00D4548A" w:rsidRDefault="00D4548A" w:rsidP="00D4548A">
            <w:pPr>
              <w:pStyle w:val="Tabletext"/>
              <w:spacing w:after="60"/>
              <w:jc w:val="left"/>
              <w:rPr>
                <w:b/>
                <w:sz w:val="24"/>
                <w:szCs w:val="24"/>
              </w:rPr>
            </w:pPr>
            <w:r w:rsidRPr="00D4548A">
              <w:rPr>
                <w:sz w:val="24"/>
                <w:szCs w:val="24"/>
              </w:rPr>
              <w:t>Individual perceptions and constructions can be elicited, aggregated, analyzed, interpreted, and reformulated through group interactions using AR and mixed models and methods (Gergen, 2012; 2015; Greenwood &amp; Levin, 2007; 2012).</w:t>
            </w:r>
          </w:p>
        </w:tc>
      </w:tr>
      <w:tr w:rsidR="00D4548A" w:rsidRPr="00D4548A" w14:paraId="5A581DF2" w14:textId="77777777" w:rsidTr="00D4548A">
        <w:tc>
          <w:tcPr>
            <w:tcW w:w="1738" w:type="pct"/>
          </w:tcPr>
          <w:p w14:paraId="7D07CBFA" w14:textId="77777777" w:rsidR="00D4548A" w:rsidRPr="00D4548A" w:rsidRDefault="00D4548A" w:rsidP="00D4548A">
            <w:pPr>
              <w:pStyle w:val="Tabletext"/>
              <w:spacing w:after="60"/>
              <w:jc w:val="left"/>
              <w:rPr>
                <w:sz w:val="24"/>
                <w:szCs w:val="24"/>
              </w:rPr>
            </w:pPr>
            <w:r w:rsidRPr="00D4548A">
              <w:rPr>
                <w:sz w:val="24"/>
                <w:szCs w:val="24"/>
              </w:rPr>
              <w:t xml:space="preserve">3. </w:t>
            </w:r>
            <w:r w:rsidRPr="00D4548A">
              <w:rPr>
                <w:b/>
                <w:sz w:val="24"/>
                <w:szCs w:val="24"/>
              </w:rPr>
              <w:t>Type of study</w:t>
            </w:r>
          </w:p>
        </w:tc>
        <w:tc>
          <w:tcPr>
            <w:tcW w:w="3262" w:type="pct"/>
          </w:tcPr>
          <w:p w14:paraId="2F293161" w14:textId="4A2AD316" w:rsidR="00D4548A" w:rsidRPr="00D4548A" w:rsidRDefault="00A611F2" w:rsidP="00A611F2">
            <w:pPr>
              <w:pStyle w:val="Tabletext"/>
              <w:spacing w:after="60"/>
              <w:jc w:val="left"/>
              <w:rPr>
                <w:sz w:val="24"/>
                <w:szCs w:val="24"/>
              </w:rPr>
            </w:pPr>
            <w:r>
              <w:rPr>
                <w:sz w:val="24"/>
                <w:szCs w:val="24"/>
              </w:rPr>
              <w:t xml:space="preserve">Case study of universities striving to develop a strategic vision and </w:t>
            </w:r>
            <w:r w:rsidR="00D4548A" w:rsidRPr="00D4548A">
              <w:rPr>
                <w:sz w:val="24"/>
                <w:szCs w:val="24"/>
              </w:rPr>
              <w:t>plan</w:t>
            </w:r>
            <w:r>
              <w:rPr>
                <w:sz w:val="24"/>
                <w:szCs w:val="24"/>
              </w:rPr>
              <w:t>,</w:t>
            </w:r>
            <w:r w:rsidR="00D4548A" w:rsidRPr="00D4548A">
              <w:rPr>
                <w:sz w:val="24"/>
                <w:szCs w:val="24"/>
              </w:rPr>
              <w:t xml:space="preserve"> and reshape its culture (Palshaugen, </w:t>
            </w:r>
            <w:r w:rsidR="00D4548A" w:rsidRPr="00D4548A">
              <w:rPr>
                <w:sz w:val="24"/>
                <w:szCs w:val="24"/>
              </w:rPr>
              <w:lastRenderedPageBreak/>
              <w:t>2009)</w:t>
            </w:r>
          </w:p>
        </w:tc>
      </w:tr>
      <w:tr w:rsidR="00D4548A" w:rsidRPr="00D4548A" w14:paraId="71CDFAEB" w14:textId="77777777" w:rsidTr="00D4548A">
        <w:tc>
          <w:tcPr>
            <w:tcW w:w="1738" w:type="pct"/>
          </w:tcPr>
          <w:p w14:paraId="0181A03D" w14:textId="77777777" w:rsidR="00D4548A" w:rsidRPr="00D4548A" w:rsidRDefault="00D4548A" w:rsidP="00D4548A">
            <w:pPr>
              <w:pStyle w:val="Tabletext"/>
              <w:spacing w:after="60"/>
              <w:jc w:val="left"/>
              <w:rPr>
                <w:sz w:val="24"/>
                <w:szCs w:val="24"/>
              </w:rPr>
            </w:pPr>
            <w:r w:rsidRPr="00D4548A">
              <w:rPr>
                <w:sz w:val="24"/>
                <w:szCs w:val="24"/>
              </w:rPr>
              <w:lastRenderedPageBreak/>
              <w:t xml:space="preserve">4. </w:t>
            </w:r>
            <w:r w:rsidRPr="00D4548A">
              <w:rPr>
                <w:b/>
                <w:sz w:val="24"/>
                <w:szCs w:val="24"/>
              </w:rPr>
              <w:t>Target groups</w:t>
            </w:r>
          </w:p>
        </w:tc>
        <w:tc>
          <w:tcPr>
            <w:tcW w:w="3262" w:type="pct"/>
          </w:tcPr>
          <w:p w14:paraId="64ECF709" w14:textId="77777777" w:rsidR="00D4548A" w:rsidRPr="00D4548A" w:rsidRDefault="00D4548A" w:rsidP="00D4548A">
            <w:pPr>
              <w:pStyle w:val="Tabletext"/>
              <w:spacing w:after="60"/>
              <w:jc w:val="left"/>
              <w:rPr>
                <w:sz w:val="24"/>
                <w:szCs w:val="24"/>
              </w:rPr>
            </w:pPr>
            <w:r w:rsidRPr="00D4548A">
              <w:rPr>
                <w:sz w:val="24"/>
                <w:szCs w:val="24"/>
              </w:rPr>
              <w:t xml:space="preserve">The target groups included steering committee, strategic planning subcommittees, culture change working group, deans group, academic and administrative groups and committees, foundation, student leader’s group, student classes, institute advisory board, alumni association, and department advisory groups. </w:t>
            </w:r>
          </w:p>
        </w:tc>
      </w:tr>
      <w:tr w:rsidR="00D4548A" w:rsidRPr="00D4548A" w14:paraId="1E615DD6" w14:textId="77777777" w:rsidTr="00D4548A">
        <w:tc>
          <w:tcPr>
            <w:tcW w:w="1738" w:type="pct"/>
          </w:tcPr>
          <w:p w14:paraId="06200F32" w14:textId="77777777" w:rsidR="00D4548A" w:rsidRPr="00D4548A" w:rsidRDefault="00D4548A" w:rsidP="00D4548A">
            <w:pPr>
              <w:pStyle w:val="Tabletext"/>
              <w:spacing w:after="60"/>
              <w:jc w:val="left"/>
              <w:rPr>
                <w:sz w:val="24"/>
                <w:szCs w:val="24"/>
              </w:rPr>
            </w:pPr>
            <w:r w:rsidRPr="00D4548A">
              <w:rPr>
                <w:sz w:val="24"/>
                <w:szCs w:val="24"/>
              </w:rPr>
              <w:t xml:space="preserve">5. </w:t>
            </w:r>
            <w:r w:rsidRPr="00D4548A">
              <w:rPr>
                <w:b/>
                <w:sz w:val="24"/>
                <w:szCs w:val="24"/>
              </w:rPr>
              <w:t>Research methods</w:t>
            </w:r>
            <w:r w:rsidRPr="00D4548A">
              <w:rPr>
                <w:sz w:val="24"/>
                <w:szCs w:val="24"/>
              </w:rPr>
              <w:t xml:space="preserve"> </w:t>
            </w:r>
          </w:p>
        </w:tc>
        <w:tc>
          <w:tcPr>
            <w:tcW w:w="3262" w:type="pct"/>
          </w:tcPr>
          <w:p w14:paraId="16F3B487" w14:textId="7D98A365" w:rsidR="00D4548A" w:rsidRPr="00D4548A" w:rsidRDefault="00D4548A" w:rsidP="00A611F2">
            <w:pPr>
              <w:pStyle w:val="Tabletext"/>
              <w:spacing w:after="60"/>
              <w:jc w:val="left"/>
              <w:rPr>
                <w:b/>
                <w:sz w:val="24"/>
                <w:szCs w:val="24"/>
              </w:rPr>
            </w:pPr>
            <w:r w:rsidRPr="00D4548A">
              <w:rPr>
                <w:sz w:val="24"/>
                <w:szCs w:val="24"/>
              </w:rPr>
              <w:t xml:space="preserve">Target groups engaged in AR and methods for collecting, analyzing, and interpreting data </w:t>
            </w:r>
            <w:r w:rsidR="00A611F2">
              <w:rPr>
                <w:sz w:val="24"/>
                <w:szCs w:val="24"/>
              </w:rPr>
              <w:t>on focused topics and develop</w:t>
            </w:r>
            <w:r w:rsidRPr="00D4548A">
              <w:rPr>
                <w:sz w:val="24"/>
                <w:szCs w:val="24"/>
              </w:rPr>
              <w:t xml:space="preserve"> grounded theories of action (concept and white papers). </w:t>
            </w:r>
          </w:p>
        </w:tc>
      </w:tr>
      <w:tr w:rsidR="00D4548A" w:rsidRPr="00D4548A" w14:paraId="282E0ED1" w14:textId="77777777" w:rsidTr="00D4548A">
        <w:tc>
          <w:tcPr>
            <w:tcW w:w="1738" w:type="pct"/>
          </w:tcPr>
          <w:p w14:paraId="18599676" w14:textId="77777777" w:rsidR="00D4548A" w:rsidRPr="00D4548A" w:rsidRDefault="00D4548A" w:rsidP="00D4548A">
            <w:pPr>
              <w:pStyle w:val="Tabletext"/>
              <w:spacing w:after="60"/>
              <w:jc w:val="left"/>
              <w:rPr>
                <w:sz w:val="24"/>
                <w:szCs w:val="24"/>
              </w:rPr>
            </w:pPr>
            <w:r w:rsidRPr="00D4548A">
              <w:rPr>
                <w:sz w:val="24"/>
                <w:szCs w:val="24"/>
              </w:rPr>
              <w:t xml:space="preserve">6. </w:t>
            </w:r>
            <w:r w:rsidRPr="00D4548A">
              <w:rPr>
                <w:b/>
                <w:sz w:val="24"/>
                <w:szCs w:val="24"/>
              </w:rPr>
              <w:t xml:space="preserve">Validation </w:t>
            </w:r>
          </w:p>
        </w:tc>
        <w:tc>
          <w:tcPr>
            <w:tcW w:w="3262" w:type="pct"/>
          </w:tcPr>
          <w:p w14:paraId="3FEDFDCA" w14:textId="167A5441" w:rsidR="00D4548A" w:rsidRPr="00D4548A" w:rsidRDefault="00D4548A" w:rsidP="00D4548A">
            <w:pPr>
              <w:pStyle w:val="Tabletext"/>
              <w:spacing w:after="60"/>
              <w:jc w:val="left"/>
              <w:rPr>
                <w:sz w:val="24"/>
                <w:szCs w:val="24"/>
              </w:rPr>
            </w:pPr>
            <w:r w:rsidRPr="00D4548A">
              <w:rPr>
                <w:sz w:val="24"/>
                <w:szCs w:val="24"/>
              </w:rPr>
              <w:t>Concept papers di</w:t>
            </w:r>
            <w:r w:rsidR="00A611F2">
              <w:rPr>
                <w:sz w:val="24"/>
                <w:szCs w:val="24"/>
              </w:rPr>
              <w:t xml:space="preserve">stributed and posted to the organization </w:t>
            </w:r>
            <w:r w:rsidRPr="00D4548A">
              <w:rPr>
                <w:sz w:val="24"/>
                <w:szCs w:val="24"/>
              </w:rPr>
              <w:t>for</w:t>
            </w:r>
            <w:r w:rsidR="00A611F2">
              <w:rPr>
                <w:sz w:val="24"/>
                <w:szCs w:val="24"/>
              </w:rPr>
              <w:t xml:space="preserve"> review and feedback; strategic vision, plan, and culture </w:t>
            </w:r>
            <w:r w:rsidRPr="00D4548A">
              <w:rPr>
                <w:sz w:val="24"/>
                <w:szCs w:val="24"/>
              </w:rPr>
              <w:t>rev</w:t>
            </w:r>
            <w:r w:rsidR="00A611F2">
              <w:rPr>
                <w:sz w:val="24"/>
                <w:szCs w:val="24"/>
              </w:rPr>
              <w:t>ised and redistributed to the organization</w:t>
            </w:r>
            <w:r w:rsidRPr="00D4548A">
              <w:rPr>
                <w:sz w:val="24"/>
                <w:szCs w:val="24"/>
              </w:rPr>
              <w:t xml:space="preserve"> fo</w:t>
            </w:r>
            <w:r w:rsidR="00A611F2">
              <w:rPr>
                <w:sz w:val="24"/>
                <w:szCs w:val="24"/>
              </w:rPr>
              <w:t xml:space="preserve">r final feedback, revision, </w:t>
            </w:r>
            <w:r w:rsidRPr="00D4548A">
              <w:rPr>
                <w:sz w:val="24"/>
                <w:szCs w:val="24"/>
              </w:rPr>
              <w:t>approval</w:t>
            </w:r>
            <w:r w:rsidR="00A611F2">
              <w:rPr>
                <w:sz w:val="24"/>
                <w:szCs w:val="24"/>
              </w:rPr>
              <w:t>, and implementation.</w:t>
            </w:r>
          </w:p>
        </w:tc>
      </w:tr>
      <w:tr w:rsidR="00D4548A" w:rsidRPr="00D4548A" w14:paraId="2AB67E8F" w14:textId="77777777" w:rsidTr="00D4548A">
        <w:trPr>
          <w:trHeight w:val="64"/>
        </w:trPr>
        <w:tc>
          <w:tcPr>
            <w:tcW w:w="1738" w:type="pct"/>
          </w:tcPr>
          <w:p w14:paraId="09FB3900" w14:textId="77777777" w:rsidR="00D4548A" w:rsidRPr="00D4548A" w:rsidRDefault="00D4548A" w:rsidP="00D4548A">
            <w:pPr>
              <w:pStyle w:val="Tabletext"/>
              <w:spacing w:after="60"/>
              <w:jc w:val="left"/>
              <w:rPr>
                <w:sz w:val="24"/>
                <w:szCs w:val="24"/>
              </w:rPr>
            </w:pPr>
            <w:r w:rsidRPr="00D4548A">
              <w:rPr>
                <w:sz w:val="24"/>
                <w:szCs w:val="24"/>
              </w:rPr>
              <w:t xml:space="preserve">7. </w:t>
            </w:r>
            <w:r w:rsidRPr="00D4548A">
              <w:rPr>
                <w:b/>
                <w:sz w:val="24"/>
                <w:szCs w:val="24"/>
              </w:rPr>
              <w:t xml:space="preserve">Enactment </w:t>
            </w:r>
          </w:p>
        </w:tc>
        <w:tc>
          <w:tcPr>
            <w:tcW w:w="3262" w:type="pct"/>
          </w:tcPr>
          <w:p w14:paraId="05C67D03" w14:textId="77777777" w:rsidR="00D4548A" w:rsidRPr="00D4548A" w:rsidRDefault="00D4548A" w:rsidP="00D4548A">
            <w:pPr>
              <w:pStyle w:val="Tabletext"/>
              <w:spacing w:after="60"/>
              <w:jc w:val="left"/>
              <w:rPr>
                <w:sz w:val="24"/>
                <w:szCs w:val="24"/>
              </w:rPr>
            </w:pPr>
            <w:r w:rsidRPr="00D4548A">
              <w:rPr>
                <w:sz w:val="24"/>
                <w:szCs w:val="24"/>
              </w:rPr>
              <w:t>Request for proposals (RFP) to identify priorities and projects for funding; approved projects and results communicated widely to campus and key stakeholders</w:t>
            </w:r>
          </w:p>
        </w:tc>
      </w:tr>
    </w:tbl>
    <w:p w14:paraId="3621FCB5" w14:textId="77777777" w:rsidR="00D4548A" w:rsidRPr="00D4548A" w:rsidRDefault="00D4548A" w:rsidP="00D4548A">
      <w:pPr>
        <w:rPr>
          <w:rFonts w:eastAsiaTheme="minorEastAsia"/>
        </w:rPr>
      </w:pPr>
    </w:p>
    <w:p w14:paraId="660E9933" w14:textId="04976484" w:rsidR="009C7775" w:rsidRPr="0018106B" w:rsidRDefault="00D4548A" w:rsidP="0018106B">
      <w:pPr>
        <w:rPr>
          <w:rFonts w:eastAsiaTheme="minorEastAsia"/>
        </w:rPr>
      </w:pPr>
      <w:r w:rsidRPr="00D4548A">
        <w:rPr>
          <w:rFonts w:eastAsiaTheme="minorEastAsia"/>
        </w:rPr>
        <w:t xml:space="preserve">The AR process using converging models and mixed methods can be used to develop interdisciplinary knowledge, facilitate innovation, and evolve a culture of innovation.  It has been successfully used to develop strategic visions and plans, create </w:t>
      </w:r>
      <w:r w:rsidR="0018106B">
        <w:rPr>
          <w:rFonts w:eastAsiaTheme="minorEastAsia"/>
        </w:rPr>
        <w:t xml:space="preserve">new </w:t>
      </w:r>
      <w:r w:rsidRPr="00D4548A">
        <w:rPr>
          <w:rFonts w:eastAsiaTheme="minorEastAsia"/>
        </w:rPr>
        <w:t>organization</w:t>
      </w:r>
      <w:r w:rsidR="0018106B">
        <w:rPr>
          <w:rFonts w:eastAsiaTheme="minorEastAsia"/>
        </w:rPr>
        <w:t>al</w:t>
      </w:r>
      <w:r w:rsidRPr="00D4548A">
        <w:rPr>
          <w:rFonts w:eastAsiaTheme="minorEastAsia"/>
        </w:rPr>
        <w:t xml:space="preserve"> structures to</w:t>
      </w:r>
      <w:r w:rsidR="0018106B">
        <w:rPr>
          <w:rFonts w:eastAsiaTheme="minorEastAsia"/>
        </w:rPr>
        <w:t xml:space="preserve"> support and</w:t>
      </w:r>
      <w:r w:rsidRPr="00D4548A">
        <w:rPr>
          <w:rFonts w:eastAsiaTheme="minorEastAsia"/>
        </w:rPr>
        <w:t xml:space="preserve"> enact those visions and plans, and</w:t>
      </w:r>
      <w:r w:rsidR="0018106B">
        <w:rPr>
          <w:rFonts w:eastAsiaTheme="minorEastAsia"/>
        </w:rPr>
        <w:t xml:space="preserve"> develop</w:t>
      </w:r>
      <w:r w:rsidRPr="00D4548A">
        <w:rPr>
          <w:rFonts w:eastAsiaTheme="minorEastAsia"/>
        </w:rPr>
        <w:t xml:space="preserve"> programs and </w:t>
      </w:r>
      <w:r w:rsidR="0018106B">
        <w:rPr>
          <w:rFonts w:eastAsiaTheme="minorEastAsia"/>
        </w:rPr>
        <w:t xml:space="preserve">projects to initiate </w:t>
      </w:r>
      <w:r w:rsidRPr="00D4548A">
        <w:rPr>
          <w:rFonts w:eastAsiaTheme="minorEastAsia"/>
        </w:rPr>
        <w:t>change. It has been</w:t>
      </w:r>
      <w:r w:rsidR="0018106B">
        <w:rPr>
          <w:rFonts w:eastAsiaTheme="minorEastAsia"/>
        </w:rPr>
        <w:t xml:space="preserve"> also been widely</w:t>
      </w:r>
      <w:r w:rsidRPr="00D4548A">
        <w:rPr>
          <w:rFonts w:eastAsiaTheme="minorEastAsia"/>
        </w:rPr>
        <w:t xml:space="preserve"> used </w:t>
      </w:r>
      <w:r w:rsidR="0018106B">
        <w:rPr>
          <w:rFonts w:eastAsiaTheme="minorEastAsia"/>
        </w:rPr>
        <w:t xml:space="preserve">to develop </w:t>
      </w:r>
      <w:r w:rsidRPr="00D4548A">
        <w:rPr>
          <w:rFonts w:eastAsiaTheme="minorEastAsia"/>
        </w:rPr>
        <w:t>organizational networks, cultures, and teams, innovation centers, research proposals, technology installations, and</w:t>
      </w:r>
      <w:r w:rsidR="0018106B">
        <w:rPr>
          <w:rFonts w:eastAsiaTheme="minorEastAsia"/>
        </w:rPr>
        <w:t xml:space="preserve"> other initiatives that require </w:t>
      </w:r>
      <w:r w:rsidRPr="00D4548A">
        <w:rPr>
          <w:rFonts w:eastAsiaTheme="minorEastAsia"/>
        </w:rPr>
        <w:t xml:space="preserve">the development and coordination of meaning and action. </w:t>
      </w:r>
    </w:p>
    <w:p w14:paraId="1B14CCA9" w14:textId="6DFEFC0F" w:rsidR="00A72D34" w:rsidRPr="00B4336B" w:rsidRDefault="0018106B" w:rsidP="00A72D34">
      <w:r>
        <w:t>Implicit within the AR innovation</w:t>
      </w:r>
      <w:r w:rsidR="00A72D34">
        <w:t xml:space="preserve"> process are</w:t>
      </w:r>
      <w:r w:rsidR="00A72D34" w:rsidRPr="00B4336B">
        <w:t xml:space="preserve"> characteristics of </w:t>
      </w:r>
      <w:r w:rsidR="00A72D34">
        <w:t>g</w:t>
      </w:r>
      <w:r w:rsidR="00A72D34" w:rsidRPr="00B4336B">
        <w:t xml:space="preserve">eneral </w:t>
      </w:r>
      <w:r w:rsidR="00A72D34">
        <w:t>s</w:t>
      </w:r>
      <w:r w:rsidR="00A72D34" w:rsidRPr="00B4336B">
        <w:t xml:space="preserve">ystems </w:t>
      </w:r>
      <w:r w:rsidR="00A72D34">
        <w:t>t</w:t>
      </w:r>
      <w:r w:rsidR="00A72D34" w:rsidRPr="00B4336B">
        <w:t>heory</w:t>
      </w:r>
      <w:r w:rsidR="00A72D34">
        <w:t xml:space="preserve"> (interdependence)</w:t>
      </w:r>
      <w:r w:rsidR="00A72D34" w:rsidRPr="00B4336B">
        <w:t xml:space="preserve">, </w:t>
      </w:r>
      <w:r w:rsidR="00A72D34">
        <w:t>p</w:t>
      </w:r>
      <w:r w:rsidR="00A72D34" w:rsidRPr="00B4336B">
        <w:t>ragmatism</w:t>
      </w:r>
      <w:r w:rsidR="00A72D34">
        <w:t xml:space="preserve"> (practical workability)</w:t>
      </w:r>
      <w:r w:rsidR="00A72D34" w:rsidRPr="00B4336B">
        <w:t xml:space="preserve">, and </w:t>
      </w:r>
      <w:r>
        <w:t xml:space="preserve">social constructivism (inquiry, </w:t>
      </w:r>
      <w:r w:rsidR="00A72D34">
        <w:t>interaction</w:t>
      </w:r>
      <w:r>
        <w:t>, and co-development</w:t>
      </w:r>
      <w:r w:rsidR="00A72D34">
        <w:t>)</w:t>
      </w:r>
      <w:r w:rsidR="00A611F2">
        <w:t xml:space="preserve">, and new growth theory (leveraging existing </w:t>
      </w:r>
      <w:r w:rsidR="00A611F2">
        <w:lastRenderedPageBreak/>
        <w:t>resources for innovation)</w:t>
      </w:r>
      <w:r w:rsidR="00A72D34">
        <w:t>. A</w:t>
      </w:r>
      <w:r w:rsidR="00A72D34" w:rsidRPr="00B4336B">
        <w:t>ccording to</w:t>
      </w:r>
      <w:r w:rsidR="00A72D34">
        <w:t xml:space="preserve"> Greenwood and Levin (2001, p. 438–439), t</w:t>
      </w:r>
      <w:r w:rsidR="00A72D34" w:rsidRPr="00B4336B">
        <w:t>he core characteristics of this form of research are</w:t>
      </w:r>
      <w:r w:rsidR="00A72D34">
        <w:t xml:space="preserve"> as follows</w:t>
      </w:r>
      <w:r w:rsidR="00A72D34" w:rsidRPr="00B4336B">
        <w:t>:</w:t>
      </w:r>
    </w:p>
    <w:p w14:paraId="07FC2E57" w14:textId="77777777" w:rsidR="00A72D34" w:rsidRPr="00497460" w:rsidRDefault="00A72D34" w:rsidP="00A53E7E">
      <w:pPr>
        <w:pStyle w:val="Bullets"/>
        <w:jc w:val="left"/>
        <w:rPr>
          <w:sz w:val="24"/>
          <w:szCs w:val="24"/>
        </w:rPr>
      </w:pPr>
      <w:r w:rsidRPr="00497460">
        <w:rPr>
          <w:sz w:val="24"/>
          <w:szCs w:val="24"/>
        </w:rPr>
        <w:t>It is context bound and addresses real-life problems holistically.</w:t>
      </w:r>
    </w:p>
    <w:p w14:paraId="708A62E5" w14:textId="77777777" w:rsidR="00A72D34" w:rsidRPr="00497460" w:rsidRDefault="00A72D34" w:rsidP="00A53E7E">
      <w:pPr>
        <w:pStyle w:val="Bullets"/>
        <w:jc w:val="left"/>
        <w:rPr>
          <w:sz w:val="24"/>
          <w:szCs w:val="24"/>
        </w:rPr>
      </w:pPr>
      <w:r w:rsidRPr="00497460">
        <w:rPr>
          <w:sz w:val="24"/>
          <w:szCs w:val="24"/>
        </w:rPr>
        <w:t>It entails inquiry through which participants and researchers co-generate knowledge using collaborative communication processes in which all participants’ contributions are considered seriously.</w:t>
      </w:r>
    </w:p>
    <w:p w14:paraId="0800DA3D" w14:textId="77777777" w:rsidR="00A72D34" w:rsidRPr="00497460" w:rsidRDefault="00A72D34" w:rsidP="00A53E7E">
      <w:pPr>
        <w:pStyle w:val="Bullets"/>
        <w:jc w:val="left"/>
        <w:rPr>
          <w:sz w:val="24"/>
          <w:szCs w:val="24"/>
        </w:rPr>
      </w:pPr>
      <w:r w:rsidRPr="00497460">
        <w:rPr>
          <w:sz w:val="24"/>
          <w:szCs w:val="24"/>
        </w:rPr>
        <w:t>It treats the diversity of experiences and capacities within the local group as an opportunity for the enrichment of the research-action process.</w:t>
      </w:r>
    </w:p>
    <w:p w14:paraId="23C11121" w14:textId="77777777" w:rsidR="00A72D34" w:rsidRPr="00497460" w:rsidRDefault="00A72D34" w:rsidP="00A53E7E">
      <w:pPr>
        <w:pStyle w:val="Bullets"/>
        <w:jc w:val="left"/>
        <w:rPr>
          <w:sz w:val="24"/>
          <w:szCs w:val="24"/>
        </w:rPr>
      </w:pPr>
      <w:r w:rsidRPr="00497460">
        <w:rPr>
          <w:sz w:val="24"/>
          <w:szCs w:val="24"/>
        </w:rPr>
        <w:t>The meanings constructed in the inquiry process lead to social action, or these reflections on action lead to the construction of new meanings (grounded theory and innovation).</w:t>
      </w:r>
    </w:p>
    <w:p w14:paraId="40BAF6F4" w14:textId="77777777" w:rsidR="00A72D34" w:rsidRPr="00497460" w:rsidRDefault="00A72D34" w:rsidP="00A53E7E">
      <w:pPr>
        <w:pStyle w:val="Bullets"/>
        <w:jc w:val="left"/>
        <w:rPr>
          <w:sz w:val="24"/>
          <w:szCs w:val="24"/>
        </w:rPr>
      </w:pPr>
      <w:r w:rsidRPr="00497460">
        <w:rPr>
          <w:sz w:val="24"/>
          <w:szCs w:val="24"/>
        </w:rPr>
        <w:t xml:space="preserve">The credibility-validity of AR knowledge is measured based on whether actions emerging from it solve problems (workability) and increase participants’ control over their own situations. </w:t>
      </w:r>
    </w:p>
    <w:p w14:paraId="5FA0D1EB" w14:textId="099DD032" w:rsidR="00A72D34" w:rsidRDefault="0018106B" w:rsidP="00A611F2">
      <w:r>
        <w:t xml:space="preserve">These tenets of AR </w:t>
      </w:r>
      <w:r w:rsidR="00A72D34">
        <w:t>can be traced back to</w:t>
      </w:r>
      <w:r w:rsidR="008E1135">
        <w:t xml:space="preserve"> pragmatism, social constructionism, and critical realism, and ne</w:t>
      </w:r>
      <w:r w:rsidR="00A611F2">
        <w:t xml:space="preserve">w growth theory, including </w:t>
      </w:r>
      <w:r w:rsidR="00A72D34">
        <w:t>the founders of pragmatism—</w:t>
      </w:r>
      <w:r w:rsidR="00A72D34" w:rsidRPr="00877674">
        <w:t>Charles Sanders</w:t>
      </w:r>
      <w:r w:rsidR="00DC2117">
        <w:t xml:space="preserve"> Peirce (1950; 1965), John Dewey (1976; 1991</w:t>
      </w:r>
      <w:r w:rsidR="00A72D34">
        <w:t>), and George Herbert Mead (1934</w:t>
      </w:r>
      <w:r w:rsidR="00DC2117">
        <w:t>; 1938</w:t>
      </w:r>
      <w:r w:rsidR="00A72D34">
        <w:t>), who</w:t>
      </w:r>
      <w:r w:rsidR="00A611F2">
        <w:t>se concepts and theories emphasize stakeholder involvement and interaction. These ideas</w:t>
      </w:r>
      <w:r w:rsidR="00A72D34">
        <w:t xml:space="preserve"> wer</w:t>
      </w:r>
      <w:r w:rsidR="008A1EC9">
        <w:t xml:space="preserve">e further developed and operationalized in the form of action research </w:t>
      </w:r>
      <w:r w:rsidR="00DC2117">
        <w:t>by Kurt Lewin (1946; 1947</w:t>
      </w:r>
      <w:r w:rsidR="008A1EC9">
        <w:t xml:space="preserve">), and refined by </w:t>
      </w:r>
      <w:r w:rsidR="00A72D34">
        <w:t xml:space="preserve">Davydd Greenwood &amp; Mortem Levin (2000; </w:t>
      </w:r>
      <w:r w:rsidR="00265B0C">
        <w:t xml:space="preserve">2001; </w:t>
      </w:r>
      <w:r w:rsidR="00A72D34">
        <w:t xml:space="preserve">2005; </w:t>
      </w:r>
      <w:r w:rsidR="00265B0C">
        <w:t xml:space="preserve">2007a; </w:t>
      </w:r>
      <w:r w:rsidR="00A72D34">
        <w:t xml:space="preserve">2008; 2012); </w:t>
      </w:r>
      <w:r w:rsidR="008A1EC9">
        <w:t>and</w:t>
      </w:r>
      <w:r w:rsidR="008A1EC9" w:rsidRPr="008A1EC9">
        <w:t xml:space="preserve"> </w:t>
      </w:r>
      <w:r w:rsidR="008A1EC9">
        <w:t>Bjorn Gustavsen (2005; 2008</w:t>
      </w:r>
      <w:r w:rsidR="008A1EC9" w:rsidRPr="00877674">
        <w:t>)</w:t>
      </w:r>
      <w:r w:rsidR="008A1EC9">
        <w:t>. The ideas were</w:t>
      </w:r>
      <w:r w:rsidR="003A16F0">
        <w:t xml:space="preserve"> refined, applied,</w:t>
      </w:r>
      <w:r w:rsidR="008A1EC9">
        <w:t xml:space="preserve"> and diffused by </w:t>
      </w:r>
      <w:r w:rsidR="00A72D34">
        <w:t>Joe Kinc</w:t>
      </w:r>
      <w:r w:rsidR="008A1EC9">
        <w:t>h</w:t>
      </w:r>
      <w:r w:rsidR="003A16F0">
        <w:t>eloe &amp; Katherine Berry (2004),</w:t>
      </w:r>
      <w:r w:rsidR="008A1EC9">
        <w:t xml:space="preserve"> Ken Gergen (2012; 2014; 2015), and </w:t>
      </w:r>
      <w:r w:rsidR="00A611F2">
        <w:t>David Cooperrider &amp; Suresh Srivastva (1987),</w:t>
      </w:r>
      <w:r w:rsidR="008A1EC9">
        <w:t xml:space="preserve"> </w:t>
      </w:r>
      <w:r w:rsidR="003A16F0">
        <w:t xml:space="preserve">and </w:t>
      </w:r>
      <w:r w:rsidR="00A72D34">
        <w:lastRenderedPageBreak/>
        <w:t xml:space="preserve">Tojo Thatchenkerry (2004; </w:t>
      </w:r>
      <w:r w:rsidR="00487CC4">
        <w:t xml:space="preserve">2006; </w:t>
      </w:r>
      <w:r w:rsidR="00A72D34">
        <w:t>2011),</w:t>
      </w:r>
      <w:r w:rsidR="008A1EC9">
        <w:t xml:space="preserve"> and</w:t>
      </w:r>
      <w:r w:rsidR="003A16F0">
        <w:t xml:space="preserve"> finally</w:t>
      </w:r>
      <w:r w:rsidR="008A1EC9">
        <w:t xml:space="preserve"> validated by</w:t>
      </w:r>
      <w:r w:rsidR="00A72D34">
        <w:t xml:space="preserve"> </w:t>
      </w:r>
      <w:r w:rsidR="00A611F2">
        <w:t xml:space="preserve">Roy Bahskar (1997), </w:t>
      </w:r>
      <w:r w:rsidR="00A72D34">
        <w:t>Berth Danermark</w:t>
      </w:r>
      <w:r w:rsidR="00BC487F">
        <w:t xml:space="preserve"> and colleagues (2002), as well as</w:t>
      </w:r>
      <w:r w:rsidR="00A72D34">
        <w:t xml:space="preserve"> many other proponents within</w:t>
      </w:r>
      <w:r w:rsidR="00A72D34" w:rsidRPr="00877674">
        <w:t xml:space="preserve"> the pragmatist</w:t>
      </w:r>
      <w:r w:rsidR="008A1EC9">
        <w:t xml:space="preserve">, social constructionist, and critical realist </w:t>
      </w:r>
      <w:r w:rsidR="00A72D34">
        <w:t>tradition</w:t>
      </w:r>
      <w:r w:rsidR="008A1EC9">
        <w:t>s</w:t>
      </w:r>
      <w:r w:rsidR="00A72D34" w:rsidRPr="00877674">
        <w:t xml:space="preserve">. </w:t>
      </w:r>
    </w:p>
    <w:p w14:paraId="3075DF89" w14:textId="350D5A58" w:rsidR="003A16F0" w:rsidRPr="003A16F0" w:rsidRDefault="003A16F0" w:rsidP="003A16F0">
      <w:pPr>
        <w:ind w:firstLine="0"/>
        <w:rPr>
          <w:b/>
        </w:rPr>
      </w:pPr>
      <w:r w:rsidRPr="003A16F0">
        <w:rPr>
          <w:b/>
        </w:rPr>
        <w:t>Action Research and Innovation</w:t>
      </w:r>
    </w:p>
    <w:p w14:paraId="37A21810" w14:textId="1A1265B0" w:rsidR="00A72D34" w:rsidRPr="00910CD1" w:rsidRDefault="00A72D34" w:rsidP="00A72D34">
      <w:r w:rsidRPr="00910CD1">
        <w:t>Peirce</w:t>
      </w:r>
      <w:r>
        <w:t xml:space="preserve"> (1965)</w:t>
      </w:r>
      <w:r w:rsidRPr="00910CD1">
        <w:t xml:space="preserve">, considered the </w:t>
      </w:r>
      <w:r>
        <w:t>f</w:t>
      </w:r>
      <w:r w:rsidRPr="00910CD1">
        <w:t xml:space="preserve">ather of American Pragmatism, </w:t>
      </w:r>
      <w:r>
        <w:t xml:space="preserve">asserted </w:t>
      </w:r>
      <w:r w:rsidRPr="00910CD1">
        <w:t xml:space="preserve">that </w:t>
      </w:r>
      <w:r>
        <w:t>a</w:t>
      </w:r>
      <w:r w:rsidRPr="00910CD1">
        <w:t xml:space="preserve">bduction </w:t>
      </w:r>
      <w:r>
        <w:t xml:space="preserve">formed </w:t>
      </w:r>
      <w:r w:rsidRPr="00910CD1">
        <w:t>the basis of new ideas, hypotheses</w:t>
      </w:r>
      <w:r>
        <w:t>,</w:t>
      </w:r>
      <w:r w:rsidRPr="00910CD1">
        <w:t xml:space="preserve"> and theories related to innovation. He </w:t>
      </w:r>
      <w:r>
        <w:t xml:space="preserve">wrote, </w:t>
      </w:r>
      <w:r w:rsidRPr="00910CD1">
        <w:t>“Deduction proves that something must be; Induction shows that something actually is operative; and Abduction merely suggests that something may be” (p. 106</w:t>
      </w:r>
      <w:r>
        <w:t>)</w:t>
      </w:r>
      <w:r w:rsidR="00BC487F">
        <w:t>. Abduction</w:t>
      </w:r>
      <w:r w:rsidRPr="00910CD1">
        <w:t xml:space="preserve"> </w:t>
      </w:r>
      <w:r>
        <w:t xml:space="preserve">constitutes </w:t>
      </w:r>
      <w:r w:rsidRPr="00910CD1">
        <w:t>a pattern of inference in the form of an explanation and hypothesis</w:t>
      </w:r>
      <w:r>
        <w:t>,</w:t>
      </w:r>
      <w:r w:rsidRPr="00910CD1">
        <w:t xml:space="preserve"> the best explanation drawn from observation of data and experience</w:t>
      </w:r>
      <w:r>
        <w:t>s</w:t>
      </w:r>
      <w:r w:rsidR="00BC487F">
        <w:t>. Accordingly,</w:t>
      </w:r>
      <w:r w:rsidRPr="00910CD1">
        <w:t xml:space="preserve"> “Every single item of scientific theory which stands established today has been due to Abduction” (p. 106). </w:t>
      </w:r>
      <w:r>
        <w:t>Furthermore, a</w:t>
      </w:r>
      <w:r w:rsidRPr="00910CD1">
        <w:t xml:space="preserve">bduction </w:t>
      </w:r>
      <w:r>
        <w:t>refers to</w:t>
      </w:r>
      <w:r w:rsidRPr="00910CD1">
        <w:t xml:space="preserve"> </w:t>
      </w:r>
      <w:r>
        <w:t>“</w:t>
      </w:r>
      <w:r w:rsidRPr="00910CD1">
        <w:t>insight</w:t>
      </w:r>
      <w:r>
        <w:t xml:space="preserve">” </w:t>
      </w:r>
      <w:r w:rsidRPr="00910CD1">
        <w:t xml:space="preserve">or </w:t>
      </w:r>
      <w:r>
        <w:t>“</w:t>
      </w:r>
      <w:r w:rsidRPr="00910CD1">
        <w:t>the faculty of divining the ways of Nature</w:t>
      </w:r>
      <w:r>
        <w:t>”. It</w:t>
      </w:r>
      <w:r w:rsidRPr="00910CD1">
        <w:t xml:space="preserve"> is an intuitive or instinctive leap or “guess” based on subjective experience that </w:t>
      </w:r>
      <w:r>
        <w:t>exceeds</w:t>
      </w:r>
      <w:r w:rsidRPr="00910CD1">
        <w:t xml:space="preserve"> inductive inference</w:t>
      </w:r>
      <w:r>
        <w:t>,</w:t>
      </w:r>
      <w:r w:rsidRPr="00910CD1">
        <w:t xml:space="preserve"> infer</w:t>
      </w:r>
      <w:r>
        <w:t>ring</w:t>
      </w:r>
      <w:r w:rsidRPr="00910CD1">
        <w:t xml:space="preserve"> a possibility beyond observation and data in the form of an explanatory hypothesis</w:t>
      </w:r>
      <w:r>
        <w:t xml:space="preserve"> or theory. It </w:t>
      </w:r>
      <w:r w:rsidRPr="00910CD1">
        <w:t xml:space="preserve">consists of the following characteristics: </w:t>
      </w:r>
      <w:r>
        <w:t>a</w:t>
      </w:r>
      <w:r w:rsidRPr="00910CD1">
        <w:t xml:space="preserve">) </w:t>
      </w:r>
      <w:r>
        <w:t>I</w:t>
      </w:r>
      <w:r w:rsidRPr="00910CD1">
        <w:t xml:space="preserve">t is an inference that is used to reduce the number of possible explanations; </w:t>
      </w:r>
      <w:r>
        <w:t>b</w:t>
      </w:r>
      <w:r w:rsidRPr="00910CD1">
        <w:t xml:space="preserve">) it is the process of guessing or </w:t>
      </w:r>
      <w:r>
        <w:t xml:space="preserve">choosing </w:t>
      </w:r>
      <w:r w:rsidRPr="00910CD1">
        <w:t xml:space="preserve">the most plausible hypothesis; </w:t>
      </w:r>
      <w:r>
        <w:t>c</w:t>
      </w:r>
      <w:r w:rsidRPr="00910CD1">
        <w:t xml:space="preserve">) it comes into play when an anomaly is observed or an explanation is </w:t>
      </w:r>
      <w:r>
        <w:t xml:space="preserve">required </w:t>
      </w:r>
      <w:r w:rsidRPr="00910CD1">
        <w:t>to fill a gap in the scientist</w:t>
      </w:r>
      <w:r>
        <w:t>’</w:t>
      </w:r>
      <w:r w:rsidR="00487CC4">
        <w:t>s experience (Walt</w:t>
      </w:r>
      <w:r w:rsidRPr="00910CD1">
        <w:t xml:space="preserve">on, 2004, p. 9). </w:t>
      </w:r>
    </w:p>
    <w:p w14:paraId="71E1B78C" w14:textId="184E4DF6" w:rsidR="00A72D34" w:rsidRDefault="00A72D34" w:rsidP="00BC487F">
      <w:r w:rsidRPr="00910CD1">
        <w:t>Building on Peirce’s concept of Abduction</w:t>
      </w:r>
      <w:r w:rsidR="00BC487F">
        <w:t xml:space="preserve">, </w:t>
      </w:r>
      <w:r w:rsidRPr="00910CD1">
        <w:t>Norwood Russell Hanson (1958) expound</w:t>
      </w:r>
      <w:r>
        <w:t>ed</w:t>
      </w:r>
      <w:r w:rsidRPr="00910CD1">
        <w:t xml:space="preserve"> on the process by which </w:t>
      </w:r>
      <w:r>
        <w:t>a</w:t>
      </w:r>
      <w:r w:rsidRPr="00910CD1">
        <w:t xml:space="preserve">bduction </w:t>
      </w:r>
      <w:r>
        <w:t>takes place</w:t>
      </w:r>
      <w:r w:rsidRPr="00910CD1">
        <w:t xml:space="preserve">. He </w:t>
      </w:r>
      <w:r>
        <w:t xml:space="preserve">stated </w:t>
      </w:r>
      <w:r w:rsidRPr="00910CD1">
        <w:t>that “Abduction</w:t>
      </w:r>
      <w:r>
        <w:t xml:space="preserve"> . . . </w:t>
      </w:r>
      <w:r w:rsidRPr="00910CD1">
        <w:t>amounts</w:t>
      </w:r>
      <w:r>
        <w:t xml:space="preserve"> . . . </w:t>
      </w:r>
      <w:r w:rsidRPr="00910CD1">
        <w:t>to observing a fact and then professing to say what</w:t>
      </w:r>
      <w:r>
        <w:t xml:space="preserve"> . . . </w:t>
      </w:r>
      <w:r w:rsidRPr="00910CD1">
        <w:t>it was that gave rise to the fact”</w:t>
      </w:r>
      <w:r>
        <w:t>.</w:t>
      </w:r>
      <w:r w:rsidRPr="00910CD1">
        <w:t xml:space="preserve"> </w:t>
      </w:r>
      <w:r>
        <w:t>Furthermore, h</w:t>
      </w:r>
      <w:r w:rsidRPr="00910CD1">
        <w:t xml:space="preserve">e </w:t>
      </w:r>
      <w:r>
        <w:t xml:space="preserve">continued, </w:t>
      </w:r>
      <w:r w:rsidRPr="00910CD1">
        <w:t xml:space="preserve">“Abduction consists in studying facts and </w:t>
      </w:r>
      <w:r w:rsidRPr="00910CD1">
        <w:lastRenderedPageBreak/>
        <w:t>devising a theory to explain them</w:t>
      </w:r>
      <w:r>
        <w:t>”</w:t>
      </w:r>
      <w:r w:rsidRPr="00910CD1">
        <w:t xml:space="preserve"> (p.</w:t>
      </w:r>
      <w:r>
        <w:t xml:space="preserve"> </w:t>
      </w:r>
      <w:r w:rsidR="00BC487F">
        <w:t xml:space="preserve">85), and further, </w:t>
      </w:r>
      <w:r w:rsidRPr="00910CD1">
        <w:t xml:space="preserve"> </w:t>
      </w:r>
      <w:r w:rsidR="00BC487F">
        <w:t>“</w:t>
      </w:r>
      <w:r w:rsidRPr="00910CD1">
        <w:t xml:space="preserve">theories provide patterns within which data appear intelligible. They constitute a conceptual </w:t>
      </w:r>
      <w:r>
        <w:t>“</w:t>
      </w:r>
      <w:r w:rsidRPr="00910CD1">
        <w:t>Gestalt</w:t>
      </w:r>
      <w:r>
        <w:t>.”</w:t>
      </w:r>
      <w:r w:rsidRPr="00910CD1">
        <w:t xml:space="preserve"> A theory is not pieced together from observed phenomena as being of a certain sort, and as related to other phenomena. Theories put phenom</w:t>
      </w:r>
      <w:r>
        <w:t>ena into systems. They are built</w:t>
      </w:r>
      <w:r w:rsidRPr="00910CD1">
        <w:t xml:space="preserve"> up in reverse–retroductively. A theory is a cluster of conclusions in search of a premise. From observed properties of phenomen</w:t>
      </w:r>
      <w:r>
        <w:t>a,</w:t>
      </w:r>
      <w:r w:rsidRPr="00910CD1">
        <w:t xml:space="preserve"> the physicist reasons his way towards a keystone idea from which the properties are explicable as a matter of course. The physicist seeks not the possible objects, but a set of possible explanations (p</w:t>
      </w:r>
      <w:r>
        <w:t>.</w:t>
      </w:r>
      <w:r w:rsidRPr="00910CD1">
        <w:t xml:space="preserve"> 88-89). </w:t>
      </w:r>
    </w:p>
    <w:p w14:paraId="7B4B789B" w14:textId="10EF8AFC" w:rsidR="00A72D34" w:rsidRPr="00910CD1" w:rsidRDefault="00A72D34" w:rsidP="00A72D34">
      <w:r w:rsidRPr="00910CD1">
        <w:t>Hanson’s concept of retroduction “linked abduction to explanation and linked explanation to understanding”</w:t>
      </w:r>
      <w:r>
        <w:t>.</w:t>
      </w:r>
      <w:r w:rsidR="00487CC4">
        <w:t xml:space="preserve"> According to Walt</w:t>
      </w:r>
      <w:r w:rsidRPr="00910CD1">
        <w:t xml:space="preserve">on (2004), this </w:t>
      </w:r>
      <w:r>
        <w:t xml:space="preserve">forms </w:t>
      </w:r>
      <w:r w:rsidRPr="00910CD1">
        <w:t xml:space="preserve">the basis of innovation. The </w:t>
      </w:r>
      <w:r>
        <w:t xml:space="preserve">traditional </w:t>
      </w:r>
      <w:r w:rsidRPr="00910CD1">
        <w:t>scientific method simply supplies the evidence</w:t>
      </w:r>
      <w:r>
        <w:t xml:space="preserve"> and</w:t>
      </w:r>
      <w:r w:rsidRPr="00910CD1">
        <w:t xml:space="preserve"> justification</w:t>
      </w:r>
      <w:r>
        <w:t xml:space="preserve"> </w:t>
      </w:r>
      <w:r w:rsidRPr="00910CD1">
        <w:t>for the explanation (p.</w:t>
      </w:r>
      <w:r>
        <w:t xml:space="preserve"> </w:t>
      </w:r>
      <w:r w:rsidRPr="00910CD1">
        <w:t xml:space="preserve">18). </w:t>
      </w:r>
    </w:p>
    <w:p w14:paraId="195ED12A" w14:textId="77777777" w:rsidR="00A72D34" w:rsidRPr="00910CD1" w:rsidRDefault="00A72D34" w:rsidP="00A72D34">
      <w:r w:rsidRPr="00910CD1">
        <w:t>In other words, an explanatory hypothesis that is abducted through retroduction</w:t>
      </w:r>
      <w:r>
        <w:t xml:space="preserve"> comprises</w:t>
      </w:r>
      <w:r w:rsidRPr="00910CD1">
        <w:t xml:space="preserve"> a supposition in the form of new information and proposed knowledge that fills a gap in our understanding by answering </w:t>
      </w:r>
      <w:r>
        <w:t xml:space="preserve">the </w:t>
      </w:r>
      <w:r w:rsidRPr="00910CD1">
        <w:t xml:space="preserve">question </w:t>
      </w:r>
      <w:r>
        <w:t>“</w:t>
      </w:r>
      <w:r w:rsidRPr="00910CD1">
        <w:t>why</w:t>
      </w:r>
      <w:r>
        <w:t>?”</w:t>
      </w:r>
      <w:r w:rsidRPr="00910CD1">
        <w:t xml:space="preserve"> </w:t>
      </w:r>
      <w:r>
        <w:t xml:space="preserve">It </w:t>
      </w:r>
      <w:r w:rsidRPr="00910CD1">
        <w:t>connects to and/or integrates with other hypotheses or theories</w:t>
      </w:r>
      <w:r>
        <w:t xml:space="preserve"> in our minds as well as with other minds accessed through social inquiry and interaction, empirical investigation, reflection, and/or literature reviews, which</w:t>
      </w:r>
      <w:r w:rsidRPr="00910CD1">
        <w:t xml:space="preserve"> result in a larger picture or context that helps us make sense of the world. Paradoxically, a meaningful proposition reduces the complexity of a situation while at the same time connecting </w:t>
      </w:r>
      <w:r>
        <w:t xml:space="preserve">it to </w:t>
      </w:r>
      <w:r w:rsidRPr="00910CD1">
        <w:t>other information and theories</w:t>
      </w:r>
      <w:r>
        <w:t>, thus</w:t>
      </w:r>
      <w:r w:rsidRPr="00910CD1">
        <w:t xml:space="preserve"> broadening our understanding by predicting and guiding future action (see Walton, 2004, p.</w:t>
      </w:r>
      <w:r>
        <w:t xml:space="preserve"> </w:t>
      </w:r>
      <w:r w:rsidRPr="00910CD1">
        <w:t>58 for other definitions).</w:t>
      </w:r>
      <w:r>
        <w:t xml:space="preserve"> It links the precision of a hypothesis to the scope of a broader theory, context, or system. </w:t>
      </w:r>
    </w:p>
    <w:p w14:paraId="658AFFAA" w14:textId="0F11977C" w:rsidR="00A72D34" w:rsidRPr="00910CD1" w:rsidRDefault="00A72D34" w:rsidP="00A72D34">
      <w:r w:rsidRPr="00910CD1">
        <w:lastRenderedPageBreak/>
        <w:t xml:space="preserve">Brian </w:t>
      </w:r>
      <w:r>
        <w:t>Haig (1995) took abduction a step</w:t>
      </w:r>
      <w:r w:rsidRPr="00910CD1">
        <w:t xml:space="preserve"> further</w:t>
      </w:r>
      <w:r>
        <w:t>,</w:t>
      </w:r>
      <w:r w:rsidRPr="00910CD1">
        <w:t xml:space="preserve"> </w:t>
      </w:r>
      <w:r>
        <w:t xml:space="preserve">claiming </w:t>
      </w:r>
      <w:r w:rsidRPr="00910CD1">
        <w:t>that it</w:t>
      </w:r>
      <w:r>
        <w:t xml:space="preserve"> entails more than mere explanation; it forms the </w:t>
      </w:r>
      <w:r w:rsidRPr="00910CD1">
        <w:t>o</w:t>
      </w:r>
      <w:r>
        <w:t xml:space="preserve">utcome of the scientific method in which </w:t>
      </w:r>
      <w:r w:rsidRPr="00910CD1">
        <w:t>realist and social constructi</w:t>
      </w:r>
      <w:r>
        <w:t>on ontologies and methodologies are integrated in the form of a grounded theory based on experience. He asserted that</w:t>
      </w:r>
      <w:r w:rsidRPr="00910CD1">
        <w:t xml:space="preserve"> “grounded theory is reconstructed as a problem-oriented endeavor</w:t>
      </w:r>
      <w:r>
        <w:t xml:space="preserve"> or opportunistic situation</w:t>
      </w:r>
      <w:r w:rsidRPr="00910CD1">
        <w:t xml:space="preserve"> in which theories are abductively generated from robust data patterns, elaborated through the construction of plausible models, and justified in terms of their explanatory coherence”</w:t>
      </w:r>
      <w:r>
        <w:t xml:space="preserve"> </w:t>
      </w:r>
      <w:r w:rsidRPr="00910CD1">
        <w:t xml:space="preserve">(p. 2). While acknowledging his </w:t>
      </w:r>
      <w:r>
        <w:t>in</w:t>
      </w:r>
      <w:r w:rsidRPr="00910CD1">
        <w:t>debt</w:t>
      </w:r>
      <w:r>
        <w:t>edness</w:t>
      </w:r>
      <w:r w:rsidRPr="00910CD1">
        <w:t xml:space="preserve"> to social construction</w:t>
      </w:r>
      <w:r>
        <w:t>,</w:t>
      </w:r>
      <w:r w:rsidRPr="00910CD1">
        <w:t xml:space="preserve"> he </w:t>
      </w:r>
      <w:r>
        <w:t xml:space="preserve">referred to </w:t>
      </w:r>
      <w:r w:rsidRPr="00910CD1">
        <w:t xml:space="preserve">this general reformulation of the </w:t>
      </w:r>
      <w:r>
        <w:t xml:space="preserve">traditional </w:t>
      </w:r>
      <w:r w:rsidRPr="00910CD1">
        <w:t>scientific method</w:t>
      </w:r>
      <w:r>
        <w:t xml:space="preserve"> as</w:t>
      </w:r>
      <w:r w:rsidRPr="00910CD1">
        <w:t xml:space="preserve"> </w:t>
      </w:r>
      <w:r>
        <w:t>“</w:t>
      </w:r>
      <w:r w:rsidRPr="00910CD1">
        <w:t>abductive explanatory inferentialism (AEI)</w:t>
      </w:r>
      <w:r>
        <w:t>.”</w:t>
      </w:r>
      <w:r w:rsidRPr="00910CD1">
        <w:t xml:space="preserve"> He </w:t>
      </w:r>
      <w:r>
        <w:t>stated,</w:t>
      </w:r>
      <w:r w:rsidRPr="00910CD1">
        <w:t xml:space="preserve"> “</w:t>
      </w:r>
      <w:r>
        <w:t xml:space="preserve">The </w:t>
      </w:r>
      <w:r w:rsidRPr="00910CD1">
        <w:t>AEI method provides a framework for inquiry that takes advantage of realist philosophical work on research problems, generative (social construction) methodology, and coherence justification” (p.</w:t>
      </w:r>
      <w:r>
        <w:t xml:space="preserve"> </w:t>
      </w:r>
      <w:r w:rsidRPr="00910CD1">
        <w:t>11).</w:t>
      </w:r>
      <w:r>
        <w:t xml:space="preserve"> </w:t>
      </w:r>
      <w:r w:rsidRPr="00910CD1">
        <w:t>According to him, a grounded theory of action</w:t>
      </w:r>
      <w:r>
        <w:t xml:space="preserve"> entails </w:t>
      </w:r>
      <w:r w:rsidRPr="00910CD1">
        <w:t xml:space="preserve">more than a supplement and support to the </w:t>
      </w:r>
      <w:r>
        <w:t xml:space="preserve">traditional </w:t>
      </w:r>
      <w:r w:rsidRPr="00910CD1">
        <w:t>scientific method</w:t>
      </w:r>
      <w:r>
        <w:t>:</w:t>
      </w:r>
      <w:r w:rsidRPr="00910CD1">
        <w:t xml:space="preserve"> </w:t>
      </w:r>
      <w:r>
        <w:t>I</w:t>
      </w:r>
      <w:r w:rsidRPr="00910CD1">
        <w:t xml:space="preserve">t </w:t>
      </w:r>
      <w:r>
        <w:t xml:space="preserve">essentially forms </w:t>
      </w:r>
      <w:r w:rsidRPr="00910CD1">
        <w:t xml:space="preserve">the scientific method. A grounded theory of action developed by a network of stakeholders using mixed methods </w:t>
      </w:r>
      <w:r>
        <w:t xml:space="preserve">is </w:t>
      </w:r>
      <w:r w:rsidRPr="00910CD1">
        <w:t>instrumental in addressing social problems as well as constru</w:t>
      </w:r>
      <w:r>
        <w:t>cting theories and visions</w:t>
      </w:r>
      <w:r w:rsidRPr="00910CD1">
        <w:t xml:space="preserve">. </w:t>
      </w:r>
    </w:p>
    <w:p w14:paraId="207EFA92" w14:textId="5373C707" w:rsidR="00A72D34" w:rsidRPr="00BF7EB0" w:rsidRDefault="00BC487F" w:rsidP="00A72D34">
      <w:pPr>
        <w:rPr>
          <w:color w:val="222222"/>
        </w:rPr>
      </w:pPr>
      <w:r>
        <w:t>Social inquiry, essential to innovation, proceeds</w:t>
      </w:r>
      <w:r w:rsidR="00A72D34">
        <w:t xml:space="preserve"> through five</w:t>
      </w:r>
      <w:r w:rsidR="00A72D34" w:rsidRPr="00B62569">
        <w:t xml:space="preserve"> stages of dialogue</w:t>
      </w:r>
      <w:r w:rsidR="00A72D34">
        <w:t>,</w:t>
      </w:r>
      <w:r w:rsidR="00A72D34" w:rsidRPr="00B62569">
        <w:t xml:space="preserve"> as indicated in the AR </w:t>
      </w:r>
      <w:r w:rsidR="00A72D34">
        <w:t>c</w:t>
      </w:r>
      <w:r w:rsidR="00A72D34" w:rsidRPr="00B62569">
        <w:t xml:space="preserve">onverging </w:t>
      </w:r>
      <w:r w:rsidR="00A72D34">
        <w:t>m</w:t>
      </w:r>
      <w:r w:rsidR="00A72D34" w:rsidRPr="00B62569">
        <w:t xml:space="preserve">ethods </w:t>
      </w:r>
      <w:r w:rsidR="00A72D34">
        <w:t>m</w:t>
      </w:r>
      <w:r w:rsidR="00A72D34" w:rsidRPr="00B62569">
        <w:t xml:space="preserve">odel </w:t>
      </w:r>
      <w:r>
        <w:t>indicated above. Each step is</w:t>
      </w:r>
      <w:r w:rsidR="00A72D34" w:rsidRPr="00B62569">
        <w:t xml:space="preserve"> based on clear ground rules and driven by a set of questions and expected outcomes. The result of </w:t>
      </w:r>
      <w:r w:rsidR="00A72D34">
        <w:t xml:space="preserve">the </w:t>
      </w:r>
      <w:r w:rsidR="00A72D34" w:rsidRPr="00B62569">
        <w:t xml:space="preserve">dialogue and collaboration </w:t>
      </w:r>
      <w:r>
        <w:t>is</w:t>
      </w:r>
      <w:r w:rsidR="00A72D34">
        <w:t xml:space="preserve"> </w:t>
      </w:r>
      <w:r w:rsidR="00A72D34" w:rsidRPr="00B62569">
        <w:t xml:space="preserve">an explanation and a grounded theory of action </w:t>
      </w:r>
      <w:r w:rsidR="00A72D34">
        <w:t xml:space="preserve">that </w:t>
      </w:r>
      <w:r w:rsidR="00A72D34" w:rsidRPr="00B62569">
        <w:t>facilitat</w:t>
      </w:r>
      <w:r>
        <w:t>es</w:t>
      </w:r>
      <w:r w:rsidR="00A72D34" w:rsidRPr="00B62569">
        <w:t xml:space="preserve"> learning, understanding, </w:t>
      </w:r>
      <w:r>
        <w:t xml:space="preserve">and </w:t>
      </w:r>
      <w:r w:rsidR="00A72D34" w:rsidRPr="00B62569">
        <w:t>commitment, and</w:t>
      </w:r>
      <w:r>
        <w:t xml:space="preserve"> fosters relationships, networks, and</w:t>
      </w:r>
      <w:r w:rsidR="00A72D34" w:rsidRPr="00B62569">
        <w:t xml:space="preserve"> coordinated action. </w:t>
      </w:r>
      <w:r w:rsidR="00A72D34" w:rsidRPr="0036204A">
        <w:t xml:space="preserve">The typical sequence of the process </w:t>
      </w:r>
      <w:r w:rsidR="00A72D34">
        <w:t>was follows</w:t>
      </w:r>
      <w:r w:rsidR="00A72D34" w:rsidRPr="0036204A">
        <w:t xml:space="preserve">: </w:t>
      </w:r>
    </w:p>
    <w:p w14:paraId="425F7666" w14:textId="77777777" w:rsidR="00A72D34" w:rsidRPr="00025EED" w:rsidRDefault="00A72D34" w:rsidP="00A72D34">
      <w:pPr>
        <w:pStyle w:val="ListParagraph"/>
        <w:numPr>
          <w:ilvl w:val="0"/>
          <w:numId w:val="6"/>
        </w:numPr>
        <w:spacing w:line="480" w:lineRule="auto"/>
        <w:ind w:left="720"/>
        <w:rPr>
          <w:rFonts w:ascii="Times New Roman" w:hAnsi="Times New Roman" w:cs="Times New Roman"/>
          <w:sz w:val="24"/>
          <w:szCs w:val="24"/>
        </w:rPr>
      </w:pPr>
      <w:r w:rsidRPr="00025EED">
        <w:rPr>
          <w:rFonts w:ascii="Times New Roman" w:hAnsi="Times New Roman" w:cs="Times New Roman"/>
          <w:sz w:val="24"/>
          <w:szCs w:val="24"/>
        </w:rPr>
        <w:t>Inquire: formulate key questions and collect data</w:t>
      </w:r>
      <w:r w:rsidR="004E3583">
        <w:rPr>
          <w:rFonts w:ascii="Times New Roman" w:hAnsi="Times New Roman" w:cs="Times New Roman"/>
          <w:sz w:val="24"/>
          <w:szCs w:val="24"/>
        </w:rPr>
        <w:t xml:space="preserve"> (Abduction and Induction)</w:t>
      </w:r>
    </w:p>
    <w:p w14:paraId="634E0C35" w14:textId="77777777" w:rsidR="00A72D34" w:rsidRPr="00025EED" w:rsidRDefault="00A72D34" w:rsidP="00A72D34">
      <w:pPr>
        <w:pStyle w:val="ListParagraph"/>
        <w:numPr>
          <w:ilvl w:val="0"/>
          <w:numId w:val="6"/>
        </w:numPr>
        <w:spacing w:line="480" w:lineRule="auto"/>
        <w:ind w:left="720"/>
        <w:rPr>
          <w:rFonts w:ascii="Times New Roman" w:hAnsi="Times New Roman" w:cs="Times New Roman"/>
          <w:sz w:val="24"/>
          <w:szCs w:val="24"/>
        </w:rPr>
      </w:pPr>
      <w:r w:rsidRPr="00025EED">
        <w:rPr>
          <w:rFonts w:ascii="Times New Roman" w:hAnsi="Times New Roman" w:cs="Times New Roman"/>
          <w:sz w:val="24"/>
          <w:szCs w:val="24"/>
        </w:rPr>
        <w:lastRenderedPageBreak/>
        <w:t xml:space="preserve">Analyze and </w:t>
      </w:r>
      <w:r>
        <w:rPr>
          <w:rFonts w:ascii="Times New Roman" w:hAnsi="Times New Roman" w:cs="Times New Roman"/>
          <w:sz w:val="24"/>
          <w:szCs w:val="24"/>
        </w:rPr>
        <w:t>i</w:t>
      </w:r>
      <w:r w:rsidRPr="00025EED">
        <w:rPr>
          <w:rFonts w:ascii="Times New Roman" w:hAnsi="Times New Roman" w:cs="Times New Roman"/>
          <w:sz w:val="24"/>
          <w:szCs w:val="24"/>
        </w:rPr>
        <w:t>nterpret data (identify similarities and differences in values, interests, and needs)</w:t>
      </w:r>
      <w:r w:rsidR="004E3583">
        <w:rPr>
          <w:rFonts w:ascii="Times New Roman" w:hAnsi="Times New Roman" w:cs="Times New Roman"/>
          <w:sz w:val="24"/>
          <w:szCs w:val="24"/>
        </w:rPr>
        <w:t xml:space="preserve"> (Retroduction)</w:t>
      </w:r>
    </w:p>
    <w:p w14:paraId="44372F56" w14:textId="77777777" w:rsidR="00A72D34" w:rsidRPr="00025EED" w:rsidRDefault="00A72D34" w:rsidP="00A72D34">
      <w:pPr>
        <w:pStyle w:val="ListParagraph"/>
        <w:numPr>
          <w:ilvl w:val="0"/>
          <w:numId w:val="6"/>
        </w:numPr>
        <w:spacing w:line="480" w:lineRule="auto"/>
        <w:ind w:left="720"/>
        <w:rPr>
          <w:rFonts w:ascii="Times New Roman" w:hAnsi="Times New Roman" w:cs="Times New Roman"/>
          <w:sz w:val="24"/>
          <w:szCs w:val="24"/>
        </w:rPr>
      </w:pPr>
      <w:r w:rsidRPr="00025EED">
        <w:rPr>
          <w:rFonts w:ascii="Times New Roman" w:hAnsi="Times New Roman" w:cs="Times New Roman"/>
          <w:sz w:val="24"/>
          <w:szCs w:val="24"/>
        </w:rPr>
        <w:t xml:space="preserve">Construct a grounded theory of action </w:t>
      </w:r>
      <w:r w:rsidR="004E3583">
        <w:rPr>
          <w:rFonts w:ascii="Times New Roman" w:hAnsi="Times New Roman" w:cs="Times New Roman"/>
          <w:sz w:val="24"/>
          <w:szCs w:val="24"/>
        </w:rPr>
        <w:t>(Deduction)</w:t>
      </w:r>
    </w:p>
    <w:p w14:paraId="141FC72B" w14:textId="77777777" w:rsidR="00A72D34" w:rsidRPr="00025EED" w:rsidRDefault="00A72D34" w:rsidP="00A72D34">
      <w:pPr>
        <w:pStyle w:val="ListParagraph"/>
        <w:numPr>
          <w:ilvl w:val="0"/>
          <w:numId w:val="6"/>
        </w:numPr>
        <w:spacing w:line="480" w:lineRule="auto"/>
        <w:ind w:left="720"/>
        <w:rPr>
          <w:rFonts w:ascii="Times New Roman" w:hAnsi="Times New Roman" w:cs="Times New Roman"/>
          <w:sz w:val="24"/>
          <w:szCs w:val="24"/>
        </w:rPr>
      </w:pPr>
      <w:r w:rsidRPr="00025EED">
        <w:rPr>
          <w:rFonts w:ascii="Times New Roman" w:hAnsi="Times New Roman" w:cs="Times New Roman"/>
          <w:sz w:val="24"/>
          <w:szCs w:val="24"/>
        </w:rPr>
        <w:t>Enact and pilot the theory to test its efficacy</w:t>
      </w:r>
    </w:p>
    <w:p w14:paraId="222876B1" w14:textId="77777777" w:rsidR="00A72D34" w:rsidRDefault="00A72D34" w:rsidP="00A72D34">
      <w:pPr>
        <w:pStyle w:val="ListParagraph"/>
        <w:numPr>
          <w:ilvl w:val="0"/>
          <w:numId w:val="6"/>
        </w:numPr>
        <w:spacing w:line="480" w:lineRule="auto"/>
        <w:ind w:left="720"/>
        <w:rPr>
          <w:rFonts w:ascii="Times New Roman" w:hAnsi="Times New Roman" w:cs="Times New Roman"/>
          <w:sz w:val="24"/>
          <w:szCs w:val="24"/>
        </w:rPr>
      </w:pPr>
      <w:r w:rsidRPr="00025EED">
        <w:rPr>
          <w:rFonts w:ascii="Times New Roman" w:hAnsi="Times New Roman" w:cs="Times New Roman"/>
          <w:sz w:val="24"/>
          <w:szCs w:val="24"/>
        </w:rPr>
        <w:t xml:space="preserve">Embed the theory (connect it to culture, structure, and processes) </w:t>
      </w:r>
    </w:p>
    <w:p w14:paraId="0823932D" w14:textId="01D91BA3" w:rsidR="00BC487F" w:rsidRPr="00BC487F" w:rsidRDefault="00BC487F" w:rsidP="00BC487F">
      <w:r>
        <w:t xml:space="preserve">Table 2 below summarizes the AR converging methods process </w:t>
      </w:r>
      <w:r w:rsidR="00173D38">
        <w:t xml:space="preserve">as it may be used for facilitating innovation and developing a culture of innovation. </w:t>
      </w:r>
    </w:p>
    <w:p w14:paraId="055E3561" w14:textId="7A5774AA" w:rsidR="00A72D34" w:rsidRPr="00D74846" w:rsidRDefault="00A72D34" w:rsidP="00A72D34">
      <w:pPr>
        <w:pStyle w:val="table"/>
      </w:pPr>
      <w:bookmarkStart w:id="7" w:name="_Toc519357933"/>
      <w:r w:rsidRPr="00D74846">
        <w:t xml:space="preserve">Table </w:t>
      </w:r>
      <w:bookmarkEnd w:id="7"/>
      <w:r w:rsidR="00BC487F">
        <w:t>2</w:t>
      </w:r>
    </w:p>
    <w:p w14:paraId="0A326BE2" w14:textId="0D5FE702" w:rsidR="00A72D34" w:rsidRPr="00BF7EB0" w:rsidRDefault="00A72D34" w:rsidP="00A72D34">
      <w:pPr>
        <w:pStyle w:val="table"/>
        <w:spacing w:after="120"/>
      </w:pPr>
      <w:bookmarkStart w:id="8" w:name="_Toc519357934"/>
      <w:r w:rsidRPr="00D74846">
        <w:rPr>
          <w:i/>
        </w:rPr>
        <w:t>AR and Convergin</w:t>
      </w:r>
      <w:r w:rsidR="00487CC4">
        <w:rPr>
          <w:i/>
        </w:rPr>
        <w:t>g Methods Model (Warzynski, 2018</w:t>
      </w:r>
      <w:r w:rsidRPr="00D74846">
        <w:rPr>
          <w:i/>
        </w:rPr>
        <w:t>)</w:t>
      </w:r>
      <w:bookmarkEnd w:id="8"/>
    </w:p>
    <w:p w14:paraId="4B6185EE" w14:textId="77777777" w:rsidR="00A72D34" w:rsidRPr="00782A50" w:rsidRDefault="00A72D34" w:rsidP="00A72D34">
      <w:pPr>
        <w:pStyle w:val="table"/>
      </w:pPr>
      <w:bookmarkStart w:id="9" w:name="_Toc519357935"/>
      <w:r w:rsidRPr="00782A50">
        <w:rPr>
          <w:noProof/>
        </w:rPr>
        <w:drawing>
          <wp:anchor distT="0" distB="0" distL="114300" distR="114300" simplePos="0" relativeHeight="251660288" behindDoc="0" locked="0" layoutInCell="1" allowOverlap="1" wp14:anchorId="0988D93C" wp14:editId="62028200">
            <wp:simplePos x="0" y="0"/>
            <wp:positionH relativeFrom="column">
              <wp:posOffset>278765</wp:posOffset>
            </wp:positionH>
            <wp:positionV relativeFrom="paragraph">
              <wp:posOffset>95873</wp:posOffset>
            </wp:positionV>
            <wp:extent cx="5143500" cy="3339465"/>
            <wp:effectExtent l="0" t="0" r="0" b="0"/>
            <wp:wrapTopAndBottom/>
            <wp:docPr id="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6232"/>
                    <a:stretch/>
                  </pic:blipFill>
                  <pic:spPr bwMode="auto">
                    <a:xfrm>
                      <a:off x="0" y="0"/>
                      <a:ext cx="5143500" cy="333946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anchor>
        </w:drawing>
      </w:r>
      <w:bookmarkEnd w:id="9"/>
    </w:p>
    <w:p w14:paraId="29895C30" w14:textId="77777777" w:rsidR="00173D38" w:rsidRDefault="00A72D34" w:rsidP="00A72D34">
      <w:pPr>
        <w:rPr>
          <w:rFonts w:eastAsia="Times New Roman"/>
          <w:color w:val="222222"/>
          <w:shd w:val="clear" w:color="auto" w:fill="FFFFFF"/>
        </w:rPr>
      </w:pPr>
      <w:r>
        <w:t>Implicit in</w:t>
      </w:r>
      <w:r w:rsidRPr="00B62569">
        <w:t xml:space="preserve"> this approach to innovation is the theory of enaction or enactivism</w:t>
      </w:r>
      <w:r>
        <w:t>,</w:t>
      </w:r>
      <w:r w:rsidRPr="00B62569">
        <w:t xml:space="preserve"> as conceived by </w:t>
      </w:r>
      <w:r>
        <w:t xml:space="preserve">Humberto </w:t>
      </w:r>
      <w:r w:rsidRPr="00B62569">
        <w:t xml:space="preserve">Maturana and </w:t>
      </w:r>
      <w:r>
        <w:t xml:space="preserve">Francisco </w:t>
      </w:r>
      <w:r w:rsidRPr="00B62569">
        <w:t xml:space="preserve">Varela (1987), which </w:t>
      </w:r>
      <w:r>
        <w:t xml:space="preserve">proposes </w:t>
      </w:r>
      <w:r w:rsidRPr="00B62569">
        <w:t>that we adapt and change through interaction with our environment</w:t>
      </w:r>
      <w:r>
        <w:t>,</w:t>
      </w:r>
      <w:r w:rsidRPr="00B62569">
        <w:t xml:space="preserve"> and in doing so</w:t>
      </w:r>
      <w:r>
        <w:t>,</w:t>
      </w:r>
      <w:r w:rsidRPr="00B62569">
        <w:t xml:space="preserve"> </w:t>
      </w:r>
      <w:r>
        <w:t xml:space="preserve">we also alter </w:t>
      </w:r>
      <w:r w:rsidRPr="00B62569">
        <w:t>the environment. The theory of enaction plays a central role in social, cultural, and system</w:t>
      </w:r>
      <w:r>
        <w:t>ic</w:t>
      </w:r>
      <w:r w:rsidRPr="00B62569">
        <w:t xml:space="preserve"> change (</w:t>
      </w:r>
      <w:r w:rsidRPr="00B62569">
        <w:rPr>
          <w:color w:val="222222"/>
        </w:rPr>
        <w:t xml:space="preserve">Baerveldt </w:t>
      </w:r>
      <w:r>
        <w:rPr>
          <w:color w:val="222222"/>
        </w:rPr>
        <w:t xml:space="preserve">&amp; </w:t>
      </w:r>
      <w:r w:rsidRPr="00B62569">
        <w:rPr>
          <w:color w:val="222222"/>
        </w:rPr>
        <w:t xml:space="preserve">Verheggen 1999; </w:t>
      </w:r>
      <w:r w:rsidRPr="00B62569">
        <w:t xml:space="preserve">Greenwood </w:t>
      </w:r>
      <w:r>
        <w:t xml:space="preserve">&amp; </w:t>
      </w:r>
      <w:r w:rsidRPr="00B62569">
        <w:t>Levin, 2000; 2007</w:t>
      </w:r>
      <w:r>
        <w:t xml:space="preserve">; </w:t>
      </w:r>
      <w:r w:rsidRPr="00B62569">
        <w:lastRenderedPageBreak/>
        <w:t>Luhmann, 1996</w:t>
      </w:r>
      <w:r>
        <w:t xml:space="preserve">; </w:t>
      </w:r>
      <w:r w:rsidRPr="00B62569">
        <w:t xml:space="preserve">Weick, 1995). </w:t>
      </w:r>
      <w:r w:rsidRPr="00B62569">
        <w:rPr>
          <w:rFonts w:eastAsia="Times New Roman"/>
          <w:color w:val="222222"/>
          <w:shd w:val="clear" w:color="auto" w:fill="FFFFFF"/>
        </w:rPr>
        <w:t xml:space="preserve">It explains </w:t>
      </w:r>
      <w:r>
        <w:rPr>
          <w:rFonts w:eastAsia="Times New Roman"/>
          <w:color w:val="222222"/>
          <w:shd w:val="clear" w:color="auto" w:fill="FFFFFF"/>
        </w:rPr>
        <w:t xml:space="preserve">the way in which </w:t>
      </w:r>
      <w:r w:rsidRPr="00B62569">
        <w:rPr>
          <w:rFonts w:eastAsia="Times New Roman"/>
          <w:color w:val="222222"/>
          <w:shd w:val="clear" w:color="auto" w:fill="FFFFFF"/>
        </w:rPr>
        <w:t>individuals, groups, organizations interact, constru</w:t>
      </w:r>
      <w:r>
        <w:rPr>
          <w:rFonts w:eastAsia="Times New Roman"/>
          <w:color w:val="222222"/>
          <w:shd w:val="clear" w:color="auto" w:fill="FFFFFF"/>
        </w:rPr>
        <w:t>e</w:t>
      </w:r>
      <w:r w:rsidRPr="00B62569">
        <w:rPr>
          <w:rFonts w:eastAsia="Times New Roman"/>
          <w:color w:val="222222"/>
          <w:shd w:val="clear" w:color="auto" w:fill="FFFFFF"/>
        </w:rPr>
        <w:t xml:space="preserve"> meaning, and coordinate action to </w:t>
      </w:r>
      <w:r>
        <w:rPr>
          <w:rFonts w:eastAsia="Times New Roman"/>
          <w:color w:val="222222"/>
          <w:shd w:val="clear" w:color="auto" w:fill="FFFFFF"/>
        </w:rPr>
        <w:t xml:space="preserve">effect </w:t>
      </w:r>
      <w:r w:rsidRPr="00B62569">
        <w:rPr>
          <w:rFonts w:eastAsia="Times New Roman"/>
          <w:color w:val="222222"/>
          <w:shd w:val="clear" w:color="auto" w:fill="FFFFFF"/>
        </w:rPr>
        <w:t xml:space="preserve">change. </w:t>
      </w:r>
    </w:p>
    <w:p w14:paraId="59E995F0" w14:textId="77777777" w:rsidR="00173D38" w:rsidRDefault="00A72D34" w:rsidP="00173D38">
      <w:pPr>
        <w:rPr>
          <w:color w:val="222222"/>
        </w:rPr>
      </w:pPr>
      <w:r w:rsidRPr="00B62569">
        <w:rPr>
          <w:color w:val="222222"/>
        </w:rPr>
        <w:t xml:space="preserve">According to </w:t>
      </w:r>
      <w:r>
        <w:rPr>
          <w:color w:val="222222"/>
        </w:rPr>
        <w:t xml:space="preserve">Steve </w:t>
      </w:r>
      <w:r w:rsidRPr="00B62569">
        <w:rPr>
          <w:color w:val="222222"/>
        </w:rPr>
        <w:t>Torrance</w:t>
      </w:r>
      <w:r>
        <w:rPr>
          <w:color w:val="222222"/>
        </w:rPr>
        <w:t xml:space="preserve"> and Tom Froese’s (2011) </w:t>
      </w:r>
      <w:r w:rsidRPr="00B62569">
        <w:rPr>
          <w:color w:val="222222"/>
        </w:rPr>
        <w:t>theory</w:t>
      </w:r>
      <w:r>
        <w:rPr>
          <w:color w:val="222222"/>
        </w:rPr>
        <w:t xml:space="preserve"> of inter-enactivism, i</w:t>
      </w:r>
      <w:r w:rsidRPr="00B62569">
        <w:rPr>
          <w:color w:val="222222"/>
        </w:rPr>
        <w:t>ndividuals, groups, and systems are self-regulating (autopoietic) entities capable of adapting to and changing their environment</w:t>
      </w:r>
      <w:r>
        <w:rPr>
          <w:color w:val="222222"/>
        </w:rPr>
        <w:t xml:space="preserve"> (examples include</w:t>
      </w:r>
      <w:r w:rsidRPr="00B62569">
        <w:rPr>
          <w:color w:val="222222"/>
        </w:rPr>
        <w:t xml:space="preserve"> climate change</w:t>
      </w:r>
      <w:r>
        <w:rPr>
          <w:color w:val="222222"/>
        </w:rPr>
        <w:t xml:space="preserve"> and </w:t>
      </w:r>
      <w:r w:rsidRPr="00B62569">
        <w:rPr>
          <w:color w:val="222222"/>
        </w:rPr>
        <w:t>cultur</w:t>
      </w:r>
      <w:r>
        <w:rPr>
          <w:color w:val="222222"/>
        </w:rPr>
        <w:t>al</w:t>
      </w:r>
      <w:r w:rsidRPr="00B62569">
        <w:rPr>
          <w:color w:val="222222"/>
        </w:rPr>
        <w:t xml:space="preserve"> change</w:t>
      </w:r>
      <w:r>
        <w:rPr>
          <w:color w:val="222222"/>
        </w:rPr>
        <w:t>), who,</w:t>
      </w:r>
      <w:r w:rsidRPr="00B62569">
        <w:rPr>
          <w:color w:val="222222"/>
        </w:rPr>
        <w:t xml:space="preserve"> </w:t>
      </w:r>
      <w:r>
        <w:rPr>
          <w:color w:val="222222"/>
        </w:rPr>
        <w:t>t</w:t>
      </w:r>
      <w:r w:rsidRPr="00B62569">
        <w:rPr>
          <w:color w:val="222222"/>
        </w:rPr>
        <w:t>hrough interaction</w:t>
      </w:r>
      <w:r>
        <w:rPr>
          <w:color w:val="222222"/>
        </w:rPr>
        <w:t>,</w:t>
      </w:r>
      <w:r w:rsidRPr="00B62569">
        <w:rPr>
          <w:color w:val="222222"/>
        </w:rPr>
        <w:t xml:space="preserve"> configure and reconfigure relationships, construct and diffuse information and knowledge, and enact and embed new meaning and patterns of behavior</w:t>
      </w:r>
      <w:r>
        <w:rPr>
          <w:color w:val="222222"/>
        </w:rPr>
        <w:t xml:space="preserve">, also </w:t>
      </w:r>
      <w:r w:rsidRPr="00B62569">
        <w:rPr>
          <w:color w:val="222222"/>
        </w:rPr>
        <w:t>increas</w:t>
      </w:r>
      <w:r>
        <w:rPr>
          <w:color w:val="222222"/>
        </w:rPr>
        <w:t>ing</w:t>
      </w:r>
      <w:r w:rsidRPr="00B62569">
        <w:rPr>
          <w:color w:val="222222"/>
        </w:rPr>
        <w:t xml:space="preserve"> existential awareness </w:t>
      </w:r>
      <w:r>
        <w:rPr>
          <w:color w:val="222222"/>
        </w:rPr>
        <w:t xml:space="preserve">about </w:t>
      </w:r>
      <w:r w:rsidRPr="00B62569">
        <w:rPr>
          <w:color w:val="222222"/>
        </w:rPr>
        <w:t>themselves and the world</w:t>
      </w:r>
      <w:r>
        <w:rPr>
          <w:color w:val="222222"/>
        </w:rPr>
        <w:t xml:space="preserve"> around them</w:t>
      </w:r>
      <w:r w:rsidRPr="00B62569">
        <w:rPr>
          <w:color w:val="222222"/>
        </w:rPr>
        <w:t xml:space="preserve">. </w:t>
      </w:r>
    </w:p>
    <w:p w14:paraId="7CC2476D" w14:textId="494DA062" w:rsidR="00A72D34" w:rsidRDefault="00A72D34" w:rsidP="00A72D34">
      <w:r>
        <w:rPr>
          <w:color w:val="222222"/>
        </w:rPr>
        <w:t xml:space="preserve">The implications of this idea of </w:t>
      </w:r>
      <w:r w:rsidR="00173D38">
        <w:rPr>
          <w:color w:val="222222"/>
        </w:rPr>
        <w:t xml:space="preserve">“being in the world” is </w:t>
      </w:r>
      <w:r>
        <w:rPr>
          <w:color w:val="222222"/>
        </w:rPr>
        <w:t>expanded</w:t>
      </w:r>
      <w:r w:rsidR="00173D38">
        <w:rPr>
          <w:color w:val="222222"/>
        </w:rPr>
        <w:t xml:space="preserve"> upon</w:t>
      </w:r>
      <w:r w:rsidR="00B56324">
        <w:rPr>
          <w:color w:val="222222"/>
        </w:rPr>
        <w:t xml:space="preserve"> by</w:t>
      </w:r>
      <w:r w:rsidR="00173D38">
        <w:rPr>
          <w:color w:val="222222"/>
        </w:rPr>
        <w:t xml:space="preserve"> </w:t>
      </w:r>
      <w:r>
        <w:t>Greenwood and Levin</w:t>
      </w:r>
      <w:r w:rsidR="00487CC4">
        <w:t xml:space="preserve"> (2007b)</w:t>
      </w:r>
      <w:r>
        <w:t>:</w:t>
      </w:r>
      <w:r w:rsidRPr="00B62569">
        <w:t xml:space="preserve"> </w:t>
      </w:r>
    </w:p>
    <w:p w14:paraId="443B2E23" w14:textId="30E4F075" w:rsidR="00A72D34" w:rsidRDefault="00A72D34" w:rsidP="00A72D34">
      <w:pPr>
        <w:pStyle w:val="Quotes"/>
      </w:pPr>
      <w:r w:rsidRPr="00B62569">
        <w:t>In our view, the essence of the democr</w:t>
      </w:r>
      <w:r w:rsidR="00173D38">
        <w:t>atic process is</w:t>
      </w:r>
      <w:r w:rsidRPr="00B62569">
        <w:t xml:space="preserve"> the co-generation of knowledge</w:t>
      </w:r>
      <w:r>
        <w:t xml:space="preserve"> . . . </w:t>
      </w:r>
      <w:r w:rsidRPr="00B62569">
        <w:t>collective knowledge generation processes built on active and practical experimentation aimed at solving pertinent problems</w:t>
      </w:r>
      <w:r>
        <w:t xml:space="preserve"> . . . T</w:t>
      </w:r>
      <w:r w:rsidRPr="00B62569">
        <w:t xml:space="preserve">his grounding of </w:t>
      </w:r>
      <w:r>
        <w:t>sensemaking</w:t>
      </w:r>
      <w:r w:rsidRPr="00B62569">
        <w:t xml:space="preserve"> in context and practical choices creates the possibility of overcoming </w:t>
      </w:r>
      <w:r>
        <w:t>“</w:t>
      </w:r>
      <w:r w:rsidRPr="00B62569">
        <w:t>the hegemony of the ruling class</w:t>
      </w:r>
      <w:r>
        <w:t xml:space="preserve">” . . . </w:t>
      </w:r>
      <w:r w:rsidRPr="00B62569">
        <w:t>AR makes some small but significant inroads by creating processes that give rise to knowledge and action designs that are authentically in accord with a broad array of stakeholders’ interests</w:t>
      </w:r>
      <w:r>
        <w:t xml:space="preserve"> . . . T</w:t>
      </w:r>
      <w:r w:rsidRPr="00B62569">
        <w:t>he co-generating knowledge creation processes of AR are a promising way of supporting democracy (p.</w:t>
      </w:r>
      <w:r>
        <w:t xml:space="preserve"> </w:t>
      </w:r>
      <w:r w:rsidRPr="00B62569">
        <w:t xml:space="preserve">265). </w:t>
      </w:r>
    </w:p>
    <w:p w14:paraId="2D65D333" w14:textId="7566C966" w:rsidR="00A72D34" w:rsidRPr="00B62569" w:rsidRDefault="00A72D34" w:rsidP="00A72D34">
      <w:pPr>
        <w:rPr>
          <w:color w:val="222222"/>
        </w:rPr>
      </w:pPr>
      <w:r w:rsidRPr="00B62569">
        <w:t>AR</w:t>
      </w:r>
      <w:r>
        <w:t>, therefore,</w:t>
      </w:r>
      <w:r w:rsidRPr="00B62569">
        <w:t xml:space="preserve"> </w:t>
      </w:r>
      <w:r>
        <w:t>comprises more than a framework of</w:t>
      </w:r>
      <w:r w:rsidRPr="00B62569">
        <w:t xml:space="preserve"> converging</w:t>
      </w:r>
      <w:r>
        <w:t xml:space="preserve"> theories (appreciative inquiry, semiotics,</w:t>
      </w:r>
      <w:r w:rsidRPr="00B62569">
        <w:t xml:space="preserve"> scientific method, </w:t>
      </w:r>
      <w:r>
        <w:t>and actor-network theory) and mixed</w:t>
      </w:r>
      <w:r w:rsidRPr="00B62569">
        <w:t xml:space="preserve"> methods</w:t>
      </w:r>
      <w:r>
        <w:t xml:space="preserve"> of research (qualitative and quantita</w:t>
      </w:r>
      <w:r w:rsidR="00B56324">
        <w:t xml:space="preserve">tive). It also consists of several </w:t>
      </w:r>
      <w:r w:rsidR="00173D38">
        <w:t xml:space="preserve">methods for </w:t>
      </w:r>
      <w:r>
        <w:lastRenderedPageBreak/>
        <w:t xml:space="preserve">logical inference (abduction, induction, </w:t>
      </w:r>
      <w:r w:rsidR="00173D38">
        <w:t xml:space="preserve">retroduction, and deduction), which can result in a </w:t>
      </w:r>
      <w:r w:rsidRPr="00B62569">
        <w:t>grounded theory</w:t>
      </w:r>
      <w:r w:rsidR="00173D38">
        <w:t xml:space="preserve">, and new knowledge which when evaluated and tested can lead to successful innovation. </w:t>
      </w:r>
    </w:p>
    <w:p w14:paraId="1966FD90" w14:textId="6441634E" w:rsidR="00A72D34" w:rsidRPr="00463103" w:rsidRDefault="00497460" w:rsidP="00A72D34">
      <w:r>
        <w:t xml:space="preserve">The AR </w:t>
      </w:r>
      <w:r w:rsidR="00A72D34">
        <w:t>process has significant implications for</w:t>
      </w:r>
      <w:r w:rsidR="00173D38">
        <w:t xml:space="preserve"> federally funded labs and</w:t>
      </w:r>
      <w:r w:rsidR="00B715BC">
        <w:t xml:space="preserve"> universities. If researchers and stakeholders from government, and industry could work together with customers to</w:t>
      </w:r>
      <w:r w:rsidR="00A72D34">
        <w:t xml:space="preserve"> integrate their knowledge and experience to const</w:t>
      </w:r>
      <w:r w:rsidR="00B715BC">
        <w:t>ruct and enact grounded theories</w:t>
      </w:r>
      <w:r w:rsidR="00A72D34">
        <w:t xml:space="preserve"> of action, it would</w:t>
      </w:r>
      <w:r w:rsidR="00B715BC">
        <w:t xml:space="preserve"> not only</w:t>
      </w:r>
      <w:r w:rsidR="00A72D34">
        <w:t xml:space="preserve"> facilitate</w:t>
      </w:r>
      <w:r w:rsidR="00B715BC">
        <w:t xml:space="preserve"> interdisciplinary knowledge but also</w:t>
      </w:r>
      <w:r w:rsidR="00A72D34">
        <w:t xml:space="preserve"> open</w:t>
      </w:r>
      <w:r w:rsidR="00B715BC">
        <w:t xml:space="preserve"> new avenues to invention and innovation. In other words, the</w:t>
      </w:r>
      <w:r w:rsidR="00A72D34">
        <w:t xml:space="preserve"> fusion of different perspectives, in which, new meaning is cons</w:t>
      </w:r>
      <w:r w:rsidR="00B715BC">
        <w:t>trued and action is coordinated would result in greater research productivity, technology transfer, and increased ROI and sustainability for all parties</w:t>
      </w:r>
      <w:r w:rsidR="00A72D34">
        <w:t xml:space="preserve">. </w:t>
      </w:r>
    </w:p>
    <w:p w14:paraId="6F107E21" w14:textId="19452DCC" w:rsidR="00A72D34" w:rsidRDefault="00B715BC" w:rsidP="00A72D34">
      <w:r>
        <w:t>This approach to</w:t>
      </w:r>
      <w:r w:rsidR="00A72D34">
        <w:t xml:space="preserve"> innovation </w:t>
      </w:r>
      <w:r w:rsidR="00A72D34" w:rsidRPr="0071675B">
        <w:t>not o</w:t>
      </w:r>
      <w:r w:rsidR="00A72D34">
        <w:t>nly serves to integrate different</w:t>
      </w:r>
      <w:r w:rsidR="00A72D34" w:rsidRPr="0071675B">
        <w:t xml:space="preserve"> schools of thought</w:t>
      </w:r>
      <w:r w:rsidR="00A72D34">
        <w:t>,</w:t>
      </w:r>
      <w:r w:rsidR="00A72D34" w:rsidRPr="0071675B">
        <w:t xml:space="preserve"> </w:t>
      </w:r>
      <w:r w:rsidR="00A72D34">
        <w:t>it also suggests new opportunities, avenues, and benefits for</w:t>
      </w:r>
      <w:r>
        <w:t xml:space="preserve"> funding</w:t>
      </w:r>
      <w:r w:rsidR="00A72D34">
        <w:t xml:space="preserve"> res</w:t>
      </w:r>
      <w:r>
        <w:t>earch and technology transfer</w:t>
      </w:r>
      <w:r w:rsidR="00A72D34">
        <w:t xml:space="preserve">. </w:t>
      </w:r>
      <w:r w:rsidR="00A72D34" w:rsidRPr="0071675B">
        <w:t xml:space="preserve">It also </w:t>
      </w:r>
      <w:r w:rsidR="00A72D34">
        <w:t xml:space="preserve">offers </w:t>
      </w:r>
      <w:r w:rsidR="00A72D34" w:rsidRPr="0071675B">
        <w:t>a clearer un</w:t>
      </w:r>
      <w:r w:rsidR="00A72D34">
        <w:t>derstanding of what innovation</w:t>
      </w:r>
      <w:r w:rsidR="00A72D34" w:rsidRPr="0071675B">
        <w:t xml:space="preserve"> is, how it is measured</w:t>
      </w:r>
      <w:r w:rsidR="00A72D34">
        <w:t>,</w:t>
      </w:r>
      <w:r w:rsidR="00A72D34" w:rsidRPr="0071675B">
        <w:t xml:space="preserve"> and how it </w:t>
      </w:r>
      <w:r w:rsidR="00A72D34">
        <w:t xml:space="preserve">can </w:t>
      </w:r>
      <w:r w:rsidR="00A72D34" w:rsidRPr="0071675B">
        <w:t xml:space="preserve">be increased. This should </w:t>
      </w:r>
      <w:r w:rsidR="00A72D34">
        <w:t>offer a firmer foundation to enhance the return on rese</w:t>
      </w:r>
      <w:r>
        <w:t>arch funding</w:t>
      </w:r>
      <w:r w:rsidR="00A72D34">
        <w:t xml:space="preserve">. </w:t>
      </w:r>
    </w:p>
    <w:p w14:paraId="36F548C4" w14:textId="77777777" w:rsidR="00A72D34" w:rsidRPr="00463103" w:rsidRDefault="00A72D34" w:rsidP="00A72D34">
      <w:pPr>
        <w:pStyle w:val="Heading2"/>
      </w:pPr>
      <w:bookmarkStart w:id="10" w:name="_Toc519357710"/>
      <w:bookmarkStart w:id="11" w:name="_Toc393438649"/>
      <w:r>
        <w:t>Implications for Leaders</w:t>
      </w:r>
      <w:bookmarkEnd w:id="10"/>
      <w:bookmarkEnd w:id="11"/>
    </w:p>
    <w:p w14:paraId="7AF557BF" w14:textId="48B7BD59" w:rsidR="00A72D34" w:rsidRPr="00463103" w:rsidRDefault="00A72D34" w:rsidP="00A72D34">
      <w:r w:rsidRPr="00463103">
        <w:t>From the persp</w:t>
      </w:r>
      <w:r>
        <w:t>ective of soci</w:t>
      </w:r>
      <w:r w:rsidR="002B371F">
        <w:t>al systems theory (Luhmann, 1996</w:t>
      </w:r>
      <w:r>
        <w:t>)</w:t>
      </w:r>
      <w:r w:rsidRPr="00463103">
        <w:t>, a university is a complex, dynamic, adaptive system embedded within other interrelating, composite, adaptive systems. Research universities must map themselves to a systems paradigm</w:t>
      </w:r>
      <w:r>
        <w:t>,</w:t>
      </w:r>
      <w:r w:rsidRPr="00463103">
        <w:t xml:space="preserve"> if they wish to be relevant and develop as cultures of innovation. A one-dimensiona</w:t>
      </w:r>
      <w:r w:rsidR="00E33FD4">
        <w:t>l epistemology based only on the traditional scientific method</w:t>
      </w:r>
      <w:r w:rsidRPr="00463103">
        <w:t xml:space="preserve"> is too limited to be adaptive in the emerging world culture. Universities must </w:t>
      </w:r>
      <w:r>
        <w:t xml:space="preserve">begin </w:t>
      </w:r>
      <w:r w:rsidRPr="00463103">
        <w:t xml:space="preserve">to </w:t>
      </w:r>
      <w:r>
        <w:t xml:space="preserve">perceive </w:t>
      </w:r>
      <w:r w:rsidRPr="00463103">
        <w:t xml:space="preserve">themselves as adaptive </w:t>
      </w:r>
      <w:r w:rsidRPr="00463103">
        <w:lastRenderedPageBreak/>
        <w:t xml:space="preserve">systems that </w:t>
      </w:r>
      <w:r>
        <w:t>respond to</w:t>
      </w:r>
      <w:r w:rsidRPr="00463103">
        <w:t xml:space="preserve"> complexity with complexity </w:t>
      </w:r>
      <w:r>
        <w:t xml:space="preserve">and </w:t>
      </w:r>
      <w:r w:rsidRPr="00463103">
        <w:t>change with change. Leaders in higher education</w:t>
      </w:r>
      <w:r w:rsidR="00E33FD4">
        <w:t xml:space="preserve"> and government</w:t>
      </w:r>
      <w:r w:rsidRPr="00463103">
        <w:t xml:space="preserve"> are uniquely positioned to help stakeholders of all kinds</w:t>
      </w:r>
      <w:r w:rsidR="00E33FD4">
        <w:t xml:space="preserve"> to consider the world and their place in it</w:t>
      </w:r>
      <w:r w:rsidRPr="00463103">
        <w:t xml:space="preserve"> through many different lenses, based on multiple ontologies, </w:t>
      </w:r>
      <w:r>
        <w:t xml:space="preserve">epistemologies, </w:t>
      </w:r>
      <w:r w:rsidRPr="00463103">
        <w:t>methodologies</w:t>
      </w:r>
      <w:r>
        <w:t>, and values</w:t>
      </w:r>
      <w:r w:rsidRPr="00463103">
        <w:t>. W</w:t>
      </w:r>
      <w:r>
        <w:t>ithout such a perspective, it is difficult to</w:t>
      </w:r>
      <w:r w:rsidR="00E33FD4">
        <w:t xml:space="preserve"> build support for innovation and technology transfer</w:t>
      </w:r>
      <w:r>
        <w:t xml:space="preserve">. </w:t>
      </w:r>
    </w:p>
    <w:p w14:paraId="313444B5" w14:textId="051DC848" w:rsidR="00A72D34" w:rsidRDefault="00A72D34" w:rsidP="00E33FD4">
      <w:pPr>
        <w:pStyle w:val="Figure"/>
        <w:sectPr w:rsidR="00A72D34" w:rsidSect="0067798F">
          <w:headerReference w:type="even" r:id="rId14"/>
          <w:headerReference w:type="default" r:id="rId15"/>
          <w:footerReference w:type="default" r:id="rId16"/>
          <w:pgSz w:w="12240" w:h="15840"/>
          <w:pgMar w:top="1440" w:right="1800" w:bottom="1440" w:left="1800" w:header="720" w:footer="720" w:gutter="0"/>
          <w:cols w:space="720"/>
          <w:docGrid w:linePitch="360"/>
        </w:sectPr>
      </w:pPr>
      <w:r w:rsidRPr="00463103">
        <w:t xml:space="preserve">The way in which R&amp;D </w:t>
      </w:r>
      <w:r>
        <w:t>and commercialization are</w:t>
      </w:r>
      <w:r w:rsidRPr="00463103">
        <w:t xml:space="preserve"> </w:t>
      </w:r>
      <w:r>
        <w:t xml:space="preserve">realized </w:t>
      </w:r>
      <w:r w:rsidRPr="00463103">
        <w:t>determines the succes</w:t>
      </w:r>
      <w:r>
        <w:t xml:space="preserve">s of innovation. It </w:t>
      </w:r>
      <w:r w:rsidRPr="00463103">
        <w:t>shapes the culture and context of the organizatio</w:t>
      </w:r>
      <w:r>
        <w:t>ns and networks themselves: a</w:t>
      </w:r>
      <w:r w:rsidRPr="00463103">
        <w:t>s they act and shape the culture, they are acted upon a</w:t>
      </w:r>
      <w:r>
        <w:t>nd shaped by the culture</w:t>
      </w:r>
      <w:r w:rsidRPr="00463103">
        <w:t xml:space="preserve">. A university can create a culture of innovation by initiating and supporting the use of action research </w:t>
      </w:r>
      <w:r>
        <w:t>and converging models and mixed research methods</w:t>
      </w:r>
      <w:r w:rsidRPr="00463103">
        <w:t xml:space="preserve"> by engaging </w:t>
      </w:r>
      <w:r>
        <w:t xml:space="preserve">the maximum possible number of </w:t>
      </w:r>
      <w:r w:rsidRPr="00463103">
        <w:t xml:space="preserve">people within the culture. The humanities (meaning-making disciplines), sciences (evidence-based disciplines), and social sciences </w:t>
      </w:r>
      <w:r w:rsidR="00E33FD4">
        <w:t>(relationship-based disciplines)</w:t>
      </w:r>
      <w:r w:rsidR="00E33FD4" w:rsidRPr="00E33FD4">
        <w:t xml:space="preserve"> </w:t>
      </w:r>
      <w:r w:rsidR="00E33FD4">
        <w:t>must work together to meet future challenges.</w:t>
      </w:r>
      <w:r w:rsidR="00E33FD4" w:rsidRPr="00A72D34">
        <w:t xml:space="preserve"> </w:t>
      </w:r>
      <w:r w:rsidR="00E33FD4">
        <w:t>The interdependence of these fields within the AR approach is has been depicted in Figure 2.</w:t>
      </w:r>
    </w:p>
    <w:p w14:paraId="57E89F6A" w14:textId="597740D8" w:rsidR="00A72D34" w:rsidRDefault="00A72D34" w:rsidP="00E33FD4">
      <w:pPr>
        <w:sectPr w:rsidR="00A72D34" w:rsidSect="00A72D34">
          <w:type w:val="continuous"/>
          <w:pgSz w:w="12240" w:h="15840"/>
          <w:pgMar w:top="1440" w:right="1800" w:bottom="1440" w:left="1800" w:header="720" w:footer="720" w:gutter="0"/>
          <w:cols w:space="720"/>
          <w:docGrid w:linePitch="360"/>
        </w:sectPr>
      </w:pPr>
      <w:r w:rsidRPr="0011167E">
        <w:rPr>
          <w:noProof/>
        </w:rPr>
        <w:drawing>
          <wp:anchor distT="0" distB="0" distL="114300" distR="114300" simplePos="0" relativeHeight="251659264" behindDoc="0" locked="0" layoutInCell="1" allowOverlap="1" wp14:anchorId="1542247A" wp14:editId="4B1BFD29">
            <wp:simplePos x="0" y="0"/>
            <wp:positionH relativeFrom="column">
              <wp:posOffset>342900</wp:posOffset>
            </wp:positionH>
            <wp:positionV relativeFrom="paragraph">
              <wp:posOffset>229235</wp:posOffset>
            </wp:positionV>
            <wp:extent cx="4542790" cy="2286000"/>
            <wp:effectExtent l="0" t="0" r="0" b="0"/>
            <wp:wrapTopAndBottom/>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14:sizeRelH relativeFrom="margin">
              <wp14:pctWidth>0</wp14:pctWidth>
            </wp14:sizeRelH>
            <wp14:sizeRelV relativeFrom="margin">
              <wp14:pctHeight>0</wp14:pctHeight>
            </wp14:sizeRelV>
          </wp:anchor>
        </w:drawing>
      </w:r>
    </w:p>
    <w:p w14:paraId="2A8E0DE8" w14:textId="62991F56" w:rsidR="00A72D34" w:rsidRDefault="00A72D34" w:rsidP="00A72D34">
      <w:pPr>
        <w:spacing w:line="240" w:lineRule="auto"/>
        <w:ind w:firstLine="0"/>
      </w:pPr>
    </w:p>
    <w:p w14:paraId="26B84BA8" w14:textId="492AF494" w:rsidR="00A72D34" w:rsidRDefault="00E33FD4" w:rsidP="00A72D34">
      <w:pPr>
        <w:spacing w:line="240" w:lineRule="auto"/>
        <w:ind w:firstLine="0"/>
      </w:pPr>
      <w:r w:rsidRPr="00025EED">
        <w:rPr>
          <w:i/>
        </w:rPr>
        <w:t xml:space="preserve">Figure </w:t>
      </w:r>
      <w:r>
        <w:rPr>
          <w:i/>
        </w:rPr>
        <w:t>2</w:t>
      </w:r>
      <w:r w:rsidRPr="00025EED">
        <w:t>. Action research and experiential learning across disciplines (Warzynski,</w:t>
      </w:r>
      <w:r w:rsidR="00487CC4">
        <w:t xml:space="preserve"> </w:t>
      </w:r>
      <w:r w:rsidR="003A16F0">
        <w:t xml:space="preserve">2003; </w:t>
      </w:r>
      <w:r w:rsidR="00487CC4">
        <w:t>2018</w:t>
      </w:r>
      <w:r>
        <w:t>)</w:t>
      </w:r>
      <w:r w:rsidR="003A16F0">
        <w:t>.</w:t>
      </w:r>
    </w:p>
    <w:p w14:paraId="5C4FB80F" w14:textId="77777777" w:rsidR="003A16F0" w:rsidRDefault="003A16F0" w:rsidP="00A72D34">
      <w:pPr>
        <w:spacing w:line="240" w:lineRule="auto"/>
        <w:ind w:firstLine="0"/>
      </w:pPr>
    </w:p>
    <w:p w14:paraId="4EC726DE" w14:textId="77777777" w:rsidR="003A16F0" w:rsidRPr="00025EED" w:rsidRDefault="003A16F0" w:rsidP="00A72D34">
      <w:pPr>
        <w:spacing w:line="240" w:lineRule="auto"/>
        <w:ind w:firstLine="0"/>
      </w:pPr>
    </w:p>
    <w:p w14:paraId="66F36404" w14:textId="2522A58A" w:rsidR="00A72D34" w:rsidRPr="00C56FC6" w:rsidRDefault="00A72D34" w:rsidP="00A72D34">
      <w:r>
        <w:t>The b</w:t>
      </w:r>
      <w:r w:rsidRPr="00463103">
        <w:t>roader implications of relational AR for higher education</w:t>
      </w:r>
      <w:r w:rsidR="00E33FD4">
        <w:t xml:space="preserve"> and government</w:t>
      </w:r>
      <w:r w:rsidRPr="00463103">
        <w:t xml:space="preserve"> are </w:t>
      </w:r>
      <w:r>
        <w:t>numerous</w:t>
      </w:r>
      <w:r w:rsidRPr="00463103">
        <w:t>. Relational research</w:t>
      </w:r>
      <w:r>
        <w:t xml:space="preserve"> entails</w:t>
      </w:r>
      <w:r w:rsidRPr="00463103">
        <w:t xml:space="preserve"> more than a set of research methods to </w:t>
      </w:r>
      <w:r>
        <w:t xml:space="preserve">collect </w:t>
      </w:r>
      <w:r w:rsidRPr="00463103">
        <w:t xml:space="preserve">data and answer research questions. It is also a powerful </w:t>
      </w:r>
      <w:r>
        <w:t>leadership strategy that can become</w:t>
      </w:r>
      <w:r w:rsidRPr="00463103">
        <w:t xml:space="preserve"> a way of </w:t>
      </w:r>
      <w:r w:rsidRPr="00025EED">
        <w:t>being</w:t>
      </w:r>
      <w:r>
        <w:t xml:space="preserve"> in relationships</w:t>
      </w:r>
      <w:r w:rsidRPr="00463103">
        <w:t xml:space="preserve">. AR is a way for leaders to relate to the stakeholders consistently and in a </w:t>
      </w:r>
      <w:r>
        <w:t>continuous manner</w:t>
      </w:r>
      <w:r w:rsidRPr="00463103">
        <w:t>. Stakeholders are not elements to be used but respected memb</w:t>
      </w:r>
      <w:r>
        <w:t>ers of the culture and society in which they reside</w:t>
      </w:r>
      <w:r w:rsidRPr="00463103">
        <w:t xml:space="preserve">. </w:t>
      </w:r>
      <w:r>
        <w:t>Essentially</w:t>
      </w:r>
      <w:r w:rsidRPr="00463103">
        <w:t xml:space="preserve">, so-called “applications of relational research” take on new </w:t>
      </w:r>
      <w:r>
        <w:t>significance</w:t>
      </w:r>
      <w:r w:rsidRPr="00463103">
        <w:t xml:space="preserve">. Relational research means finding ways to work across cultures and disciplines, thereby developing theories for innovation grounded in the values and perspectives of the people within the culture that wants to resolve its conflicts. It also means developing productive relationships between political parties, building social institutions to solve social problems stemming from poverty, using AR to improve education, health care, and living conditions in general. </w:t>
      </w:r>
    </w:p>
    <w:p w14:paraId="2250E2A5" w14:textId="73520841" w:rsidR="00A72D34" w:rsidRPr="005912EB" w:rsidRDefault="00A72D34" w:rsidP="00A72D34">
      <w:r>
        <w:t xml:space="preserve">Important stalwarts in the domain of relational research, </w:t>
      </w:r>
      <w:r w:rsidRPr="005912EB">
        <w:t>Davydd Gr</w:t>
      </w:r>
      <w:r>
        <w:t>eenwood and Morten Levin have been trying for nearly 30</w:t>
      </w:r>
      <w:r w:rsidRPr="005912EB">
        <w:t xml:space="preserve"> years to </w:t>
      </w:r>
      <w:r>
        <w:t xml:space="preserve">convey </w:t>
      </w:r>
      <w:r w:rsidRPr="005912EB">
        <w:t>this message to leaders in higher education</w:t>
      </w:r>
      <w:r>
        <w:t xml:space="preserve"> (Greenwood &amp; Levin, 2000; 2001; 2005; 2007</w:t>
      </w:r>
      <w:r w:rsidR="00487CC4">
        <w:t>a; 2007b</w:t>
      </w:r>
      <w:r>
        <w:t>; 2008</w:t>
      </w:r>
      <w:r w:rsidR="00487CC4">
        <w:t>; 2012</w:t>
      </w:r>
      <w:r>
        <w:t>)</w:t>
      </w:r>
      <w:r w:rsidRPr="005912EB">
        <w:t xml:space="preserve">. Action research </w:t>
      </w:r>
      <w:r>
        <w:t xml:space="preserve">comprises </w:t>
      </w:r>
      <w:r w:rsidRPr="005912EB">
        <w:t xml:space="preserve">a disciplined way </w:t>
      </w:r>
      <w:r>
        <w:t xml:space="preserve">to </w:t>
      </w:r>
      <w:r w:rsidRPr="005912EB">
        <w:t xml:space="preserve">develop valid knowledge and theory while promoting positive social change. The dialogical model of explanation underlying action research </w:t>
      </w:r>
      <w:r>
        <w:t xml:space="preserve">forms </w:t>
      </w:r>
      <w:r w:rsidRPr="005912EB">
        <w:t>the basis for knowledge development and understanding by a commun</w:t>
      </w:r>
      <w:r>
        <w:t>ity of scholars. It</w:t>
      </w:r>
      <w:r w:rsidRPr="005912EB">
        <w:t xml:space="preserve"> should b</w:t>
      </w:r>
      <w:r>
        <w:t>e at the center of R&amp;D</w:t>
      </w:r>
      <w:r w:rsidRPr="005912EB">
        <w:t xml:space="preserve"> efforts in which the users (governments, social service agencies, corporations large and small, communities, </w:t>
      </w:r>
      <w:r w:rsidRPr="005912EB">
        <w:lastRenderedPageBreak/>
        <w:t>nongovernmental organizati</w:t>
      </w:r>
      <w:r>
        <w:t xml:space="preserve">ons, and so on) have a </w:t>
      </w:r>
      <w:r w:rsidRPr="005912EB">
        <w:t>stake in the problems under study</w:t>
      </w:r>
      <w:r>
        <w:t xml:space="preserve"> and work as partners to bring about innovation. In this regar</w:t>
      </w:r>
      <w:r w:rsidR="00B56324">
        <w:t>d, Greewood and Levin conclude,</w:t>
      </w:r>
    </w:p>
    <w:p w14:paraId="14138AB8" w14:textId="77777777" w:rsidR="00A72D34" w:rsidRPr="005912EB" w:rsidRDefault="00A72D34" w:rsidP="00A72D34">
      <w:pPr>
        <w:pStyle w:val="Quotes"/>
      </w:pPr>
      <w:r>
        <w:t>T</w:t>
      </w:r>
      <w:r w:rsidRPr="005912EB">
        <w:t>he overall challenge</w:t>
      </w:r>
      <w:r>
        <w:t xml:space="preserve"> (is)</w:t>
      </w:r>
      <w:r w:rsidRPr="005912EB">
        <w:t xml:space="preserve"> to democratize research, making the external stakeholders an integral part of the knowledge-generation and evaluation processes. Rather than trying to continue the strategy of claiming that the university is the only social location where competent research is possible, academics would take their skills outside the university to collaborate in broader knowledge-generation and evaluation processes as professional researchers and supporters of collaborative research processes. This is not an entirely new role for universities or academics, but, in our ideal scenario, this role would become the principal one, with autopoetic academic activities reserved for a targeted set of internal university initiatives (2000, p. 103).</w:t>
      </w:r>
    </w:p>
    <w:p w14:paraId="2E46EE4A" w14:textId="2D13A332" w:rsidR="00A72D34" w:rsidRDefault="00A72D34" w:rsidP="00A72D34">
      <w:r w:rsidRPr="00C30167">
        <w:t>In the McKinsey research study, “Leadership in the Context of Emerging Worlds: Illuminating the Blind Spot” (Arthur, 2000), prominent thought leaders from academe and business world stated that the blind spot for most leaders is “in not seeing or understanding the full process of “social reality formation” (p.6) in terms of how experience is cognized, accessed and translated into knowledge and action at the tacit, behavioral, relational, and system levels. They argue for a new methodology – a “distributed leadership phenomenology” that would enable leaders to describe and access relevant experience as it emerges from the tacit and social levels for leadership and innovation</w:t>
      </w:r>
      <w:r w:rsidR="00B56324">
        <w:t>.</w:t>
      </w:r>
      <w:r>
        <w:t xml:space="preserve"> </w:t>
      </w:r>
      <w:r w:rsidRPr="00C30167">
        <w:t>The AR process with converging models and mixed me</w:t>
      </w:r>
      <w:r>
        <w:t>thods used in this case study may be viewed as</w:t>
      </w:r>
      <w:r w:rsidRPr="00C30167">
        <w:t xml:space="preserve"> an imp</w:t>
      </w:r>
      <w:r>
        <w:t>ortant step in that direction (Sidle and Warzynski, 2003)</w:t>
      </w:r>
      <w:r w:rsidRPr="00C30167">
        <w:t>.</w:t>
      </w:r>
    </w:p>
    <w:p w14:paraId="73FB90CC" w14:textId="77777777" w:rsidR="00B56324" w:rsidRDefault="00B56324">
      <w:pPr>
        <w:spacing w:line="240" w:lineRule="auto"/>
        <w:ind w:firstLine="0"/>
        <w:rPr>
          <w:b/>
        </w:rPr>
      </w:pPr>
      <w:r>
        <w:br w:type="page"/>
      </w:r>
    </w:p>
    <w:p w14:paraId="723066F2" w14:textId="6568791F" w:rsidR="00A72D34" w:rsidRPr="007E7389" w:rsidRDefault="00B82DCB" w:rsidP="00A72D34">
      <w:pPr>
        <w:pStyle w:val="Heading2"/>
      </w:pPr>
      <w:r>
        <w:lastRenderedPageBreak/>
        <w:t>Recommendations</w:t>
      </w:r>
    </w:p>
    <w:p w14:paraId="45EA387E" w14:textId="77777777" w:rsidR="00A72D34" w:rsidRDefault="00A72D34" w:rsidP="00A72D34">
      <w:r>
        <w:t xml:space="preserve">In response to the U.S. President’s management agenda, aimed at modernizing the government by shifting federally funded technology to the private sector and reducing the budget for indirect costs, the Commerce Department’s National Institute of Standards and Technology, in conjunction with the White Office of Science and Technology Policy, launched an initiative called </w:t>
      </w:r>
      <w:r w:rsidRPr="00025EED">
        <w:rPr>
          <w:i/>
        </w:rPr>
        <w:t>Unleashing American Innovation</w:t>
      </w:r>
      <w:r>
        <w:t xml:space="preserve"> with the aim to accelerate technology transfer and increase the ROI of research universities and national laboratories. One of their first actions was to issue a Request for Information (RFI) to generate responses from across the national innovation ecosystem. This initiative presents research universities an opportunity to refocus their perspective from one in which they assert for increased research funding in order to respond to a largely contrived innovation crisis, to one which addresses the development of new approaches to increase innovation. This implies that instead of waiting for increases in funding from the public and forcing their already overburdened worked researchers to bring in more funding through grants, they should leverage their considerable talent and infrastructure to meet the challenges society is facing by designing the future.</w:t>
      </w:r>
    </w:p>
    <w:p w14:paraId="458606E0" w14:textId="77777777" w:rsidR="00A72D34" w:rsidRPr="00432C70" w:rsidRDefault="00A72D34" w:rsidP="00A72D34">
      <w:pPr>
        <w:rPr>
          <w:b/>
        </w:rPr>
      </w:pPr>
      <w:r>
        <w:t>AR presents a good way to begin the process to achieve this aim.</w:t>
      </w:r>
      <w:r>
        <w:rPr>
          <w:b/>
        </w:rPr>
        <w:t xml:space="preserve"> </w:t>
      </w:r>
      <w:r w:rsidRPr="00B4632A">
        <w:t>The underlyi</w:t>
      </w:r>
      <w:r>
        <w:t>ng assumption of AR</w:t>
      </w:r>
      <w:r w:rsidRPr="00B4632A">
        <w:t xml:space="preserve"> is that engagement</w:t>
      </w:r>
      <w:r>
        <w:t xml:space="preserve"> and collaboration</w:t>
      </w:r>
      <w:r w:rsidRPr="00B4632A">
        <w:t xml:space="preserve"> with a</w:t>
      </w:r>
      <w:r>
        <w:t xml:space="preserve"> broad range of stakeholders </w:t>
      </w:r>
      <w:r w:rsidRPr="00B4632A">
        <w:t>increases learning, understanding</w:t>
      </w:r>
      <w:r>
        <w:t>,</w:t>
      </w:r>
      <w:r w:rsidRPr="00B4632A">
        <w:t xml:space="preserve"> and commitment, which</w:t>
      </w:r>
      <w:r>
        <w:t>,</w:t>
      </w:r>
      <w:r w:rsidRPr="00B4632A">
        <w:t xml:space="preserve"> in turn</w:t>
      </w:r>
      <w:r>
        <w:t>,</w:t>
      </w:r>
      <w:r w:rsidRPr="00B4632A">
        <w:t xml:space="preserve"> leads to focused action and desired results. The power of AR for</w:t>
      </w:r>
      <w:r>
        <w:t xml:space="preserve"> to engage,</w:t>
      </w:r>
      <w:r w:rsidRPr="00B4632A">
        <w:t xml:space="preserve"> co-generat</w:t>
      </w:r>
      <w:r>
        <w:t>e,</w:t>
      </w:r>
      <w:r w:rsidRPr="00B4632A">
        <w:t xml:space="preserve"> and integrat</w:t>
      </w:r>
      <w:r>
        <w:t>e</w:t>
      </w:r>
      <w:r w:rsidRPr="00B4632A">
        <w:t xml:space="preserve"> the ideas and knowledge of diverse stakeholder</w:t>
      </w:r>
      <w:r>
        <w:t xml:space="preserve"> </w:t>
      </w:r>
      <w:r w:rsidRPr="00B4632A">
        <w:t>groups</w:t>
      </w:r>
      <w:r w:rsidRPr="00B4632A" w:rsidDel="00454698">
        <w:t xml:space="preserve"> </w:t>
      </w:r>
      <w:r w:rsidRPr="00B4632A">
        <w:t>has been demonstrated</w:t>
      </w:r>
      <w:r>
        <w:t xml:space="preserve"> in this case study and throughout its history (Greenwood, 2012). This method involves </w:t>
      </w:r>
      <w:r w:rsidRPr="00B4632A">
        <w:t>integrati</w:t>
      </w:r>
      <w:r>
        <w:t>o</w:t>
      </w:r>
      <w:r w:rsidRPr="00B4632A">
        <w:t>n</w:t>
      </w:r>
      <w:r>
        <w:t>,</w:t>
      </w:r>
      <w:r w:rsidRPr="00B4632A">
        <w:t xml:space="preserve"> bringing together producers and consumers of knowledge </w:t>
      </w:r>
      <w:r>
        <w:t>for</w:t>
      </w:r>
      <w:r w:rsidRPr="00B4632A">
        <w:t xml:space="preserve"> </w:t>
      </w:r>
      <w:r>
        <w:t xml:space="preserve">the process of </w:t>
      </w:r>
      <w:r w:rsidRPr="00B4632A">
        <w:lastRenderedPageBreak/>
        <w:t>open innovation to discover and produce new knowledge and bridge the gap betw</w:t>
      </w:r>
      <w:r>
        <w:t>een different perspectives</w:t>
      </w:r>
      <w:r w:rsidRPr="00B4632A">
        <w:t xml:space="preserve">. </w:t>
      </w:r>
      <w:r>
        <w:t>By</w:t>
      </w:r>
      <w:r w:rsidRPr="00B4632A">
        <w:t xml:space="preserve"> engaging stakeholders in th</w:t>
      </w:r>
      <w:r>
        <w:t>e action research process researchers</w:t>
      </w:r>
      <w:r w:rsidRPr="00B4632A">
        <w:t xml:space="preserve"> </w:t>
      </w:r>
      <w:r>
        <w:t xml:space="preserve">can </w:t>
      </w:r>
      <w:r w:rsidRPr="00B4632A">
        <w:t>develop expl</w:t>
      </w:r>
      <w:r>
        <w:t xml:space="preserve">anations, rationale, and a culture of </w:t>
      </w:r>
      <w:r w:rsidRPr="00B4632A">
        <w:t>decision</w:t>
      </w:r>
      <w:r>
        <w:t>—</w:t>
      </w:r>
      <w:r w:rsidRPr="00B4632A">
        <w:t>making</w:t>
      </w:r>
      <w:r>
        <w:t xml:space="preserve"> that leads to action rather than a litany of never-ending pleas for more resources. A</w:t>
      </w:r>
      <w:r w:rsidRPr="00B4632A">
        <w:t xml:space="preserve">ction research </w:t>
      </w:r>
      <w:r>
        <w:t xml:space="preserve">allows </w:t>
      </w:r>
      <w:r w:rsidRPr="00B4632A">
        <w:t xml:space="preserve">groups </w:t>
      </w:r>
      <w:r>
        <w:t xml:space="preserve">to formulate </w:t>
      </w:r>
      <w:r w:rsidRPr="00B4632A">
        <w:t>theories of a</w:t>
      </w:r>
      <w:r>
        <w:t xml:space="preserve">ction </w:t>
      </w:r>
      <w:r w:rsidRPr="00B4632A">
        <w:t xml:space="preserve">to plan and enact the innovation process. </w:t>
      </w:r>
    </w:p>
    <w:p w14:paraId="41C295B1" w14:textId="77777777" w:rsidR="00A72D34" w:rsidRPr="00B4632A" w:rsidRDefault="00A72D34" w:rsidP="00A72D34">
      <w:r>
        <w:t xml:space="preserve">To redesign and re-energize the innovation system in universities, distributed leadership and collective action is required. Institutional change in a research enterprise cannot be introduced through force or mandates from senior leaders. It needs to be founded in collective empowerment and action of the entire community. </w:t>
      </w:r>
      <w:r w:rsidRPr="00B4632A">
        <w:t>The</w:t>
      </w:r>
      <w:r>
        <w:t xml:space="preserve"> integrating elements that hold a university together are a higher cause to serve society, the opportunity to contribute one’s knowledge, experience, and skill, and the social interaction through which learning is realized, knowledge is acquired and disseminated, relationships evolve, and something new is developed that can make a difference in the world. These also constitute the </w:t>
      </w:r>
      <w:r w:rsidRPr="00B4632A">
        <w:t>major components of AR (stakeholder engagement, knowledge development,</w:t>
      </w:r>
      <w:r>
        <w:t xml:space="preserve"> </w:t>
      </w:r>
      <w:r w:rsidRPr="00B4632A">
        <w:t>network building</w:t>
      </w:r>
      <w:r>
        <w:t>, and innovation</w:t>
      </w:r>
      <w:r w:rsidRPr="00B4632A">
        <w:t>)</w:t>
      </w:r>
      <w:r>
        <w:t>. They</w:t>
      </w:r>
      <w:r w:rsidRPr="00B4632A">
        <w:t xml:space="preserve"> provide the means </w:t>
      </w:r>
      <w:r>
        <w:t>requir</w:t>
      </w:r>
      <w:r w:rsidRPr="00B4632A">
        <w:t>ed to facilitate</w:t>
      </w:r>
      <w:r>
        <w:t xml:space="preserve"> the mission, vision, strategies, and culture of the university today. They also provide the “glue” in the form of meaning, appreciation, affirmation, and fulfillment to sustain the knowledge producing enterprise (Thatchenkery, 2011). </w:t>
      </w:r>
    </w:p>
    <w:p w14:paraId="60F58ABB" w14:textId="77777777" w:rsidR="00A72D34" w:rsidRPr="00B4632A" w:rsidRDefault="00A72D34" w:rsidP="00A72D34">
      <w:pPr>
        <w:ind w:firstLine="0"/>
      </w:pPr>
      <w:r w:rsidRPr="00B4632A">
        <w:t>Knowledge networking—the combination of knowledge development and network building—</w:t>
      </w:r>
      <w:r>
        <w:t xml:space="preserve">implies </w:t>
      </w:r>
      <w:r w:rsidRPr="00B4632A">
        <w:t xml:space="preserve">the synergistic ability of individuals, groups, or organizations to link, </w:t>
      </w:r>
      <w:r>
        <w:t>combine</w:t>
      </w:r>
      <w:r w:rsidRPr="00B4632A">
        <w:t xml:space="preserve">, and build upon different knowledge domains for the purpose of generating, evaluating, refining, expanding, and applying knowledge to meet a challenge, satisfy </w:t>
      </w:r>
      <w:r w:rsidRPr="00B4632A">
        <w:lastRenderedPageBreak/>
        <w:t xml:space="preserve">customer or stakeholder needs, solve a problem, or achieve a goal within a specific application context. Both knowledge development and networking require </w:t>
      </w:r>
      <w:r>
        <w:t xml:space="preserve">individuals </w:t>
      </w:r>
      <w:r w:rsidRPr="00B4632A">
        <w:t xml:space="preserve">and groups to interact with different stakeholders and customers, </w:t>
      </w:r>
      <w:r>
        <w:t xml:space="preserve">regarding </w:t>
      </w:r>
      <w:r w:rsidRPr="00B4632A">
        <w:t xml:space="preserve">different subjects, </w:t>
      </w:r>
      <w:r>
        <w:t>at</w:t>
      </w:r>
      <w:r w:rsidRPr="00B4632A">
        <w:t xml:space="preserve"> differing timing</w:t>
      </w:r>
      <w:r>
        <w:t>s</w:t>
      </w:r>
      <w:r w:rsidRPr="00B4632A">
        <w:t xml:space="preserve"> than </w:t>
      </w:r>
      <w:r>
        <w:t>what has been the case in general</w:t>
      </w:r>
      <w:r w:rsidRPr="00B4632A">
        <w:t xml:space="preserve">. They also require the development of </w:t>
      </w:r>
      <w:r>
        <w:t xml:space="preserve">alternatives </w:t>
      </w:r>
      <w:r w:rsidRPr="00B4632A">
        <w:t xml:space="preserve">and decisions </w:t>
      </w:r>
      <w:r>
        <w:t xml:space="preserve">concerning </w:t>
      </w:r>
      <w:r w:rsidRPr="00B4632A">
        <w:t xml:space="preserve">what </w:t>
      </w:r>
      <w:r>
        <w:t xml:space="preserve">needs </w:t>
      </w:r>
      <w:r w:rsidRPr="00B4632A">
        <w:t xml:space="preserve">to </w:t>
      </w:r>
      <w:r>
        <w:t xml:space="preserve">be </w:t>
      </w:r>
      <w:r w:rsidRPr="00B4632A">
        <w:t>develop</w:t>
      </w:r>
      <w:r>
        <w:t>ed</w:t>
      </w:r>
      <w:r w:rsidRPr="00B4632A">
        <w:t xml:space="preserve">, </w:t>
      </w:r>
      <w:r>
        <w:t xml:space="preserve">ways </w:t>
      </w:r>
      <w:r w:rsidRPr="00B4632A">
        <w:t xml:space="preserve">to develop it, and </w:t>
      </w:r>
      <w:r>
        <w:t>the place and time as well as the reason behind the development</w:t>
      </w:r>
      <w:r w:rsidRPr="00B4632A">
        <w:t>. In other words, they require individuals and groups to share and build on each other’s knowledge and experience. To accomplish this</w:t>
      </w:r>
      <w:r>
        <w:t>,</w:t>
      </w:r>
      <w:r w:rsidRPr="00B4632A">
        <w:t xml:space="preserve"> individuals and groups must be willing to </w:t>
      </w:r>
      <w:r>
        <w:t>emp</w:t>
      </w:r>
      <w:r w:rsidRPr="00B4632A">
        <w:t xml:space="preserve">loy a variety of research methods to </w:t>
      </w:r>
      <w:r>
        <w:t xml:space="preserve">obtain </w:t>
      </w:r>
      <w:r w:rsidRPr="00B4632A">
        <w:t xml:space="preserve">information and data, discuss their differences openly, design and experiment with new ideas, and break away from </w:t>
      </w:r>
      <w:r>
        <w:t xml:space="preserve">the customary and old </w:t>
      </w:r>
      <w:r w:rsidRPr="00B4632A">
        <w:t xml:space="preserve">ways of perceiving, thinking, and acting. </w:t>
      </w:r>
    </w:p>
    <w:p w14:paraId="46D80332" w14:textId="77777777" w:rsidR="00A72D34" w:rsidRPr="00B4632A" w:rsidRDefault="00A72D34" w:rsidP="00A72D34">
      <w:r w:rsidRPr="00B4632A">
        <w:t>Knowledge development and networking requires multi-disciplinary and transdisciplinary research, with the motivation and ability of individuals</w:t>
      </w:r>
      <w:r>
        <w:t>, groups,</w:t>
      </w:r>
      <w:r w:rsidRPr="00B4632A">
        <w:t xml:space="preserve"> and organizations to learn, develop relationships, solve problems, and </w:t>
      </w:r>
      <w:r>
        <w:t>form decisions. The processes of k</w:t>
      </w:r>
      <w:r w:rsidRPr="00B4632A">
        <w:t>nowledge development and networking face the sa</w:t>
      </w:r>
      <w:r>
        <w:t xml:space="preserve">me issue in learning: People </w:t>
      </w:r>
      <w:r w:rsidRPr="00B4632A">
        <w:t>learn</w:t>
      </w:r>
      <w:r>
        <w:t xml:space="preserve"> from each other</w:t>
      </w:r>
      <w:r w:rsidRPr="00B4632A">
        <w:t xml:space="preserve"> when there are differences</w:t>
      </w:r>
      <w:r>
        <w:t>,</w:t>
      </w:r>
      <w:r w:rsidRPr="00B4632A">
        <w:t xml:space="preserve"> but differences </w:t>
      </w:r>
      <w:r>
        <w:t xml:space="preserve">happen when they </w:t>
      </w:r>
      <w:r w:rsidRPr="00B4632A">
        <w:t>have problems linking, integrating, expanding, and distributing knowledge. G</w:t>
      </w:r>
      <w:r>
        <w:t xml:space="preserve">roups and individuals usually </w:t>
      </w:r>
      <w:r w:rsidRPr="00B4632A">
        <w:t xml:space="preserve">have different starting points, assumptions (beliefs), values (decision criteria), experiences (histories), languages (jargons), methods, and so forth. </w:t>
      </w:r>
      <w:r>
        <w:t>So, w</w:t>
      </w:r>
      <w:r w:rsidRPr="00B4632A">
        <w:t xml:space="preserve">here and how </w:t>
      </w:r>
      <w:r>
        <w:t xml:space="preserve">should one </w:t>
      </w:r>
      <w:r w:rsidRPr="00B4632A">
        <w:t xml:space="preserve">begin to bridge these differences? This </w:t>
      </w:r>
      <w:r>
        <w:t xml:space="preserve">does not present a new </w:t>
      </w:r>
      <w:r w:rsidRPr="00B4632A">
        <w:t xml:space="preserve">problem. In fact, </w:t>
      </w:r>
      <w:r>
        <w:t xml:space="preserve">this </w:t>
      </w:r>
      <w:r w:rsidRPr="00B4632A">
        <w:t>was the same problem Charles Sander Peirce, the father of pragmatism, and Edmund Husserl, the father of phenomenology sought to solve. Peirce attempted to create a theory of signs underlying inquiry and provid</w:t>
      </w:r>
      <w:r>
        <w:t>e</w:t>
      </w:r>
      <w:r w:rsidRPr="00B4632A">
        <w:t xml:space="preserve"> directions or starting </w:t>
      </w:r>
      <w:r w:rsidRPr="00B4632A">
        <w:lastRenderedPageBreak/>
        <w:t>points for scientific investigation, knowledge development</w:t>
      </w:r>
      <w:r>
        <w:t>,</w:t>
      </w:r>
      <w:r w:rsidRPr="00B4632A">
        <w:t xml:space="preserve"> and problem solving. Husserl</w:t>
      </w:r>
      <w:r>
        <w:t>, on the other hand,</w:t>
      </w:r>
      <w:r w:rsidRPr="00B4632A">
        <w:t xml:space="preserve"> attempted to create a methodology </w:t>
      </w:r>
      <w:r>
        <w:t xml:space="preserve">to </w:t>
      </w:r>
      <w:r w:rsidRPr="00B4632A">
        <w:t>establish an objective foundation for science</w:t>
      </w:r>
      <w:r>
        <w:t>,</w:t>
      </w:r>
      <w:r w:rsidRPr="00B4632A">
        <w:t xml:space="preserve"> free of preconceptions and value judgments. Bo</w:t>
      </w:r>
      <w:r>
        <w:t xml:space="preserve">th thinkers were in search of </w:t>
      </w:r>
      <w:r w:rsidRPr="00B4632A">
        <w:t>method</w:t>
      </w:r>
      <w:r>
        <w:t xml:space="preserve">s to cross boundaries and solve the </w:t>
      </w:r>
      <w:r w:rsidRPr="00B4632A">
        <w:t>problem of conceptual integration.</w:t>
      </w:r>
    </w:p>
    <w:p w14:paraId="67FF7824" w14:textId="4C169861" w:rsidR="00A72D34" w:rsidRPr="00B4632A" w:rsidRDefault="00A72D34" w:rsidP="00A72D34">
      <w:r w:rsidRPr="00B4632A">
        <w:t xml:space="preserve">A pragmatic and mixed methods approach </w:t>
      </w:r>
      <w:r>
        <w:t xml:space="preserve">offers </w:t>
      </w:r>
      <w:r w:rsidRPr="00B4632A">
        <w:t>major benefits over other single method approaches</w:t>
      </w:r>
      <w:r>
        <w:t>:</w:t>
      </w:r>
      <w:r w:rsidRPr="00B4632A">
        <w:t xml:space="preserve"> it is openly</w:t>
      </w:r>
      <w:r w:rsidR="001777FD">
        <w:t xml:space="preserve"> meaning and</w:t>
      </w:r>
      <w:r w:rsidRPr="00B4632A">
        <w:t xml:space="preserve"> value driven</w:t>
      </w:r>
      <w:r>
        <w:t>,</w:t>
      </w:r>
      <w:r w:rsidRPr="00B4632A">
        <w:t xml:space="preserve"> requires no deconstruction</w:t>
      </w:r>
      <w:r>
        <w:t>,</w:t>
      </w:r>
      <w:r w:rsidR="001777FD">
        <w:t xml:space="preserve"> addresses context,</w:t>
      </w:r>
      <w:r w:rsidRPr="00B4632A">
        <w:t xml:space="preserve"> and </w:t>
      </w:r>
      <w:r>
        <w:t xml:space="preserve">can </w:t>
      </w:r>
      <w:r w:rsidRPr="00B4632A">
        <w:t xml:space="preserve">answer research questions that other approaches </w:t>
      </w:r>
      <w:r>
        <w:t xml:space="preserve">fail to answer </w:t>
      </w:r>
      <w:r w:rsidRPr="00B4632A">
        <w:t>(</w:t>
      </w:r>
      <w:r w:rsidR="001777FD">
        <w:t xml:space="preserve">Denzin, 2009; Greene, 2006; 2007; </w:t>
      </w:r>
      <w:r w:rsidRPr="00B4632A">
        <w:t xml:space="preserve">Tashakkori &amp; Teddlie, 2003). Moreover, </w:t>
      </w:r>
      <w:r>
        <w:t xml:space="preserve">the </w:t>
      </w:r>
      <w:r w:rsidRPr="00B4632A">
        <w:t>us</w:t>
      </w:r>
      <w:r>
        <w:t>e</w:t>
      </w:r>
      <w:r w:rsidRPr="00B4632A">
        <w:t xml:space="preserve"> </w:t>
      </w:r>
      <w:r>
        <w:t xml:space="preserve">of </w:t>
      </w:r>
      <w:r w:rsidRPr="00B4632A">
        <w:t xml:space="preserve">converging models and mixed methods can simultaneously answer </w:t>
      </w:r>
      <w:r>
        <w:t xml:space="preserve">both </w:t>
      </w:r>
      <w:r w:rsidRPr="00B4632A">
        <w:t xml:space="preserve">confirmatory and exploratory questions and </w:t>
      </w:r>
      <w:r>
        <w:t xml:space="preserve">offers </w:t>
      </w:r>
      <w:r w:rsidRPr="00B4632A">
        <w:t xml:space="preserve">stronger inferences through </w:t>
      </w:r>
      <w:r>
        <w:t>in-</w:t>
      </w:r>
      <w:r w:rsidRPr="00B4632A">
        <w:t xml:space="preserve">depth and </w:t>
      </w:r>
      <w:r>
        <w:t xml:space="preserve">wide solutions </w:t>
      </w:r>
      <w:r w:rsidRPr="00B4632A">
        <w:t xml:space="preserve">to complex social phenomena. Finally, mixed </w:t>
      </w:r>
      <w:r>
        <w:t xml:space="preserve">models and </w:t>
      </w:r>
      <w:r w:rsidRPr="00B4632A">
        <w:t xml:space="preserve">methods </w:t>
      </w:r>
      <w:r>
        <w:t xml:space="preserve">allow one to yield </w:t>
      </w:r>
      <w:r w:rsidRPr="00B4632A">
        <w:t>divergent findings</w:t>
      </w:r>
      <w:r>
        <w:t>,</w:t>
      </w:r>
      <w:r w:rsidRPr="00B4632A">
        <w:t xml:space="preserve"> </w:t>
      </w:r>
      <w:r>
        <w:t xml:space="preserve">accommodate </w:t>
      </w:r>
      <w:r w:rsidRPr="00B4632A">
        <w:t>expression of differing viewpoints</w:t>
      </w:r>
      <w:r>
        <w:t>,</w:t>
      </w:r>
      <w:r w:rsidRPr="00B4632A">
        <w:t xml:space="preserve"> re useful in multi-level analysis of complex phenomena</w:t>
      </w:r>
      <w:r>
        <w:t>,</w:t>
      </w:r>
      <w:r w:rsidRPr="00B4632A">
        <w:t xml:space="preserve"> and can improve findings</w:t>
      </w:r>
      <w:r>
        <w:t xml:space="preserve">’ </w:t>
      </w:r>
      <w:r w:rsidRPr="00B4632A">
        <w:t>validity by reaching multiple audiences.</w:t>
      </w:r>
    </w:p>
    <w:p w14:paraId="4EB0FB42" w14:textId="77777777" w:rsidR="00A72D34" w:rsidRPr="00B4632A" w:rsidRDefault="00A72D34" w:rsidP="00A72D34">
      <w:r w:rsidRPr="00B4632A">
        <w:t xml:space="preserve">Any solution to the problem of differences must </w:t>
      </w:r>
      <w:r>
        <w:t xml:space="preserve">satisfy </w:t>
      </w:r>
      <w:r w:rsidRPr="00B4632A">
        <w:t xml:space="preserve">certain conditions to be effective: </w:t>
      </w:r>
      <w:r>
        <w:t>f</w:t>
      </w:r>
      <w:r w:rsidRPr="00B4632A">
        <w:t>irst, it must have breadth</w:t>
      </w:r>
      <w:r>
        <w:t>, that is, wide coverage—i</w:t>
      </w:r>
      <w:r w:rsidRPr="00B4632A">
        <w:t>t must be able to tap into a broad range of specialized knowledge domains and methods relevant to the application context of the problem</w:t>
      </w:r>
      <w:r>
        <w:t>;</w:t>
      </w:r>
      <w:r w:rsidRPr="00B4632A">
        <w:t xml:space="preserve"> </w:t>
      </w:r>
      <w:r>
        <w:t>s</w:t>
      </w:r>
      <w:r w:rsidRPr="00B4632A">
        <w:t>econd, it must deal with the problem of different languages and jargons</w:t>
      </w:r>
      <w:r>
        <w:t>;</w:t>
      </w:r>
      <w:r w:rsidRPr="00B4632A">
        <w:t xml:space="preserve"> </w:t>
      </w:r>
      <w:r>
        <w:t>t</w:t>
      </w:r>
      <w:r w:rsidRPr="00B4632A">
        <w:t xml:space="preserve">hird, it must be relatively efficient in bridging gaps by identifying starting points and creating a common foundation of mutual understanding </w:t>
      </w:r>
      <w:r>
        <w:t>to</w:t>
      </w:r>
      <w:r w:rsidRPr="00B4632A">
        <w:t xml:space="preserve"> build</w:t>
      </w:r>
      <w:r>
        <w:t xml:space="preserve"> future work upon;</w:t>
      </w:r>
      <w:r w:rsidRPr="00B4632A">
        <w:t xml:space="preserve"> </w:t>
      </w:r>
      <w:r>
        <w:t>f</w:t>
      </w:r>
      <w:r w:rsidRPr="00B4632A">
        <w:t>ourth, it must deal with problems of personality, power, and status differences</w:t>
      </w:r>
      <w:r>
        <w:t>;</w:t>
      </w:r>
      <w:r w:rsidRPr="00B4632A">
        <w:t xml:space="preserve"> </w:t>
      </w:r>
      <w:r>
        <w:t>f</w:t>
      </w:r>
      <w:r w:rsidRPr="00B4632A">
        <w:t xml:space="preserve">ifth, it must promote an environment of participation, openness, experimentation, and responsibility </w:t>
      </w:r>
      <w:r>
        <w:t xml:space="preserve">in order to facilitate </w:t>
      </w:r>
      <w:r w:rsidRPr="00B4632A">
        <w:t>learning</w:t>
      </w:r>
      <w:r>
        <w:t>;</w:t>
      </w:r>
      <w:r w:rsidRPr="00B4632A">
        <w:t xml:space="preserve"> </w:t>
      </w:r>
      <w:r>
        <w:t>s</w:t>
      </w:r>
      <w:r w:rsidRPr="00B4632A">
        <w:t xml:space="preserve">ixth, it must establish clear and acceptable </w:t>
      </w:r>
      <w:r w:rsidRPr="00B4632A">
        <w:lastRenderedPageBreak/>
        <w:t xml:space="preserve">criteria or values that </w:t>
      </w:r>
      <w:r>
        <w:t xml:space="preserve">allow </w:t>
      </w:r>
      <w:r w:rsidRPr="00B4632A">
        <w:t xml:space="preserve">individuals and groups </w:t>
      </w:r>
      <w:r>
        <w:t xml:space="preserve">to progress </w:t>
      </w:r>
      <w:r w:rsidRPr="00B4632A">
        <w:t>toward agreement or consensus</w:t>
      </w:r>
      <w:r>
        <w:t>;</w:t>
      </w:r>
      <w:r w:rsidRPr="00B4632A">
        <w:t xml:space="preserve"> </w:t>
      </w:r>
      <w:r>
        <w:t>s</w:t>
      </w:r>
      <w:r w:rsidRPr="00B4632A">
        <w:t xml:space="preserve">eventh, it must be </w:t>
      </w:r>
      <w:r>
        <w:t>cap</w:t>
      </w:r>
      <w:r w:rsidRPr="00B4632A">
        <w:t xml:space="preserve">able </w:t>
      </w:r>
      <w:r>
        <w:t xml:space="preserve">of </w:t>
      </w:r>
      <w:r w:rsidRPr="00B4632A">
        <w:t>resolv</w:t>
      </w:r>
      <w:r>
        <w:t>ing</w:t>
      </w:r>
      <w:r w:rsidRPr="00B4632A">
        <w:t xml:space="preserve"> differences</w:t>
      </w:r>
      <w:r>
        <w:t>;</w:t>
      </w:r>
      <w:r w:rsidRPr="00B4632A">
        <w:t xml:space="preserve"> </w:t>
      </w:r>
      <w:r>
        <w:t>f</w:t>
      </w:r>
      <w:r w:rsidRPr="00B4632A">
        <w:t>inally, it must lead to action and facilitate learning and the development relationships and networks.</w:t>
      </w:r>
    </w:p>
    <w:p w14:paraId="76A3E851" w14:textId="0D060402" w:rsidR="00A72D34" w:rsidRPr="00B4632A" w:rsidRDefault="00A72D34" w:rsidP="00A72D34">
      <w:r w:rsidRPr="00B4632A">
        <w:t xml:space="preserve">AR satisfies these conditions through </w:t>
      </w:r>
      <w:r>
        <w:t xml:space="preserve">the </w:t>
      </w:r>
      <w:r w:rsidRPr="00B4632A">
        <w:t>integrati</w:t>
      </w:r>
      <w:r>
        <w:t>o</w:t>
      </w:r>
      <w:r w:rsidRPr="00B4632A">
        <w:t>n</w:t>
      </w:r>
      <w:r>
        <w:t xml:space="preserve"> of</w:t>
      </w:r>
      <w:r w:rsidRPr="00B4632A">
        <w:t xml:space="preserve"> mixed models and methods from different traditions, including social construction, science, and pragmatism</w:t>
      </w:r>
      <w:r>
        <w:t xml:space="preserve">, </w:t>
      </w:r>
      <w:r w:rsidRPr="00B4632A">
        <w:t>into a single though multi</w:t>
      </w:r>
      <w:r>
        <w:t>-</w:t>
      </w:r>
      <w:r w:rsidRPr="00B4632A">
        <w:t xml:space="preserve">faceted process for engaging stakeholders with substantial differences in an innovation process </w:t>
      </w:r>
      <w:r>
        <w:t xml:space="preserve">that aims </w:t>
      </w:r>
      <w:r w:rsidRPr="00B4632A">
        <w:t xml:space="preserve">to transform ideas and meaning into </w:t>
      </w:r>
      <w:r>
        <w:t xml:space="preserve">a </w:t>
      </w:r>
      <w:r w:rsidRPr="00B4632A">
        <w:t xml:space="preserve">physical reality. The algorithm </w:t>
      </w:r>
      <w:r>
        <w:t xml:space="preserve">for AR </w:t>
      </w:r>
      <w:r w:rsidRPr="00B4632A">
        <w:t xml:space="preserve">is: open and democratic leadership + engagement of multiple models and methods in broad based learning = </w:t>
      </w:r>
      <w:r>
        <w:t>new knowledge (</w:t>
      </w:r>
      <w:r w:rsidRPr="00B4632A">
        <w:t>grounded theory</w:t>
      </w:r>
      <w:r>
        <w:t>)</w:t>
      </w:r>
      <w:r w:rsidRPr="00B4632A">
        <w:t xml:space="preserve">, </w:t>
      </w:r>
      <w:r>
        <w:t>which, when enacted facilitates</w:t>
      </w:r>
      <w:r w:rsidR="00B8671A">
        <w:t xml:space="preserve"> interaction,</w:t>
      </w:r>
      <w:r>
        <w:t xml:space="preserve"> </w:t>
      </w:r>
      <w:r w:rsidRPr="00B4632A">
        <w:t>relationships, networks, and innovation.</w:t>
      </w:r>
    </w:p>
    <w:p w14:paraId="0914675C" w14:textId="7245390F" w:rsidR="00A72D34" w:rsidRPr="00B4632A" w:rsidRDefault="00B8671A" w:rsidP="00A72D34">
      <w:r>
        <w:t>Based on this analysis</w:t>
      </w:r>
      <w:r w:rsidR="00A72D34" w:rsidRPr="00B4632A">
        <w:t>,</w:t>
      </w:r>
      <w:r w:rsidR="00A72D34">
        <w:t xml:space="preserve"> three ways in which </w:t>
      </w:r>
      <w:r w:rsidR="00E33FD4">
        <w:t xml:space="preserve">labs and </w:t>
      </w:r>
      <w:r w:rsidR="00A72D34">
        <w:t>universities can increase their research productiv</w:t>
      </w:r>
      <w:r w:rsidR="00023218">
        <w:t>ity and innovation outlined below.</w:t>
      </w:r>
      <w:r w:rsidR="00A72D34">
        <w:t xml:space="preserve"> </w:t>
      </w:r>
    </w:p>
    <w:p w14:paraId="6ECDF8AE" w14:textId="5D9EDFBA" w:rsidR="00A72D34" w:rsidRPr="00B82DCB" w:rsidRDefault="00A72D34" w:rsidP="00023218">
      <w:pPr>
        <w:pStyle w:val="Bullets"/>
        <w:numPr>
          <w:ilvl w:val="0"/>
          <w:numId w:val="12"/>
        </w:numPr>
        <w:rPr>
          <w:sz w:val="24"/>
          <w:szCs w:val="24"/>
        </w:rPr>
      </w:pPr>
      <w:r w:rsidRPr="00B82DCB">
        <w:rPr>
          <w:sz w:val="24"/>
          <w:szCs w:val="24"/>
        </w:rPr>
        <w:t>Include the requirement that future research proposals include an AR component that would allow researchers of proposals to engage in a</w:t>
      </w:r>
      <w:r w:rsidR="004E58C2">
        <w:rPr>
          <w:sz w:val="24"/>
          <w:szCs w:val="24"/>
        </w:rPr>
        <w:t xml:space="preserve"> series of</w:t>
      </w:r>
      <w:r w:rsidRPr="00B82DCB">
        <w:rPr>
          <w:sz w:val="24"/>
          <w:szCs w:val="24"/>
        </w:rPr>
        <w:t xml:space="preserve"> face-to-face AR workshop</w:t>
      </w:r>
      <w:r w:rsidR="004E58C2">
        <w:rPr>
          <w:sz w:val="24"/>
          <w:szCs w:val="24"/>
        </w:rPr>
        <w:t xml:space="preserve">s with </w:t>
      </w:r>
      <w:r w:rsidRPr="00B82DCB">
        <w:rPr>
          <w:sz w:val="24"/>
          <w:szCs w:val="24"/>
        </w:rPr>
        <w:t>group</w:t>
      </w:r>
      <w:r w:rsidR="004E58C2">
        <w:rPr>
          <w:sz w:val="24"/>
          <w:szCs w:val="24"/>
        </w:rPr>
        <w:t>s</w:t>
      </w:r>
      <w:r w:rsidRPr="00B82DCB">
        <w:rPr>
          <w:sz w:val="24"/>
          <w:szCs w:val="24"/>
        </w:rPr>
        <w:t xml:space="preserve"> of interested stakeholders from the sciences, social sciences, humanities, government, and industry, in order to generate grounded theories of action either (a) prior to and as part of their </w:t>
      </w:r>
      <w:r w:rsidR="004E58C2">
        <w:rPr>
          <w:sz w:val="24"/>
          <w:szCs w:val="24"/>
        </w:rPr>
        <w:t xml:space="preserve">formal </w:t>
      </w:r>
      <w:r w:rsidRPr="00B82DCB">
        <w:rPr>
          <w:sz w:val="24"/>
          <w:szCs w:val="24"/>
        </w:rPr>
        <w:t xml:space="preserve">proposal and/or (b) following their proposal as a condition of their award. The AR workshop would be enriched by a mixed methods survey, which would require the participants to answer a set of research questions to elicit quantitative and qualitative data, to be aggregated and distributed to the participants for study prior to the workshop. The research design, including </w:t>
      </w:r>
      <w:r w:rsidRPr="00B82DCB">
        <w:rPr>
          <w:sz w:val="24"/>
          <w:szCs w:val="24"/>
        </w:rPr>
        <w:lastRenderedPageBreak/>
        <w:t xml:space="preserve">research strategy, questions, and methods that would be used for data collection, analysis, interpretation, and evaluation would be shared with and critiqued by the participants before the workshop. (Note: The AR workshop would not act as a substitute for the literature review but would rather supplement it.) </w:t>
      </w:r>
    </w:p>
    <w:p w14:paraId="6ECA1741" w14:textId="1DF5BD93" w:rsidR="00A72D34" w:rsidRPr="00B82DCB" w:rsidRDefault="00B8671A" w:rsidP="00023218">
      <w:pPr>
        <w:pStyle w:val="Bullets"/>
        <w:numPr>
          <w:ilvl w:val="0"/>
          <w:numId w:val="12"/>
        </w:numPr>
        <w:jc w:val="left"/>
        <w:rPr>
          <w:sz w:val="24"/>
          <w:szCs w:val="24"/>
        </w:rPr>
      </w:pPr>
      <w:r w:rsidRPr="00B82DCB">
        <w:rPr>
          <w:sz w:val="24"/>
          <w:szCs w:val="24"/>
        </w:rPr>
        <w:t>In addition to hosting</w:t>
      </w:r>
      <w:r w:rsidR="00A72D34" w:rsidRPr="00B82DCB">
        <w:rPr>
          <w:sz w:val="24"/>
          <w:szCs w:val="24"/>
        </w:rPr>
        <w:t xml:space="preserve"> a few open public forums in different cities,</w:t>
      </w:r>
      <w:r w:rsidRPr="00B82DCB">
        <w:rPr>
          <w:sz w:val="24"/>
          <w:szCs w:val="24"/>
        </w:rPr>
        <w:t xml:space="preserve"> </w:t>
      </w:r>
      <w:r w:rsidR="00A72D34" w:rsidRPr="00B82DCB">
        <w:rPr>
          <w:sz w:val="24"/>
          <w:szCs w:val="24"/>
        </w:rPr>
        <w:t>NIST and other public agencies could issue a “Call to Engagement” to universities, requesting them to use AR across their disciplines to identify future research initiatives for funding and develop innovative solutions to the technology transfer</w:t>
      </w:r>
      <w:r w:rsidR="004E58C2">
        <w:rPr>
          <w:sz w:val="24"/>
          <w:szCs w:val="24"/>
        </w:rPr>
        <w:t xml:space="preserve"> and return on investment</w:t>
      </w:r>
      <w:r w:rsidR="00A72D34" w:rsidRPr="00B82DCB">
        <w:rPr>
          <w:sz w:val="24"/>
          <w:szCs w:val="24"/>
        </w:rPr>
        <w:t xml:space="preserve"> challenge. The grounded theories that emerge as a result of this</w:t>
      </w:r>
      <w:r w:rsidR="004E58C2">
        <w:rPr>
          <w:sz w:val="24"/>
          <w:szCs w:val="24"/>
        </w:rPr>
        <w:t xml:space="preserve"> process could be then considered for changes to public policy</w:t>
      </w:r>
      <w:r w:rsidR="00A72D34" w:rsidRPr="00B82DCB">
        <w:rPr>
          <w:sz w:val="24"/>
          <w:szCs w:val="24"/>
        </w:rPr>
        <w:t xml:space="preserve"> to meet critical challenges facing society. </w:t>
      </w:r>
    </w:p>
    <w:p w14:paraId="5050EC5F" w14:textId="7669AE2B" w:rsidR="00B8671A" w:rsidRPr="00B82DCB" w:rsidRDefault="004E58C2" w:rsidP="00023218">
      <w:pPr>
        <w:pStyle w:val="Bullets"/>
        <w:numPr>
          <w:ilvl w:val="0"/>
          <w:numId w:val="12"/>
        </w:numPr>
        <w:jc w:val="left"/>
        <w:rPr>
          <w:sz w:val="24"/>
          <w:szCs w:val="24"/>
        </w:rPr>
      </w:pPr>
      <w:r>
        <w:rPr>
          <w:sz w:val="24"/>
          <w:szCs w:val="24"/>
        </w:rPr>
        <w:t>A</w:t>
      </w:r>
      <w:r w:rsidR="00A72D34" w:rsidRPr="00B82DCB">
        <w:rPr>
          <w:sz w:val="24"/>
          <w:szCs w:val="24"/>
        </w:rPr>
        <w:t xml:space="preserve"> related initiative might be for research universities to use the AR converging methods approach to develop their strategic plans and research cultures, and to</w:t>
      </w:r>
      <w:r w:rsidR="00E219B0">
        <w:rPr>
          <w:sz w:val="24"/>
          <w:szCs w:val="24"/>
        </w:rPr>
        <w:t xml:space="preserve"> integrate or build </w:t>
      </w:r>
      <w:r w:rsidR="00A72D34" w:rsidRPr="00B82DCB">
        <w:rPr>
          <w:sz w:val="24"/>
          <w:szCs w:val="24"/>
        </w:rPr>
        <w:t>a mixed models and methods</w:t>
      </w:r>
      <w:r w:rsidR="00E219B0">
        <w:rPr>
          <w:sz w:val="24"/>
          <w:szCs w:val="24"/>
        </w:rPr>
        <w:t xml:space="preserve"> approach to</w:t>
      </w:r>
      <w:r w:rsidR="00A72D34" w:rsidRPr="00B82DCB">
        <w:rPr>
          <w:sz w:val="24"/>
          <w:szCs w:val="24"/>
        </w:rPr>
        <w:t xml:space="preserve"> innovatio</w:t>
      </w:r>
      <w:r>
        <w:rPr>
          <w:sz w:val="24"/>
          <w:szCs w:val="24"/>
        </w:rPr>
        <w:t>n</w:t>
      </w:r>
      <w:r w:rsidR="00E219B0">
        <w:rPr>
          <w:sz w:val="24"/>
          <w:szCs w:val="24"/>
        </w:rPr>
        <w:t xml:space="preserve"> within </w:t>
      </w:r>
      <w:r>
        <w:rPr>
          <w:sz w:val="24"/>
          <w:szCs w:val="24"/>
        </w:rPr>
        <w:t>their institution. I</w:t>
      </w:r>
      <w:r w:rsidR="00E219B0">
        <w:rPr>
          <w:sz w:val="24"/>
          <w:szCs w:val="24"/>
        </w:rPr>
        <w:t xml:space="preserve">nstead of being </w:t>
      </w:r>
      <w:r>
        <w:rPr>
          <w:sz w:val="24"/>
          <w:szCs w:val="24"/>
        </w:rPr>
        <w:t xml:space="preserve">limited by </w:t>
      </w:r>
      <w:r w:rsidR="00A72D34" w:rsidRPr="00B82DCB">
        <w:rPr>
          <w:sz w:val="24"/>
          <w:szCs w:val="24"/>
        </w:rPr>
        <w:t>the traditional scientific</w:t>
      </w:r>
      <w:r>
        <w:rPr>
          <w:sz w:val="24"/>
          <w:szCs w:val="24"/>
        </w:rPr>
        <w:t xml:space="preserve"> method, and</w:t>
      </w:r>
      <w:r w:rsidR="00A72D34" w:rsidRPr="00B82DCB">
        <w:rPr>
          <w:sz w:val="24"/>
          <w:szCs w:val="24"/>
        </w:rPr>
        <w:t xml:space="preserve"> creating a plethora of micro-studies</w:t>
      </w:r>
      <w:r w:rsidR="00E219B0">
        <w:rPr>
          <w:sz w:val="24"/>
          <w:szCs w:val="24"/>
        </w:rPr>
        <w:t>,</w:t>
      </w:r>
      <w:r w:rsidR="00A72D34" w:rsidRPr="00B82DCB">
        <w:rPr>
          <w:sz w:val="24"/>
          <w:szCs w:val="24"/>
        </w:rPr>
        <w:t xml:space="preserve"> many of which are neither reproduceable nor cumulative</w:t>
      </w:r>
      <w:r w:rsidR="00E219B0">
        <w:rPr>
          <w:sz w:val="24"/>
          <w:szCs w:val="24"/>
        </w:rPr>
        <w:t xml:space="preserve">, </w:t>
      </w:r>
      <w:r>
        <w:rPr>
          <w:sz w:val="24"/>
          <w:szCs w:val="24"/>
        </w:rPr>
        <w:t>universities themselves would strive to develop strategic plans for their research and culture of innovation</w:t>
      </w:r>
      <w:r w:rsidR="00A72D34" w:rsidRPr="00B82DCB">
        <w:rPr>
          <w:sz w:val="24"/>
          <w:szCs w:val="24"/>
        </w:rPr>
        <w:t xml:space="preserve">. </w:t>
      </w:r>
    </w:p>
    <w:p w14:paraId="42E5BCF2" w14:textId="6CD8F6FE" w:rsidR="00B8671A" w:rsidRPr="00B82DCB" w:rsidRDefault="00B8671A" w:rsidP="00023218">
      <w:pPr>
        <w:pStyle w:val="Bullets"/>
        <w:numPr>
          <w:ilvl w:val="0"/>
          <w:numId w:val="12"/>
        </w:numPr>
        <w:jc w:val="left"/>
        <w:rPr>
          <w:sz w:val="24"/>
          <w:szCs w:val="24"/>
        </w:rPr>
      </w:pPr>
      <w:r w:rsidRPr="00B82DCB">
        <w:rPr>
          <w:sz w:val="24"/>
          <w:szCs w:val="24"/>
        </w:rPr>
        <w:t>A more radical proposal is to move</w:t>
      </w:r>
      <w:r w:rsidR="00023218" w:rsidRPr="00B82DCB">
        <w:rPr>
          <w:sz w:val="24"/>
          <w:szCs w:val="24"/>
        </w:rPr>
        <w:t xml:space="preserve"> more</w:t>
      </w:r>
      <w:r w:rsidRPr="00B82DCB">
        <w:rPr>
          <w:sz w:val="24"/>
          <w:szCs w:val="24"/>
        </w:rPr>
        <w:t xml:space="preserve"> toward open innovation as discussed </w:t>
      </w:r>
      <w:r w:rsidR="00023218" w:rsidRPr="00B82DCB">
        <w:rPr>
          <w:sz w:val="24"/>
          <w:szCs w:val="24"/>
        </w:rPr>
        <w:t>by Chesbrough  (2003; 2006).</w:t>
      </w:r>
      <w:r w:rsidRPr="00B82DCB">
        <w:rPr>
          <w:sz w:val="24"/>
          <w:szCs w:val="24"/>
        </w:rPr>
        <w:t xml:space="preserve"> This can be accomplished by rescinding the Bayh-Dol</w:t>
      </w:r>
      <w:r w:rsidR="00023218" w:rsidRPr="00B82DCB">
        <w:rPr>
          <w:sz w:val="24"/>
          <w:szCs w:val="24"/>
        </w:rPr>
        <w:t>e Act</w:t>
      </w:r>
      <w:r w:rsidR="00023218" w:rsidRPr="00B82DCB">
        <w:rPr>
          <w:rFonts w:eastAsia="Times New Roman"/>
          <w:color w:val="222222"/>
          <w:sz w:val="24"/>
          <w:szCs w:val="24"/>
          <w:shd w:val="clear" w:color="auto" w:fill="FFFFFF"/>
        </w:rPr>
        <w:t> or</w:t>
      </w:r>
      <w:r w:rsidRPr="00B82DCB">
        <w:rPr>
          <w:rFonts w:eastAsia="Times New Roman"/>
          <w:color w:val="222222"/>
          <w:sz w:val="24"/>
          <w:szCs w:val="24"/>
          <w:shd w:val="clear" w:color="auto" w:fill="FFFFFF"/>
        </w:rPr>
        <w:t> </w:t>
      </w:r>
      <w:r w:rsidRPr="00B82DCB">
        <w:rPr>
          <w:rFonts w:eastAsia="Times New Roman"/>
          <w:bCs/>
          <w:color w:val="222222"/>
          <w:sz w:val="24"/>
          <w:szCs w:val="24"/>
          <w:shd w:val="clear" w:color="auto" w:fill="FFFFFF"/>
        </w:rPr>
        <w:t>Patent and Trademark Law Amendments Act</w:t>
      </w:r>
      <w:r w:rsidRPr="00B82DCB">
        <w:rPr>
          <w:rFonts w:eastAsia="Times New Roman"/>
          <w:color w:val="222222"/>
          <w:sz w:val="24"/>
          <w:szCs w:val="24"/>
          <w:shd w:val="clear" w:color="auto" w:fill="FFFFFF"/>
        </w:rPr>
        <w:t> (</w:t>
      </w:r>
      <w:hyperlink r:id="rId22" w:tooltip="Public law" w:history="1">
        <w:r w:rsidRPr="00B82DCB">
          <w:rPr>
            <w:rStyle w:val="Hyperlink"/>
            <w:rFonts w:eastAsia="Times New Roman"/>
            <w:color w:val="0B0080"/>
            <w:sz w:val="24"/>
            <w:szCs w:val="24"/>
            <w:shd w:val="clear" w:color="auto" w:fill="FFFFFF"/>
          </w:rPr>
          <w:t>Pub. L.</w:t>
        </w:r>
      </w:hyperlink>
      <w:r w:rsidR="00023218" w:rsidRPr="00B82DCB">
        <w:rPr>
          <w:rFonts w:eastAsia="Times New Roman"/>
          <w:color w:val="222222"/>
          <w:sz w:val="24"/>
          <w:szCs w:val="24"/>
          <w:shd w:val="clear" w:color="auto" w:fill="FFFFFF"/>
        </w:rPr>
        <w:t> 96-517, December 12, 1980)</w:t>
      </w:r>
      <w:r w:rsidR="00E219B0">
        <w:rPr>
          <w:rFonts w:eastAsia="Times New Roman"/>
          <w:color w:val="222222"/>
          <w:sz w:val="24"/>
          <w:szCs w:val="24"/>
          <w:shd w:val="clear" w:color="auto" w:fill="FFFFFF"/>
        </w:rPr>
        <w:t xml:space="preserve">, which is leading universities in the wrong direction, </w:t>
      </w:r>
      <w:r w:rsidR="00E219B0">
        <w:rPr>
          <w:rFonts w:eastAsia="Times New Roman"/>
          <w:color w:val="222222"/>
          <w:sz w:val="24"/>
          <w:szCs w:val="24"/>
          <w:shd w:val="clear" w:color="auto" w:fill="FFFFFF"/>
        </w:rPr>
        <w:lastRenderedPageBreak/>
        <w:t>and</w:t>
      </w:r>
      <w:r w:rsidRPr="00B82DCB">
        <w:rPr>
          <w:rFonts w:eastAsia="Times New Roman"/>
          <w:color w:val="222222"/>
          <w:sz w:val="24"/>
          <w:szCs w:val="24"/>
          <w:shd w:val="clear" w:color="auto" w:fill="FFFFFF"/>
        </w:rPr>
        <w:t xml:space="preserve"> transferring ownership of </w:t>
      </w:r>
      <w:r w:rsidR="00495768">
        <w:rPr>
          <w:rFonts w:eastAsia="Times New Roman"/>
          <w:color w:val="222222"/>
          <w:sz w:val="24"/>
          <w:szCs w:val="24"/>
          <w:shd w:val="clear" w:color="auto" w:fill="FFFFFF"/>
        </w:rPr>
        <w:t xml:space="preserve">publically funded research </w:t>
      </w:r>
      <w:r w:rsidRPr="00B82DCB">
        <w:rPr>
          <w:rFonts w:eastAsia="Times New Roman"/>
          <w:color w:val="222222"/>
          <w:sz w:val="24"/>
          <w:szCs w:val="24"/>
          <w:shd w:val="clear" w:color="auto" w:fill="FFFFFF"/>
        </w:rPr>
        <w:t>to the federal government</w:t>
      </w:r>
      <w:r w:rsidR="00495768">
        <w:rPr>
          <w:rFonts w:eastAsia="Times New Roman"/>
          <w:color w:val="222222"/>
          <w:sz w:val="24"/>
          <w:szCs w:val="24"/>
          <w:shd w:val="clear" w:color="auto" w:fill="FFFFFF"/>
        </w:rPr>
        <w:t xml:space="preserve"> or a</w:t>
      </w:r>
      <w:r w:rsidR="00E219B0">
        <w:rPr>
          <w:rFonts w:eastAsia="Times New Roman"/>
          <w:color w:val="222222"/>
          <w:sz w:val="24"/>
          <w:szCs w:val="24"/>
          <w:shd w:val="clear" w:color="auto" w:fill="FFFFFF"/>
        </w:rPr>
        <w:t>n outsourced private exchange, to establish a</w:t>
      </w:r>
      <w:r w:rsidR="00495768">
        <w:rPr>
          <w:rFonts w:eastAsia="Times New Roman"/>
          <w:color w:val="222222"/>
          <w:sz w:val="24"/>
          <w:szCs w:val="24"/>
          <w:shd w:val="clear" w:color="auto" w:fill="FFFFFF"/>
        </w:rPr>
        <w:t xml:space="preserve"> research market</w:t>
      </w:r>
      <w:r w:rsidRPr="00B82DCB">
        <w:rPr>
          <w:rFonts w:eastAsia="Times New Roman"/>
          <w:color w:val="222222"/>
          <w:sz w:val="24"/>
          <w:szCs w:val="24"/>
          <w:shd w:val="clear" w:color="auto" w:fill="FFFFFF"/>
        </w:rPr>
        <w:t xml:space="preserve"> where licenses and e</w:t>
      </w:r>
      <w:r w:rsidR="00495768">
        <w:rPr>
          <w:rFonts w:eastAsia="Times New Roman"/>
          <w:color w:val="222222"/>
          <w:sz w:val="24"/>
          <w:szCs w:val="24"/>
          <w:shd w:val="clear" w:color="auto" w:fill="FFFFFF"/>
        </w:rPr>
        <w:t xml:space="preserve">quity positions could be purchased and investments </w:t>
      </w:r>
      <w:r w:rsidR="00E219B0">
        <w:rPr>
          <w:rFonts w:eastAsia="Times New Roman"/>
          <w:color w:val="222222"/>
          <w:sz w:val="24"/>
          <w:szCs w:val="24"/>
          <w:shd w:val="clear" w:color="auto" w:fill="FFFFFF"/>
        </w:rPr>
        <w:t xml:space="preserve">offered in the form of </w:t>
      </w:r>
      <w:r w:rsidR="00495768">
        <w:rPr>
          <w:rFonts w:eastAsia="Times New Roman"/>
          <w:color w:val="222222"/>
          <w:sz w:val="24"/>
          <w:szCs w:val="24"/>
          <w:shd w:val="clear" w:color="auto" w:fill="FFFFFF"/>
        </w:rPr>
        <w:t>stocks, bonds, options, and futures</w:t>
      </w:r>
      <w:r w:rsidR="00E219B0">
        <w:rPr>
          <w:rFonts w:eastAsia="Times New Roman"/>
          <w:color w:val="222222"/>
          <w:sz w:val="24"/>
          <w:szCs w:val="24"/>
          <w:shd w:val="clear" w:color="auto" w:fill="FFFFFF"/>
        </w:rPr>
        <w:t xml:space="preserve"> for designated research areas</w:t>
      </w:r>
      <w:r w:rsidR="00495768">
        <w:rPr>
          <w:rFonts w:eastAsia="Times New Roman"/>
          <w:color w:val="222222"/>
          <w:sz w:val="24"/>
          <w:szCs w:val="24"/>
          <w:shd w:val="clear" w:color="auto" w:fill="FFFFFF"/>
        </w:rPr>
        <w:t>.   This c</w:t>
      </w:r>
      <w:r w:rsidRPr="00B82DCB">
        <w:rPr>
          <w:rFonts w:eastAsia="Times New Roman"/>
          <w:color w:val="222222"/>
          <w:sz w:val="24"/>
          <w:szCs w:val="24"/>
          <w:shd w:val="clear" w:color="auto" w:fill="FFFFFF"/>
        </w:rPr>
        <w:t xml:space="preserve">ould result in the following </w:t>
      </w:r>
      <w:r w:rsidR="00023218" w:rsidRPr="00B82DCB">
        <w:rPr>
          <w:rFonts w:eastAsia="Times New Roman"/>
          <w:color w:val="222222"/>
          <w:sz w:val="24"/>
          <w:szCs w:val="24"/>
          <w:shd w:val="clear" w:color="auto" w:fill="FFFFFF"/>
        </w:rPr>
        <w:t>improvements</w:t>
      </w:r>
      <w:r w:rsidR="00495768">
        <w:rPr>
          <w:rFonts w:eastAsia="Times New Roman"/>
          <w:color w:val="222222"/>
          <w:sz w:val="24"/>
          <w:szCs w:val="24"/>
          <w:shd w:val="clear" w:color="auto" w:fill="FFFFFF"/>
        </w:rPr>
        <w:t xml:space="preserve"> and benefits</w:t>
      </w:r>
      <w:r w:rsidRPr="00B82DCB">
        <w:rPr>
          <w:rFonts w:eastAsia="Times New Roman"/>
          <w:color w:val="222222"/>
          <w:sz w:val="24"/>
          <w:szCs w:val="24"/>
          <w:shd w:val="clear" w:color="auto" w:fill="FFFFFF"/>
        </w:rPr>
        <w:t>:</w:t>
      </w:r>
    </w:p>
    <w:p w14:paraId="071380E0" w14:textId="28017CA4" w:rsidR="00B8671A" w:rsidRPr="00B82DCB" w:rsidRDefault="00023218" w:rsidP="00B82DCB">
      <w:pPr>
        <w:pStyle w:val="Bullets"/>
        <w:numPr>
          <w:ilvl w:val="0"/>
          <w:numId w:val="0"/>
        </w:numPr>
        <w:ind w:left="990"/>
        <w:jc w:val="left"/>
        <w:rPr>
          <w:sz w:val="24"/>
          <w:szCs w:val="24"/>
        </w:rPr>
      </w:pPr>
      <w:r w:rsidRPr="00B82DCB">
        <w:rPr>
          <w:sz w:val="24"/>
          <w:szCs w:val="24"/>
        </w:rPr>
        <w:t xml:space="preserve">(a) </w:t>
      </w:r>
      <w:r w:rsidR="00E219B0">
        <w:rPr>
          <w:sz w:val="24"/>
          <w:szCs w:val="24"/>
        </w:rPr>
        <w:t xml:space="preserve">reduction </w:t>
      </w:r>
      <w:r w:rsidR="00495768">
        <w:rPr>
          <w:sz w:val="24"/>
          <w:szCs w:val="24"/>
        </w:rPr>
        <w:t>of</w:t>
      </w:r>
      <w:r w:rsidR="00E219B0">
        <w:rPr>
          <w:sz w:val="24"/>
          <w:szCs w:val="24"/>
        </w:rPr>
        <w:t xml:space="preserve"> the current</w:t>
      </w:r>
      <w:r w:rsidR="00495768">
        <w:rPr>
          <w:sz w:val="24"/>
          <w:szCs w:val="24"/>
        </w:rPr>
        <w:t xml:space="preserve"> bureaucracy</w:t>
      </w:r>
      <w:r w:rsidR="00B8671A" w:rsidRPr="00B82DCB">
        <w:rPr>
          <w:sz w:val="24"/>
          <w:szCs w:val="24"/>
        </w:rPr>
        <w:t xml:space="preserve"> </w:t>
      </w:r>
      <w:r w:rsidR="00E219B0">
        <w:rPr>
          <w:sz w:val="24"/>
          <w:szCs w:val="24"/>
        </w:rPr>
        <w:t>and high transaction costs of</w:t>
      </w:r>
      <w:r w:rsidR="00495768">
        <w:rPr>
          <w:sz w:val="24"/>
          <w:szCs w:val="24"/>
        </w:rPr>
        <w:t xml:space="preserve"> </w:t>
      </w:r>
      <w:r w:rsidR="00B8671A" w:rsidRPr="00B82DCB">
        <w:rPr>
          <w:sz w:val="24"/>
          <w:szCs w:val="24"/>
        </w:rPr>
        <w:t xml:space="preserve">Technology Transfer Offices </w:t>
      </w:r>
      <w:r w:rsidR="00495768">
        <w:rPr>
          <w:sz w:val="24"/>
          <w:szCs w:val="24"/>
        </w:rPr>
        <w:t>which</w:t>
      </w:r>
      <w:r w:rsidR="00E219B0">
        <w:rPr>
          <w:sz w:val="24"/>
          <w:szCs w:val="24"/>
        </w:rPr>
        <w:t xml:space="preserve"> incur significant resources and accomplish little in the way of innovation and absorb</w:t>
      </w:r>
      <w:r w:rsidR="00495768">
        <w:rPr>
          <w:sz w:val="24"/>
          <w:szCs w:val="24"/>
        </w:rPr>
        <w:t xml:space="preserve"> are </w:t>
      </w:r>
      <w:r w:rsidRPr="00B82DCB">
        <w:rPr>
          <w:sz w:val="24"/>
          <w:szCs w:val="24"/>
        </w:rPr>
        <w:t>losing money and accomplishing little in the way of innovation</w:t>
      </w:r>
      <w:r w:rsidR="00080759">
        <w:rPr>
          <w:sz w:val="24"/>
          <w:szCs w:val="24"/>
        </w:rPr>
        <w:t>;</w:t>
      </w:r>
      <w:r w:rsidRPr="00B82DCB">
        <w:rPr>
          <w:sz w:val="24"/>
          <w:szCs w:val="24"/>
        </w:rPr>
        <w:t xml:space="preserve"> (b) engage industry</w:t>
      </w:r>
      <w:r w:rsidR="00495768">
        <w:rPr>
          <w:sz w:val="24"/>
          <w:szCs w:val="24"/>
        </w:rPr>
        <w:t xml:space="preserve"> and the public</w:t>
      </w:r>
      <w:r w:rsidRPr="00B82DCB">
        <w:rPr>
          <w:sz w:val="24"/>
          <w:szCs w:val="24"/>
        </w:rPr>
        <w:t xml:space="preserve"> in </w:t>
      </w:r>
      <w:r w:rsidR="00495768">
        <w:rPr>
          <w:sz w:val="24"/>
          <w:szCs w:val="24"/>
        </w:rPr>
        <w:t>purchasing and investing in</w:t>
      </w:r>
      <w:r w:rsidRPr="00B82DCB">
        <w:rPr>
          <w:sz w:val="24"/>
          <w:szCs w:val="24"/>
        </w:rPr>
        <w:t xml:space="preserve"> government research</w:t>
      </w:r>
      <w:r w:rsidR="00E219B0">
        <w:rPr>
          <w:sz w:val="24"/>
          <w:szCs w:val="24"/>
        </w:rPr>
        <w:t xml:space="preserve"> to provide</w:t>
      </w:r>
      <w:r w:rsidR="00495768">
        <w:rPr>
          <w:sz w:val="24"/>
          <w:szCs w:val="24"/>
        </w:rPr>
        <w:t xml:space="preserve"> greater benefit to society and </w:t>
      </w:r>
      <w:r w:rsidRPr="00B82DCB">
        <w:rPr>
          <w:sz w:val="24"/>
          <w:szCs w:val="24"/>
        </w:rPr>
        <w:t>a</w:t>
      </w:r>
      <w:r w:rsidR="00495768">
        <w:rPr>
          <w:sz w:val="24"/>
          <w:szCs w:val="24"/>
        </w:rPr>
        <w:t xml:space="preserve"> more</w:t>
      </w:r>
      <w:r w:rsidRPr="00B82DCB">
        <w:rPr>
          <w:sz w:val="24"/>
          <w:szCs w:val="24"/>
        </w:rPr>
        <w:t xml:space="preserve"> sustainable revenue </w:t>
      </w:r>
      <w:r w:rsidR="00495768">
        <w:rPr>
          <w:sz w:val="24"/>
          <w:szCs w:val="24"/>
        </w:rPr>
        <w:t>stream for</w:t>
      </w:r>
      <w:r w:rsidR="00E219B0">
        <w:rPr>
          <w:sz w:val="24"/>
          <w:szCs w:val="24"/>
        </w:rPr>
        <w:t xml:space="preserve"> </w:t>
      </w:r>
      <w:r w:rsidR="00B82DCB" w:rsidRPr="00B82DCB">
        <w:rPr>
          <w:sz w:val="24"/>
          <w:szCs w:val="24"/>
        </w:rPr>
        <w:t>funding</w:t>
      </w:r>
      <w:r w:rsidR="00E219B0">
        <w:rPr>
          <w:sz w:val="24"/>
          <w:szCs w:val="24"/>
        </w:rPr>
        <w:t xml:space="preserve"> </w:t>
      </w:r>
      <w:r w:rsidR="00495768">
        <w:rPr>
          <w:sz w:val="24"/>
          <w:szCs w:val="24"/>
        </w:rPr>
        <w:t xml:space="preserve">research. </w:t>
      </w:r>
    </w:p>
    <w:p w14:paraId="7AF62245" w14:textId="2F39CEBC" w:rsidR="00A72D34" w:rsidRDefault="00A72D34" w:rsidP="00E219B0">
      <w:r w:rsidRPr="005912EB">
        <w:t xml:space="preserve">Innovation </w:t>
      </w:r>
      <w:r>
        <w:t xml:space="preserve">entails </w:t>
      </w:r>
      <w:r w:rsidRPr="005912EB">
        <w:t>a process, product, and context</w:t>
      </w:r>
      <w:r>
        <w:t xml:space="preserve"> that creates new knowledge and transforms it into physical re</w:t>
      </w:r>
      <w:r w:rsidR="00E219B0">
        <w:t>ality</w:t>
      </w:r>
      <w:r>
        <w:t xml:space="preserve"> for the purpose of</w:t>
      </w:r>
      <w:r w:rsidR="000345C6">
        <w:t xml:space="preserve"> enriching and sustaining life on this planet</w:t>
      </w:r>
      <w:r w:rsidR="00495768">
        <w:t xml:space="preserve">. </w:t>
      </w:r>
      <w:r w:rsidR="000345C6">
        <w:t xml:space="preserve">It is much more than just inventing or </w:t>
      </w:r>
      <w:r w:rsidR="00E219B0">
        <w:t>coming up with</w:t>
      </w:r>
      <w:r w:rsidRPr="005912EB">
        <w:t xml:space="preserve"> new idea</w:t>
      </w:r>
      <w:r w:rsidR="00E219B0">
        <w:t>s</w:t>
      </w:r>
      <w:r w:rsidRPr="005912EB">
        <w:t xml:space="preserve">. </w:t>
      </w:r>
      <w:r w:rsidR="00B82DCB">
        <w:t xml:space="preserve">Federally funded labs and universities, supported by federal monies, </w:t>
      </w:r>
      <w:r w:rsidRPr="005912EB">
        <w:t>must become</w:t>
      </w:r>
      <w:r>
        <w:t xml:space="preserve"> domains</w:t>
      </w:r>
      <w:r w:rsidR="00E219B0">
        <w:t xml:space="preserve"> </w:t>
      </w:r>
      <w:r w:rsidR="00B82DCB">
        <w:t>tha</w:t>
      </w:r>
      <w:r w:rsidR="00E219B0">
        <w:t xml:space="preserve">t encourage </w:t>
      </w:r>
      <w:r w:rsidR="00B82DCB">
        <w:t>interdisciplinary</w:t>
      </w:r>
      <w:r>
        <w:t xml:space="preserve"> </w:t>
      </w:r>
      <w:r w:rsidRPr="005912EB">
        <w:t xml:space="preserve">interaction </w:t>
      </w:r>
      <w:r>
        <w:t>between</w:t>
      </w:r>
      <w:r w:rsidR="00B82DCB">
        <w:t xml:space="preserve"> stakeholders,</w:t>
      </w:r>
      <w:r>
        <w:t xml:space="preserve"> </w:t>
      </w:r>
      <w:r w:rsidR="00E219B0">
        <w:t xml:space="preserve">and that facilitate </w:t>
      </w:r>
      <w:r>
        <w:t>the producti</w:t>
      </w:r>
      <w:r w:rsidR="00B82DCB">
        <w:t>on and dissemination of useful knowledge for society</w:t>
      </w:r>
      <w:r w:rsidRPr="005912EB">
        <w:t xml:space="preserve">. </w:t>
      </w:r>
    </w:p>
    <w:p w14:paraId="4F8DAF3F" w14:textId="14EEC997" w:rsidR="00A72D34" w:rsidRDefault="00A72D34" w:rsidP="00A72D34">
      <w:r w:rsidRPr="005912EB">
        <w:t>The broader implicatio</w:t>
      </w:r>
      <w:r>
        <w:t>ns of relational action research for the society are significant</w:t>
      </w:r>
      <w:r w:rsidRPr="005912EB">
        <w:t xml:space="preserve">. </w:t>
      </w:r>
      <w:r w:rsidR="000345C6">
        <w:t>It</w:t>
      </w:r>
      <w:r>
        <w:t xml:space="preserve"> can be </w:t>
      </w:r>
      <w:r w:rsidR="000345C6">
        <w:t xml:space="preserve">employed to integrate ideas, </w:t>
      </w:r>
      <w:r>
        <w:t>bridge differences</w:t>
      </w:r>
      <w:r w:rsidR="000345C6">
        <w:t>, and generate improvement</w:t>
      </w:r>
      <w:r>
        <w:t xml:space="preserve"> in every social institution and sphere of life</w:t>
      </w:r>
      <w:r w:rsidR="00B82DCB">
        <w:t xml:space="preserve">. </w:t>
      </w:r>
      <w:r w:rsidRPr="005912EB">
        <w:t xml:space="preserve">Relational research </w:t>
      </w:r>
      <w:r w:rsidR="00E219B0">
        <w:t>represents a powerful organizational</w:t>
      </w:r>
      <w:r>
        <w:t xml:space="preserve"> stra</w:t>
      </w:r>
      <w:r w:rsidR="00B82DCB">
        <w:t xml:space="preserve">tegy </w:t>
      </w:r>
      <w:r>
        <w:t>th</w:t>
      </w:r>
      <w:r w:rsidR="000345C6">
        <w:t>at allows all stakeholders</w:t>
      </w:r>
      <w:r>
        <w:t xml:space="preserve"> to engage</w:t>
      </w:r>
      <w:r w:rsidRPr="005912EB">
        <w:t xml:space="preserve"> in dialogue </w:t>
      </w:r>
      <w:r>
        <w:t>concerning important issues and develop</w:t>
      </w:r>
      <w:r w:rsidRPr="005912EB">
        <w:t xml:space="preserve"> grounded theorie</w:t>
      </w:r>
      <w:r>
        <w:t>s of action to</w:t>
      </w:r>
      <w:r w:rsidRPr="005912EB">
        <w:t xml:space="preserve"> </w:t>
      </w:r>
      <w:r>
        <w:t xml:space="preserve">enhance </w:t>
      </w:r>
      <w:r w:rsidRPr="005912EB">
        <w:t xml:space="preserve">the </w:t>
      </w:r>
      <w:r w:rsidRPr="005912EB">
        <w:lastRenderedPageBreak/>
        <w:t>human condition</w:t>
      </w:r>
      <w:r>
        <w:t>—it forms the essence of an active</w:t>
      </w:r>
      <w:r w:rsidR="00E219B0">
        <w:t>, growth-oriented,</w:t>
      </w:r>
      <w:r>
        <w:t xml:space="preserve"> </w:t>
      </w:r>
      <w:r w:rsidR="00B56324">
        <w:t xml:space="preserve">and </w:t>
      </w:r>
      <w:r>
        <w:t xml:space="preserve">democratic society. </w:t>
      </w:r>
    </w:p>
    <w:p w14:paraId="3EC0076C" w14:textId="77777777" w:rsidR="00D34755" w:rsidRDefault="00D34755" w:rsidP="00610E6C">
      <w:pPr>
        <w:ind w:firstLine="0"/>
        <w:rPr>
          <w:b/>
        </w:rPr>
      </w:pPr>
    </w:p>
    <w:p w14:paraId="6A149395" w14:textId="02FC9911" w:rsidR="00610E6C" w:rsidRDefault="00610E6C" w:rsidP="00610E6C">
      <w:pPr>
        <w:ind w:firstLine="0"/>
        <w:rPr>
          <w:b/>
        </w:rPr>
      </w:pPr>
      <w:r w:rsidRPr="00610E6C">
        <w:rPr>
          <w:b/>
        </w:rPr>
        <w:t>References</w:t>
      </w:r>
    </w:p>
    <w:p w14:paraId="2D9E37B9" w14:textId="1B306270" w:rsidR="00730687" w:rsidRDefault="00730687" w:rsidP="00730687">
      <w:pPr>
        <w:ind w:left="720" w:hanging="720"/>
      </w:pPr>
      <w:r w:rsidRPr="009043D5">
        <w:t xml:space="preserve">Arthur, W. B., Day, J., Jaworski, J., Jung, M., Nonaka, I., Scharmer, O. C., &amp; Senge, P. M. (2000). </w:t>
      </w:r>
      <w:r w:rsidRPr="009043D5">
        <w:rPr>
          <w:i/>
        </w:rPr>
        <w:t>Illuminating the blind spot</w:t>
      </w:r>
      <w:r w:rsidRPr="009043D5">
        <w:t>. New York, NY: McKinsey Society of Organizational Learning Leadership Project.</w:t>
      </w:r>
    </w:p>
    <w:p w14:paraId="38B4A26F" w14:textId="13792820" w:rsidR="002B371F" w:rsidRDefault="002B371F" w:rsidP="002B371F">
      <w:pPr>
        <w:ind w:left="720" w:hanging="720"/>
      </w:pPr>
      <w:r w:rsidRPr="009043D5">
        <w:t xml:space="preserve">Baerveldt, C., &amp; Verheggen, T. (1999). Enactivism and the experiential reality of culture: Rethinking the epistemological basis of cultural psychology. </w:t>
      </w:r>
      <w:r w:rsidRPr="009043D5">
        <w:rPr>
          <w:i/>
        </w:rPr>
        <w:t>Culture &amp; Psychology</w:t>
      </w:r>
      <w:r w:rsidRPr="009043D5">
        <w:t xml:space="preserve">, </w:t>
      </w:r>
      <w:r w:rsidRPr="009043D5">
        <w:rPr>
          <w:i/>
        </w:rPr>
        <w:t>5</w:t>
      </w:r>
      <w:r w:rsidRPr="009043D5">
        <w:t>(2), 183–206. </w:t>
      </w:r>
    </w:p>
    <w:p w14:paraId="1A79BCCE" w14:textId="0D61071A" w:rsidR="00E00C45" w:rsidRPr="009043D5" w:rsidRDefault="004C62B0" w:rsidP="00E00C45">
      <w:pPr>
        <w:ind w:left="720" w:hanging="720"/>
      </w:pPr>
      <w:r>
        <w:t>Bartlett, T. (2017</w:t>
      </w:r>
      <w:r w:rsidR="00E00C45" w:rsidRPr="009043D5">
        <w:t xml:space="preserve">). Spoiled science: How a seemingly innocent blog post led to serious doubts about Cornell’s famous food laboratory. </w:t>
      </w:r>
      <w:r w:rsidR="00E00C45" w:rsidRPr="009043D5">
        <w:rPr>
          <w:i/>
        </w:rPr>
        <w:t>The Chronicle Review</w:t>
      </w:r>
      <w:r w:rsidR="00E00C45" w:rsidRPr="009043D5">
        <w:t>. Retrieved from https://www.chronicle.com/article/Spoiled-Science/239529</w:t>
      </w:r>
    </w:p>
    <w:p w14:paraId="1F6FAE2D" w14:textId="6056ADF0" w:rsidR="00E00C45" w:rsidRDefault="00265B0C" w:rsidP="00265B0C">
      <w:pPr>
        <w:ind w:left="720" w:hanging="720"/>
      </w:pPr>
      <w:r w:rsidRPr="009043D5">
        <w:t xml:space="preserve">Bhaskar, R. (1997). </w:t>
      </w:r>
      <w:r w:rsidRPr="009043D5">
        <w:rPr>
          <w:i/>
          <w:iCs/>
        </w:rPr>
        <w:t>A realist theory of science</w:t>
      </w:r>
      <w:r w:rsidRPr="009043D5">
        <w:t xml:space="preserve"> (2nd ed.). London, England: Verso Press.</w:t>
      </w:r>
    </w:p>
    <w:p w14:paraId="428BEEDF" w14:textId="77777777" w:rsidR="0055056F" w:rsidRDefault="0055056F" w:rsidP="0055056F">
      <w:pPr>
        <w:ind w:left="720" w:hanging="720"/>
        <w:rPr>
          <w:rStyle w:val="reference-accessdate"/>
          <w:rFonts w:eastAsia="Times New Roman"/>
          <w:iCs/>
        </w:rPr>
      </w:pPr>
      <w:r w:rsidRPr="009043D5">
        <w:t xml:space="preserve">Bush, V. (1945). </w:t>
      </w:r>
      <w:r w:rsidRPr="00025EED">
        <w:rPr>
          <w:i/>
        </w:rPr>
        <w:t>Science, the endless frontier: A report to the president</w:t>
      </w:r>
      <w:r w:rsidRPr="009043D5">
        <w:t>.</w:t>
      </w:r>
      <w:r w:rsidRPr="009043D5">
        <w:rPr>
          <w:rStyle w:val="HTMLCite"/>
          <w:rFonts w:eastAsia="Times New Roman"/>
        </w:rPr>
        <w:t xml:space="preserve"> </w:t>
      </w:r>
      <w:r w:rsidRPr="00025EED">
        <w:rPr>
          <w:rStyle w:val="HTMLCite"/>
          <w:rFonts w:eastAsia="Times New Roman"/>
        </w:rPr>
        <w:t>Washington, DC: U.</w:t>
      </w:r>
      <w:r w:rsidRPr="009043D5">
        <w:rPr>
          <w:rStyle w:val="HTMLCite"/>
          <w:rFonts w:eastAsia="Times New Roman"/>
        </w:rPr>
        <w:t xml:space="preserve"> </w:t>
      </w:r>
      <w:r w:rsidRPr="00025EED">
        <w:rPr>
          <w:rStyle w:val="HTMLCite"/>
          <w:rFonts w:eastAsia="Times New Roman"/>
        </w:rPr>
        <w:t>S. Government Printing Office</w:t>
      </w:r>
      <w:r w:rsidRPr="009043D5">
        <w:rPr>
          <w:rStyle w:val="HTMLCite"/>
          <w:rFonts w:eastAsia="Times New Roman"/>
        </w:rPr>
        <w:t>.</w:t>
      </w:r>
      <w:r w:rsidRPr="009043D5">
        <w:rPr>
          <w:rStyle w:val="reference-accessdate"/>
          <w:rFonts w:eastAsia="Times New Roman"/>
          <w:iCs/>
        </w:rPr>
        <w:t xml:space="preserve"> Retrieved from</w:t>
      </w:r>
      <w:r w:rsidRPr="009043D5">
        <w:t xml:space="preserve"> </w:t>
      </w:r>
      <w:hyperlink r:id="rId23" w:history="1">
        <w:r w:rsidRPr="00025EED">
          <w:rPr>
            <w:rStyle w:val="Hyperlink"/>
            <w:rFonts w:eastAsia="Times New Roman"/>
            <w:iCs/>
            <w:color w:val="auto"/>
            <w:u w:val="none"/>
          </w:rPr>
          <w:t>https://www.nsf.gov/about/history/vbush1945.htm</w:t>
        </w:r>
      </w:hyperlink>
    </w:p>
    <w:p w14:paraId="2A36F9F7" w14:textId="77777777" w:rsidR="00730687" w:rsidRDefault="00730687" w:rsidP="00730687">
      <w:pPr>
        <w:ind w:left="720" w:hanging="720"/>
      </w:pPr>
      <w:r w:rsidRPr="009043D5">
        <w:t xml:space="preserve">Chesbrough, H. W. (2003). </w:t>
      </w:r>
      <w:r w:rsidRPr="00025EED">
        <w:rPr>
          <w:i/>
        </w:rPr>
        <w:t>Open innovation: The new imperative for creating and profiting from technology</w:t>
      </w:r>
      <w:r w:rsidRPr="009043D5">
        <w:t>. Boston, MA: Harvard Business School Press.</w:t>
      </w:r>
    </w:p>
    <w:p w14:paraId="43C511CC" w14:textId="77777777" w:rsidR="00730687" w:rsidRPr="009043D5" w:rsidRDefault="00730687" w:rsidP="00730687">
      <w:pPr>
        <w:ind w:left="720" w:hanging="720"/>
      </w:pPr>
      <w:r w:rsidRPr="009043D5">
        <w:t xml:space="preserve">Chesbrough, H. (2006). </w:t>
      </w:r>
      <w:r w:rsidRPr="009043D5">
        <w:rPr>
          <w:i/>
        </w:rPr>
        <w:t>Open business models: How to thrive in the new innovation landscape</w:t>
      </w:r>
      <w:r w:rsidRPr="009043D5">
        <w:t>. Boston, MA: Harvard Business School Press.</w:t>
      </w:r>
    </w:p>
    <w:p w14:paraId="0B72C10C" w14:textId="4CF8375C" w:rsidR="004C62B0" w:rsidRDefault="004C62B0" w:rsidP="004C62B0">
      <w:pPr>
        <w:ind w:left="720" w:hanging="720"/>
      </w:pPr>
      <w:r w:rsidRPr="009043D5">
        <w:lastRenderedPageBreak/>
        <w:t xml:space="preserve">Colquhoun, D. (2016). </w:t>
      </w:r>
      <w:r w:rsidRPr="00025EED">
        <w:rPr>
          <w:i/>
        </w:rPr>
        <w:t>The problem with p-values</w:t>
      </w:r>
      <w:r w:rsidRPr="009043D5">
        <w:t xml:space="preserve">. Retrieved from </w:t>
      </w:r>
      <w:hyperlink r:id="rId24" w:history="1">
        <w:r w:rsidRPr="00025EED">
          <w:rPr>
            <w:rStyle w:val="Hyperlink"/>
            <w:color w:val="auto"/>
            <w:u w:val="none"/>
          </w:rPr>
          <w:t>https://aeon.co/essays/it-s-time-for-science-to-abandon-the-term-statistically-significant</w:t>
        </w:r>
      </w:hyperlink>
    </w:p>
    <w:p w14:paraId="39192E83" w14:textId="77777777" w:rsidR="00DC2117" w:rsidRPr="009043D5" w:rsidRDefault="00DC2117" w:rsidP="00DC2117">
      <w:pPr>
        <w:ind w:left="720" w:hanging="720"/>
      </w:pPr>
      <w:r w:rsidRPr="009043D5">
        <w:t xml:space="preserve">Cooperrider, D., &amp; Srivastva, S. (1987). Appreciative inquiry in organizational life. In R. Woodman &amp; W. Pasmore (Eds.), </w:t>
      </w:r>
      <w:r w:rsidRPr="009043D5">
        <w:rPr>
          <w:i/>
        </w:rPr>
        <w:t>Research in organizational change and development</w:t>
      </w:r>
      <w:r w:rsidRPr="009043D5">
        <w:t xml:space="preserve"> (pp. 129–169). Greenwich, CT: JAI Press.</w:t>
      </w:r>
    </w:p>
    <w:p w14:paraId="6B9FB7F3" w14:textId="77777777" w:rsidR="004E58C2" w:rsidRDefault="00487CC4" w:rsidP="004E58C2">
      <w:pPr>
        <w:ind w:left="720" w:hanging="720"/>
        <w:rPr>
          <w:bCs/>
          <w:bdr w:val="none" w:sz="0" w:space="0" w:color="auto" w:frame="1"/>
        </w:rPr>
      </w:pPr>
      <w:r w:rsidRPr="00A02887">
        <w:t xml:space="preserve">Danermark, B., Ekstrom, M., Jakobsen, L., &amp; Karlsson, J. C. (2002). </w:t>
      </w:r>
      <w:r w:rsidRPr="00A02887">
        <w:rPr>
          <w:i/>
        </w:rPr>
        <w:t>Explaining society: Critical realism in the social sciences</w:t>
      </w:r>
      <w:r>
        <w:t>. London: Routledge</w:t>
      </w:r>
    </w:p>
    <w:p w14:paraId="41CA76B1" w14:textId="411D61CC" w:rsidR="004E58C2" w:rsidRPr="004E58C2" w:rsidRDefault="004E58C2" w:rsidP="004E58C2">
      <w:pPr>
        <w:ind w:left="720" w:hanging="720"/>
        <w:rPr>
          <w:bCs/>
          <w:bdr w:val="none" w:sz="0" w:space="0" w:color="auto" w:frame="1"/>
        </w:rPr>
      </w:pPr>
      <w:r w:rsidRPr="004E58C2">
        <w:rPr>
          <w:rFonts w:eastAsiaTheme="minorEastAsia"/>
          <w:color w:val="000000"/>
        </w:rPr>
        <w:t xml:space="preserve">Denzin, N. K. (2009). The elephant in the living room: or extending the conversation about the politics of evidence. </w:t>
      </w:r>
      <w:r w:rsidRPr="004E58C2">
        <w:rPr>
          <w:rFonts w:eastAsiaTheme="minorEastAsia"/>
          <w:i/>
          <w:color w:val="000000"/>
        </w:rPr>
        <w:t>Qualitative Research</w:t>
      </w:r>
      <w:r w:rsidRPr="004E58C2">
        <w:rPr>
          <w:rFonts w:eastAsiaTheme="minorEastAsia"/>
          <w:color w:val="000000"/>
        </w:rPr>
        <w:t xml:space="preserve">, </w:t>
      </w:r>
      <w:r w:rsidRPr="004E58C2">
        <w:rPr>
          <w:rFonts w:eastAsiaTheme="minorEastAsia"/>
        </w:rPr>
        <w:t xml:space="preserve">vol. 9(2) 139–160. </w:t>
      </w:r>
    </w:p>
    <w:p w14:paraId="313D974F" w14:textId="1E2263C7" w:rsidR="00DC2117" w:rsidRPr="00265B0C" w:rsidRDefault="00422BB0" w:rsidP="00265B0C">
      <w:pPr>
        <w:ind w:left="720" w:hanging="720"/>
        <w:rPr>
          <w:rFonts w:eastAsia="Times New Roman"/>
          <w:iCs/>
        </w:rPr>
      </w:pPr>
      <w:r>
        <w:t>Department of C</w:t>
      </w:r>
      <w:r w:rsidRPr="00422BB0">
        <w:t>ommerce, National Institute of Standards and</w:t>
      </w:r>
      <w:r>
        <w:t xml:space="preserve"> </w:t>
      </w:r>
      <w:r w:rsidRPr="00422BB0">
        <w:t>Technology. (2018). Request for Information Regarding Federal Technology Transfer Authorities and Processes [Docket Number: 180220199–819–01], Federal Register, Vol. 83, No. 84, Notices 19053-19054, May 1, 2018</w:t>
      </w:r>
      <w:r>
        <w:t xml:space="preserve">. </w:t>
      </w:r>
    </w:p>
    <w:p w14:paraId="689718B9" w14:textId="77777777" w:rsidR="00DC2117" w:rsidRPr="009043D5" w:rsidRDefault="00DC2117" w:rsidP="00DC2117">
      <w:pPr>
        <w:ind w:left="720" w:hanging="720"/>
      </w:pPr>
      <w:r w:rsidRPr="009043D5">
        <w:t xml:space="preserve">Dewey, J. (1976). Essays on logical theory. In J. A. Boydston (Ed.), </w:t>
      </w:r>
      <w:r w:rsidRPr="009043D5">
        <w:rPr>
          <w:bCs/>
          <w:i/>
        </w:rPr>
        <w:t>The later works of John Dewey</w:t>
      </w:r>
      <w:r w:rsidRPr="009043D5">
        <w:rPr>
          <w:bCs/>
        </w:rPr>
        <w:t xml:space="preserve"> (</w:t>
      </w:r>
      <w:r w:rsidRPr="00025EED">
        <w:rPr>
          <w:bCs/>
        </w:rPr>
        <w:t>Vol. 17)</w:t>
      </w:r>
      <w:r w:rsidRPr="009043D5">
        <w:rPr>
          <w:bCs/>
        </w:rPr>
        <w:t xml:space="preserve">. </w:t>
      </w:r>
      <w:r w:rsidRPr="009043D5">
        <w:t xml:space="preserve">Carbondale, IL: Southern Illinois Press. </w:t>
      </w:r>
    </w:p>
    <w:p w14:paraId="22E28F10" w14:textId="175E7ED4" w:rsidR="00DC2117" w:rsidRDefault="00DC2117" w:rsidP="00DC2117">
      <w:pPr>
        <w:ind w:left="720" w:hanging="720"/>
      </w:pPr>
      <w:r w:rsidRPr="009043D5">
        <w:t xml:space="preserve">Dewey, J. (1991). </w:t>
      </w:r>
      <w:r w:rsidRPr="009043D5">
        <w:rPr>
          <w:i/>
        </w:rPr>
        <w:t>Logic: The theory of inquiry</w:t>
      </w:r>
      <w:r w:rsidRPr="009043D5">
        <w:t xml:space="preserve">. Carbondale, IL: Southern Illinois Press. </w:t>
      </w:r>
    </w:p>
    <w:p w14:paraId="26BE0A94" w14:textId="555A9531" w:rsidR="002E036E" w:rsidRDefault="002E036E" w:rsidP="002E036E">
      <w:pPr>
        <w:ind w:left="720" w:hanging="720"/>
      </w:pPr>
      <w:r w:rsidRPr="009043D5">
        <w:t xml:space="preserve">Economist (2013, January 12). The great innovation debate. </w:t>
      </w:r>
      <w:r w:rsidRPr="009043D5">
        <w:rPr>
          <w:i/>
        </w:rPr>
        <w:t>Economist Magazine</w:t>
      </w:r>
      <w:r w:rsidRPr="009043D5">
        <w:t xml:space="preserve">. Retrieved from </w:t>
      </w:r>
      <w:r w:rsidRPr="00025EED">
        <w:rPr>
          <w:rStyle w:val="Hyperlink"/>
          <w:color w:val="auto"/>
          <w:u w:val="none"/>
        </w:rPr>
        <w:t>https://www.economist.com/news/leaders/21569393-fears-innovation-slowing-are-exaggerated-governments-need-help-it-along-great</w:t>
      </w:r>
    </w:p>
    <w:p w14:paraId="316677D4" w14:textId="4F0C1BEC" w:rsidR="002E036E" w:rsidRDefault="002E036E" w:rsidP="002E036E">
      <w:pPr>
        <w:ind w:left="720" w:hanging="720"/>
      </w:pPr>
      <w:r w:rsidRPr="002401A3">
        <w:rPr>
          <w:rStyle w:val="Hyperlink"/>
          <w:color w:val="auto"/>
          <w:u w:val="none"/>
        </w:rPr>
        <w:t>Edwards, M. A. and Roy, S. (2015). Academic research in the 21</w:t>
      </w:r>
      <w:r w:rsidRPr="002401A3">
        <w:rPr>
          <w:rStyle w:val="Hyperlink"/>
          <w:color w:val="auto"/>
          <w:u w:val="none"/>
          <w:vertAlign w:val="superscript"/>
        </w:rPr>
        <w:t>st</w:t>
      </w:r>
      <w:r w:rsidRPr="002401A3">
        <w:rPr>
          <w:rStyle w:val="Hyperlink"/>
          <w:color w:val="auto"/>
          <w:u w:val="none"/>
        </w:rPr>
        <w:t xml:space="preserve"> century: Maintaining scientific integrity in a climate of perverse incentives and hypercompetition. </w:t>
      </w:r>
      <w:r w:rsidRPr="002401A3">
        <w:rPr>
          <w:rStyle w:val="Hyperlink"/>
          <w:i/>
          <w:color w:val="auto"/>
          <w:u w:val="none"/>
        </w:rPr>
        <w:lastRenderedPageBreak/>
        <w:t>Environmental Engineering Science</w:t>
      </w:r>
      <w:r w:rsidRPr="002401A3">
        <w:rPr>
          <w:rStyle w:val="Hyperlink"/>
          <w:color w:val="auto"/>
          <w:u w:val="none"/>
        </w:rPr>
        <w:t xml:space="preserve">, Vol. 34, No. 1. Retrieved </w:t>
      </w:r>
      <w:hyperlink r:id="rId25" w:history="1">
        <w:r w:rsidRPr="002401A3">
          <w:rPr>
            <w:rStyle w:val="Hyperlink"/>
            <w:rFonts w:eastAsia="Times New Roman"/>
            <w:color w:val="auto"/>
          </w:rPr>
          <w:t>https://doi.org/10.1089/ees.2016.0223</w:t>
        </w:r>
      </w:hyperlink>
    </w:p>
    <w:p w14:paraId="665468DA" w14:textId="77777777" w:rsidR="00E00C45" w:rsidRPr="002A5A78" w:rsidRDefault="00E00C45" w:rsidP="00E00C45">
      <w:pPr>
        <w:ind w:left="720" w:hanging="720"/>
      </w:pPr>
      <w:r w:rsidRPr="009043D5">
        <w:t xml:space="preserve">Elsevier. (2013). </w:t>
      </w:r>
      <w:r w:rsidRPr="00025EED">
        <w:rPr>
          <w:i/>
        </w:rPr>
        <w:t>International comparative performance of the England research base, 2013</w:t>
      </w:r>
      <w:r w:rsidRPr="009043D5">
        <w:t xml:space="preserve">. Retrieved from </w:t>
      </w:r>
      <w:r w:rsidRPr="00025EED">
        <w:rPr>
          <w:rStyle w:val="Hyperlink"/>
          <w:rFonts w:eastAsia="Times New Roman"/>
          <w:color w:val="auto"/>
          <w:u w:val="none"/>
        </w:rPr>
        <w:t>https://www.gov.uk/government/publications/performance-of-the-uk-research-base-international-comparison-2013</w:t>
      </w:r>
    </w:p>
    <w:p w14:paraId="2D63BCF2" w14:textId="56F151EF" w:rsidR="00E00C45" w:rsidRDefault="00E00C45" w:rsidP="00E00C45">
      <w:pPr>
        <w:ind w:left="720" w:hanging="720"/>
      </w:pPr>
      <w:bookmarkStart w:id="12" w:name="_Hlk507724162"/>
      <w:r w:rsidRPr="009043D5">
        <w:t xml:space="preserve">Eveleth, R. (2014, June 10). Academics write papers arguing over how many people read (and cite) their papers. </w:t>
      </w:r>
      <w:r w:rsidRPr="009043D5">
        <w:rPr>
          <w:i/>
        </w:rPr>
        <w:t>Smithsonian Magazine</w:t>
      </w:r>
      <w:r w:rsidRPr="009043D5">
        <w:t xml:space="preserve">. Retrieved from </w:t>
      </w:r>
      <w:r w:rsidRPr="00025EED">
        <w:t>http://www.smithsonianmag.com/smart-news/half-academic-studies-are-never-read-more-three-peop180950222/#UQYwwFssJUeZPJbQ.99</w:t>
      </w:r>
      <w:bookmarkEnd w:id="12"/>
    </w:p>
    <w:p w14:paraId="7FB82189" w14:textId="77777777" w:rsidR="00D666EE" w:rsidRPr="005910C1" w:rsidRDefault="00D666EE" w:rsidP="00D666EE">
      <w:pPr>
        <w:ind w:left="720" w:hanging="720"/>
        <w:rPr>
          <w:rFonts w:eastAsia="Times New Roman"/>
        </w:rPr>
      </w:pPr>
      <w:r w:rsidRPr="009043D5">
        <w:t xml:space="preserve">Flaherty, C. (2015, August 28). </w:t>
      </w:r>
      <w:r w:rsidRPr="00025EED">
        <w:rPr>
          <w:i/>
        </w:rPr>
        <w:t>Why replication matters</w:t>
      </w:r>
      <w:r w:rsidRPr="009043D5">
        <w:t>. Retrieved from https://www.insidehighered.com/news/2015/08/28/landmark-study-suggests-most-psychology-studies-dont-yield-reproducible-results</w:t>
      </w:r>
    </w:p>
    <w:p w14:paraId="55EB734A" w14:textId="77777777" w:rsidR="00D666EE" w:rsidRDefault="00D666EE" w:rsidP="00D666EE">
      <w:pPr>
        <w:ind w:left="720" w:hanging="720"/>
      </w:pPr>
      <w:r w:rsidRPr="009043D5">
        <w:t xml:space="preserve">Fuller, S. (2007). </w:t>
      </w:r>
      <w:r w:rsidRPr="00025EED">
        <w:rPr>
          <w:i/>
        </w:rPr>
        <w:t>The knowledge book: Key concepts in philosophy, science and culture</w:t>
      </w:r>
      <w:r w:rsidRPr="009043D5">
        <w:t xml:space="preserve">. Montreal, Canada: McGill Queens University Press. </w:t>
      </w:r>
    </w:p>
    <w:p w14:paraId="7BDF625D" w14:textId="57A60FC2" w:rsidR="00AC1FB7" w:rsidRPr="00AC1FB7" w:rsidRDefault="00AC1FB7" w:rsidP="00AC1FB7">
      <w:pPr>
        <w:ind w:left="720" w:hanging="720"/>
        <w:rPr>
          <w:rFonts w:eastAsia="Times New Roman"/>
        </w:rPr>
      </w:pPr>
      <w:r w:rsidRPr="009043D5">
        <w:rPr>
          <w:rFonts w:eastAsia="Times New Roman"/>
        </w:rPr>
        <w:t xml:space="preserve">Fuller, S. (2009). </w:t>
      </w:r>
      <w:r w:rsidRPr="009043D5">
        <w:t>Knowledge politics and new converging technologies: A social epistemological</w:t>
      </w:r>
      <w:r w:rsidRPr="009043D5">
        <w:rPr>
          <w:rFonts w:eastAsia="Times New Roman"/>
        </w:rPr>
        <w:t xml:space="preserve"> </w:t>
      </w:r>
      <w:r w:rsidRPr="009043D5">
        <w:t xml:space="preserve">perspective. </w:t>
      </w:r>
      <w:r w:rsidRPr="009043D5">
        <w:rPr>
          <w:i/>
        </w:rPr>
        <w:t>Innovation: The European Journal of Social Science Research</w:t>
      </w:r>
      <w:r w:rsidRPr="009043D5">
        <w:t xml:space="preserve">, </w:t>
      </w:r>
      <w:r w:rsidRPr="00025EED">
        <w:rPr>
          <w:i/>
        </w:rPr>
        <w:t>22</w:t>
      </w:r>
      <w:r w:rsidRPr="009043D5">
        <w:t xml:space="preserve">(1), 7–34. </w:t>
      </w:r>
    </w:p>
    <w:p w14:paraId="44B2B4BA" w14:textId="77777777" w:rsidR="00D666EE" w:rsidRPr="009043D5" w:rsidRDefault="00D666EE" w:rsidP="00D666EE">
      <w:pPr>
        <w:ind w:left="720" w:hanging="720"/>
      </w:pPr>
      <w:r w:rsidRPr="009043D5">
        <w:t>Gergen, K. J., &amp; Thatchenkery, T. J. (1998). Organizational science in a postmodern context. </w:t>
      </w:r>
      <w:r w:rsidRPr="009043D5">
        <w:rPr>
          <w:i/>
          <w:iCs/>
        </w:rPr>
        <w:t>Journal of Applied Behavioral Science</w:t>
      </w:r>
      <w:r w:rsidRPr="009043D5">
        <w:t xml:space="preserve">, </w:t>
      </w:r>
      <w:r w:rsidRPr="009043D5">
        <w:rPr>
          <w:bCs/>
          <w:i/>
        </w:rPr>
        <w:t>32</w:t>
      </w:r>
      <w:r w:rsidRPr="009043D5">
        <w:t>, 356–378.</w:t>
      </w:r>
    </w:p>
    <w:p w14:paraId="223893ED" w14:textId="2CD0D681" w:rsidR="002E036E" w:rsidRDefault="00D666EE" w:rsidP="00D666EE">
      <w:pPr>
        <w:ind w:left="720" w:hanging="720"/>
      </w:pPr>
      <w:r w:rsidRPr="009043D5">
        <w:t xml:space="preserve">Gergen, K. J. (2001). Psychological science in a post-modern context. </w:t>
      </w:r>
      <w:r w:rsidRPr="009043D5">
        <w:rPr>
          <w:i/>
        </w:rPr>
        <w:t>The American Psychologist</w:t>
      </w:r>
      <w:r w:rsidRPr="009043D5">
        <w:t xml:space="preserve">, </w:t>
      </w:r>
      <w:r w:rsidRPr="009043D5">
        <w:rPr>
          <w:i/>
        </w:rPr>
        <w:t>56</w:t>
      </w:r>
      <w:r w:rsidRPr="009043D5">
        <w:t>, 803–813.</w:t>
      </w:r>
      <w:r w:rsidR="00610E6C" w:rsidRPr="009043D5">
        <w:t xml:space="preserve">Hellstrom, T. (2004). Innovation as social action. </w:t>
      </w:r>
      <w:r w:rsidR="00610E6C" w:rsidRPr="009043D5">
        <w:rPr>
          <w:i/>
          <w:iCs/>
        </w:rPr>
        <w:t>Organization</w:t>
      </w:r>
      <w:r w:rsidR="00610E6C" w:rsidRPr="00025EED">
        <w:t>,</w:t>
      </w:r>
      <w:r w:rsidR="00610E6C" w:rsidRPr="009043D5">
        <w:t xml:space="preserve"> </w:t>
      </w:r>
      <w:r w:rsidR="00610E6C" w:rsidRPr="009043D5">
        <w:rPr>
          <w:i/>
        </w:rPr>
        <w:t>11</w:t>
      </w:r>
      <w:r w:rsidR="00610E6C" w:rsidRPr="009043D5">
        <w:t>(5), 631–649.</w:t>
      </w:r>
    </w:p>
    <w:p w14:paraId="293B9D61" w14:textId="77777777" w:rsidR="00487CC4" w:rsidRPr="009043D5" w:rsidRDefault="00487CC4" w:rsidP="00487CC4">
      <w:pPr>
        <w:ind w:left="720" w:hanging="720"/>
      </w:pPr>
      <w:r w:rsidRPr="009043D5">
        <w:lastRenderedPageBreak/>
        <w:t xml:space="preserve">Gergen, K. J. (2012). </w:t>
      </w:r>
      <w:r w:rsidRPr="009043D5">
        <w:rPr>
          <w:i/>
        </w:rPr>
        <w:t>Relational being: Beyond self and community</w:t>
      </w:r>
      <w:r w:rsidRPr="009043D5">
        <w:t xml:space="preserve">. Oxford, England: Oxford University Press. </w:t>
      </w:r>
    </w:p>
    <w:p w14:paraId="6F1167BB" w14:textId="77777777" w:rsidR="00487CC4" w:rsidRPr="009043D5" w:rsidRDefault="00487CC4" w:rsidP="00487CC4">
      <w:pPr>
        <w:ind w:left="720" w:hanging="720"/>
        <w:rPr>
          <w:b/>
          <w:u w:val="single"/>
        </w:rPr>
      </w:pPr>
      <w:r w:rsidRPr="009043D5">
        <w:t xml:space="preserve">Gergen, K. J. (2014). Pursuing excellence in qualitative inquiry. </w:t>
      </w:r>
      <w:r w:rsidRPr="009043D5">
        <w:rPr>
          <w:i/>
        </w:rPr>
        <w:t>Qualitative Psychology</w:t>
      </w:r>
      <w:r w:rsidRPr="009043D5">
        <w:t xml:space="preserve">, </w:t>
      </w:r>
      <w:r w:rsidRPr="009043D5">
        <w:rPr>
          <w:i/>
        </w:rPr>
        <w:t>1</w:t>
      </w:r>
      <w:r w:rsidRPr="009043D5">
        <w:t xml:space="preserve">(1), 49–60. </w:t>
      </w:r>
    </w:p>
    <w:p w14:paraId="0D3444AF" w14:textId="3C18CBC6" w:rsidR="00487CC4" w:rsidRDefault="00487CC4" w:rsidP="00487CC4">
      <w:pPr>
        <w:ind w:left="720" w:hanging="720"/>
      </w:pPr>
      <w:r w:rsidRPr="009043D5">
        <w:t xml:space="preserve">Gergen, K. J. (2015). From mirroring to world-making: Research as future forming. </w:t>
      </w:r>
      <w:r w:rsidRPr="009043D5">
        <w:rPr>
          <w:i/>
        </w:rPr>
        <w:t>Journal for the Theory of Social Behavior</w:t>
      </w:r>
      <w:r w:rsidRPr="009043D5">
        <w:t xml:space="preserve">, </w:t>
      </w:r>
      <w:r w:rsidRPr="009043D5">
        <w:rPr>
          <w:i/>
        </w:rPr>
        <w:t>45</w:t>
      </w:r>
      <w:r w:rsidRPr="009043D5">
        <w:t xml:space="preserve">(3), 287–310. </w:t>
      </w:r>
    </w:p>
    <w:p w14:paraId="66EC5F23" w14:textId="571D58CB" w:rsidR="00730687" w:rsidRPr="00730687" w:rsidRDefault="00730687" w:rsidP="00730687">
      <w:pPr>
        <w:ind w:left="720" w:hanging="720"/>
        <w:rPr>
          <w:b/>
          <w:u w:val="single"/>
        </w:rPr>
      </w:pPr>
      <w:r w:rsidRPr="009043D5">
        <w:t xml:space="preserve">Greene, J. C. (2006). Toward a methodology of mixed methods social inquiry. </w:t>
      </w:r>
      <w:r w:rsidRPr="009043D5">
        <w:rPr>
          <w:i/>
        </w:rPr>
        <w:t>Research in the Schools, Mid-South Educational Research Association</w:t>
      </w:r>
      <w:r w:rsidRPr="009043D5">
        <w:t xml:space="preserve">, </w:t>
      </w:r>
      <w:r w:rsidRPr="009043D5">
        <w:rPr>
          <w:i/>
        </w:rPr>
        <w:t>13</w:t>
      </w:r>
      <w:r w:rsidRPr="009043D5">
        <w:t xml:space="preserve">(1), 93–98. </w:t>
      </w:r>
    </w:p>
    <w:p w14:paraId="03EC6696" w14:textId="77777777" w:rsidR="00265B0C" w:rsidRPr="009043D5" w:rsidRDefault="00265B0C" w:rsidP="00265B0C">
      <w:pPr>
        <w:ind w:left="720" w:hanging="720"/>
      </w:pPr>
      <w:r w:rsidRPr="009043D5">
        <w:t>Greenwood, D., &amp; Levin, M. (2000). Reconstructing the relationships between universities</w:t>
      </w:r>
      <w:r w:rsidRPr="009043D5">
        <w:rPr>
          <w:b/>
          <w:u w:val="single"/>
        </w:rPr>
        <w:t xml:space="preserve"> </w:t>
      </w:r>
      <w:r w:rsidRPr="009043D5">
        <w:t xml:space="preserve">and society through action research. In N. Denzin &amp; Y. Lincoln (Eds.), </w:t>
      </w:r>
      <w:r w:rsidRPr="00025EED">
        <w:rPr>
          <w:i/>
        </w:rPr>
        <w:t>Handbook of</w:t>
      </w:r>
      <w:r w:rsidRPr="009043D5">
        <w:rPr>
          <w:b/>
          <w:i/>
          <w:u w:val="single"/>
        </w:rPr>
        <w:t xml:space="preserve"> </w:t>
      </w:r>
      <w:r w:rsidRPr="00025EED">
        <w:rPr>
          <w:i/>
        </w:rPr>
        <w:t>qualitative research</w:t>
      </w:r>
      <w:r w:rsidRPr="009043D5">
        <w:t xml:space="preserve"> (pp. 85–106). Thousand Oaks, CA: SAGE. </w:t>
      </w:r>
    </w:p>
    <w:p w14:paraId="1F28371A" w14:textId="77777777" w:rsidR="00265B0C" w:rsidRPr="009043D5" w:rsidRDefault="00265B0C" w:rsidP="00265B0C">
      <w:pPr>
        <w:ind w:left="720" w:hanging="720"/>
        <w:rPr>
          <w:b/>
          <w:u w:val="single"/>
        </w:rPr>
      </w:pPr>
      <w:r w:rsidRPr="009043D5">
        <w:t>Greenwood, D., &amp; Levin, M. (2001). Pragmatic action research and the struggle to transform</w:t>
      </w:r>
      <w:r w:rsidRPr="009043D5">
        <w:rPr>
          <w:b/>
          <w:u w:val="single"/>
        </w:rPr>
        <w:t xml:space="preserve"> </w:t>
      </w:r>
      <w:r w:rsidRPr="009043D5">
        <w:t>universities into learning communities. In P. Reason &amp; H. Bradbury (Eds.),</w:t>
      </w:r>
      <w:r w:rsidRPr="009043D5">
        <w:rPr>
          <w:b/>
          <w:u w:val="single"/>
        </w:rPr>
        <w:t xml:space="preserve"> </w:t>
      </w:r>
      <w:r w:rsidRPr="00025EED">
        <w:rPr>
          <w:i/>
        </w:rPr>
        <w:t>Handbook of action research</w:t>
      </w:r>
      <w:r w:rsidRPr="009043D5">
        <w:t xml:space="preserve"> (pp. 103–113). London, England: SAGE.</w:t>
      </w:r>
    </w:p>
    <w:p w14:paraId="64D6932B" w14:textId="77777777" w:rsidR="00265B0C" w:rsidRPr="009043D5" w:rsidRDefault="00265B0C" w:rsidP="00265B0C">
      <w:pPr>
        <w:ind w:left="720" w:hanging="720"/>
        <w:rPr>
          <w:b/>
          <w:u w:val="single"/>
        </w:rPr>
      </w:pPr>
      <w:r w:rsidRPr="009043D5">
        <w:t>Greenwood, D., &amp; Levin, M. (2005). Reform of the social sciences and of universities through</w:t>
      </w:r>
      <w:r w:rsidRPr="009043D5">
        <w:rPr>
          <w:b/>
          <w:u w:val="single"/>
        </w:rPr>
        <w:t xml:space="preserve"> </w:t>
      </w:r>
      <w:r w:rsidRPr="009043D5">
        <w:t xml:space="preserve">action research. In N. Denzin &amp; Y. Lincoln (Eds.), </w:t>
      </w:r>
      <w:r w:rsidRPr="00025EED">
        <w:rPr>
          <w:i/>
        </w:rPr>
        <w:t>Handbook of qualitative research</w:t>
      </w:r>
      <w:r w:rsidRPr="009043D5">
        <w:t xml:space="preserve"> (2</w:t>
      </w:r>
      <w:r w:rsidRPr="00025EED">
        <w:t>nd</w:t>
      </w:r>
      <w:r w:rsidRPr="009043D5">
        <w:rPr>
          <w:b/>
          <w:u w:val="single"/>
        </w:rPr>
        <w:t xml:space="preserve"> </w:t>
      </w:r>
      <w:r w:rsidRPr="009043D5">
        <w:t>ed., pp. 43–64). Thousand Oaks, CA: SAGE.</w:t>
      </w:r>
    </w:p>
    <w:p w14:paraId="16D8D7B4" w14:textId="77777777" w:rsidR="00265B0C" w:rsidRPr="009043D5" w:rsidRDefault="00265B0C" w:rsidP="00265B0C">
      <w:pPr>
        <w:ind w:left="720" w:hanging="720"/>
        <w:rPr>
          <w:b/>
          <w:u w:val="single"/>
        </w:rPr>
      </w:pPr>
      <w:r w:rsidRPr="009043D5">
        <w:t>Greenwood, D., &amp; Levin, M. (2007a). The future of universities: Action research and the</w:t>
      </w:r>
      <w:r w:rsidRPr="009043D5">
        <w:rPr>
          <w:b/>
          <w:u w:val="single"/>
        </w:rPr>
        <w:t xml:space="preserve"> </w:t>
      </w:r>
      <w:r w:rsidRPr="009043D5">
        <w:t xml:space="preserve">transformation of higher education. In P. Reason &amp; H. Bradbury (Eds.), </w:t>
      </w:r>
      <w:r w:rsidRPr="00025EED">
        <w:rPr>
          <w:i/>
        </w:rPr>
        <w:t>Handbook of action research</w:t>
      </w:r>
      <w:r w:rsidRPr="009043D5">
        <w:t xml:space="preserve"> (3rd ed., pp. 211–226). Los Angeles, CA: SAGE.</w:t>
      </w:r>
    </w:p>
    <w:p w14:paraId="17D7CA44" w14:textId="77777777" w:rsidR="00265B0C" w:rsidRPr="009043D5" w:rsidRDefault="00265B0C" w:rsidP="00265B0C">
      <w:pPr>
        <w:ind w:left="720" w:hanging="720"/>
      </w:pPr>
      <w:r w:rsidRPr="009043D5">
        <w:rPr>
          <w:rFonts w:eastAsiaTheme="minorEastAsia"/>
        </w:rPr>
        <w:t>Greenwood, D., &amp; Levin, M.</w:t>
      </w:r>
      <w:r w:rsidRPr="009043D5">
        <w:t xml:space="preserve"> (2007b). </w:t>
      </w:r>
      <w:r w:rsidRPr="00025EED">
        <w:rPr>
          <w:i/>
        </w:rPr>
        <w:t xml:space="preserve">Introduction to action research: Social research for social change </w:t>
      </w:r>
      <w:r w:rsidRPr="009043D5">
        <w:t>(2</w:t>
      </w:r>
      <w:r w:rsidRPr="00025EED">
        <w:t>nd</w:t>
      </w:r>
      <w:r w:rsidRPr="009043D5">
        <w:t xml:space="preserve"> ed.). Thousand Oaks, CA: SAGE.</w:t>
      </w:r>
    </w:p>
    <w:p w14:paraId="4C775D2E" w14:textId="77777777" w:rsidR="00265B0C" w:rsidRPr="009043D5" w:rsidRDefault="00265B0C" w:rsidP="00265B0C">
      <w:pPr>
        <w:ind w:left="720" w:hanging="720"/>
      </w:pPr>
      <w:r w:rsidRPr="009043D5">
        <w:lastRenderedPageBreak/>
        <w:t xml:space="preserve">Greenwood, D., &amp; Levin, M. (2008). The reformed social sciences to reform the university: Mission impossible? </w:t>
      </w:r>
      <w:r w:rsidRPr="00025EED">
        <w:rPr>
          <w:i/>
        </w:rPr>
        <w:t>Learning and Teaching</w:t>
      </w:r>
      <w:r w:rsidRPr="009043D5">
        <w:t xml:space="preserve">, </w:t>
      </w:r>
      <w:r w:rsidRPr="00025EED">
        <w:rPr>
          <w:i/>
        </w:rPr>
        <w:t>1</w:t>
      </w:r>
      <w:r w:rsidRPr="009043D5">
        <w:t>(1), 89–112.</w:t>
      </w:r>
    </w:p>
    <w:p w14:paraId="619D3299" w14:textId="77777777" w:rsidR="00265B0C" w:rsidRPr="009043D5" w:rsidRDefault="00265B0C" w:rsidP="00265B0C">
      <w:pPr>
        <w:ind w:left="720" w:hanging="720"/>
      </w:pPr>
      <w:r w:rsidRPr="009043D5">
        <w:t xml:space="preserve">Greenwood, D. J. (2012). Doing and learning action research in the neo-liberal world of contemporary higher education. </w:t>
      </w:r>
      <w:r w:rsidRPr="007F5CC0">
        <w:rPr>
          <w:i/>
        </w:rPr>
        <w:t>Action Research</w:t>
      </w:r>
      <w:r w:rsidRPr="009043D5">
        <w:t xml:space="preserve">, </w:t>
      </w:r>
      <w:r w:rsidRPr="007F5CC0">
        <w:rPr>
          <w:i/>
        </w:rPr>
        <w:t>10</w:t>
      </w:r>
      <w:r w:rsidRPr="009043D5">
        <w:t xml:space="preserve">(2), 115–132. </w:t>
      </w:r>
    </w:p>
    <w:p w14:paraId="084AC209" w14:textId="77777777" w:rsidR="00487CC4" w:rsidRPr="009043D5" w:rsidRDefault="00487CC4" w:rsidP="00487CC4">
      <w:pPr>
        <w:ind w:left="720" w:hanging="720"/>
      </w:pPr>
      <w:r w:rsidRPr="009043D5">
        <w:t xml:space="preserve">Gustavsen, B. (2005). Innovation and action research. </w:t>
      </w:r>
      <w:r w:rsidRPr="009043D5">
        <w:rPr>
          <w:i/>
        </w:rPr>
        <w:t>International Journal of Action Research</w:t>
      </w:r>
      <w:r w:rsidRPr="009043D5">
        <w:t xml:space="preserve">, </w:t>
      </w:r>
      <w:r w:rsidRPr="00025EED">
        <w:rPr>
          <w:i/>
        </w:rPr>
        <w:t>1</w:t>
      </w:r>
      <w:r w:rsidRPr="009043D5">
        <w:t>(3), 267–289.</w:t>
      </w:r>
    </w:p>
    <w:p w14:paraId="5E554527" w14:textId="796AC2DD" w:rsidR="00487CC4" w:rsidRPr="00487CC4" w:rsidRDefault="00487CC4" w:rsidP="00487CC4">
      <w:pPr>
        <w:ind w:left="720" w:hanging="720"/>
        <w:rPr>
          <w:b/>
          <w:u w:val="single"/>
        </w:rPr>
      </w:pPr>
      <w:r w:rsidRPr="009043D5">
        <w:t xml:space="preserve">Gustavsen, B. (2008). Action research, practical challenges and the formation of theory. </w:t>
      </w:r>
      <w:r w:rsidRPr="009043D5">
        <w:rPr>
          <w:i/>
        </w:rPr>
        <w:t>Action Research</w:t>
      </w:r>
      <w:r w:rsidRPr="009043D5">
        <w:t xml:space="preserve">, </w:t>
      </w:r>
      <w:r w:rsidRPr="00025EED">
        <w:rPr>
          <w:i/>
        </w:rPr>
        <w:t>6</w:t>
      </w:r>
      <w:r w:rsidRPr="009043D5">
        <w:t xml:space="preserve">(4), 421–437. </w:t>
      </w:r>
    </w:p>
    <w:p w14:paraId="0656DC87" w14:textId="193AA448" w:rsidR="00487CC4" w:rsidRDefault="00487CC4" w:rsidP="00487CC4">
      <w:pPr>
        <w:ind w:left="720" w:hanging="720"/>
      </w:pPr>
      <w:r w:rsidRPr="009043D5">
        <w:t xml:space="preserve">Haig, B. D. (1995). </w:t>
      </w:r>
      <w:r w:rsidRPr="00025EED">
        <w:rPr>
          <w:i/>
        </w:rPr>
        <w:t>Grounded theory as scientific method</w:t>
      </w:r>
      <w:r w:rsidRPr="009043D5">
        <w:t xml:space="preserve">. Retrieved from </w:t>
      </w:r>
      <w:r w:rsidRPr="00025EED">
        <w:rPr>
          <w:rStyle w:val="Hyperlink"/>
          <w:color w:val="auto"/>
          <w:u w:val="none"/>
        </w:rPr>
        <w:t>http://jan.ucc.nau.edu/~pms/cj355/readings/Haig%20Grounded%20Theory%20as%20Scientific%20Method.pdf</w:t>
      </w:r>
    </w:p>
    <w:p w14:paraId="50B38FF5" w14:textId="750313D0" w:rsidR="00487CC4" w:rsidRDefault="00487CC4" w:rsidP="00487CC4">
      <w:pPr>
        <w:ind w:left="720" w:hanging="720"/>
      </w:pPr>
      <w:r w:rsidRPr="009043D5">
        <w:t xml:space="preserve">Hanson, N. R. (1965). </w:t>
      </w:r>
      <w:r w:rsidRPr="00025EED">
        <w:rPr>
          <w:i/>
        </w:rPr>
        <w:t>Patterns of discovery</w:t>
      </w:r>
      <w:r w:rsidRPr="009043D5">
        <w:t>. Cambridge, England: Cambridge University Press.</w:t>
      </w:r>
    </w:p>
    <w:p w14:paraId="2ED3DEFA" w14:textId="62C1D21A" w:rsidR="00001E83" w:rsidRPr="009043D5" w:rsidRDefault="002E036E" w:rsidP="00D666EE">
      <w:pPr>
        <w:ind w:left="720" w:hanging="720"/>
      </w:pPr>
      <w:r w:rsidRPr="009043D5">
        <w:t xml:space="preserve">Ioannidis, J. P. A. (2005). Why most published research findings are false. </w:t>
      </w:r>
      <w:r w:rsidRPr="009043D5">
        <w:rPr>
          <w:i/>
        </w:rPr>
        <w:t>PLoS Medicine</w:t>
      </w:r>
      <w:r w:rsidRPr="009043D5">
        <w:t xml:space="preserve">, </w:t>
      </w:r>
      <w:r w:rsidRPr="00025EED">
        <w:rPr>
          <w:i/>
        </w:rPr>
        <w:t>2</w:t>
      </w:r>
      <w:r w:rsidRPr="009043D5">
        <w:t xml:space="preserve">(8), 696–701. </w:t>
      </w:r>
      <w:hyperlink r:id="rId26" w:history="1">
        <w:r w:rsidRPr="00025EED">
          <w:rPr>
            <w:rStyle w:val="Hyperlink"/>
            <w:rFonts w:eastAsia="Times New Roman"/>
            <w:color w:val="auto"/>
            <w:u w:val="none"/>
          </w:rPr>
          <w:t>https://doi.org/10.1371/journal.pmed.0020124</w:t>
        </w:r>
      </w:hyperlink>
      <w:r w:rsidRPr="009043D5">
        <w:rPr>
          <w:rFonts w:eastAsia="Times New Roman"/>
        </w:rPr>
        <w:t xml:space="preserve"> </w:t>
      </w:r>
    </w:p>
    <w:p w14:paraId="1C409850" w14:textId="22D52892" w:rsidR="005910C1" w:rsidRDefault="005910C1" w:rsidP="005910C1">
      <w:pPr>
        <w:ind w:left="720" w:hanging="720"/>
      </w:pPr>
      <w:r w:rsidRPr="009043D5">
        <w:t xml:space="preserve">Khaneman, D. (2012). </w:t>
      </w:r>
      <w:r w:rsidRPr="00025EED">
        <w:rPr>
          <w:i/>
        </w:rPr>
        <w:t>A proposal to deal with questions about priming effects</w:t>
      </w:r>
      <w:r w:rsidRPr="009043D5">
        <w:t>. Retrieved from</w:t>
      </w:r>
      <w:r w:rsidRPr="00025EED">
        <w:rPr>
          <w:rStyle w:val="Hyperlink"/>
          <w:color w:val="auto"/>
          <w:u w:val="none"/>
        </w:rPr>
        <w:t>http://www.nature.com/polopoly_fs/7.6716.1349271308!/suppinfoFile/Kahneman%20Letter.pdf</w:t>
      </w:r>
    </w:p>
    <w:p w14:paraId="31E2EE4E" w14:textId="5DF514AC" w:rsidR="00487CC4" w:rsidRPr="00487CC4" w:rsidRDefault="00487CC4" w:rsidP="00487CC4">
      <w:pPr>
        <w:ind w:left="720" w:hanging="720"/>
        <w:rPr>
          <w:i/>
        </w:rPr>
      </w:pPr>
      <w:r w:rsidRPr="00025EED">
        <w:rPr>
          <w:rStyle w:val="HTMLCite"/>
          <w:rFonts w:eastAsia="Times New Roman"/>
          <w:i w:val="0"/>
        </w:rPr>
        <w:t xml:space="preserve">Kincheloe, J. L., &amp; Berry, K. S. (2004). </w:t>
      </w:r>
      <w:r w:rsidRPr="0017636E">
        <w:rPr>
          <w:rStyle w:val="HTMLCite"/>
          <w:rFonts w:eastAsia="Times New Roman"/>
        </w:rPr>
        <w:t>Rigor and complexity in educational research: Conceptualizing the bricolage</w:t>
      </w:r>
      <w:r w:rsidRPr="00025EED">
        <w:rPr>
          <w:rStyle w:val="HTMLCite"/>
          <w:rFonts w:eastAsia="Times New Roman"/>
          <w:i w:val="0"/>
        </w:rPr>
        <w:t>. New York, NY: McGraw-Hill.</w:t>
      </w:r>
    </w:p>
    <w:p w14:paraId="6B4D530D" w14:textId="6574254C" w:rsidR="002D7128" w:rsidRDefault="002D7128" w:rsidP="002D7128">
      <w:pPr>
        <w:ind w:left="720" w:hanging="720"/>
      </w:pPr>
      <w:r w:rsidRPr="008F40C4">
        <w:t>Latour, Bruno (1993). </w:t>
      </w:r>
      <w:hyperlink r:id="rId27" w:tooltip="We Have Never Been Modern" w:history="1">
        <w:r w:rsidRPr="008F40C4">
          <w:rPr>
            <w:i/>
          </w:rPr>
          <w:t>We have never been modern</w:t>
        </w:r>
      </w:hyperlink>
      <w:r w:rsidRPr="008F40C4">
        <w:t>. Translated by Catherine Porter. Cambridge, Massachusetts: </w:t>
      </w:r>
      <w:hyperlink r:id="rId28" w:tooltip="Harvard University Press" w:history="1">
        <w:r w:rsidRPr="008F40C4">
          <w:t>Harvard University Press</w:t>
        </w:r>
      </w:hyperlink>
      <w:r w:rsidRPr="008F40C4">
        <w:t>.</w:t>
      </w:r>
    </w:p>
    <w:p w14:paraId="547643B1" w14:textId="77777777" w:rsidR="00DC2117" w:rsidRPr="009043D5" w:rsidRDefault="00DC2117" w:rsidP="00DC2117">
      <w:pPr>
        <w:ind w:left="720" w:hanging="720"/>
      </w:pPr>
      <w:r w:rsidRPr="009043D5">
        <w:lastRenderedPageBreak/>
        <w:t xml:space="preserve">Lewin, K. (1946). Action research and minority problems. </w:t>
      </w:r>
      <w:r w:rsidRPr="009043D5">
        <w:rPr>
          <w:i/>
        </w:rPr>
        <w:t>Journal of Social Issues</w:t>
      </w:r>
      <w:r w:rsidRPr="009043D5">
        <w:t xml:space="preserve">, </w:t>
      </w:r>
      <w:r w:rsidRPr="009043D5">
        <w:rPr>
          <w:i/>
        </w:rPr>
        <w:t>2</w:t>
      </w:r>
      <w:r w:rsidRPr="009043D5">
        <w:t>(4), 34–46.</w:t>
      </w:r>
    </w:p>
    <w:p w14:paraId="0CA942D9" w14:textId="6D875688" w:rsidR="00DC2117" w:rsidRDefault="00DC2117" w:rsidP="00DC2117">
      <w:pPr>
        <w:ind w:left="720" w:hanging="720"/>
      </w:pPr>
      <w:r w:rsidRPr="009043D5">
        <w:t xml:space="preserve">Lewin, K. (1947). Frontiers in group dynamics II: Channels of group life; social planning and action research. </w:t>
      </w:r>
      <w:r w:rsidRPr="009043D5">
        <w:rPr>
          <w:i/>
        </w:rPr>
        <w:t>Human Relations</w:t>
      </w:r>
      <w:r w:rsidRPr="009043D5">
        <w:t xml:space="preserve">, </w:t>
      </w:r>
      <w:r w:rsidRPr="009043D5">
        <w:rPr>
          <w:i/>
        </w:rPr>
        <w:t>1</w:t>
      </w:r>
      <w:r w:rsidRPr="009043D5">
        <w:t>(2), 143–153.</w:t>
      </w:r>
    </w:p>
    <w:p w14:paraId="4BE7E96E" w14:textId="77B74EB1" w:rsidR="002B371F" w:rsidRDefault="002B371F" w:rsidP="002B371F">
      <w:pPr>
        <w:ind w:left="720" w:hanging="720"/>
      </w:pPr>
      <w:r w:rsidRPr="009043D5">
        <w:t xml:space="preserve">Luhmann, N. (1996). </w:t>
      </w:r>
      <w:r w:rsidRPr="009043D5">
        <w:rPr>
          <w:i/>
        </w:rPr>
        <w:t>Social systems</w:t>
      </w:r>
      <w:r w:rsidRPr="009043D5">
        <w:t xml:space="preserve">. (J. Bednarz, Jr. &amp; D. Baecker, Trans.). Palo Alto, CA: Stanford University Press. </w:t>
      </w:r>
    </w:p>
    <w:p w14:paraId="09CC8CA6" w14:textId="35EC4E12" w:rsidR="002B371F" w:rsidRPr="002B371F" w:rsidRDefault="002B371F" w:rsidP="002B371F">
      <w:pPr>
        <w:ind w:left="720" w:hanging="720"/>
        <w:rPr>
          <w:bCs/>
        </w:rPr>
      </w:pPr>
      <w:r w:rsidRPr="009043D5">
        <w:t xml:space="preserve">Maturana, H. R., &amp; Varela, F. J. (1987). </w:t>
      </w:r>
      <w:r w:rsidRPr="00025EED">
        <w:rPr>
          <w:i/>
        </w:rPr>
        <w:t>The tree of knowledge: The biological roots of human understanding</w:t>
      </w:r>
      <w:r w:rsidRPr="009043D5">
        <w:t>. Boston, MA: New Science Library.</w:t>
      </w:r>
    </w:p>
    <w:p w14:paraId="2D372524" w14:textId="77777777" w:rsidR="00DC2117" w:rsidRPr="009043D5" w:rsidRDefault="00DC2117" w:rsidP="00DC2117">
      <w:pPr>
        <w:ind w:left="720" w:hanging="720"/>
        <w:rPr>
          <w:b/>
          <w:u w:val="single"/>
        </w:rPr>
      </w:pPr>
      <w:r w:rsidRPr="009043D5">
        <w:t>Mead, G. H. (1934). </w:t>
      </w:r>
      <w:r w:rsidRPr="00025EED">
        <w:rPr>
          <w:i/>
        </w:rPr>
        <w:t>Mind, self, and society</w:t>
      </w:r>
      <w:r w:rsidRPr="009043D5">
        <w:t>. Chicago, IL: University of Chicago Press. </w:t>
      </w:r>
    </w:p>
    <w:p w14:paraId="75EA010C" w14:textId="78091762" w:rsidR="00DC2117" w:rsidRPr="00DC2117" w:rsidRDefault="00DC2117" w:rsidP="00DC2117">
      <w:pPr>
        <w:ind w:left="720" w:hanging="720"/>
        <w:rPr>
          <w:b/>
          <w:u w:val="single"/>
        </w:rPr>
      </w:pPr>
      <w:r w:rsidRPr="009043D5">
        <w:t xml:space="preserve">Mead, G. H. (1938). </w:t>
      </w:r>
      <w:r w:rsidRPr="009043D5">
        <w:rPr>
          <w:i/>
        </w:rPr>
        <w:t>The philosophy of the act</w:t>
      </w:r>
      <w:r w:rsidRPr="00025EED">
        <w:t>.</w:t>
      </w:r>
      <w:r w:rsidRPr="009043D5">
        <w:t xml:space="preserve"> C. W. Morris (Ed.). Chicago, IL: University of Chicago Press. </w:t>
      </w:r>
    </w:p>
    <w:p w14:paraId="36B38B0B" w14:textId="77777777" w:rsidR="00E00C45" w:rsidRDefault="005910C1" w:rsidP="00E00C45">
      <w:pPr>
        <w:ind w:left="720" w:hanging="720"/>
      </w:pPr>
      <w:r w:rsidRPr="009043D5">
        <w:t xml:space="preserve">Nosek, B. A., Spies, J. R., &amp; Motyl, M. (2012). Restructuring incentives and practices to promote truth over publishability. </w:t>
      </w:r>
      <w:r w:rsidRPr="009043D5">
        <w:rPr>
          <w:i/>
        </w:rPr>
        <w:t>Perspectives on Psychological Science</w:t>
      </w:r>
      <w:r w:rsidRPr="009043D5">
        <w:t xml:space="preserve">, </w:t>
      </w:r>
      <w:r w:rsidRPr="00025EED">
        <w:rPr>
          <w:i/>
        </w:rPr>
        <w:t>7</w:t>
      </w:r>
      <w:r w:rsidRPr="009043D5">
        <w:t>(6), 615–631.</w:t>
      </w:r>
    </w:p>
    <w:p w14:paraId="2769D307" w14:textId="77777777" w:rsidR="00E00C45" w:rsidRDefault="00E00C45" w:rsidP="00E00C45">
      <w:pPr>
        <w:ind w:left="720" w:hanging="720"/>
      </w:pPr>
      <w:r w:rsidRPr="00E00C45">
        <w:rPr>
          <w:rFonts w:eastAsia="Times New Roman"/>
          <w:bCs/>
        </w:rPr>
        <w:t xml:space="preserve">Nosek, B. A., Alter, G., &amp; Banks, G. C. et. al. (2015). Promoting an open research culture. </w:t>
      </w:r>
      <w:r w:rsidRPr="00E00C45">
        <w:rPr>
          <w:rFonts w:eastAsia="Times New Roman"/>
          <w:bCs/>
          <w:i/>
        </w:rPr>
        <w:t>Science</w:t>
      </w:r>
      <w:r w:rsidRPr="00E00C45">
        <w:rPr>
          <w:rFonts w:eastAsia="Times New Roman"/>
          <w:bCs/>
        </w:rPr>
        <w:t xml:space="preserve">, Vol. 348, Issue 6246, June 26, 2015, pp. 1422-1425. </w:t>
      </w:r>
    </w:p>
    <w:p w14:paraId="5D7502C2" w14:textId="21D16B5E" w:rsidR="005910C1" w:rsidRDefault="00001E83" w:rsidP="00E00C45">
      <w:pPr>
        <w:ind w:left="720" w:hanging="720"/>
      </w:pPr>
      <w:r>
        <w:t xml:space="preserve">National Science Board. (2010). Preparing the next generation of STEM innovators: Identifying and developing our nation’s human capital (NSB-10-10-33). Arlington, VA: National Science Foundation.  </w:t>
      </w:r>
    </w:p>
    <w:p w14:paraId="4D85BB76" w14:textId="77777777" w:rsidR="00AC1FB7" w:rsidRDefault="00AC1FB7" w:rsidP="00DC2117">
      <w:pPr>
        <w:ind w:left="720" w:hanging="720"/>
      </w:pPr>
    </w:p>
    <w:p w14:paraId="1E756F51" w14:textId="77777777" w:rsidR="00AC1FB7" w:rsidRDefault="00AC1FB7" w:rsidP="00DC2117">
      <w:pPr>
        <w:ind w:left="720" w:hanging="720"/>
      </w:pPr>
    </w:p>
    <w:p w14:paraId="1A3C3AEA" w14:textId="68C9E36C" w:rsidR="00AC1FB7" w:rsidRDefault="00AC1FB7" w:rsidP="00AC1FB7">
      <w:pPr>
        <w:ind w:left="720" w:hanging="720"/>
      </w:pPr>
      <w:r w:rsidRPr="009043D5">
        <w:t xml:space="preserve">Palshaugen, O. (2009). How to generate knowledge from single case research on innovation. </w:t>
      </w:r>
      <w:r w:rsidRPr="009043D5">
        <w:rPr>
          <w:i/>
        </w:rPr>
        <w:t>International Journal of Action Research</w:t>
      </w:r>
      <w:r w:rsidRPr="009043D5">
        <w:t xml:space="preserve">, </w:t>
      </w:r>
      <w:r w:rsidRPr="00025EED">
        <w:rPr>
          <w:i/>
        </w:rPr>
        <w:t>5</w:t>
      </w:r>
      <w:r w:rsidRPr="009043D5">
        <w:t>(3), 231–254.</w:t>
      </w:r>
    </w:p>
    <w:p w14:paraId="364926B6" w14:textId="77777777" w:rsidR="00DC2117" w:rsidRDefault="00D666EE" w:rsidP="00DC2117">
      <w:pPr>
        <w:ind w:left="720" w:hanging="720"/>
      </w:pPr>
      <w:r w:rsidRPr="009043D5">
        <w:lastRenderedPageBreak/>
        <w:t xml:space="preserve">Pearce, J. L., &amp; Huang, L. (2012). The decreasing value of our research to management education. </w:t>
      </w:r>
      <w:r w:rsidRPr="009043D5">
        <w:rPr>
          <w:i/>
        </w:rPr>
        <w:t>Academy of Management Learning &amp; Education</w:t>
      </w:r>
      <w:r w:rsidRPr="009043D5">
        <w:t xml:space="preserve">, </w:t>
      </w:r>
      <w:r w:rsidRPr="009043D5">
        <w:rPr>
          <w:i/>
        </w:rPr>
        <w:t>11</w:t>
      </w:r>
      <w:r w:rsidRPr="009043D5">
        <w:t xml:space="preserve">(2), 247–262. </w:t>
      </w:r>
      <w:hyperlink r:id="rId29" w:history="1">
        <w:r w:rsidRPr="00025EED">
          <w:rPr>
            <w:rStyle w:val="Hyperlink"/>
            <w:color w:val="auto"/>
            <w:u w:val="none"/>
          </w:rPr>
          <w:t>http://dx.doi.org/10.5465/amle.2011.0554</w:t>
        </w:r>
      </w:hyperlink>
      <w:r w:rsidRPr="009043D5">
        <w:t xml:space="preserve"> </w:t>
      </w:r>
    </w:p>
    <w:p w14:paraId="18493BCC" w14:textId="2F5EF167" w:rsidR="00A53E7E" w:rsidRDefault="00A53E7E" w:rsidP="00DC2117">
      <w:pPr>
        <w:ind w:left="720" w:hanging="720"/>
      </w:pPr>
      <w:r w:rsidRPr="009043D5">
        <w:t xml:space="preserve">Peirce, C. S. (1950). </w:t>
      </w:r>
      <w:r w:rsidRPr="009043D5">
        <w:rPr>
          <w:i/>
        </w:rPr>
        <w:t>Philosophy: Selected writings</w:t>
      </w:r>
      <w:r w:rsidRPr="009043D5">
        <w:t xml:space="preserve">. New York, NY: Harcourt Brace. </w:t>
      </w:r>
    </w:p>
    <w:p w14:paraId="6098D9B1" w14:textId="77777777" w:rsidR="00DC2117" w:rsidRPr="009043D5" w:rsidRDefault="00DC2117" w:rsidP="00DC2117">
      <w:pPr>
        <w:ind w:left="720" w:hanging="720"/>
      </w:pPr>
      <w:r w:rsidRPr="009043D5">
        <w:t xml:space="preserve">Peirce, C. S. (1965). </w:t>
      </w:r>
      <w:r w:rsidRPr="009043D5">
        <w:rPr>
          <w:i/>
        </w:rPr>
        <w:t xml:space="preserve">Collected papers of Charles Sanders Peirce: Elements of logic </w:t>
      </w:r>
      <w:r w:rsidRPr="00025EED">
        <w:t>(Vol. II</w:t>
      </w:r>
      <w:r w:rsidRPr="009043D5">
        <w:t>). C. Hartshorne &amp; P. Weiss (Eds.). Cambridge, MA: Harvard University Press.</w:t>
      </w:r>
    </w:p>
    <w:p w14:paraId="685FDBBA" w14:textId="6772DC46" w:rsidR="00DC2117" w:rsidRDefault="00DC2117" w:rsidP="00DC2117">
      <w:pPr>
        <w:ind w:left="720" w:hanging="720"/>
      </w:pPr>
      <w:r w:rsidRPr="009043D5">
        <w:t xml:space="preserve">Peirce, C. S. (1965). </w:t>
      </w:r>
      <w:r w:rsidRPr="009043D5">
        <w:rPr>
          <w:i/>
        </w:rPr>
        <w:t xml:space="preserve">Collected papers of Charles Sanders Peirce: Pragmatism and pragmaticism </w:t>
      </w:r>
      <w:r w:rsidRPr="00025EED">
        <w:t>(Vol. V</w:t>
      </w:r>
      <w:r w:rsidRPr="009043D5">
        <w:t xml:space="preserve">). C. Hartshorne &amp; P. Weiss (Eds.). Cambridge, MA: Harvard University Press. </w:t>
      </w:r>
    </w:p>
    <w:p w14:paraId="586DB8D6" w14:textId="5F7E9854" w:rsidR="00001E83" w:rsidRDefault="00001E83" w:rsidP="00001E83">
      <w:pPr>
        <w:ind w:left="720" w:hanging="720"/>
      </w:pPr>
      <w:r w:rsidRPr="009043D5">
        <w:t xml:space="preserve">Provance, M. (2010). </w:t>
      </w:r>
      <w:r w:rsidRPr="00025EED">
        <w:rPr>
          <w:i/>
        </w:rPr>
        <w:t>Tying it together: Three essays on the roles of knowledge, entrepreneurial action, and institutions in the formation of new ventures</w:t>
      </w:r>
      <w:r w:rsidRPr="009043D5">
        <w:t xml:space="preserve"> (Unpublished doctoral dissertation). George Washington University, Washington, DC. </w:t>
      </w:r>
    </w:p>
    <w:p w14:paraId="45F5D916" w14:textId="77777777" w:rsidR="00422BB0" w:rsidRDefault="00610E6C" w:rsidP="00422BB0">
      <w:pPr>
        <w:ind w:left="720" w:hanging="720"/>
      </w:pPr>
      <w:r w:rsidRPr="009043D5">
        <w:t xml:space="preserve">Romer, P. M. (2007). Economic growth. In D. R. Henderson (Ed.), </w:t>
      </w:r>
      <w:r w:rsidRPr="009043D5">
        <w:rPr>
          <w:i/>
          <w:iCs/>
        </w:rPr>
        <w:t>The concise encyclopedia of economics</w:t>
      </w:r>
      <w:r w:rsidRPr="0017636E">
        <w:t>. Indianapolis, IN: Liberty Fund.</w:t>
      </w:r>
    </w:p>
    <w:p w14:paraId="794D6E0C" w14:textId="1A2832F2" w:rsidR="00AC1FB7" w:rsidRDefault="00AC1FB7" w:rsidP="00AC1FB7">
      <w:pPr>
        <w:ind w:left="720" w:hanging="720"/>
      </w:pPr>
      <w:r w:rsidRPr="001C6BEE">
        <w:t xml:space="preserve">Rorty, R. (1982). </w:t>
      </w:r>
      <w:r w:rsidRPr="00025EED">
        <w:rPr>
          <w:i/>
        </w:rPr>
        <w:t>The consequences of pragmatism</w:t>
      </w:r>
      <w:r w:rsidRPr="0017636E">
        <w:t xml:space="preserve">. Minneapolis, MN: University of Minnesota Press. </w:t>
      </w:r>
    </w:p>
    <w:p w14:paraId="664720F0" w14:textId="38DB7606" w:rsidR="00916E6F" w:rsidRDefault="00916E6F" w:rsidP="00001E83">
      <w:pPr>
        <w:ind w:left="720" w:hanging="720"/>
      </w:pPr>
      <w:r w:rsidRPr="009043D5">
        <w:t xml:space="preserve">Sanderson, D. M. (2006). </w:t>
      </w:r>
      <w:r w:rsidRPr="00025EED">
        <w:rPr>
          <w:i/>
        </w:rPr>
        <w:t>Using a competing values framework to examine university culture. Master’s thesis submitted to Queensland University of Technology</w:t>
      </w:r>
      <w:r w:rsidRPr="009043D5">
        <w:t xml:space="preserve">. Retrieved from </w:t>
      </w:r>
      <w:r w:rsidRPr="00025EED">
        <w:rPr>
          <w:rStyle w:val="Hyperlink"/>
          <w:rFonts w:eastAsia="Times New Roman"/>
          <w:color w:val="auto"/>
          <w:u w:val="none"/>
        </w:rPr>
        <w:t>http://eprints.qut.edu.au/16464/3/Don_Sanderson_Thesis.pdf</w:t>
      </w:r>
    </w:p>
    <w:p w14:paraId="370A646C" w14:textId="24BB5954" w:rsidR="007A699D" w:rsidRDefault="007A699D" w:rsidP="00916E6F">
      <w:pPr>
        <w:ind w:left="720" w:hanging="720"/>
      </w:pPr>
      <w:r>
        <w:t xml:space="preserve">Shapiro, D. L. and Kirkman, B. (2018). It’s time to make business school research more relevant. Boston: </w:t>
      </w:r>
      <w:r w:rsidRPr="007A699D">
        <w:rPr>
          <w:i/>
        </w:rPr>
        <w:t>Harvard Business Review</w:t>
      </w:r>
      <w:r>
        <w:rPr>
          <w:i/>
        </w:rPr>
        <w:t xml:space="preserve">, </w:t>
      </w:r>
      <w:r>
        <w:t xml:space="preserve">July 19, 2018. Retrieved from </w:t>
      </w:r>
      <w:hyperlink r:id="rId30" w:history="1">
        <w:r w:rsidRPr="005A76A8">
          <w:rPr>
            <w:rStyle w:val="Hyperlink"/>
          </w:rPr>
          <w:t>https://hbr.org/2018/07/its-time-to-make-business-school-research-more-relevant</w:t>
        </w:r>
      </w:hyperlink>
    </w:p>
    <w:p w14:paraId="6B75E925" w14:textId="77777777" w:rsidR="00916E6F" w:rsidRPr="009043D5" w:rsidRDefault="00916E6F" w:rsidP="00916E6F">
      <w:pPr>
        <w:ind w:left="720" w:hanging="720"/>
      </w:pPr>
      <w:r w:rsidRPr="009043D5">
        <w:lastRenderedPageBreak/>
        <w:t xml:space="preserve">Schneckenberg, D. (2009). Understanding the real barriers to technology-enhanced innovation in </w:t>
      </w:r>
      <w:r>
        <w:t>h</w:t>
      </w:r>
      <w:r w:rsidRPr="009043D5">
        <w:t xml:space="preserve">igher education. </w:t>
      </w:r>
      <w:r w:rsidRPr="009043D5">
        <w:rPr>
          <w:i/>
        </w:rPr>
        <w:t>Educational Research</w:t>
      </w:r>
      <w:r w:rsidRPr="009043D5">
        <w:t xml:space="preserve">, </w:t>
      </w:r>
      <w:r w:rsidRPr="009043D5">
        <w:rPr>
          <w:i/>
        </w:rPr>
        <w:t>51</w:t>
      </w:r>
      <w:r w:rsidRPr="009043D5">
        <w:t>(4)</w:t>
      </w:r>
      <w:r w:rsidRPr="00025EED">
        <w:t>,</w:t>
      </w:r>
      <w:r w:rsidRPr="009043D5">
        <w:t xml:space="preserve"> 411–424.</w:t>
      </w:r>
    </w:p>
    <w:p w14:paraId="0F94322E" w14:textId="4F79F568" w:rsidR="00730687" w:rsidRDefault="00730687" w:rsidP="00730687">
      <w:pPr>
        <w:ind w:left="720" w:hanging="720"/>
      </w:pPr>
      <w:r w:rsidRPr="009043D5">
        <w:t xml:space="preserve">Sidle, C. C., &amp; Warzynski, C. (2003). A new mission for business schools: The development of actor-network leaders. </w:t>
      </w:r>
      <w:r w:rsidRPr="009043D5">
        <w:rPr>
          <w:i/>
        </w:rPr>
        <w:t>Journal of Education for Business</w:t>
      </w:r>
      <w:r w:rsidRPr="009043D5">
        <w:t xml:space="preserve">, </w:t>
      </w:r>
      <w:r w:rsidRPr="00025EED">
        <w:rPr>
          <w:i/>
        </w:rPr>
        <w:t>79</w:t>
      </w:r>
      <w:r w:rsidRPr="009043D5">
        <w:t>(1), 40–45.</w:t>
      </w:r>
    </w:p>
    <w:p w14:paraId="22424140" w14:textId="15082527" w:rsidR="00730687" w:rsidRDefault="00730687" w:rsidP="00730687">
      <w:pPr>
        <w:ind w:left="720" w:hanging="720"/>
      </w:pPr>
      <w:r>
        <w:t>Tashakkori, A., &amp; Teddlie, C. (2003). The past and future of mixed methods research: From data triangulation to mixed method designs. In A Tashakkori &amp; C. Teddlie (Eds.), Handbook of mixed methods in social &amp; behavioral research (pp. 671-702). Thousand Oaks, CA: Sage Publications.</w:t>
      </w:r>
    </w:p>
    <w:p w14:paraId="74455106" w14:textId="74860555" w:rsidR="00730687" w:rsidRDefault="00001E83" w:rsidP="00730687">
      <w:pPr>
        <w:ind w:left="720" w:hanging="720"/>
      </w:pPr>
      <w:r w:rsidRPr="009043D5">
        <w:t xml:space="preserve">Taylor, M. Z., &amp; Wilson, S. (2012). Does culture still matter? The effects of individualism on national innovation rates. </w:t>
      </w:r>
      <w:r w:rsidRPr="009043D5">
        <w:rPr>
          <w:i/>
        </w:rPr>
        <w:t>Journal of Business Venturing</w:t>
      </w:r>
      <w:r w:rsidRPr="009043D5">
        <w:t xml:space="preserve">, </w:t>
      </w:r>
      <w:r w:rsidRPr="009043D5">
        <w:rPr>
          <w:i/>
        </w:rPr>
        <w:t>27</w:t>
      </w:r>
      <w:r w:rsidRPr="009043D5">
        <w:t xml:space="preserve">, 234–247. </w:t>
      </w:r>
    </w:p>
    <w:p w14:paraId="5AA82CAE" w14:textId="77777777" w:rsidR="00487CC4" w:rsidRPr="009043D5" w:rsidRDefault="00487CC4" w:rsidP="00487CC4">
      <w:pPr>
        <w:ind w:left="720" w:hanging="720"/>
      </w:pPr>
      <w:r w:rsidRPr="009043D5">
        <w:t xml:space="preserve">Thatchenkery, T. (2004). Paradox and organizational change: The transformative power of hermeneutic appreciation. In D. Cooperrider &amp; M. Avidtal (Eds.), </w:t>
      </w:r>
      <w:r w:rsidRPr="00025EED">
        <w:rPr>
          <w:i/>
        </w:rPr>
        <w:t xml:space="preserve">Constructive </w:t>
      </w:r>
      <w:r w:rsidRPr="009043D5">
        <w:rPr>
          <w:i/>
        </w:rPr>
        <w:t>d</w:t>
      </w:r>
      <w:r w:rsidRPr="00025EED">
        <w:rPr>
          <w:i/>
        </w:rPr>
        <w:t xml:space="preserve">iscourse and </w:t>
      </w:r>
      <w:r w:rsidRPr="009043D5">
        <w:rPr>
          <w:i/>
        </w:rPr>
        <w:t>h</w:t>
      </w:r>
      <w:r w:rsidRPr="00025EED">
        <w:rPr>
          <w:i/>
        </w:rPr>
        <w:t xml:space="preserve">uman </w:t>
      </w:r>
      <w:r w:rsidRPr="009043D5">
        <w:rPr>
          <w:i/>
        </w:rPr>
        <w:t>o</w:t>
      </w:r>
      <w:r w:rsidRPr="00025EED">
        <w:rPr>
          <w:i/>
        </w:rPr>
        <w:t>rganization</w:t>
      </w:r>
      <w:r w:rsidRPr="009043D5">
        <w:rPr>
          <w:i/>
        </w:rPr>
        <w:t>: Advances in appreciative inquiry</w:t>
      </w:r>
      <w:r w:rsidRPr="009043D5">
        <w:t xml:space="preserve"> (Vol. 1, pp. 77–101). Emerald Publishing Limited. </w:t>
      </w:r>
    </w:p>
    <w:p w14:paraId="0B6F4EEF" w14:textId="77777777" w:rsidR="00487CC4" w:rsidRPr="00487CC4" w:rsidRDefault="00487CC4" w:rsidP="00487CC4">
      <w:pPr>
        <w:ind w:left="720" w:hanging="720"/>
      </w:pPr>
      <w:r w:rsidRPr="009043D5">
        <w:t xml:space="preserve">Thatchenkery, T., &amp; Metzger, C. (2006). </w:t>
      </w:r>
      <w:r w:rsidRPr="009043D5">
        <w:rPr>
          <w:i/>
        </w:rPr>
        <w:t>Appreciative intelligence: Seeing the mighty oak in the acorn</w:t>
      </w:r>
      <w:r w:rsidRPr="009043D5">
        <w:t xml:space="preserve">. San Francisco, CA: Berrett-Koehler. </w:t>
      </w:r>
    </w:p>
    <w:p w14:paraId="00C6F100" w14:textId="77777777" w:rsidR="00487CC4" w:rsidRPr="009043D5" w:rsidRDefault="00487CC4" w:rsidP="00487CC4">
      <w:pPr>
        <w:ind w:left="720" w:hanging="720"/>
      </w:pPr>
      <w:r w:rsidRPr="009043D5">
        <w:t xml:space="preserve">Thatchenkery, T. (2011). </w:t>
      </w:r>
      <w:r w:rsidRPr="00025EED">
        <w:rPr>
          <w:i/>
        </w:rPr>
        <w:t>Appreciative sharing of knowledge: Leveraging knowledge management for strategic change</w:t>
      </w:r>
      <w:r w:rsidRPr="009043D5">
        <w:t xml:space="preserve">. Chagrin Falls, OH: Taos Institute Publications. </w:t>
      </w:r>
    </w:p>
    <w:p w14:paraId="6584B1E3" w14:textId="77777777" w:rsidR="005910C1" w:rsidRDefault="005910C1" w:rsidP="005910C1">
      <w:pPr>
        <w:ind w:left="720" w:hanging="720"/>
      </w:pPr>
      <w:r w:rsidRPr="005910C1">
        <w:rPr>
          <w:rFonts w:cs="source sans pro"/>
          <w:iCs/>
          <w:color w:val="2B3953"/>
        </w:rPr>
        <w:t>The President's Management Agenda. (2018). Developed by the President's Management Council and the Executive Office of the President.</w:t>
      </w:r>
      <w:r w:rsidRPr="005910C1">
        <w:rPr>
          <w:rFonts w:cs="source sans pro"/>
          <w:i/>
          <w:iCs/>
          <w:color w:val="2B3953"/>
          <w:sz w:val="22"/>
          <w:szCs w:val="22"/>
        </w:rPr>
        <w:t xml:space="preserve"> </w:t>
      </w:r>
      <w:r w:rsidRPr="005910C1">
        <w:rPr>
          <w:rFonts w:eastAsia="Times New Roman"/>
          <w:color w:val="000000"/>
        </w:rPr>
        <w:t xml:space="preserve">General Services Administration &amp; the Office of Management and Budget. Washington, D. C. </w:t>
      </w:r>
    </w:p>
    <w:p w14:paraId="68A3B4C9" w14:textId="77777777" w:rsidR="00730687" w:rsidRPr="009043D5" w:rsidRDefault="00730687" w:rsidP="00730687">
      <w:pPr>
        <w:ind w:left="720" w:hanging="720"/>
      </w:pPr>
      <w:r w:rsidRPr="009043D5">
        <w:lastRenderedPageBreak/>
        <w:t xml:space="preserve">Torrance, S., &amp; Froese, T. (2011). An inter-enactive approach to agency: Participatory sense-making, dynamics, and sociality. </w:t>
      </w:r>
      <w:r w:rsidRPr="00025EED">
        <w:rPr>
          <w:i/>
        </w:rPr>
        <w:t>Humana Mente</w:t>
      </w:r>
      <w:r w:rsidRPr="009043D5">
        <w:t xml:space="preserve">, </w:t>
      </w:r>
      <w:r w:rsidRPr="00025EED">
        <w:rPr>
          <w:i/>
        </w:rPr>
        <w:t>15</w:t>
      </w:r>
      <w:r w:rsidRPr="009043D5">
        <w:t>(January), 21–53.</w:t>
      </w:r>
    </w:p>
    <w:p w14:paraId="1773B85B" w14:textId="77777777" w:rsidR="00422BB0" w:rsidRPr="009043D5" w:rsidRDefault="00422BB0" w:rsidP="00422BB0">
      <w:pPr>
        <w:ind w:left="720" w:hanging="720"/>
        <w:rPr>
          <w:u w:val="single"/>
        </w:rPr>
      </w:pPr>
      <w:r w:rsidRPr="009043D5">
        <w:t xml:space="preserve">Valdivia, W. D. (2013, November). </w:t>
      </w:r>
      <w:r w:rsidRPr="00025EED">
        <w:rPr>
          <w:i/>
        </w:rPr>
        <w:t>University start-ups: Critical for improving technology transfer</w:t>
      </w:r>
      <w:r w:rsidRPr="009043D5">
        <w:t>. Retreived from https://www.brookings.edu/research/university-start-ups-critical-for-improving-technology-transfer/</w:t>
      </w:r>
    </w:p>
    <w:p w14:paraId="5155D5DF" w14:textId="49C28998" w:rsidR="002E036E" w:rsidRDefault="002E036E" w:rsidP="002E036E">
      <w:pPr>
        <w:ind w:left="720" w:hanging="720"/>
      </w:pPr>
      <w:r w:rsidRPr="000345C6">
        <w:rPr>
          <w:rFonts w:eastAsia="Times New Roman"/>
        </w:rPr>
        <w:t xml:space="preserve">Vanderbilt University (2025). The cost of federal regulatory compliance in higher education: A multi-institutional study an assessment of federal regulatory compliance costs at 13 institutions in FY 2013-2014. Retrieved from </w:t>
      </w:r>
      <w:hyperlink r:id="rId31" w:history="1">
        <w:r w:rsidRPr="000345C6">
          <w:rPr>
            <w:rStyle w:val="Hyperlink"/>
            <w:rFonts w:eastAsia="Times New Roman"/>
          </w:rPr>
          <w:t>https://news.vanderbilt.edu/files/Cost-of-Federal-Regulatory-Compliance-2015.pdf</w:t>
        </w:r>
      </w:hyperlink>
    </w:p>
    <w:p w14:paraId="3A01F675" w14:textId="77777777" w:rsidR="00E00C45" w:rsidRPr="009043D5" w:rsidRDefault="00E00C45" w:rsidP="00E00C45">
      <w:pPr>
        <w:ind w:left="720" w:hanging="720"/>
      </w:pPr>
      <w:r w:rsidRPr="009043D5">
        <w:t xml:space="preserve">Van Noorden, R. (2011). Science publishing: The trouble with retractions. </w:t>
      </w:r>
      <w:r w:rsidRPr="009043D5">
        <w:rPr>
          <w:i/>
        </w:rPr>
        <w:t>Nature</w:t>
      </w:r>
      <w:r w:rsidRPr="009043D5">
        <w:t xml:space="preserve">, </w:t>
      </w:r>
      <w:r w:rsidRPr="009043D5">
        <w:rPr>
          <w:i/>
        </w:rPr>
        <w:t>478</w:t>
      </w:r>
      <w:r w:rsidRPr="009043D5">
        <w:t>, 26–28.</w:t>
      </w:r>
    </w:p>
    <w:p w14:paraId="2076F072" w14:textId="77777777" w:rsidR="00D666EE" w:rsidRDefault="00E00C45" w:rsidP="00D666EE">
      <w:pPr>
        <w:ind w:left="720" w:hanging="720"/>
      </w:pPr>
      <w:r w:rsidRPr="009043D5">
        <w:t xml:space="preserve">Vidgen, R., &amp; McMaster, T. (1996). Black boxes, non-human stakeholders and the translation of IT. In W. J. Orlikowski, G. Walsham, M. R. Jones, &amp; J. I. DeGross (Eds.), </w:t>
      </w:r>
      <w:r w:rsidRPr="009043D5">
        <w:rPr>
          <w:i/>
        </w:rPr>
        <w:t>Information technology and changes in organizational work</w:t>
      </w:r>
      <w:r w:rsidRPr="009043D5">
        <w:t>. London, England: Chapman &amp; Hall.</w:t>
      </w:r>
    </w:p>
    <w:p w14:paraId="4ED3E049" w14:textId="4BC31A98" w:rsidR="00487CC4" w:rsidRDefault="00487CC4" w:rsidP="00151CA4">
      <w:pPr>
        <w:ind w:left="720" w:hanging="720"/>
      </w:pPr>
      <w:r w:rsidRPr="009043D5">
        <w:t xml:space="preserve">Walton, D. (2004). </w:t>
      </w:r>
      <w:r w:rsidRPr="009043D5">
        <w:rPr>
          <w:i/>
        </w:rPr>
        <w:t>Abductive reasoning</w:t>
      </w:r>
      <w:r w:rsidRPr="009043D5">
        <w:t>. Tuscaloosa, AL: University of Alabama Press.</w:t>
      </w:r>
    </w:p>
    <w:p w14:paraId="3220445A" w14:textId="021A9774" w:rsidR="00D666EE" w:rsidRDefault="00D666EE" w:rsidP="00D666EE">
      <w:pPr>
        <w:ind w:left="720" w:hanging="720"/>
      </w:pPr>
      <w:r>
        <w:t>Warzynski, C. (2018). Reshaping the culture of innovation in a university through action research and converging models and research m</w:t>
      </w:r>
      <w:r w:rsidRPr="00534A52">
        <w:t>ethods</w:t>
      </w:r>
      <w:r>
        <w:t>. Unpublished doctoral dissertation, University of Twente.</w:t>
      </w:r>
    </w:p>
    <w:p w14:paraId="4D87FBA9" w14:textId="77777777" w:rsidR="00487CC4" w:rsidRPr="009043D5" w:rsidRDefault="00487CC4" w:rsidP="00487CC4">
      <w:pPr>
        <w:ind w:left="720" w:hanging="720"/>
      </w:pPr>
      <w:r w:rsidRPr="009043D5">
        <w:t xml:space="preserve">Warzynski, C., &amp; Krupenikava, A. (2010). Creating macro actors for sustainable development. In Thatchenkery, T., Cooperrider, D., &amp; Avital, M. (Eds.), </w:t>
      </w:r>
      <w:r w:rsidRPr="009043D5">
        <w:rPr>
          <w:i/>
        </w:rPr>
        <w:lastRenderedPageBreak/>
        <w:t>Advances in appreciative inquiry: Positive design and appreciative construction: From sustainable development to sustainable value</w:t>
      </w:r>
      <w:r w:rsidRPr="009043D5">
        <w:t xml:space="preserve"> (</w:t>
      </w:r>
      <w:r w:rsidRPr="00025EED">
        <w:t>Vol</w:t>
      </w:r>
      <w:r w:rsidRPr="009043D5">
        <w:t>.</w:t>
      </w:r>
      <w:r w:rsidRPr="00025EED">
        <w:t xml:space="preserve"> 3</w:t>
      </w:r>
      <w:r w:rsidRPr="009043D5">
        <w:t>, pp. 305–323). West Yorkshire, UK: Emerald Group Publishing.</w:t>
      </w:r>
    </w:p>
    <w:p w14:paraId="464D622A" w14:textId="77777777" w:rsidR="00487CC4" w:rsidRPr="009043D5" w:rsidRDefault="00487CC4" w:rsidP="00487CC4">
      <w:pPr>
        <w:ind w:left="720" w:hanging="720"/>
      </w:pPr>
      <w:r w:rsidRPr="009043D5">
        <w:rPr>
          <w:bCs/>
        </w:rPr>
        <w:t>Warzynski, C</w:t>
      </w:r>
      <w:r w:rsidRPr="009043D5">
        <w:t xml:space="preserve">. </w:t>
      </w:r>
      <w:r>
        <w:t xml:space="preserve">(2006). </w:t>
      </w:r>
      <w:r w:rsidRPr="009043D5">
        <w:t xml:space="preserve">en Lieke Hoogerwerf (vertaling en bewerking). </w:t>
      </w:r>
      <w:r w:rsidRPr="00025EED">
        <w:rPr>
          <w:i/>
        </w:rPr>
        <w:t>Actor-netwerkbenadering van technologische verandering</w:t>
      </w:r>
      <w:r w:rsidRPr="009043D5">
        <w:t xml:space="preserve">, </w:t>
      </w:r>
      <w:r w:rsidRPr="00025EED">
        <w:rPr>
          <w:i/>
        </w:rPr>
        <w:t>9</w:t>
      </w:r>
      <w:r w:rsidRPr="009043D5">
        <w:t xml:space="preserve">, 61–68. </w:t>
      </w:r>
    </w:p>
    <w:p w14:paraId="1745F73B" w14:textId="77777777" w:rsidR="00487CC4" w:rsidRDefault="00487CC4" w:rsidP="00487CC4">
      <w:pPr>
        <w:ind w:left="720" w:hanging="720"/>
        <w:rPr>
          <w:iCs/>
        </w:rPr>
      </w:pPr>
      <w:r w:rsidRPr="009043D5">
        <w:t xml:space="preserve">Warzynski, C. (2004). Future search conferences at Cornell University. In M. Dooris, J. Kelley, &amp; J. Trainer (Eds.), </w:t>
      </w:r>
      <w:r w:rsidRPr="009043D5">
        <w:rPr>
          <w:i/>
          <w:iCs/>
        </w:rPr>
        <w:t>Successful s</w:t>
      </w:r>
      <w:r w:rsidRPr="009043D5">
        <w:rPr>
          <w:i/>
        </w:rPr>
        <w:t>trategic planning</w:t>
      </w:r>
      <w:r w:rsidRPr="009043D5">
        <w:t xml:space="preserve"> (pp. 103–112).</w:t>
      </w:r>
      <w:r w:rsidRPr="009043D5">
        <w:rPr>
          <w:i/>
        </w:rPr>
        <w:t xml:space="preserve"> </w:t>
      </w:r>
      <w:r w:rsidRPr="009043D5">
        <w:rPr>
          <w:iCs/>
        </w:rPr>
        <w:t>San Francisco, CA: Jossey-Bass.</w:t>
      </w:r>
    </w:p>
    <w:p w14:paraId="2D9B545F" w14:textId="77777777" w:rsidR="00151CA4" w:rsidRPr="009043D5" w:rsidRDefault="00151CA4" w:rsidP="00151CA4">
      <w:pPr>
        <w:ind w:left="720" w:hanging="720"/>
      </w:pPr>
      <w:r w:rsidRPr="009043D5">
        <w:t xml:space="preserve">Weick, K. E. (1995). </w:t>
      </w:r>
      <w:r w:rsidRPr="009043D5">
        <w:rPr>
          <w:i/>
        </w:rPr>
        <w:t>Sensemaking in organizations</w:t>
      </w:r>
      <w:r w:rsidRPr="009043D5">
        <w:t xml:space="preserve">. Thousand Oaks, CA: SAGE. </w:t>
      </w:r>
    </w:p>
    <w:p w14:paraId="16E0153C" w14:textId="77777777" w:rsidR="00151CA4" w:rsidRPr="009043D5" w:rsidRDefault="00151CA4" w:rsidP="00487CC4">
      <w:pPr>
        <w:ind w:left="720" w:hanging="720"/>
        <w:rPr>
          <w:iCs/>
        </w:rPr>
      </w:pPr>
    </w:p>
    <w:p w14:paraId="28144A98" w14:textId="78E04145" w:rsidR="007A699D" w:rsidRDefault="007A699D" w:rsidP="007A699D">
      <w:pPr>
        <w:ind w:left="720" w:hanging="720"/>
      </w:pPr>
      <w:r>
        <w:t xml:space="preserve">Shapiro, D. L. and Kirkman, B. (2018). It’s time to make business school research more relevant. Boston: </w:t>
      </w:r>
      <w:r w:rsidRPr="007A699D">
        <w:rPr>
          <w:i/>
        </w:rPr>
        <w:t>Harvard Business Review</w:t>
      </w:r>
      <w:r>
        <w:rPr>
          <w:i/>
        </w:rPr>
        <w:t xml:space="preserve">, </w:t>
      </w:r>
      <w:r>
        <w:t xml:space="preserve">July 19, 2018. Retrieved from </w:t>
      </w:r>
      <w:hyperlink r:id="rId32" w:history="1">
        <w:r w:rsidRPr="005A76A8">
          <w:rPr>
            <w:rStyle w:val="Hyperlink"/>
          </w:rPr>
          <w:t>https://hbr.org/2018/07/its-time-to-make-business-school-research-more-relevant</w:t>
        </w:r>
      </w:hyperlink>
    </w:p>
    <w:p w14:paraId="1B0E5020" w14:textId="77777777" w:rsidR="004E58C2" w:rsidRDefault="004E58C2" w:rsidP="004E58C2">
      <w:pPr>
        <w:widowControl w:val="0"/>
        <w:autoSpaceDE w:val="0"/>
        <w:autoSpaceDN w:val="0"/>
        <w:adjustRightInd w:val="0"/>
        <w:spacing w:line="240" w:lineRule="auto"/>
        <w:ind w:firstLine="0"/>
        <w:rPr>
          <w:rFonts w:eastAsiaTheme="minorEastAsia"/>
          <w:color w:val="000000"/>
          <w:sz w:val="52"/>
          <w:szCs w:val="52"/>
        </w:rPr>
      </w:pPr>
    </w:p>
    <w:p w14:paraId="79665FF9" w14:textId="124C927E" w:rsidR="004E58C2" w:rsidRDefault="004E58C2" w:rsidP="004E58C2">
      <w:pPr>
        <w:widowControl w:val="0"/>
        <w:autoSpaceDE w:val="0"/>
        <w:autoSpaceDN w:val="0"/>
        <w:adjustRightInd w:val="0"/>
        <w:spacing w:line="240" w:lineRule="auto"/>
        <w:ind w:firstLine="0"/>
        <w:rPr>
          <w:rFonts w:eastAsiaTheme="minorEastAsia"/>
          <w:color w:val="000000"/>
        </w:rPr>
      </w:pPr>
    </w:p>
    <w:p w14:paraId="57D9FDDC" w14:textId="2126AA69" w:rsidR="00504113" w:rsidRDefault="00504113">
      <w:pPr>
        <w:spacing w:line="240" w:lineRule="auto"/>
        <w:ind w:firstLine="0"/>
      </w:pPr>
      <w:r>
        <w:br w:type="page"/>
      </w:r>
    </w:p>
    <w:p w14:paraId="1DE1E5E6" w14:textId="77777777" w:rsidR="00504113" w:rsidRDefault="00504113" w:rsidP="00504113">
      <w:pPr>
        <w:spacing w:before="73"/>
        <w:ind w:left="2511" w:right="2131"/>
        <w:jc w:val="center"/>
        <w:rPr>
          <w:rFonts w:eastAsia="Arial"/>
          <w:b/>
          <w:sz w:val="32"/>
        </w:rPr>
      </w:pPr>
      <w:r>
        <w:rPr>
          <w:b/>
          <w:sz w:val="32"/>
        </w:rPr>
        <w:lastRenderedPageBreak/>
        <w:t>Request for Information</w:t>
      </w:r>
    </w:p>
    <w:p w14:paraId="7E3D695D" w14:textId="77777777" w:rsidR="00504113" w:rsidRDefault="00504113" w:rsidP="00504113">
      <w:pPr>
        <w:pStyle w:val="BodyText"/>
        <w:jc w:val="center"/>
        <w:rPr>
          <w:b/>
          <w:sz w:val="20"/>
        </w:rPr>
      </w:pPr>
      <w:r>
        <w:rPr>
          <w:b/>
          <w:bCs/>
          <w:sz w:val="24"/>
          <w:szCs w:val="24"/>
        </w:rPr>
        <w:t>Federal Technology Transfer Authorities and Processes</w:t>
      </w:r>
    </w:p>
    <w:p w14:paraId="15001990" w14:textId="77777777" w:rsidR="00504113" w:rsidRDefault="00504113" w:rsidP="00504113">
      <w:pPr>
        <w:pStyle w:val="BodyText"/>
        <w:rPr>
          <w:b/>
        </w:rPr>
      </w:pPr>
    </w:p>
    <w:p w14:paraId="3FE157B2" w14:textId="77777777" w:rsidR="00504113" w:rsidRDefault="00504113" w:rsidP="00504113">
      <w:pPr>
        <w:pStyle w:val="BodyText"/>
        <w:spacing w:before="4"/>
        <w:rPr>
          <w:b/>
          <w:sz w:val="23"/>
        </w:rPr>
      </w:pPr>
    </w:p>
    <w:p w14:paraId="42EE0BD9" w14:textId="77777777" w:rsidR="00504113" w:rsidRDefault="00504113" w:rsidP="00504113">
      <w:pPr>
        <w:ind w:left="2648"/>
        <w:rPr>
          <w:b/>
        </w:rPr>
      </w:pPr>
      <w:r>
        <w:rPr>
          <w:b/>
          <w:color w:val="FF0000"/>
        </w:rPr>
        <w:t>Last day to submit the responses: July 30, 2018</w:t>
      </w:r>
    </w:p>
    <w:p w14:paraId="414968E9" w14:textId="77777777" w:rsidR="00504113" w:rsidRDefault="00504113" w:rsidP="00504113">
      <w:pPr>
        <w:pStyle w:val="BodyText"/>
        <w:rPr>
          <w:b/>
          <w:sz w:val="20"/>
        </w:rPr>
      </w:pPr>
    </w:p>
    <w:p w14:paraId="384A8DC2" w14:textId="77777777" w:rsidR="00504113" w:rsidRDefault="00504113" w:rsidP="00504113">
      <w:pPr>
        <w:pStyle w:val="Heading3"/>
        <w:spacing w:before="94"/>
      </w:pPr>
      <w:r>
        <w:t>Introduction</w:t>
      </w:r>
    </w:p>
    <w:p w14:paraId="1F2D2086" w14:textId="77777777" w:rsidR="00504113" w:rsidRDefault="00504113" w:rsidP="00504113">
      <w:pPr>
        <w:pStyle w:val="BodyText"/>
        <w:spacing w:before="8"/>
        <w:rPr>
          <w:b/>
          <w:sz w:val="21"/>
        </w:rPr>
      </w:pPr>
    </w:p>
    <w:p w14:paraId="21456E60" w14:textId="77777777" w:rsidR="00504113" w:rsidRDefault="00504113" w:rsidP="00504113">
      <w:pPr>
        <w:pStyle w:val="BodyText"/>
        <w:spacing w:line="247" w:lineRule="auto"/>
        <w:ind w:left="488" w:right="461"/>
        <w:rPr>
          <w:sz w:val="20"/>
        </w:rPr>
      </w:pPr>
      <w:r>
        <w:t>In order to advance the President's Management Agenda to modernize government for the 21st century, including the associated Lab-to-Market CAP Goal in coordination with the White House's OSTP, NIST is initiating a Return on Investment (ROI) Initiative [4] with the intent of conducting a comprehensive assessment of the Federal technology transfer system that will identify opportunities to improve Federal technology transfer efforts, policies, and practices. The goal of this effort is to, where appropriate, streamline and accelerate transfer of technology from Federal R&amp;D investments to attract greater private-sector investment for innovative products, processes, and services, as well as new businesses and industries that will create jobs, grow the economy, and enhance national security.</w:t>
      </w:r>
    </w:p>
    <w:p w14:paraId="7FA82D77" w14:textId="77777777" w:rsidR="00504113" w:rsidRDefault="00504113" w:rsidP="00504113">
      <w:pPr>
        <w:pStyle w:val="BodyText"/>
        <w:spacing w:line="247" w:lineRule="auto"/>
        <w:ind w:left="488" w:right="461"/>
      </w:pPr>
    </w:p>
    <w:p w14:paraId="71E53134" w14:textId="77777777" w:rsidR="00504113" w:rsidRDefault="00504113" w:rsidP="00504113">
      <w:pPr>
        <w:pStyle w:val="BodyText"/>
        <w:spacing w:line="247" w:lineRule="auto"/>
        <w:ind w:left="488" w:right="461"/>
      </w:pPr>
      <w:r>
        <w:t>NIST is seeking broad input and participation from stakeholders in Federal R&amp;D, intellectual property, and technology transfer to assist in identifying and prioritizing issues and proposed solutions. This assessment will address: (a) Core Federal technology transfer principles and practices that should be protected, and those which should be adapted or changed; (b) approaches to improve efficiency and reduce regulatory burdens for technology transfer to attract private sector investment in later-stage R&amp;D, commercialization, and advanced manufacturing; (c) new partnering models and technology transfer mechanisms with the private sector, academia, other Federal agencies, state, and other public-sector entities to support technology development and maturation; (d) new approaches that will reduce or remove barriers, and enable accelerated technology transfer, with a focus on areas of strategic national importance; (e) better metrics and methods to evaluate the ROI outcomes and impacts arising from Federal R&amp;D investment; and (f) new approaches to motivate significantly increased technology transfer outcomes from the Federal sector, universities, and research organizations.</w:t>
      </w:r>
    </w:p>
    <w:p w14:paraId="009D8537" w14:textId="77777777" w:rsidR="00504113" w:rsidRDefault="00504113" w:rsidP="00504113">
      <w:pPr>
        <w:pStyle w:val="BodyText"/>
        <w:spacing w:line="247" w:lineRule="auto"/>
        <w:ind w:left="488" w:right="461"/>
      </w:pPr>
    </w:p>
    <w:p w14:paraId="360C430E" w14:textId="77777777" w:rsidR="00504113" w:rsidRDefault="00504113" w:rsidP="00504113">
      <w:pPr>
        <w:pStyle w:val="BodyText"/>
        <w:spacing w:line="247" w:lineRule="auto"/>
        <w:ind w:left="488" w:right="173"/>
      </w:pPr>
      <w:r>
        <w:lastRenderedPageBreak/>
        <w:t>This information will only be used as input to the Return on Investment initiative. All submissions, including attachments and other supporting materials, will become part of the public record and subject to public disclosure. Sensitive personal information, such as account numbers or Social Security numbers, or names of other individuals, should not be included. Submissions will not be edited to remove any identifying or contact information. Do not submit confidential business information, or otherwise sensitive or protected information.  Comments that contain profanity, vulgarity, threats, or other inappropriate language or content will not be considered.</w:t>
      </w:r>
    </w:p>
    <w:p w14:paraId="0F755325" w14:textId="77777777" w:rsidR="00504113" w:rsidRDefault="00504113" w:rsidP="00504113">
      <w:pPr>
        <w:pStyle w:val="BodyText"/>
        <w:spacing w:before="11"/>
        <w:rPr>
          <w:sz w:val="19"/>
        </w:rPr>
      </w:pPr>
    </w:p>
    <w:p w14:paraId="23037654" w14:textId="77777777" w:rsidR="00504113" w:rsidRDefault="00504113" w:rsidP="00504113">
      <w:pPr>
        <w:pStyle w:val="Heading3"/>
        <w:rPr>
          <w:sz w:val="20"/>
        </w:rPr>
      </w:pPr>
      <w:r>
        <w:t>Instructions</w:t>
      </w:r>
    </w:p>
    <w:p w14:paraId="56DF3DB8" w14:textId="77777777" w:rsidR="00504113" w:rsidRDefault="00504113" w:rsidP="00504113">
      <w:pPr>
        <w:pStyle w:val="BodyText"/>
        <w:spacing w:before="9"/>
        <w:rPr>
          <w:b/>
          <w:sz w:val="21"/>
        </w:rPr>
      </w:pPr>
    </w:p>
    <w:p w14:paraId="4D4FA771" w14:textId="77777777" w:rsidR="00504113" w:rsidRDefault="00504113" w:rsidP="00504113">
      <w:pPr>
        <w:pStyle w:val="BodyText"/>
        <w:ind w:left="488"/>
        <w:rPr>
          <w:sz w:val="20"/>
        </w:rPr>
      </w:pPr>
      <w:r>
        <w:t>This template is designed to facilitate responses to the RFI. Use of this form is optional.</w:t>
      </w:r>
    </w:p>
    <w:p w14:paraId="03D76D9A" w14:textId="77777777" w:rsidR="00504113" w:rsidRDefault="00504113" w:rsidP="00504113">
      <w:pPr>
        <w:pStyle w:val="BodyText"/>
        <w:spacing w:before="8"/>
        <w:rPr>
          <w:sz w:val="21"/>
        </w:rPr>
      </w:pPr>
    </w:p>
    <w:p w14:paraId="7A944E5C" w14:textId="77777777" w:rsidR="00504113" w:rsidRDefault="00504113" w:rsidP="00504113">
      <w:pPr>
        <w:pStyle w:val="BodyText"/>
        <w:spacing w:line="247" w:lineRule="auto"/>
        <w:ind w:left="488" w:right="551"/>
        <w:rPr>
          <w:sz w:val="20"/>
        </w:rPr>
      </w:pPr>
      <w:r>
        <w:t>It is not required to fill out all of the sections, for example a participant may elect to only provide input on one question.</w:t>
      </w:r>
    </w:p>
    <w:p w14:paraId="268F2013" w14:textId="77777777" w:rsidR="00504113" w:rsidRDefault="00504113" w:rsidP="00504113">
      <w:pPr>
        <w:pStyle w:val="BodyText"/>
        <w:rPr>
          <w:sz w:val="21"/>
        </w:rPr>
      </w:pPr>
    </w:p>
    <w:p w14:paraId="5BCE4E18" w14:textId="77777777" w:rsidR="00504113" w:rsidRDefault="00504113" w:rsidP="00504113">
      <w:pPr>
        <w:pStyle w:val="BodyText"/>
        <w:spacing w:line="247" w:lineRule="auto"/>
        <w:ind w:left="488" w:right="25"/>
        <w:rPr>
          <w:sz w:val="20"/>
        </w:rPr>
      </w:pPr>
      <w:r>
        <w:t xml:space="preserve">Save and email it to </w:t>
      </w:r>
      <w:hyperlink r:id="rId33" w:history="1">
        <w:r>
          <w:rPr>
            <w:rStyle w:val="Hyperlink"/>
          </w:rPr>
          <w:t>roi@nist.gov</w:t>
        </w:r>
      </w:hyperlink>
      <w:r>
        <w:t xml:space="preserve">. </w:t>
      </w:r>
    </w:p>
    <w:p w14:paraId="1496DCB7" w14:textId="77777777" w:rsidR="00504113" w:rsidRDefault="00504113" w:rsidP="00504113">
      <w:pPr>
        <w:pStyle w:val="BodyText"/>
      </w:pPr>
    </w:p>
    <w:p w14:paraId="7A9E24D4" w14:textId="77777777" w:rsidR="00504113" w:rsidRDefault="00504113" w:rsidP="00504113">
      <w:pPr>
        <w:pStyle w:val="Heading1"/>
        <w:spacing w:before="174"/>
        <w:ind w:left="488"/>
        <w:rPr>
          <w:sz w:val="24"/>
        </w:rPr>
      </w:pPr>
      <w:r>
        <w:t>Contact Information</w:t>
      </w:r>
    </w:p>
    <w:p w14:paraId="1FF7DCBE" w14:textId="77777777" w:rsidR="00504113" w:rsidRDefault="00504113" w:rsidP="00504113">
      <w:pPr>
        <w:pStyle w:val="BodyText"/>
        <w:rPr>
          <w:b/>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6153"/>
      </w:tblGrid>
      <w:tr w:rsidR="00504113" w14:paraId="386FC702" w14:textId="77777777" w:rsidTr="00504113">
        <w:trPr>
          <w:trHeight w:val="432"/>
        </w:trPr>
        <w:tc>
          <w:tcPr>
            <w:tcW w:w="1980" w:type="dxa"/>
            <w:vAlign w:val="bottom"/>
            <w:hideMark/>
          </w:tcPr>
          <w:p w14:paraId="02DC2517" w14:textId="77777777" w:rsidR="00504113" w:rsidRDefault="00504113">
            <w:pPr>
              <w:pStyle w:val="BodyText"/>
              <w:spacing w:before="6"/>
              <w:rPr>
                <w:bCs/>
              </w:rPr>
            </w:pPr>
            <w:r>
              <w:rPr>
                <w:bCs/>
              </w:rPr>
              <w:t>Full Name</w:t>
            </w:r>
          </w:p>
        </w:tc>
        <w:tc>
          <w:tcPr>
            <w:tcW w:w="7830" w:type="dxa"/>
            <w:tcBorders>
              <w:top w:val="nil"/>
              <w:left w:val="nil"/>
              <w:bottom w:val="single" w:sz="4" w:space="0" w:color="auto"/>
              <w:right w:val="nil"/>
            </w:tcBorders>
            <w:vAlign w:val="bottom"/>
            <w:hideMark/>
          </w:tcPr>
          <w:p w14:paraId="5287A272" w14:textId="77777777" w:rsidR="00504113" w:rsidRDefault="00504113">
            <w:pPr>
              <w:pStyle w:val="BodyText"/>
              <w:spacing w:before="6"/>
              <w:rPr>
                <w:b/>
              </w:rPr>
            </w:pPr>
            <w:r>
              <w:rPr>
                <w:b/>
              </w:rPr>
              <w:fldChar w:fldCharType="begin">
                <w:ffData>
                  <w:name w:val="FullName"/>
                  <w:enabled/>
                  <w:calcOnExit w:val="0"/>
                  <w:textInput/>
                </w:ffData>
              </w:fldChar>
            </w:r>
            <w:bookmarkStart w:id="13" w:name="FullName"/>
            <w:r>
              <w:rPr>
                <w:b/>
              </w:rPr>
              <w:instrText xml:space="preserve"> FORMTEXT </w:instrText>
            </w:r>
            <w:r>
              <w:rPr>
                <w:b/>
              </w:rPr>
            </w:r>
            <w:r>
              <w:rPr>
                <w:b/>
              </w:rPr>
              <w:fldChar w:fldCharType="separate"/>
            </w:r>
            <w:r>
              <w:rPr>
                <w:b/>
              </w:rPr>
              <w:t>Chester Charles Warzynski</w:t>
            </w:r>
            <w:r>
              <w:t xml:space="preserve"> </w:t>
            </w:r>
            <w:r>
              <w:rPr>
                <w:sz w:val="20"/>
              </w:rPr>
              <w:fldChar w:fldCharType="end"/>
            </w:r>
            <w:bookmarkEnd w:id="13"/>
          </w:p>
        </w:tc>
      </w:tr>
      <w:tr w:rsidR="00504113" w14:paraId="0DA98839" w14:textId="77777777" w:rsidTr="00504113">
        <w:trPr>
          <w:trHeight w:val="432"/>
        </w:trPr>
        <w:tc>
          <w:tcPr>
            <w:tcW w:w="1980" w:type="dxa"/>
            <w:vAlign w:val="bottom"/>
            <w:hideMark/>
          </w:tcPr>
          <w:p w14:paraId="33326F2B" w14:textId="77777777" w:rsidR="00504113" w:rsidRDefault="00504113">
            <w:pPr>
              <w:pStyle w:val="BodyText"/>
              <w:spacing w:before="6"/>
              <w:rPr>
                <w:bCs/>
                <w:sz w:val="20"/>
              </w:rPr>
            </w:pPr>
            <w:r>
              <w:rPr>
                <w:bCs/>
              </w:rPr>
              <w:t>Email address</w:t>
            </w:r>
          </w:p>
        </w:tc>
        <w:tc>
          <w:tcPr>
            <w:tcW w:w="7830" w:type="dxa"/>
            <w:tcBorders>
              <w:top w:val="single" w:sz="4" w:space="0" w:color="auto"/>
              <w:left w:val="nil"/>
              <w:bottom w:val="single" w:sz="4" w:space="0" w:color="auto"/>
              <w:right w:val="nil"/>
            </w:tcBorders>
            <w:vAlign w:val="bottom"/>
            <w:hideMark/>
          </w:tcPr>
          <w:p w14:paraId="30DF9D7D" w14:textId="77777777" w:rsidR="00504113" w:rsidRDefault="00504113">
            <w:pPr>
              <w:pStyle w:val="BodyText"/>
              <w:spacing w:before="6"/>
              <w:rPr>
                <w:b/>
              </w:rPr>
            </w:pPr>
            <w:r>
              <w:rPr>
                <w:b/>
              </w:rPr>
              <w:fldChar w:fldCharType="begin">
                <w:ffData>
                  <w:name w:val="EmailAddress"/>
                  <w:enabled/>
                  <w:calcOnExit w:val="0"/>
                  <w:textInput/>
                </w:ffData>
              </w:fldChar>
            </w:r>
            <w:bookmarkStart w:id="14" w:name="EmailAddress"/>
            <w:r>
              <w:rPr>
                <w:b/>
              </w:rPr>
              <w:instrText xml:space="preserve"> FORMTEXT </w:instrText>
            </w:r>
            <w:r>
              <w:rPr>
                <w:b/>
              </w:rPr>
            </w:r>
            <w:r>
              <w:rPr>
                <w:b/>
              </w:rPr>
              <w:fldChar w:fldCharType="separate"/>
            </w:r>
            <w:r>
              <w:rPr>
                <w:b/>
                <w:noProof/>
              </w:rPr>
              <w:t>c.warzynski@cornell.edu</w:t>
            </w:r>
            <w:r>
              <w:rPr>
                <w:sz w:val="20"/>
              </w:rPr>
              <w:fldChar w:fldCharType="end"/>
            </w:r>
            <w:bookmarkEnd w:id="14"/>
          </w:p>
        </w:tc>
      </w:tr>
      <w:tr w:rsidR="00504113" w14:paraId="433B373D" w14:textId="77777777" w:rsidTr="00504113">
        <w:trPr>
          <w:trHeight w:val="432"/>
        </w:trPr>
        <w:tc>
          <w:tcPr>
            <w:tcW w:w="1980" w:type="dxa"/>
            <w:vAlign w:val="bottom"/>
            <w:hideMark/>
          </w:tcPr>
          <w:p w14:paraId="3BDBB4F2" w14:textId="77777777" w:rsidR="00504113" w:rsidRDefault="00504113">
            <w:pPr>
              <w:pStyle w:val="BodyText"/>
              <w:spacing w:before="6"/>
              <w:rPr>
                <w:bCs/>
                <w:sz w:val="20"/>
              </w:rPr>
            </w:pPr>
            <w:r>
              <w:rPr>
                <w:bCs/>
              </w:rPr>
              <w:t>Organization Name</w:t>
            </w:r>
          </w:p>
        </w:tc>
        <w:tc>
          <w:tcPr>
            <w:tcW w:w="7830" w:type="dxa"/>
            <w:tcBorders>
              <w:top w:val="single" w:sz="4" w:space="0" w:color="auto"/>
              <w:left w:val="nil"/>
              <w:bottom w:val="single" w:sz="4" w:space="0" w:color="auto"/>
              <w:right w:val="nil"/>
            </w:tcBorders>
            <w:vAlign w:val="bottom"/>
            <w:hideMark/>
          </w:tcPr>
          <w:p w14:paraId="76B97144" w14:textId="77777777" w:rsidR="00504113" w:rsidRDefault="00504113">
            <w:pPr>
              <w:pStyle w:val="BodyText"/>
              <w:spacing w:before="6"/>
              <w:rPr>
                <w:b/>
              </w:rPr>
            </w:pPr>
            <w:r>
              <w:rPr>
                <w:b/>
              </w:rPr>
              <w:fldChar w:fldCharType="begin">
                <w:ffData>
                  <w:name w:val="CompanyName"/>
                  <w:enabled/>
                  <w:calcOnExit w:val="0"/>
                  <w:textInput/>
                </w:ffData>
              </w:fldChar>
            </w:r>
            <w:bookmarkStart w:id="15" w:name="CompanyName"/>
            <w:r>
              <w:rPr>
                <w:b/>
              </w:rPr>
              <w:instrText xml:space="preserve"> FORMTEXT </w:instrText>
            </w:r>
            <w:r>
              <w:rPr>
                <w:b/>
              </w:rPr>
            </w:r>
            <w:r>
              <w:rPr>
                <w:b/>
              </w:rPr>
              <w:fldChar w:fldCharType="separate"/>
            </w:r>
            <w:r>
              <w:rPr>
                <w:b/>
                <w:noProof/>
              </w:rPr>
              <w:t>Warzynski Consulting</w:t>
            </w:r>
            <w:r>
              <w:rPr>
                <w:sz w:val="20"/>
              </w:rPr>
              <w:fldChar w:fldCharType="end"/>
            </w:r>
            <w:bookmarkEnd w:id="15"/>
          </w:p>
        </w:tc>
      </w:tr>
      <w:tr w:rsidR="00504113" w14:paraId="0BEFA2DF" w14:textId="77777777" w:rsidTr="00504113">
        <w:trPr>
          <w:trHeight w:val="432"/>
        </w:trPr>
        <w:tc>
          <w:tcPr>
            <w:tcW w:w="1980" w:type="dxa"/>
            <w:vAlign w:val="bottom"/>
            <w:hideMark/>
          </w:tcPr>
          <w:p w14:paraId="51C2EA9D" w14:textId="77777777" w:rsidR="00504113" w:rsidRDefault="00504113">
            <w:pPr>
              <w:pStyle w:val="BodyText"/>
              <w:spacing w:before="6"/>
              <w:rPr>
                <w:bCs/>
                <w:sz w:val="20"/>
              </w:rPr>
            </w:pPr>
            <w:r>
              <w:rPr>
                <w:bCs/>
              </w:rPr>
              <w:t>Organization Type</w:t>
            </w:r>
          </w:p>
        </w:tc>
        <w:tc>
          <w:tcPr>
            <w:tcW w:w="7830" w:type="dxa"/>
            <w:tcBorders>
              <w:top w:val="single" w:sz="4" w:space="0" w:color="auto"/>
              <w:left w:val="nil"/>
              <w:bottom w:val="single" w:sz="4" w:space="0" w:color="auto"/>
              <w:right w:val="nil"/>
            </w:tcBorders>
            <w:vAlign w:val="bottom"/>
            <w:hideMark/>
          </w:tcPr>
          <w:p w14:paraId="3DAF5F81" w14:textId="77777777" w:rsidR="00504113" w:rsidRDefault="00504113">
            <w:pPr>
              <w:pStyle w:val="BodyText"/>
              <w:spacing w:before="6"/>
              <w:rPr>
                <w:b/>
              </w:rPr>
            </w:pPr>
            <w:r>
              <w:rPr>
                <w:b/>
              </w:rPr>
              <w:fldChar w:fldCharType="begin">
                <w:ffData>
                  <w:name w:val="CompanyName"/>
                  <w:enabled/>
                  <w:calcOnExit w:val="0"/>
                  <w:textInput/>
                </w:ffData>
              </w:fldChar>
            </w:r>
            <w:r>
              <w:rPr>
                <w:b/>
              </w:rPr>
              <w:instrText xml:space="preserve"> FORMTEXT </w:instrText>
            </w:r>
            <w:r>
              <w:rPr>
                <w:b/>
              </w:rPr>
            </w:r>
            <w:r>
              <w:rPr>
                <w:b/>
              </w:rPr>
              <w:fldChar w:fldCharType="separate"/>
            </w:r>
            <w:r>
              <w:rPr>
                <w:b/>
                <w:noProof/>
              </w:rPr>
              <w:t>Educational Consulting</w:t>
            </w:r>
            <w:r>
              <w:rPr>
                <w:b/>
              </w:rPr>
              <w:fldChar w:fldCharType="end"/>
            </w:r>
          </w:p>
        </w:tc>
      </w:tr>
    </w:tbl>
    <w:p w14:paraId="0347F1AC" w14:textId="77777777" w:rsidR="00504113" w:rsidRDefault="00504113" w:rsidP="00504113">
      <w:pPr>
        <w:pStyle w:val="BodyText"/>
        <w:spacing w:before="6"/>
        <w:rPr>
          <w:rFonts w:ascii="Arial" w:eastAsia="Arial" w:hAnsi="Arial" w:cs="Arial"/>
          <w:b/>
          <w:szCs w:val="20"/>
        </w:rPr>
      </w:pPr>
    </w:p>
    <w:p w14:paraId="7A0F10D9" w14:textId="77777777" w:rsidR="00504113" w:rsidRDefault="00504113" w:rsidP="00504113">
      <w:pPr>
        <w:rPr>
          <w:sz w:val="22"/>
        </w:rPr>
      </w:pPr>
      <w:r>
        <w:t>Questions</w:t>
      </w:r>
    </w:p>
    <w:p w14:paraId="2F064BF9" w14:textId="77777777" w:rsidR="00504113" w:rsidRDefault="00504113" w:rsidP="00504113">
      <w:pPr>
        <w:pStyle w:val="BodyText"/>
        <w:rPr>
          <w:b/>
          <w:sz w:val="26"/>
        </w:rPr>
      </w:pPr>
    </w:p>
    <w:p w14:paraId="1F9D52AC" w14:textId="77777777" w:rsidR="00504113" w:rsidRDefault="00504113" w:rsidP="00504113">
      <w:pPr>
        <w:pStyle w:val="ListParagraph"/>
        <w:widowControl w:val="0"/>
        <w:numPr>
          <w:ilvl w:val="0"/>
          <w:numId w:val="13"/>
        </w:numPr>
        <w:tabs>
          <w:tab w:val="left" w:pos="489"/>
        </w:tabs>
        <w:autoSpaceDE w:val="0"/>
        <w:autoSpaceDN w:val="0"/>
        <w:spacing w:before="1" w:line="247" w:lineRule="auto"/>
        <w:ind w:right="682"/>
        <w:contextualSpacing w:val="0"/>
        <w:jc w:val="left"/>
        <w:rPr>
          <w:sz w:val="20"/>
        </w:rPr>
      </w:pPr>
      <w:r>
        <w:rPr>
          <w:sz w:val="20"/>
        </w:rPr>
        <w:t>What are the core Federal technology transfer principles and practices that should be protected, and those which should be adapted or changed?</w:t>
      </w:r>
    </w:p>
    <w:p w14:paraId="71794156" w14:textId="77777777" w:rsidR="00504113" w:rsidRDefault="00504113" w:rsidP="00504113">
      <w:pPr>
        <w:tabs>
          <w:tab w:val="left" w:pos="489"/>
        </w:tabs>
        <w:spacing w:before="1" w:line="247"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504113" w14:paraId="64210CEC" w14:textId="77777777" w:rsidTr="00504113">
        <w:trPr>
          <w:trHeight w:val="1440"/>
        </w:trPr>
        <w:tc>
          <w:tcPr>
            <w:tcW w:w="9630" w:type="dxa"/>
            <w:tcBorders>
              <w:top w:val="single" w:sz="4" w:space="0" w:color="auto"/>
              <w:left w:val="single" w:sz="4" w:space="0" w:color="auto"/>
              <w:bottom w:val="single" w:sz="4" w:space="0" w:color="auto"/>
              <w:right w:val="single" w:sz="4" w:space="0" w:color="auto"/>
            </w:tcBorders>
            <w:hideMark/>
          </w:tcPr>
          <w:p w14:paraId="53CC6A91" w14:textId="77777777" w:rsidR="00504113" w:rsidRDefault="00504113">
            <w:pPr>
              <w:pStyle w:val="BodyText"/>
              <w:spacing w:before="5"/>
              <w:rPr>
                <w:sz w:val="11"/>
              </w:rPr>
            </w:pPr>
            <w:r>
              <w:rPr>
                <w:sz w:val="11"/>
              </w:rPr>
              <w:lastRenderedPageBreak/>
              <w:fldChar w:fldCharType="begin">
                <w:ffData>
                  <w:name w:val="Answer1"/>
                  <w:enabled/>
                  <w:calcOnExit w:val="0"/>
                  <w:textInput/>
                </w:ffData>
              </w:fldChar>
            </w:r>
            <w:bookmarkStart w:id="16" w:name="Answer1"/>
            <w:r>
              <w:rPr>
                <w:sz w:val="11"/>
              </w:rPr>
              <w:instrText xml:space="preserve"> FORMTEXT </w:instrText>
            </w:r>
            <w:r>
              <w:rPr>
                <w:sz w:val="11"/>
              </w:rPr>
            </w:r>
            <w:r>
              <w:rPr>
                <w:sz w:val="11"/>
              </w:rPr>
              <w:fldChar w:fldCharType="separate"/>
            </w:r>
            <w:r>
              <w:rPr>
                <w:noProof/>
                <w:sz w:val="11"/>
              </w:rPr>
              <w:t xml:space="preserve">The transaction costs for compiance with federal regulations for grants and awards are a tremendous waste of public funds. The system is a bureaucratic nightmare. It needs to be radically streamlined and revised. </w:t>
            </w:r>
            <w:r>
              <w:rPr>
                <w:sz w:val="20"/>
              </w:rPr>
              <w:fldChar w:fldCharType="end"/>
            </w:r>
            <w:bookmarkEnd w:id="16"/>
          </w:p>
        </w:tc>
      </w:tr>
    </w:tbl>
    <w:p w14:paraId="62F9A82D" w14:textId="77777777" w:rsidR="00504113" w:rsidRDefault="00504113" w:rsidP="00504113">
      <w:pPr>
        <w:pStyle w:val="BodyText"/>
        <w:spacing w:before="5"/>
        <w:rPr>
          <w:rFonts w:ascii="Arial" w:eastAsia="Arial" w:hAnsi="Arial" w:cs="Arial"/>
          <w:sz w:val="11"/>
          <w:szCs w:val="20"/>
        </w:rPr>
      </w:pPr>
    </w:p>
    <w:p w14:paraId="1EB5BC83" w14:textId="77777777" w:rsidR="00504113" w:rsidRDefault="00504113" w:rsidP="00504113">
      <w:pPr>
        <w:pStyle w:val="BodyText"/>
        <w:spacing w:before="4"/>
        <w:rPr>
          <w:sz w:val="11"/>
        </w:rPr>
      </w:pPr>
    </w:p>
    <w:p w14:paraId="3D0DB23A" w14:textId="77777777" w:rsidR="00504113" w:rsidRDefault="00504113" w:rsidP="00504113">
      <w:pPr>
        <w:pStyle w:val="ListParagraph"/>
        <w:widowControl w:val="0"/>
        <w:numPr>
          <w:ilvl w:val="0"/>
          <w:numId w:val="13"/>
        </w:numPr>
        <w:tabs>
          <w:tab w:val="left" w:pos="489"/>
        </w:tabs>
        <w:autoSpaceDE w:val="0"/>
        <w:autoSpaceDN w:val="0"/>
        <w:spacing w:before="94" w:line="247" w:lineRule="auto"/>
        <w:ind w:right="848"/>
        <w:contextualSpacing w:val="0"/>
        <w:jc w:val="left"/>
        <w:rPr>
          <w:sz w:val="20"/>
        </w:rPr>
      </w:pPr>
      <w:r>
        <w:rPr>
          <w:sz w:val="20"/>
        </w:rPr>
        <w:t>What 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p>
    <w:p w14:paraId="517B1D3B" w14:textId="77777777" w:rsidR="00504113" w:rsidRDefault="00504113" w:rsidP="00504113">
      <w:pPr>
        <w:tabs>
          <w:tab w:val="left" w:pos="489"/>
        </w:tabs>
        <w:spacing w:before="1" w:line="247"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504113" w14:paraId="734D4730" w14:textId="77777777" w:rsidTr="00504113">
        <w:trPr>
          <w:trHeight w:val="1440"/>
        </w:trPr>
        <w:tc>
          <w:tcPr>
            <w:tcW w:w="9630" w:type="dxa"/>
            <w:tcBorders>
              <w:top w:val="single" w:sz="4" w:space="0" w:color="auto"/>
              <w:left w:val="single" w:sz="4" w:space="0" w:color="auto"/>
              <w:bottom w:val="single" w:sz="4" w:space="0" w:color="auto"/>
              <w:right w:val="single" w:sz="4" w:space="0" w:color="auto"/>
            </w:tcBorders>
          </w:tcPr>
          <w:p w14:paraId="7B1D492E" w14:textId="77777777" w:rsidR="00504113" w:rsidRDefault="00504113">
            <w:pPr>
              <w:pStyle w:val="BodyText"/>
              <w:spacing w:before="5"/>
              <w:rPr>
                <w:sz w:val="11"/>
              </w:rPr>
            </w:pPr>
            <w:r>
              <w:rPr>
                <w:sz w:val="11"/>
              </w:rPr>
              <w:fldChar w:fldCharType="begin">
                <w:ffData>
                  <w:name w:val="Answer2"/>
                  <w:enabled/>
                  <w:calcOnExit w:val="0"/>
                  <w:textInput/>
                </w:ffData>
              </w:fldChar>
            </w:r>
            <w:bookmarkStart w:id="17" w:name="Answer2"/>
            <w:r>
              <w:rPr>
                <w:sz w:val="11"/>
              </w:rPr>
              <w:instrText xml:space="preserve"> FORMTEXT </w:instrText>
            </w:r>
            <w:r>
              <w:rPr>
                <w:sz w:val="11"/>
              </w:rPr>
            </w:r>
            <w:r>
              <w:rPr>
                <w:sz w:val="11"/>
              </w:rPr>
              <w:fldChar w:fldCharType="separate"/>
            </w:r>
            <w:r>
              <w:rPr>
                <w:sz w:val="11"/>
              </w:rPr>
              <w:t>The Bayh-Dole Act of 1980 is counter-productive to innovation. University are geared toward invention rather than innovation. Universities are departing from their original purpose to education, research ideas, and contribute to society. Extensive resources are being consumed to feed the existing research infrastructure and develop and operate Technology Transfer Officers, Innovation Centers, Venture Labs, etc. to commercialize research and create new revenue streams. This has contributed significantly to the high cost of education, inumerable commercial failures, faculty frustration and disillusionment. The massive digression from the original mission of universities has contributed significantly to the high cost of education, poor use of resources, inumerable commercial failures, faculty frustration and disillusionment.</w:t>
            </w:r>
          </w:p>
          <w:p w14:paraId="2D8D675E" w14:textId="77777777" w:rsidR="00504113" w:rsidRDefault="00504113">
            <w:pPr>
              <w:pStyle w:val="BodyText"/>
              <w:spacing w:before="5"/>
              <w:rPr>
                <w:sz w:val="11"/>
              </w:rPr>
            </w:pPr>
          </w:p>
          <w:p w14:paraId="24C34C27" w14:textId="77777777" w:rsidR="00504113" w:rsidRDefault="00504113">
            <w:pPr>
              <w:pStyle w:val="BodyText"/>
              <w:spacing w:before="5"/>
              <w:rPr>
                <w:sz w:val="11"/>
              </w:rPr>
            </w:pPr>
            <w:r>
              <w:rPr>
                <w:sz w:val="11"/>
              </w:rPr>
              <w:t xml:space="preserve">Other issues and barriers to innovation are: (a) lack of engagement and involvement of stakeholders; (b) absence of a mixed models and methods approach to innovation; (c) over-reliance on the scientific method, analysis, and evaluation, and under-emphasis on action research, isynthesis, integration, and social construction of knowledge; (d)  rigid disciplinary structure of the university and lack of interdisciplinary and transdisciplinary work; (e) culture of individualism with reward/incentive systems encouraging individual achievement as opposed to collective achievement; (f) competition for resources between academic units and administration. </w:t>
            </w:r>
            <w:r>
              <w:rPr>
                <w:sz w:val="20"/>
              </w:rPr>
              <w:fldChar w:fldCharType="end"/>
            </w:r>
            <w:bookmarkEnd w:id="17"/>
          </w:p>
        </w:tc>
      </w:tr>
    </w:tbl>
    <w:p w14:paraId="76B0E02A" w14:textId="77777777" w:rsidR="00504113" w:rsidRDefault="00504113" w:rsidP="00504113">
      <w:pPr>
        <w:pStyle w:val="BodyText"/>
        <w:spacing w:before="11"/>
        <w:ind w:left="128"/>
        <w:rPr>
          <w:rFonts w:ascii="Arial" w:eastAsia="Arial" w:hAnsi="Arial" w:cs="Arial"/>
          <w:sz w:val="19"/>
          <w:szCs w:val="20"/>
        </w:rPr>
      </w:pPr>
    </w:p>
    <w:p w14:paraId="7A94A277" w14:textId="77777777" w:rsidR="00504113" w:rsidRDefault="00504113" w:rsidP="00504113">
      <w:pPr>
        <w:pStyle w:val="BodyText"/>
        <w:spacing w:before="4"/>
        <w:rPr>
          <w:sz w:val="11"/>
        </w:rPr>
      </w:pPr>
    </w:p>
    <w:p w14:paraId="3329AF22" w14:textId="77777777" w:rsidR="00504113" w:rsidRDefault="00504113" w:rsidP="00504113">
      <w:pPr>
        <w:pStyle w:val="ListParagraph"/>
        <w:widowControl w:val="0"/>
        <w:numPr>
          <w:ilvl w:val="0"/>
          <w:numId w:val="13"/>
        </w:numPr>
        <w:tabs>
          <w:tab w:val="left" w:pos="489"/>
        </w:tabs>
        <w:autoSpaceDE w:val="0"/>
        <w:autoSpaceDN w:val="0"/>
        <w:spacing w:before="94" w:line="247" w:lineRule="auto"/>
        <w:ind w:right="946"/>
        <w:contextualSpacing w:val="0"/>
        <w:jc w:val="left"/>
        <w:rPr>
          <w:sz w:val="20"/>
        </w:rPr>
      </w:pPr>
      <w:r>
        <w:rPr>
          <w:sz w:val="20"/>
        </w:rPr>
        <w:t>What is the proposed solution for each issue that poses a systemic challenge to the effective transfer of technology, knowledge, and capabilities resulting from Federal R&amp;D? Please consider the approaches identified in the RFI.</w:t>
      </w:r>
    </w:p>
    <w:p w14:paraId="61308796" w14:textId="77777777" w:rsidR="00504113" w:rsidRDefault="00504113" w:rsidP="00504113">
      <w:pPr>
        <w:pStyle w:val="BodyText"/>
        <w:spacing w:before="4"/>
        <w:rPr>
          <w:sz w:val="10"/>
        </w:rPr>
      </w:pPr>
    </w:p>
    <w:p w14:paraId="1DCE7656" w14:textId="77777777" w:rsidR="00504113" w:rsidRDefault="00504113" w:rsidP="00504113">
      <w:pPr>
        <w:tabs>
          <w:tab w:val="left" w:pos="489"/>
        </w:tabs>
        <w:spacing w:before="1" w:line="247"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504113" w14:paraId="1F7AD70B" w14:textId="77777777" w:rsidTr="00504113">
        <w:trPr>
          <w:trHeight w:val="1440"/>
        </w:trPr>
        <w:tc>
          <w:tcPr>
            <w:tcW w:w="9630" w:type="dxa"/>
            <w:tcBorders>
              <w:top w:val="single" w:sz="4" w:space="0" w:color="auto"/>
              <w:left w:val="single" w:sz="4" w:space="0" w:color="auto"/>
              <w:bottom w:val="single" w:sz="4" w:space="0" w:color="auto"/>
              <w:right w:val="single" w:sz="4" w:space="0" w:color="auto"/>
            </w:tcBorders>
            <w:hideMark/>
          </w:tcPr>
          <w:p w14:paraId="149E89DA" w14:textId="77777777" w:rsidR="00504113" w:rsidRDefault="00504113">
            <w:pPr>
              <w:pStyle w:val="BodyText"/>
              <w:spacing w:before="5"/>
              <w:rPr>
                <w:noProof/>
                <w:sz w:val="11"/>
              </w:rPr>
            </w:pPr>
            <w:r>
              <w:rPr>
                <w:sz w:val="11"/>
              </w:rPr>
              <w:fldChar w:fldCharType="begin">
                <w:ffData>
                  <w:name w:val="Answer3"/>
                  <w:enabled/>
                  <w:calcOnExit w:val="0"/>
                  <w:textInput/>
                </w:ffData>
              </w:fldChar>
            </w:r>
            <w:bookmarkStart w:id="18" w:name="Answer3"/>
            <w:r>
              <w:rPr>
                <w:sz w:val="11"/>
              </w:rPr>
              <w:instrText xml:space="preserve"> FORMTEXT </w:instrText>
            </w:r>
            <w:r>
              <w:rPr>
                <w:sz w:val="11"/>
              </w:rPr>
            </w:r>
            <w:r>
              <w:rPr>
                <w:sz w:val="11"/>
              </w:rPr>
              <w:fldChar w:fldCharType="separate"/>
            </w:r>
            <w:r>
              <w:rPr>
                <w:sz w:val="11"/>
              </w:rPr>
              <w:t>1. Use Action Research with converging models and methods and greater engagement of stakeholders in the research, development, and commercialization process</w:t>
            </w:r>
          </w:p>
          <w:p w14:paraId="211B240C" w14:textId="77777777" w:rsidR="00504113" w:rsidRDefault="00504113">
            <w:pPr>
              <w:pStyle w:val="BodyText"/>
              <w:spacing w:before="5"/>
              <w:rPr>
                <w:noProof/>
                <w:sz w:val="11"/>
              </w:rPr>
            </w:pPr>
            <w:r>
              <w:rPr>
                <w:noProof/>
                <w:sz w:val="11"/>
              </w:rPr>
              <w:t xml:space="preserve">2, Accept fewer single researcher disciplinary-based proposals. </w:t>
            </w:r>
          </w:p>
          <w:p w14:paraId="2942AE83" w14:textId="77777777" w:rsidR="00504113" w:rsidRDefault="00504113">
            <w:pPr>
              <w:pStyle w:val="BodyText"/>
              <w:spacing w:before="5"/>
              <w:rPr>
                <w:noProof/>
                <w:sz w:val="11"/>
              </w:rPr>
            </w:pPr>
            <w:r>
              <w:rPr>
                <w:noProof/>
                <w:sz w:val="11"/>
              </w:rPr>
              <w:t xml:space="preserve">3. Require Action Research as part of the proposal or as part of the post award process. </w:t>
            </w:r>
          </w:p>
          <w:p w14:paraId="7E2D9C5F" w14:textId="77777777" w:rsidR="00504113" w:rsidRDefault="00504113">
            <w:pPr>
              <w:pStyle w:val="BodyText"/>
              <w:spacing w:before="5"/>
              <w:rPr>
                <w:sz w:val="20"/>
              </w:rPr>
            </w:pPr>
            <w:r>
              <w:rPr>
                <w:noProof/>
                <w:sz w:val="11"/>
              </w:rPr>
              <w:t>4. Move more aggressively toward open innovation like Sweden and other coutnries, and provide free access to all publically funded research</w:t>
            </w:r>
          </w:p>
          <w:p w14:paraId="36D4DEF9" w14:textId="77777777" w:rsidR="00504113" w:rsidRDefault="00504113">
            <w:pPr>
              <w:pStyle w:val="BodyText"/>
              <w:spacing w:before="5"/>
              <w:rPr>
                <w:sz w:val="11"/>
              </w:rPr>
            </w:pPr>
            <w:r>
              <w:rPr>
                <w:noProof/>
                <w:sz w:val="11"/>
              </w:rPr>
              <w:t>5. Rescind or revise the Bayh-Dole Act and create a research exchange market</w:t>
            </w:r>
            <w:r>
              <w:rPr>
                <w:sz w:val="20"/>
              </w:rPr>
              <w:fldChar w:fldCharType="end"/>
            </w:r>
            <w:bookmarkEnd w:id="18"/>
          </w:p>
        </w:tc>
      </w:tr>
    </w:tbl>
    <w:p w14:paraId="469879A4" w14:textId="77777777" w:rsidR="00504113" w:rsidRDefault="00504113" w:rsidP="00504113">
      <w:pPr>
        <w:pStyle w:val="BodyText"/>
        <w:spacing w:before="4"/>
        <w:rPr>
          <w:rFonts w:ascii="Arial" w:eastAsia="Arial" w:hAnsi="Arial" w:cs="Arial"/>
          <w:sz w:val="11"/>
          <w:szCs w:val="20"/>
        </w:rPr>
      </w:pPr>
    </w:p>
    <w:p w14:paraId="627F6EB4" w14:textId="77777777" w:rsidR="00504113" w:rsidRDefault="00504113" w:rsidP="00504113">
      <w:pPr>
        <w:pStyle w:val="BodyText"/>
        <w:spacing w:before="5"/>
      </w:pPr>
    </w:p>
    <w:p w14:paraId="4DC6DF55" w14:textId="77777777" w:rsidR="00504113" w:rsidRDefault="00504113" w:rsidP="00504113">
      <w:pPr>
        <w:pStyle w:val="ListParagraph"/>
        <w:widowControl w:val="0"/>
        <w:numPr>
          <w:ilvl w:val="0"/>
          <w:numId w:val="13"/>
        </w:numPr>
        <w:tabs>
          <w:tab w:val="left" w:pos="489"/>
        </w:tabs>
        <w:autoSpaceDE w:val="0"/>
        <w:autoSpaceDN w:val="0"/>
        <w:spacing w:before="94" w:line="247" w:lineRule="auto"/>
        <w:ind w:right="946"/>
        <w:contextualSpacing w:val="0"/>
        <w:jc w:val="left"/>
        <w:rPr>
          <w:sz w:val="20"/>
        </w:rPr>
      </w:pPr>
      <w:r>
        <w:rPr>
          <w:sz w:val="20"/>
        </w:rPr>
        <w:t>What 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p>
    <w:p w14:paraId="6172A7F4" w14:textId="77777777" w:rsidR="00504113" w:rsidRDefault="00504113" w:rsidP="00504113">
      <w:pPr>
        <w:pStyle w:val="BodyText"/>
        <w:spacing w:before="4"/>
        <w:rPr>
          <w:sz w:val="10"/>
        </w:rPr>
      </w:pPr>
    </w:p>
    <w:p w14:paraId="06A220F3" w14:textId="77777777" w:rsidR="00504113" w:rsidRDefault="00504113" w:rsidP="00504113">
      <w:pPr>
        <w:tabs>
          <w:tab w:val="left" w:pos="489"/>
        </w:tabs>
        <w:spacing w:before="1" w:line="247"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504113" w14:paraId="091CAE08" w14:textId="77777777" w:rsidTr="00504113">
        <w:trPr>
          <w:trHeight w:val="1440"/>
        </w:trPr>
        <w:tc>
          <w:tcPr>
            <w:tcW w:w="9630" w:type="dxa"/>
            <w:tcBorders>
              <w:top w:val="single" w:sz="4" w:space="0" w:color="auto"/>
              <w:left w:val="single" w:sz="4" w:space="0" w:color="auto"/>
              <w:bottom w:val="single" w:sz="4" w:space="0" w:color="auto"/>
              <w:right w:val="single" w:sz="4" w:space="0" w:color="auto"/>
            </w:tcBorders>
          </w:tcPr>
          <w:p w14:paraId="14D6AD92" w14:textId="77777777" w:rsidR="00504113" w:rsidRDefault="00504113">
            <w:pPr>
              <w:pStyle w:val="BodyText"/>
              <w:spacing w:before="5"/>
              <w:rPr>
                <w:noProof/>
                <w:sz w:val="11"/>
              </w:rPr>
            </w:pPr>
            <w:r>
              <w:rPr>
                <w:sz w:val="11"/>
              </w:rPr>
              <w:fldChar w:fldCharType="begin">
                <w:ffData>
                  <w:name w:val="Answer3"/>
                  <w:enabled/>
                  <w:calcOnExit w:val="0"/>
                  <w:textInput/>
                </w:ffData>
              </w:fldChar>
            </w:r>
            <w:r>
              <w:rPr>
                <w:sz w:val="11"/>
              </w:rPr>
              <w:instrText xml:space="preserve"> FORMTEXT </w:instrText>
            </w:r>
            <w:r>
              <w:rPr>
                <w:sz w:val="11"/>
              </w:rPr>
            </w:r>
            <w:r>
              <w:rPr>
                <w:sz w:val="11"/>
              </w:rPr>
              <w:fldChar w:fldCharType="separate"/>
            </w:r>
            <w:r>
              <w:rPr>
                <w:sz w:val="11"/>
              </w:rPr>
              <w:t xml:space="preserve"> Rescind or revise the Bayh-Dole Act and create a research exchange market for engaging industry and the public in investing in research and creating a more sustainable return.</w:t>
            </w:r>
          </w:p>
          <w:p w14:paraId="0ACD82B9" w14:textId="77777777" w:rsidR="00504113" w:rsidRDefault="00504113">
            <w:pPr>
              <w:pStyle w:val="BodyText"/>
              <w:spacing w:before="5"/>
              <w:rPr>
                <w:sz w:val="11"/>
              </w:rPr>
            </w:pPr>
            <w:r>
              <w:rPr>
                <w:sz w:val="11"/>
              </w:rPr>
              <w:fldChar w:fldCharType="end"/>
            </w:r>
          </w:p>
        </w:tc>
      </w:tr>
    </w:tbl>
    <w:p w14:paraId="2C4D0C93" w14:textId="77777777" w:rsidR="00504113" w:rsidRDefault="00504113" w:rsidP="00504113">
      <w:pPr>
        <w:pStyle w:val="BodyText"/>
        <w:spacing w:before="4"/>
        <w:rPr>
          <w:rFonts w:ascii="Arial" w:eastAsia="Arial" w:hAnsi="Arial" w:cs="Arial"/>
          <w:sz w:val="11"/>
          <w:szCs w:val="20"/>
        </w:rPr>
      </w:pPr>
    </w:p>
    <w:p w14:paraId="22E82890" w14:textId="77777777" w:rsidR="00504113" w:rsidRDefault="00504113" w:rsidP="00504113">
      <w:pPr>
        <w:pStyle w:val="BodyText"/>
        <w:spacing w:before="5"/>
      </w:pPr>
    </w:p>
    <w:p w14:paraId="3F68E8E4" w14:textId="77777777" w:rsidR="00504113" w:rsidRDefault="00504113" w:rsidP="00504113">
      <w:pPr>
        <w:pStyle w:val="BodyText"/>
        <w:spacing w:before="5"/>
      </w:pPr>
    </w:p>
    <w:p w14:paraId="36BB3EBB" w14:textId="77777777" w:rsidR="00504113" w:rsidRDefault="00504113" w:rsidP="00504113">
      <w:pPr>
        <w:pStyle w:val="Heading2"/>
        <w:spacing w:before="92"/>
        <w:ind w:left="748"/>
      </w:pPr>
      <w:r>
        <w:t>Thank you for your time and participation.</w:t>
      </w:r>
    </w:p>
    <w:p w14:paraId="486265D9" w14:textId="77777777" w:rsidR="00504113" w:rsidRDefault="00504113" w:rsidP="00504113">
      <w:pPr>
        <w:pStyle w:val="BodyText"/>
      </w:pPr>
    </w:p>
    <w:p w14:paraId="01EA0E7A" w14:textId="77777777" w:rsidR="00504113" w:rsidRDefault="00504113" w:rsidP="00504113">
      <w:pPr>
        <w:rPr>
          <w:sz w:val="13"/>
        </w:rPr>
      </w:pPr>
    </w:p>
    <w:p w14:paraId="63645270" w14:textId="77777777" w:rsidR="005330D9" w:rsidRDefault="005330D9" w:rsidP="004E58C2">
      <w:pPr>
        <w:ind w:left="720" w:hanging="720"/>
      </w:pPr>
      <w:bookmarkStart w:id="19" w:name="_GoBack"/>
      <w:bookmarkEnd w:id="19"/>
    </w:p>
    <w:sectPr w:rsidR="005330D9" w:rsidSect="00A72D34">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85A19" w14:textId="77777777" w:rsidR="001C6D6D" w:rsidRDefault="001C6D6D" w:rsidP="00E33FD4">
      <w:pPr>
        <w:spacing w:line="240" w:lineRule="auto"/>
      </w:pPr>
      <w:r>
        <w:separator/>
      </w:r>
    </w:p>
  </w:endnote>
  <w:endnote w:type="continuationSeparator" w:id="0">
    <w:p w14:paraId="3280ACC5" w14:textId="77777777" w:rsidR="001C6D6D" w:rsidRDefault="001C6D6D" w:rsidP="00E33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yriad Pro">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deGothic">
    <w:altName w:val="Cambria"/>
    <w:panose1 w:val="00000000000000000000"/>
    <w:charset w:val="00"/>
    <w:family w:val="swiss"/>
    <w:notTrueType/>
    <w:pitch w:val="default"/>
    <w:sig w:usb0="00000003" w:usb1="00000000" w:usb2="00000000" w:usb3="00000000" w:csb0="00000001" w:csb1="00000000"/>
  </w:font>
  <w:font w:name="Times">
    <w:altName w:val="Times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NeueLT Std Med">
    <w:altName w:val="Cambria"/>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erriweather">
    <w:altName w:val="Cambria"/>
    <w:panose1 w:val="00000000000000000000"/>
    <w:charset w:val="00"/>
    <w:family w:val="roman"/>
    <w:notTrueType/>
    <w:pitch w:val="default"/>
    <w:sig w:usb0="00000003" w:usb1="00000000" w:usb2="00000000" w:usb3="00000000" w:csb0="00000001" w:csb1="00000000"/>
  </w:font>
  <w:font w:name="source sans pro">
    <w:altName w:val="Source Sans Pro"/>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7F77A" w14:textId="5F75A01F" w:rsidR="00E219B0" w:rsidRPr="00421C71" w:rsidRDefault="00E219B0" w:rsidP="00421C71">
    <w:pPr>
      <w:pStyle w:val="Heading1"/>
      <w:spacing w:after="120"/>
      <w:jc w:val="left"/>
      <w:textAlignment w:val="baseline"/>
      <w:rPr>
        <w:rFonts w:ascii="Times New Roman" w:eastAsia="Times New Roman" w:hAnsi="Times New Roman"/>
        <w:b w:val="0"/>
        <w:color w:val="333333"/>
        <w:sz w:val="24"/>
        <w:szCs w:val="24"/>
      </w:rPr>
    </w:pPr>
    <w:r w:rsidRPr="00421C71">
      <w:rPr>
        <w:rFonts w:ascii="Times New Roman" w:hAnsi="Times New Roman"/>
        <w:b w:val="0"/>
        <w:sz w:val="24"/>
        <w:szCs w:val="24"/>
      </w:rPr>
      <w:t>Response to</w:t>
    </w:r>
    <w:r w:rsidR="00B92DBC">
      <w:rPr>
        <w:rFonts w:ascii="Times New Roman" w:hAnsi="Times New Roman"/>
        <w:b w:val="0"/>
        <w:sz w:val="24"/>
        <w:szCs w:val="24"/>
      </w:rPr>
      <w:t xml:space="preserve"> NIST,</w:t>
    </w:r>
    <w:r>
      <w:rPr>
        <w:rFonts w:ascii="Times New Roman" w:hAnsi="Times New Roman"/>
        <w:b w:val="0"/>
        <w:sz w:val="24"/>
        <w:szCs w:val="24"/>
      </w:rPr>
      <w:t xml:space="preserve"> </w:t>
    </w:r>
    <w:r w:rsidRPr="00421C71">
      <w:rPr>
        <w:rFonts w:ascii="Times New Roman" w:hAnsi="Times New Roman"/>
        <w:b w:val="0"/>
        <w:sz w:val="24"/>
        <w:szCs w:val="24"/>
      </w:rPr>
      <w:t>RFI</w:t>
    </w:r>
    <w:r w:rsidR="00B92DBC">
      <w:rPr>
        <w:rFonts w:ascii="Times New Roman" w:hAnsi="Times New Roman"/>
        <w:b w:val="0"/>
        <w:sz w:val="24"/>
        <w:szCs w:val="24"/>
      </w:rPr>
      <w:t>, July 30, 2018</w:t>
    </w:r>
  </w:p>
  <w:p w14:paraId="49D5E54A" w14:textId="1FFCBB6C" w:rsidR="00E219B0" w:rsidRDefault="00E21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A8D30" w14:textId="77777777" w:rsidR="001C6D6D" w:rsidRDefault="001C6D6D" w:rsidP="00E33FD4">
      <w:pPr>
        <w:spacing w:line="240" w:lineRule="auto"/>
      </w:pPr>
      <w:r>
        <w:separator/>
      </w:r>
    </w:p>
  </w:footnote>
  <w:footnote w:type="continuationSeparator" w:id="0">
    <w:p w14:paraId="74F49E99" w14:textId="77777777" w:rsidR="001C6D6D" w:rsidRDefault="001C6D6D" w:rsidP="00E33F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74ECA" w14:textId="77777777" w:rsidR="00E219B0" w:rsidRDefault="00E219B0" w:rsidP="00E33FD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7156AE" w14:textId="77777777" w:rsidR="00E219B0" w:rsidRDefault="00E219B0" w:rsidP="00E33FD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E8B71" w14:textId="0D95A2A5" w:rsidR="00E219B0" w:rsidRDefault="00E219B0" w:rsidP="00E33FD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04113">
      <w:rPr>
        <w:rStyle w:val="PageNumber"/>
        <w:noProof/>
      </w:rPr>
      <w:t>39</w:t>
    </w:r>
    <w:r>
      <w:rPr>
        <w:rStyle w:val="PageNumber"/>
      </w:rPr>
      <w:fldChar w:fldCharType="end"/>
    </w:r>
  </w:p>
  <w:p w14:paraId="38B44101" w14:textId="77777777" w:rsidR="00E219B0" w:rsidRDefault="00E219B0" w:rsidP="00E33FD4">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C35EF"/>
    <w:multiLevelType w:val="multilevel"/>
    <w:tmpl w:val="7C2AF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CC069A"/>
    <w:multiLevelType w:val="hybridMultilevel"/>
    <w:tmpl w:val="C4D6E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FD4930"/>
    <w:multiLevelType w:val="multilevel"/>
    <w:tmpl w:val="DA720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7C6C56"/>
    <w:multiLevelType w:val="hybridMultilevel"/>
    <w:tmpl w:val="7ED4FDFC"/>
    <w:lvl w:ilvl="0" w:tplc="70CEEFEC">
      <w:start w:val="1"/>
      <w:numFmt w:val="bullet"/>
      <w:pStyle w:val="Tablebullets"/>
      <w:lvlText w:val="•"/>
      <w:lvlJc w:val="left"/>
      <w:pPr>
        <w:ind w:left="216" w:hanging="216"/>
      </w:pPr>
      <w:rPr>
        <w:rFonts w:hint="default"/>
        <w:w w:val="1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E423A"/>
    <w:multiLevelType w:val="hybridMultilevel"/>
    <w:tmpl w:val="B4769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E94AED"/>
    <w:multiLevelType w:val="hybridMultilevel"/>
    <w:tmpl w:val="6A049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39223F"/>
    <w:multiLevelType w:val="hybridMultilevel"/>
    <w:tmpl w:val="0688D7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lvl>
    <w:lvl w:ilvl="3" w:tplc="512422CE">
      <w:numFmt w:val="bullet"/>
      <w:lvlText w:val="•"/>
      <w:lvlJc w:val="left"/>
      <w:pPr>
        <w:ind w:left="3293" w:hanging="504"/>
      </w:pPr>
    </w:lvl>
    <w:lvl w:ilvl="4" w:tplc="811CAFAC">
      <w:numFmt w:val="bullet"/>
      <w:lvlText w:val="•"/>
      <w:lvlJc w:val="left"/>
      <w:pPr>
        <w:ind w:left="4340" w:hanging="504"/>
      </w:pPr>
    </w:lvl>
    <w:lvl w:ilvl="5" w:tplc="E0747218">
      <w:numFmt w:val="bullet"/>
      <w:lvlText w:val="•"/>
      <w:lvlJc w:val="left"/>
      <w:pPr>
        <w:ind w:left="5386" w:hanging="504"/>
      </w:pPr>
    </w:lvl>
    <w:lvl w:ilvl="6" w:tplc="9FF02F22">
      <w:numFmt w:val="bullet"/>
      <w:lvlText w:val="•"/>
      <w:lvlJc w:val="left"/>
      <w:pPr>
        <w:ind w:left="6433" w:hanging="504"/>
      </w:pPr>
    </w:lvl>
    <w:lvl w:ilvl="7" w:tplc="9DD20212">
      <w:numFmt w:val="bullet"/>
      <w:lvlText w:val="•"/>
      <w:lvlJc w:val="left"/>
      <w:pPr>
        <w:ind w:left="7480" w:hanging="504"/>
      </w:pPr>
    </w:lvl>
    <w:lvl w:ilvl="8" w:tplc="E8FCBDA0">
      <w:numFmt w:val="bullet"/>
      <w:lvlText w:val="•"/>
      <w:lvlJc w:val="left"/>
      <w:pPr>
        <w:ind w:left="8526" w:hanging="504"/>
      </w:pPr>
    </w:lvl>
  </w:abstractNum>
  <w:abstractNum w:abstractNumId="7" w15:restartNumberingAfterBreak="0">
    <w:nsid w:val="497549A6"/>
    <w:multiLevelType w:val="hybridMultilevel"/>
    <w:tmpl w:val="1AA6A5AE"/>
    <w:lvl w:ilvl="0" w:tplc="7C28676A">
      <w:start w:val="1"/>
      <w:numFmt w:val="bullet"/>
      <w:pStyle w:val="Bullets"/>
      <w:lvlText w:val=""/>
      <w:lvlJc w:val="left"/>
      <w:pPr>
        <w:ind w:left="99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C6D4044"/>
    <w:multiLevelType w:val="hybridMultilevel"/>
    <w:tmpl w:val="6D76D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7B4FFE"/>
    <w:multiLevelType w:val="hybridMultilevel"/>
    <w:tmpl w:val="0E40EC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5EFAA4B"/>
    <w:multiLevelType w:val="hybridMultilevel"/>
    <w:tmpl w:val="EAD048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68B3D5B"/>
    <w:multiLevelType w:val="hybridMultilevel"/>
    <w:tmpl w:val="0EB0DE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3E317A5"/>
    <w:multiLevelType w:val="hybridMultilevel"/>
    <w:tmpl w:val="A86CD800"/>
    <w:lvl w:ilvl="0" w:tplc="0409000F">
      <w:start w:val="1"/>
      <w:numFmt w:val="decimal"/>
      <w:lvlText w:val="%1."/>
      <w:lvlJc w:val="left"/>
      <w:pPr>
        <w:ind w:left="99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8"/>
  </w:num>
  <w:num w:numId="4">
    <w:abstractNumId w:val="3"/>
  </w:num>
  <w:num w:numId="5">
    <w:abstractNumId w:val="7"/>
  </w:num>
  <w:num w:numId="6">
    <w:abstractNumId w:val="9"/>
  </w:num>
  <w:num w:numId="7">
    <w:abstractNumId w:val="11"/>
  </w:num>
  <w:num w:numId="8">
    <w:abstractNumId w:val="4"/>
  </w:num>
  <w:num w:numId="9">
    <w:abstractNumId w:val="2"/>
  </w:num>
  <w:num w:numId="10">
    <w:abstractNumId w:val="10"/>
  </w:num>
  <w:num w:numId="11">
    <w:abstractNumId w:val="0"/>
  </w:num>
  <w:num w:numId="12">
    <w:abstractNumId w:val="12"/>
  </w:num>
  <w:num w:numId="13">
    <w:abstractNumId w:val="6"/>
    <w:lvlOverride w:ilvl="0">
      <w:startOverride w:val="1"/>
    </w:lvlOverride>
    <w:lvlOverride w:ilvl="1">
      <w:startOverride w:val="1"/>
    </w:lvlOverride>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D34"/>
    <w:rsid w:val="00001E83"/>
    <w:rsid w:val="00023218"/>
    <w:rsid w:val="000345C6"/>
    <w:rsid w:val="00046AB9"/>
    <w:rsid w:val="00080759"/>
    <w:rsid w:val="001078CD"/>
    <w:rsid w:val="00151CA4"/>
    <w:rsid w:val="00173D38"/>
    <w:rsid w:val="001777FD"/>
    <w:rsid w:val="0018106B"/>
    <w:rsid w:val="001B1DA5"/>
    <w:rsid w:val="001C6D6D"/>
    <w:rsid w:val="001E742E"/>
    <w:rsid w:val="00246AC6"/>
    <w:rsid w:val="002606BD"/>
    <w:rsid w:val="00264C8B"/>
    <w:rsid w:val="00265B0C"/>
    <w:rsid w:val="002B371F"/>
    <w:rsid w:val="002D7128"/>
    <w:rsid w:val="002E036E"/>
    <w:rsid w:val="00326487"/>
    <w:rsid w:val="003A16F0"/>
    <w:rsid w:val="003B475C"/>
    <w:rsid w:val="003F4DBE"/>
    <w:rsid w:val="003F76E1"/>
    <w:rsid w:val="00421C71"/>
    <w:rsid w:val="00422BB0"/>
    <w:rsid w:val="004740A7"/>
    <w:rsid w:val="00487CC4"/>
    <w:rsid w:val="00495768"/>
    <w:rsid w:val="00497460"/>
    <w:rsid w:val="004C62B0"/>
    <w:rsid w:val="004E3583"/>
    <w:rsid w:val="004E58C2"/>
    <w:rsid w:val="00504113"/>
    <w:rsid w:val="00521B43"/>
    <w:rsid w:val="005330D9"/>
    <w:rsid w:val="0055056F"/>
    <w:rsid w:val="00582595"/>
    <w:rsid w:val="005910C1"/>
    <w:rsid w:val="005D736E"/>
    <w:rsid w:val="00606903"/>
    <w:rsid w:val="00610E6C"/>
    <w:rsid w:val="006234EC"/>
    <w:rsid w:val="00623B7D"/>
    <w:rsid w:val="0067798F"/>
    <w:rsid w:val="00681DC2"/>
    <w:rsid w:val="006B6DEC"/>
    <w:rsid w:val="006C13C6"/>
    <w:rsid w:val="006D355D"/>
    <w:rsid w:val="006D5036"/>
    <w:rsid w:val="006F586D"/>
    <w:rsid w:val="00730687"/>
    <w:rsid w:val="00795032"/>
    <w:rsid w:val="00797082"/>
    <w:rsid w:val="007A699D"/>
    <w:rsid w:val="007C3E5F"/>
    <w:rsid w:val="007C5E6E"/>
    <w:rsid w:val="00807726"/>
    <w:rsid w:val="008122B1"/>
    <w:rsid w:val="0087714E"/>
    <w:rsid w:val="008A1EC9"/>
    <w:rsid w:val="008E1135"/>
    <w:rsid w:val="008F3113"/>
    <w:rsid w:val="008F3A76"/>
    <w:rsid w:val="00916E6F"/>
    <w:rsid w:val="00920E02"/>
    <w:rsid w:val="009503BD"/>
    <w:rsid w:val="00980A92"/>
    <w:rsid w:val="0098420D"/>
    <w:rsid w:val="00994ED5"/>
    <w:rsid w:val="009C7775"/>
    <w:rsid w:val="009E19C8"/>
    <w:rsid w:val="009E1D69"/>
    <w:rsid w:val="00A53E7E"/>
    <w:rsid w:val="00A54FA2"/>
    <w:rsid w:val="00A55A91"/>
    <w:rsid w:val="00A611F2"/>
    <w:rsid w:val="00A72D34"/>
    <w:rsid w:val="00A74118"/>
    <w:rsid w:val="00AC1FB7"/>
    <w:rsid w:val="00B02760"/>
    <w:rsid w:val="00B23C06"/>
    <w:rsid w:val="00B56324"/>
    <w:rsid w:val="00B715BC"/>
    <w:rsid w:val="00B82DCB"/>
    <w:rsid w:val="00B8671A"/>
    <w:rsid w:val="00B92DBC"/>
    <w:rsid w:val="00BC487F"/>
    <w:rsid w:val="00BE2615"/>
    <w:rsid w:val="00D0557A"/>
    <w:rsid w:val="00D117A1"/>
    <w:rsid w:val="00D34755"/>
    <w:rsid w:val="00D4548A"/>
    <w:rsid w:val="00D666EE"/>
    <w:rsid w:val="00DC2117"/>
    <w:rsid w:val="00E00C45"/>
    <w:rsid w:val="00E219B0"/>
    <w:rsid w:val="00E33FD4"/>
    <w:rsid w:val="00E42F38"/>
    <w:rsid w:val="00E44685"/>
    <w:rsid w:val="00F306AD"/>
    <w:rsid w:val="00FE0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9FAD8D"/>
  <w14:defaultImageDpi w14:val="300"/>
  <w15:docId w15:val="{D1DB4338-3B8F-43E3-8E08-A456AD12C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2D34"/>
    <w:pPr>
      <w:spacing w:line="480" w:lineRule="auto"/>
      <w:ind w:firstLine="720"/>
    </w:pPr>
    <w:rPr>
      <w:rFonts w:ascii="Times New Roman" w:eastAsiaTheme="minorHAnsi" w:hAnsi="Times New Roman" w:cs="Times New Roman"/>
    </w:rPr>
  </w:style>
  <w:style w:type="paragraph" w:styleId="Heading1">
    <w:name w:val="heading 1"/>
    <w:basedOn w:val="TOC2"/>
    <w:next w:val="Normal"/>
    <w:link w:val="Heading1Char"/>
    <w:uiPriority w:val="9"/>
    <w:qFormat/>
    <w:rsid w:val="00A72D34"/>
    <w:pPr>
      <w:jc w:val="center"/>
      <w:outlineLvl w:val="0"/>
    </w:pPr>
  </w:style>
  <w:style w:type="paragraph" w:styleId="Heading2">
    <w:name w:val="heading 2"/>
    <w:basedOn w:val="Normal"/>
    <w:next w:val="Normal"/>
    <w:link w:val="Heading2Char"/>
    <w:uiPriority w:val="9"/>
    <w:unhideWhenUsed/>
    <w:qFormat/>
    <w:rsid w:val="00A72D34"/>
    <w:pPr>
      <w:spacing w:before="240"/>
      <w:ind w:firstLine="0"/>
      <w:outlineLvl w:val="1"/>
    </w:pPr>
    <w:rPr>
      <w:b/>
    </w:rPr>
  </w:style>
  <w:style w:type="paragraph" w:styleId="Heading3">
    <w:name w:val="heading 3"/>
    <w:basedOn w:val="Normal"/>
    <w:next w:val="Normal"/>
    <w:link w:val="Heading3Char"/>
    <w:uiPriority w:val="9"/>
    <w:unhideWhenUsed/>
    <w:qFormat/>
    <w:rsid w:val="00A72D34"/>
    <w:pPr>
      <w:outlineLvl w:val="2"/>
    </w:pPr>
    <w:rPr>
      <w:b/>
    </w:rPr>
  </w:style>
  <w:style w:type="paragraph" w:styleId="Heading4">
    <w:name w:val="heading 4"/>
    <w:basedOn w:val="Normal"/>
    <w:next w:val="Normal"/>
    <w:link w:val="Heading4Char"/>
    <w:uiPriority w:val="9"/>
    <w:semiHidden/>
    <w:unhideWhenUsed/>
    <w:qFormat/>
    <w:rsid w:val="00A72D34"/>
    <w:pPr>
      <w:keepNext/>
      <w:keepLines/>
      <w:spacing w:before="200" w:line="276" w:lineRule="auto"/>
      <w:ind w:firstLine="0"/>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unhideWhenUsed/>
    <w:qFormat/>
    <w:rsid w:val="00A72D34"/>
    <w:pPr>
      <w:keepNext/>
      <w:keepLines/>
      <w:spacing w:before="200" w:line="276" w:lineRule="auto"/>
      <w:ind w:firstLine="0"/>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unhideWhenUsed/>
    <w:qFormat/>
    <w:rsid w:val="00A72D34"/>
    <w:pPr>
      <w:keepNext/>
      <w:keepLines/>
      <w:spacing w:before="200" w:line="276" w:lineRule="auto"/>
      <w:ind w:firstLine="0"/>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unhideWhenUsed/>
    <w:qFormat/>
    <w:rsid w:val="00A72D34"/>
    <w:pPr>
      <w:keepNext/>
      <w:keepLines/>
      <w:spacing w:before="200" w:line="276" w:lineRule="auto"/>
      <w:ind w:firstLine="0"/>
      <w:outlineLvl w:val="6"/>
    </w:pPr>
    <w:rPr>
      <w:rFonts w:asciiTheme="majorHAnsi" w:eastAsiaTheme="majorEastAsia" w:hAnsiTheme="majorHAnsi" w:cstheme="majorBidi"/>
      <w:i/>
      <w:iCs/>
      <w:color w:val="404040" w:themeColor="text1" w:themeTint="BF"/>
      <w:sz w:val="22"/>
      <w:szCs w:val="22"/>
    </w:rPr>
  </w:style>
  <w:style w:type="paragraph" w:styleId="Heading9">
    <w:name w:val="heading 9"/>
    <w:basedOn w:val="Normal"/>
    <w:next w:val="Normal"/>
    <w:link w:val="Heading9Char"/>
    <w:uiPriority w:val="9"/>
    <w:semiHidden/>
    <w:unhideWhenUsed/>
    <w:qFormat/>
    <w:rsid w:val="00A72D34"/>
    <w:pPr>
      <w:keepNext/>
      <w:keepLines/>
      <w:spacing w:before="200" w:line="276" w:lineRule="auto"/>
      <w:ind w:firstLine="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D34"/>
    <w:rPr>
      <w:rFonts w:eastAsiaTheme="minorHAnsi" w:cs="Times New Roman"/>
      <w:b/>
      <w:smallCaps/>
      <w:sz w:val="22"/>
      <w:szCs w:val="22"/>
    </w:rPr>
  </w:style>
  <w:style w:type="character" w:customStyle="1" w:styleId="Heading2Char">
    <w:name w:val="Heading 2 Char"/>
    <w:basedOn w:val="DefaultParagraphFont"/>
    <w:link w:val="Heading2"/>
    <w:uiPriority w:val="9"/>
    <w:rsid w:val="00A72D34"/>
    <w:rPr>
      <w:rFonts w:ascii="Times New Roman" w:eastAsiaTheme="minorHAnsi" w:hAnsi="Times New Roman" w:cs="Times New Roman"/>
      <w:b/>
    </w:rPr>
  </w:style>
  <w:style w:type="character" w:customStyle="1" w:styleId="Heading3Char">
    <w:name w:val="Heading 3 Char"/>
    <w:basedOn w:val="DefaultParagraphFont"/>
    <w:link w:val="Heading3"/>
    <w:uiPriority w:val="9"/>
    <w:rsid w:val="00A72D34"/>
    <w:rPr>
      <w:rFonts w:ascii="Times New Roman" w:eastAsiaTheme="minorHAnsi" w:hAnsi="Times New Roman" w:cs="Times New Roman"/>
      <w:b/>
    </w:rPr>
  </w:style>
  <w:style w:type="character" w:customStyle="1" w:styleId="Heading4Char">
    <w:name w:val="Heading 4 Char"/>
    <w:basedOn w:val="DefaultParagraphFont"/>
    <w:link w:val="Heading4"/>
    <w:uiPriority w:val="9"/>
    <w:semiHidden/>
    <w:rsid w:val="00A72D34"/>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rsid w:val="00A72D34"/>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rsid w:val="00A72D34"/>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rsid w:val="00A72D34"/>
    <w:rPr>
      <w:rFonts w:asciiTheme="majorHAnsi" w:eastAsiaTheme="majorEastAsia" w:hAnsiTheme="majorHAnsi" w:cstheme="majorBidi"/>
      <w:i/>
      <w:iCs/>
      <w:color w:val="404040" w:themeColor="text1" w:themeTint="BF"/>
      <w:sz w:val="22"/>
      <w:szCs w:val="22"/>
    </w:rPr>
  </w:style>
  <w:style w:type="character" w:customStyle="1" w:styleId="Heading9Char">
    <w:name w:val="Heading 9 Char"/>
    <w:basedOn w:val="DefaultParagraphFont"/>
    <w:link w:val="Heading9"/>
    <w:uiPriority w:val="9"/>
    <w:semiHidden/>
    <w:rsid w:val="00A72D34"/>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link w:val="ListParagraphChar"/>
    <w:uiPriority w:val="1"/>
    <w:qFormat/>
    <w:rsid w:val="00A72D34"/>
    <w:pPr>
      <w:spacing w:line="240" w:lineRule="auto"/>
      <w:ind w:left="720" w:firstLine="0"/>
      <w:contextualSpacing/>
      <w:jc w:val="both"/>
    </w:pPr>
    <w:rPr>
      <w:rFonts w:asciiTheme="minorHAnsi" w:eastAsiaTheme="minorEastAsia" w:hAnsiTheme="minorHAnsi" w:cstheme="minorBidi"/>
      <w:sz w:val="22"/>
      <w:szCs w:val="22"/>
    </w:rPr>
  </w:style>
  <w:style w:type="character" w:styleId="Hyperlink">
    <w:name w:val="Hyperlink"/>
    <w:basedOn w:val="DefaultParagraphFont"/>
    <w:uiPriority w:val="99"/>
    <w:rsid w:val="00A72D34"/>
    <w:rPr>
      <w:color w:val="0000FF"/>
      <w:u w:val="single"/>
    </w:rPr>
  </w:style>
  <w:style w:type="table" w:styleId="TableGrid">
    <w:name w:val="Table Grid"/>
    <w:basedOn w:val="TableNormal"/>
    <w:uiPriority w:val="39"/>
    <w:rsid w:val="00A72D34"/>
    <w:pPr>
      <w:jc w:val="both"/>
    </w:pPr>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A72D34"/>
    <w:pPr>
      <w:spacing w:after="360" w:line="240" w:lineRule="auto"/>
      <w:ind w:firstLine="0"/>
    </w:pPr>
    <w:rPr>
      <w:rFonts w:eastAsia="Times New Roman"/>
    </w:rPr>
  </w:style>
  <w:style w:type="paragraph" w:customStyle="1" w:styleId="Default">
    <w:name w:val="Default"/>
    <w:rsid w:val="00A72D34"/>
    <w:pPr>
      <w:autoSpaceDE w:val="0"/>
      <w:autoSpaceDN w:val="0"/>
      <w:adjustRightInd w:val="0"/>
    </w:pPr>
    <w:rPr>
      <w:rFonts w:ascii="Times New Roman" w:hAnsi="Times New Roman" w:cs="Times New Roman"/>
      <w:color w:val="000000"/>
    </w:rPr>
  </w:style>
  <w:style w:type="character" w:customStyle="1" w:styleId="A7">
    <w:name w:val="A7"/>
    <w:uiPriority w:val="99"/>
    <w:rsid w:val="00A72D34"/>
    <w:rPr>
      <w:rFonts w:cs="Myriad Pro"/>
      <w:color w:val="000000"/>
      <w:sz w:val="22"/>
      <w:szCs w:val="22"/>
    </w:rPr>
  </w:style>
  <w:style w:type="character" w:customStyle="1" w:styleId="apple-converted-space">
    <w:name w:val="apple-converted-space"/>
    <w:basedOn w:val="DefaultParagraphFont"/>
    <w:rsid w:val="00A72D34"/>
  </w:style>
  <w:style w:type="paragraph" w:styleId="BalloonText">
    <w:name w:val="Balloon Text"/>
    <w:basedOn w:val="Normal"/>
    <w:link w:val="BalloonTextChar"/>
    <w:uiPriority w:val="99"/>
    <w:semiHidden/>
    <w:unhideWhenUsed/>
    <w:rsid w:val="00A72D34"/>
    <w:pPr>
      <w:spacing w:line="240" w:lineRule="auto"/>
      <w:ind w:firstLine="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A72D34"/>
    <w:rPr>
      <w:rFonts w:ascii="Tahoma" w:hAnsi="Tahoma" w:cs="Tahoma"/>
      <w:sz w:val="16"/>
      <w:szCs w:val="16"/>
    </w:rPr>
  </w:style>
  <w:style w:type="paragraph" w:styleId="BodyText">
    <w:name w:val="Body Text"/>
    <w:basedOn w:val="Normal"/>
    <w:link w:val="BodyTextChar"/>
    <w:uiPriority w:val="99"/>
    <w:unhideWhenUsed/>
    <w:qFormat/>
    <w:rsid w:val="00A72D34"/>
    <w:pPr>
      <w:spacing w:after="120" w:line="276" w:lineRule="auto"/>
      <w:ind w:firstLine="0"/>
      <w:jc w:val="both"/>
    </w:pPr>
    <w:rPr>
      <w:rFonts w:ascii="Calibri" w:eastAsia="Calibri" w:hAnsi="Calibri"/>
      <w:sz w:val="22"/>
      <w:szCs w:val="22"/>
    </w:rPr>
  </w:style>
  <w:style w:type="character" w:customStyle="1" w:styleId="BodyTextChar">
    <w:name w:val="Body Text Char"/>
    <w:basedOn w:val="DefaultParagraphFont"/>
    <w:link w:val="BodyText"/>
    <w:uiPriority w:val="99"/>
    <w:rsid w:val="00A72D34"/>
    <w:rPr>
      <w:rFonts w:ascii="Calibri" w:eastAsia="Calibri" w:hAnsi="Calibri" w:cs="Times New Roman"/>
      <w:sz w:val="22"/>
      <w:szCs w:val="22"/>
    </w:rPr>
  </w:style>
  <w:style w:type="paragraph" w:styleId="Footer">
    <w:name w:val="footer"/>
    <w:basedOn w:val="Normal"/>
    <w:link w:val="FooterChar"/>
    <w:uiPriority w:val="99"/>
    <w:unhideWhenUsed/>
    <w:rsid w:val="00A72D34"/>
    <w:pPr>
      <w:tabs>
        <w:tab w:val="center" w:pos="4680"/>
        <w:tab w:val="right" w:pos="9360"/>
      </w:tabs>
      <w:spacing w:line="240" w:lineRule="auto"/>
      <w:ind w:firstLine="0"/>
      <w:jc w:val="both"/>
    </w:pPr>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rsid w:val="00A72D34"/>
    <w:rPr>
      <w:sz w:val="22"/>
      <w:szCs w:val="22"/>
    </w:rPr>
  </w:style>
  <w:style w:type="paragraph" w:styleId="BodyText2">
    <w:name w:val="Body Text 2"/>
    <w:basedOn w:val="Normal"/>
    <w:link w:val="BodyText2Char"/>
    <w:uiPriority w:val="99"/>
    <w:unhideWhenUsed/>
    <w:rsid w:val="00A72D34"/>
    <w:pPr>
      <w:spacing w:after="120"/>
      <w:ind w:firstLine="0"/>
      <w:jc w:val="both"/>
    </w:pPr>
    <w:rPr>
      <w:rFonts w:ascii="Calibri" w:eastAsia="Calibri" w:hAnsi="Calibri"/>
      <w:sz w:val="22"/>
      <w:szCs w:val="22"/>
    </w:rPr>
  </w:style>
  <w:style w:type="character" w:customStyle="1" w:styleId="BodyText2Char">
    <w:name w:val="Body Text 2 Char"/>
    <w:basedOn w:val="DefaultParagraphFont"/>
    <w:link w:val="BodyText2"/>
    <w:uiPriority w:val="99"/>
    <w:rsid w:val="00A72D34"/>
    <w:rPr>
      <w:rFonts w:ascii="Calibri" w:eastAsia="Calibri" w:hAnsi="Calibri" w:cs="Times New Roman"/>
      <w:sz w:val="22"/>
      <w:szCs w:val="22"/>
    </w:rPr>
  </w:style>
  <w:style w:type="character" w:styleId="CommentReference">
    <w:name w:val="annotation reference"/>
    <w:basedOn w:val="DefaultParagraphFont"/>
    <w:uiPriority w:val="99"/>
    <w:semiHidden/>
    <w:unhideWhenUsed/>
    <w:rsid w:val="00A72D34"/>
    <w:rPr>
      <w:sz w:val="16"/>
      <w:szCs w:val="16"/>
    </w:rPr>
  </w:style>
  <w:style w:type="paragraph" w:styleId="CommentText">
    <w:name w:val="annotation text"/>
    <w:basedOn w:val="Normal"/>
    <w:link w:val="CommentTextChar"/>
    <w:uiPriority w:val="99"/>
    <w:unhideWhenUsed/>
    <w:rsid w:val="00A72D34"/>
    <w:pPr>
      <w:spacing w:after="200" w:line="240" w:lineRule="auto"/>
      <w:ind w:firstLine="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A72D34"/>
    <w:rPr>
      <w:sz w:val="20"/>
      <w:szCs w:val="20"/>
    </w:rPr>
  </w:style>
  <w:style w:type="character" w:customStyle="1" w:styleId="CommentSubjectChar">
    <w:name w:val="Comment Subject Char"/>
    <w:basedOn w:val="CommentTextChar"/>
    <w:link w:val="CommentSubject"/>
    <w:uiPriority w:val="99"/>
    <w:semiHidden/>
    <w:rsid w:val="00A72D34"/>
    <w:rPr>
      <w:b/>
      <w:bCs/>
      <w:sz w:val="20"/>
      <w:szCs w:val="20"/>
    </w:rPr>
  </w:style>
  <w:style w:type="paragraph" w:styleId="CommentSubject">
    <w:name w:val="annotation subject"/>
    <w:basedOn w:val="CommentText"/>
    <w:next w:val="CommentText"/>
    <w:link w:val="CommentSubjectChar"/>
    <w:uiPriority w:val="99"/>
    <w:semiHidden/>
    <w:unhideWhenUsed/>
    <w:rsid w:val="00A72D34"/>
    <w:rPr>
      <w:b/>
      <w:bCs/>
    </w:rPr>
  </w:style>
  <w:style w:type="character" w:customStyle="1" w:styleId="CommentSubjectChar1">
    <w:name w:val="Comment Subject Char1"/>
    <w:basedOn w:val="CommentTextChar"/>
    <w:uiPriority w:val="99"/>
    <w:semiHidden/>
    <w:rsid w:val="00A72D34"/>
    <w:rPr>
      <w:b/>
      <w:bCs/>
      <w:sz w:val="20"/>
      <w:szCs w:val="20"/>
    </w:rPr>
  </w:style>
  <w:style w:type="paragraph" w:styleId="Header">
    <w:name w:val="header"/>
    <w:basedOn w:val="Normal"/>
    <w:link w:val="HeaderChar"/>
    <w:uiPriority w:val="99"/>
    <w:unhideWhenUsed/>
    <w:rsid w:val="00A72D34"/>
    <w:pPr>
      <w:tabs>
        <w:tab w:val="center" w:pos="4680"/>
        <w:tab w:val="right" w:pos="9360"/>
      </w:tabs>
      <w:spacing w:line="240" w:lineRule="auto"/>
      <w:ind w:firstLine="0"/>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A72D34"/>
    <w:rPr>
      <w:sz w:val="22"/>
      <w:szCs w:val="22"/>
    </w:rPr>
  </w:style>
  <w:style w:type="paragraph" w:styleId="TOC1">
    <w:name w:val="toc 1"/>
    <w:basedOn w:val="Normal"/>
    <w:next w:val="Normal"/>
    <w:autoRedefine/>
    <w:uiPriority w:val="39"/>
    <w:unhideWhenUsed/>
    <w:rsid w:val="00A72D34"/>
    <w:pPr>
      <w:spacing w:before="240" w:after="120"/>
      <w:ind w:firstLine="0"/>
    </w:pPr>
    <w:rPr>
      <w:rFonts w:asciiTheme="minorHAnsi" w:hAnsiTheme="minorHAnsi"/>
      <w:b/>
      <w:caps/>
      <w:sz w:val="22"/>
      <w:szCs w:val="22"/>
      <w:u w:val="single"/>
    </w:rPr>
  </w:style>
  <w:style w:type="paragraph" w:styleId="TOC2">
    <w:name w:val="toc 2"/>
    <w:basedOn w:val="Normal"/>
    <w:next w:val="Normal"/>
    <w:autoRedefine/>
    <w:uiPriority w:val="39"/>
    <w:unhideWhenUsed/>
    <w:rsid w:val="00A72D34"/>
    <w:pPr>
      <w:ind w:firstLine="0"/>
    </w:pPr>
    <w:rPr>
      <w:rFonts w:asciiTheme="minorHAnsi" w:hAnsiTheme="minorHAnsi"/>
      <w:b/>
      <w:smallCaps/>
      <w:sz w:val="22"/>
      <w:szCs w:val="22"/>
    </w:rPr>
  </w:style>
  <w:style w:type="paragraph" w:styleId="TOC3">
    <w:name w:val="toc 3"/>
    <w:basedOn w:val="Normal"/>
    <w:next w:val="Normal"/>
    <w:autoRedefine/>
    <w:uiPriority w:val="39"/>
    <w:unhideWhenUsed/>
    <w:rsid w:val="00A72D34"/>
    <w:pPr>
      <w:ind w:firstLine="0"/>
    </w:pPr>
    <w:rPr>
      <w:rFonts w:asciiTheme="minorHAnsi" w:hAnsiTheme="minorHAnsi"/>
      <w:smallCaps/>
      <w:sz w:val="22"/>
      <w:szCs w:val="22"/>
    </w:rPr>
  </w:style>
  <w:style w:type="paragraph" w:styleId="Title">
    <w:name w:val="Title"/>
    <w:basedOn w:val="Normal"/>
    <w:next w:val="Normal"/>
    <w:link w:val="TitleChar"/>
    <w:qFormat/>
    <w:rsid w:val="00A72D34"/>
    <w:pPr>
      <w:pBdr>
        <w:top w:val="single" w:sz="12" w:space="1" w:color="B2B2B2"/>
        <w:bottom w:val="single" w:sz="12" w:space="1" w:color="B2B2B2"/>
      </w:pBdr>
      <w:spacing w:line="240" w:lineRule="auto"/>
      <w:ind w:firstLine="0"/>
    </w:pPr>
    <w:rPr>
      <w:rFonts w:eastAsia="MS Mincho"/>
      <w:smallCaps/>
      <w:spacing w:val="10"/>
      <w:sz w:val="48"/>
      <w:szCs w:val="48"/>
      <w:lang w:val="fr-FR"/>
    </w:rPr>
  </w:style>
  <w:style w:type="character" w:customStyle="1" w:styleId="TitleChar">
    <w:name w:val="Title Char"/>
    <w:basedOn w:val="DefaultParagraphFont"/>
    <w:link w:val="Title"/>
    <w:rsid w:val="00A72D34"/>
    <w:rPr>
      <w:rFonts w:ascii="Times New Roman" w:eastAsia="MS Mincho" w:hAnsi="Times New Roman" w:cs="Times New Roman"/>
      <w:smallCaps/>
      <w:spacing w:val="10"/>
      <w:sz w:val="48"/>
      <w:szCs w:val="48"/>
      <w:lang w:val="fr-FR"/>
    </w:rPr>
  </w:style>
  <w:style w:type="paragraph" w:customStyle="1" w:styleId="Sansinterligne1">
    <w:name w:val="Sans interligne1"/>
    <w:aliases w:val="*"/>
    <w:basedOn w:val="Normal"/>
    <w:uiPriority w:val="99"/>
    <w:rsid w:val="00A72D34"/>
    <w:pPr>
      <w:spacing w:line="240" w:lineRule="auto"/>
      <w:ind w:firstLine="0"/>
      <w:jc w:val="both"/>
    </w:pPr>
    <w:rPr>
      <w:rFonts w:eastAsia="MS Mincho"/>
      <w:spacing w:val="10"/>
      <w:lang w:val="fr-FR"/>
    </w:rPr>
  </w:style>
  <w:style w:type="paragraph" w:styleId="Subtitle">
    <w:name w:val="Subtitle"/>
    <w:basedOn w:val="Normal"/>
    <w:next w:val="Normal"/>
    <w:link w:val="SubtitleChar"/>
    <w:qFormat/>
    <w:rsid w:val="00A72D34"/>
    <w:pPr>
      <w:spacing w:before="40" w:after="120" w:line="240" w:lineRule="auto"/>
      <w:ind w:firstLine="0"/>
    </w:pPr>
    <w:rPr>
      <w:rFonts w:ascii="Arial" w:eastAsia="MS Mincho" w:hAnsi="Arial" w:cs="Arial"/>
      <w:i/>
      <w:iCs/>
      <w:spacing w:val="10"/>
      <w:lang w:val="fr-FR"/>
    </w:rPr>
  </w:style>
  <w:style w:type="character" w:customStyle="1" w:styleId="SubtitleChar">
    <w:name w:val="Subtitle Char"/>
    <w:basedOn w:val="DefaultParagraphFont"/>
    <w:link w:val="Subtitle"/>
    <w:rsid w:val="00A72D34"/>
    <w:rPr>
      <w:rFonts w:ascii="Arial" w:eastAsia="MS Mincho" w:hAnsi="Arial" w:cs="Arial"/>
      <w:i/>
      <w:iCs/>
      <w:spacing w:val="10"/>
      <w:lang w:val="fr-FR"/>
    </w:rPr>
  </w:style>
  <w:style w:type="character" w:styleId="PageNumber">
    <w:name w:val="page number"/>
    <w:basedOn w:val="DefaultParagraphFont"/>
    <w:uiPriority w:val="99"/>
    <w:semiHidden/>
    <w:unhideWhenUsed/>
    <w:rsid w:val="00A72D34"/>
  </w:style>
  <w:style w:type="character" w:customStyle="1" w:styleId="ptbrand3">
    <w:name w:val="ptbrand3"/>
    <w:basedOn w:val="DefaultParagraphFont"/>
    <w:rsid w:val="00A72D34"/>
  </w:style>
  <w:style w:type="character" w:customStyle="1" w:styleId="binding4">
    <w:name w:val="binding4"/>
    <w:basedOn w:val="DefaultParagraphFont"/>
    <w:rsid w:val="00A72D34"/>
  </w:style>
  <w:style w:type="paragraph" w:customStyle="1" w:styleId="Pa0">
    <w:name w:val="Pa0"/>
    <w:basedOn w:val="Default"/>
    <w:next w:val="Default"/>
    <w:uiPriority w:val="99"/>
    <w:rsid w:val="00A72D34"/>
    <w:pPr>
      <w:widowControl w:val="0"/>
      <w:spacing w:line="241" w:lineRule="atLeast"/>
    </w:pPr>
    <w:rPr>
      <w:rFonts w:ascii="TradeGothic" w:hAnsi="TradeGothic"/>
      <w:color w:val="auto"/>
    </w:rPr>
  </w:style>
  <w:style w:type="character" w:customStyle="1" w:styleId="A0">
    <w:name w:val="A0"/>
    <w:uiPriority w:val="99"/>
    <w:rsid w:val="00A72D34"/>
    <w:rPr>
      <w:rFonts w:cs="TradeGothic"/>
      <w:color w:val="000000"/>
      <w:sz w:val="96"/>
      <w:szCs w:val="96"/>
    </w:rPr>
  </w:style>
  <w:style w:type="character" w:customStyle="1" w:styleId="A1">
    <w:name w:val="A1"/>
    <w:uiPriority w:val="99"/>
    <w:rsid w:val="00A72D34"/>
    <w:rPr>
      <w:rFonts w:cs="TradeGothic"/>
      <w:color w:val="000000"/>
      <w:sz w:val="48"/>
      <w:szCs w:val="48"/>
    </w:rPr>
  </w:style>
  <w:style w:type="paragraph" w:customStyle="1" w:styleId="Pa3">
    <w:name w:val="Pa3"/>
    <w:basedOn w:val="Default"/>
    <w:next w:val="Default"/>
    <w:uiPriority w:val="99"/>
    <w:rsid w:val="00A72D34"/>
    <w:pPr>
      <w:widowControl w:val="0"/>
      <w:spacing w:line="201" w:lineRule="atLeast"/>
    </w:pPr>
    <w:rPr>
      <w:rFonts w:ascii="TradeGothic" w:hAnsi="TradeGothic"/>
      <w:color w:val="auto"/>
    </w:rPr>
  </w:style>
  <w:style w:type="character" w:customStyle="1" w:styleId="A5">
    <w:name w:val="A5"/>
    <w:uiPriority w:val="99"/>
    <w:rsid w:val="00A72D34"/>
    <w:rPr>
      <w:rFonts w:cs="TradeGothic"/>
      <w:color w:val="000000"/>
      <w:sz w:val="32"/>
      <w:szCs w:val="32"/>
    </w:rPr>
  </w:style>
  <w:style w:type="paragraph" w:customStyle="1" w:styleId="Pa2">
    <w:name w:val="Pa2"/>
    <w:basedOn w:val="Default"/>
    <w:next w:val="Default"/>
    <w:uiPriority w:val="99"/>
    <w:rsid w:val="00A72D34"/>
    <w:pPr>
      <w:widowControl w:val="0"/>
      <w:spacing w:line="201" w:lineRule="atLeast"/>
    </w:pPr>
    <w:rPr>
      <w:rFonts w:ascii="TradeGothic" w:hAnsi="TradeGothic"/>
      <w:color w:val="auto"/>
    </w:rPr>
  </w:style>
  <w:style w:type="paragraph" w:customStyle="1" w:styleId="Pa1">
    <w:name w:val="Pa1"/>
    <w:basedOn w:val="Default"/>
    <w:next w:val="Default"/>
    <w:uiPriority w:val="99"/>
    <w:rsid w:val="00A72D34"/>
    <w:pPr>
      <w:widowControl w:val="0"/>
      <w:spacing w:line="241" w:lineRule="atLeast"/>
    </w:pPr>
    <w:rPr>
      <w:rFonts w:ascii="TradeGothic" w:hAnsi="TradeGothic"/>
      <w:color w:val="auto"/>
    </w:rPr>
  </w:style>
  <w:style w:type="character" w:customStyle="1" w:styleId="A2">
    <w:name w:val="A2"/>
    <w:uiPriority w:val="99"/>
    <w:rsid w:val="00A72D34"/>
    <w:rPr>
      <w:rFonts w:cs="TradeGothic"/>
      <w:color w:val="000000"/>
      <w:sz w:val="48"/>
      <w:szCs w:val="48"/>
    </w:rPr>
  </w:style>
  <w:style w:type="character" w:customStyle="1" w:styleId="A3">
    <w:name w:val="A3"/>
    <w:uiPriority w:val="99"/>
    <w:rsid w:val="00A72D34"/>
    <w:rPr>
      <w:rFonts w:cs="TradeGothic"/>
      <w:color w:val="000000"/>
      <w:sz w:val="48"/>
      <w:szCs w:val="48"/>
    </w:rPr>
  </w:style>
  <w:style w:type="paragraph" w:customStyle="1" w:styleId="Para">
    <w:name w:val="Para"/>
    <w:basedOn w:val="Normal"/>
    <w:rsid w:val="00A72D34"/>
    <w:pPr>
      <w:spacing w:line="240" w:lineRule="auto"/>
      <w:ind w:firstLine="360"/>
      <w:jc w:val="both"/>
    </w:pPr>
    <w:rPr>
      <w:rFonts w:ascii="Times" w:eastAsia="Times New Roman" w:hAnsi="Times"/>
      <w:sz w:val="20"/>
      <w:szCs w:val="20"/>
    </w:rPr>
  </w:style>
  <w:style w:type="paragraph" w:customStyle="1" w:styleId="spara">
    <w:name w:val="spara"/>
    <w:basedOn w:val="Normal"/>
    <w:next w:val="Para"/>
    <w:rsid w:val="00A72D34"/>
    <w:pPr>
      <w:spacing w:line="240" w:lineRule="auto"/>
      <w:ind w:firstLine="0"/>
      <w:jc w:val="both"/>
    </w:pPr>
    <w:rPr>
      <w:rFonts w:ascii="Times" w:eastAsia="Times New Roman" w:hAnsi="Times"/>
      <w:sz w:val="20"/>
      <w:szCs w:val="20"/>
    </w:rPr>
  </w:style>
  <w:style w:type="paragraph" w:customStyle="1" w:styleId="Caption1">
    <w:name w:val="Caption1"/>
    <w:basedOn w:val="Normal"/>
    <w:next w:val="Normal"/>
    <w:rsid w:val="00A72D34"/>
    <w:pPr>
      <w:spacing w:before="120" w:after="120" w:line="240" w:lineRule="auto"/>
      <w:ind w:firstLine="0"/>
    </w:pPr>
    <w:rPr>
      <w:rFonts w:ascii="Times" w:eastAsia="Times New Roman" w:hAnsi="Times"/>
      <w:b/>
      <w:sz w:val="20"/>
      <w:szCs w:val="20"/>
    </w:rPr>
  </w:style>
  <w:style w:type="paragraph" w:customStyle="1" w:styleId="tbl">
    <w:name w:val="tbl"/>
    <w:basedOn w:val="Normal"/>
    <w:next w:val="Normal"/>
    <w:rsid w:val="00A72D34"/>
    <w:pPr>
      <w:spacing w:line="240" w:lineRule="auto"/>
      <w:ind w:firstLine="0"/>
    </w:pPr>
    <w:rPr>
      <w:rFonts w:ascii="Times" w:eastAsia="Times New Roman" w:hAnsi="Times"/>
      <w:color w:val="FF00FF"/>
      <w:sz w:val="20"/>
      <w:szCs w:val="20"/>
    </w:rPr>
  </w:style>
  <w:style w:type="character" w:customStyle="1" w:styleId="contribdegrees">
    <w:name w:val="contribdegrees"/>
    <w:basedOn w:val="DefaultParagraphFont"/>
    <w:rsid w:val="00A72D34"/>
  </w:style>
  <w:style w:type="character" w:styleId="FootnoteReference">
    <w:name w:val="footnote reference"/>
    <w:uiPriority w:val="99"/>
    <w:rsid w:val="00A72D34"/>
    <w:rPr>
      <w:vertAlign w:val="superscript"/>
    </w:rPr>
  </w:style>
  <w:style w:type="paragraph" w:styleId="FootnoteText">
    <w:name w:val="footnote text"/>
    <w:basedOn w:val="Normal"/>
    <w:link w:val="FootnoteTextChar"/>
    <w:uiPriority w:val="99"/>
    <w:rsid w:val="00A72D34"/>
    <w:pPr>
      <w:spacing w:line="240" w:lineRule="auto"/>
      <w:ind w:firstLine="0"/>
    </w:pPr>
    <w:rPr>
      <w:rFonts w:ascii="Georgia" w:eastAsia="Times New Roman" w:hAnsi="Georgia"/>
      <w:sz w:val="20"/>
      <w:szCs w:val="20"/>
    </w:rPr>
  </w:style>
  <w:style w:type="character" w:customStyle="1" w:styleId="FootnoteTextChar">
    <w:name w:val="Footnote Text Char"/>
    <w:basedOn w:val="DefaultParagraphFont"/>
    <w:link w:val="FootnoteText"/>
    <w:uiPriority w:val="99"/>
    <w:rsid w:val="00A72D34"/>
    <w:rPr>
      <w:rFonts w:ascii="Georgia" w:eastAsia="Times New Roman" w:hAnsi="Georgia" w:cs="Times New Roman"/>
      <w:sz w:val="20"/>
      <w:szCs w:val="20"/>
    </w:rPr>
  </w:style>
  <w:style w:type="paragraph" w:customStyle="1" w:styleId="Pa5">
    <w:name w:val="Pa5"/>
    <w:basedOn w:val="Default"/>
    <w:next w:val="Default"/>
    <w:uiPriority w:val="99"/>
    <w:rsid w:val="00A72D34"/>
    <w:pPr>
      <w:widowControl w:val="0"/>
      <w:spacing w:line="561" w:lineRule="atLeast"/>
    </w:pPr>
    <w:rPr>
      <w:rFonts w:ascii="HelveticaNeueLT Std Med" w:eastAsiaTheme="minorHAnsi" w:hAnsi="HelveticaNeueLT Std Med"/>
      <w:color w:val="auto"/>
    </w:rPr>
  </w:style>
  <w:style w:type="paragraph" w:customStyle="1" w:styleId="Pa4">
    <w:name w:val="Pa4"/>
    <w:basedOn w:val="Default"/>
    <w:next w:val="Default"/>
    <w:uiPriority w:val="99"/>
    <w:rsid w:val="00A72D34"/>
    <w:pPr>
      <w:widowControl w:val="0"/>
      <w:spacing w:line="201" w:lineRule="atLeast"/>
    </w:pPr>
    <w:rPr>
      <w:rFonts w:ascii="HelveticaNeueLT Std Med" w:eastAsiaTheme="minorHAnsi" w:hAnsi="HelveticaNeueLT Std Med"/>
      <w:color w:val="auto"/>
    </w:rPr>
  </w:style>
  <w:style w:type="paragraph" w:customStyle="1" w:styleId="Pa6">
    <w:name w:val="Pa6"/>
    <w:basedOn w:val="Default"/>
    <w:next w:val="Default"/>
    <w:uiPriority w:val="99"/>
    <w:rsid w:val="00A72D34"/>
    <w:pPr>
      <w:widowControl w:val="0"/>
      <w:spacing w:line="301" w:lineRule="atLeast"/>
    </w:pPr>
    <w:rPr>
      <w:rFonts w:ascii="HelveticaNeueLT Std Med" w:eastAsiaTheme="minorHAnsi" w:hAnsi="HelveticaNeueLT Std Med"/>
      <w:color w:val="auto"/>
    </w:rPr>
  </w:style>
  <w:style w:type="character" w:styleId="Emphasis">
    <w:name w:val="Emphasis"/>
    <w:uiPriority w:val="20"/>
    <w:qFormat/>
    <w:rsid w:val="00A72D34"/>
    <w:rPr>
      <w:caps/>
      <w:color w:val="243F60" w:themeColor="accent1" w:themeShade="7F"/>
      <w:spacing w:val="5"/>
    </w:rPr>
  </w:style>
  <w:style w:type="character" w:customStyle="1" w:styleId="BodyTextIndent3Char">
    <w:name w:val="Body Text Indent 3 Char"/>
    <w:basedOn w:val="DefaultParagraphFont"/>
    <w:link w:val="BodyTextIndent3"/>
    <w:uiPriority w:val="99"/>
    <w:semiHidden/>
    <w:rsid w:val="00A72D34"/>
    <w:rPr>
      <w:sz w:val="16"/>
      <w:szCs w:val="16"/>
    </w:rPr>
  </w:style>
  <w:style w:type="paragraph" w:styleId="BodyTextIndent3">
    <w:name w:val="Body Text Indent 3"/>
    <w:basedOn w:val="Normal"/>
    <w:link w:val="BodyTextIndent3Char"/>
    <w:uiPriority w:val="99"/>
    <w:semiHidden/>
    <w:unhideWhenUsed/>
    <w:rsid w:val="00A72D34"/>
    <w:pPr>
      <w:spacing w:after="120" w:line="276" w:lineRule="auto"/>
      <w:ind w:left="360" w:firstLine="0"/>
    </w:pPr>
    <w:rPr>
      <w:rFonts w:asciiTheme="minorHAnsi" w:eastAsiaTheme="minorEastAsia" w:hAnsiTheme="minorHAnsi" w:cstheme="minorBidi"/>
      <w:sz w:val="16"/>
      <w:szCs w:val="16"/>
    </w:rPr>
  </w:style>
  <w:style w:type="character" w:customStyle="1" w:styleId="BodyTextIndent3Char1">
    <w:name w:val="Body Text Indent 3 Char1"/>
    <w:basedOn w:val="DefaultParagraphFont"/>
    <w:uiPriority w:val="99"/>
    <w:semiHidden/>
    <w:rsid w:val="00A72D34"/>
    <w:rPr>
      <w:rFonts w:ascii="Times New Roman" w:eastAsiaTheme="minorHAnsi" w:hAnsi="Times New Roman" w:cs="Times New Roman"/>
      <w:sz w:val="16"/>
      <w:szCs w:val="16"/>
    </w:rPr>
  </w:style>
  <w:style w:type="character" w:customStyle="1" w:styleId="BodyText3Char">
    <w:name w:val="Body Text 3 Char"/>
    <w:basedOn w:val="DefaultParagraphFont"/>
    <w:link w:val="BodyText3"/>
    <w:semiHidden/>
    <w:rsid w:val="00A72D34"/>
    <w:rPr>
      <w:rFonts w:ascii="Times New Roman" w:eastAsia="Times New Roman" w:hAnsi="Times New Roman" w:cs="Times New Roman"/>
      <w:sz w:val="16"/>
      <w:szCs w:val="16"/>
    </w:rPr>
  </w:style>
  <w:style w:type="paragraph" w:styleId="BodyText3">
    <w:name w:val="Body Text 3"/>
    <w:basedOn w:val="Normal"/>
    <w:link w:val="BodyText3Char"/>
    <w:semiHidden/>
    <w:rsid w:val="00A72D34"/>
    <w:pPr>
      <w:spacing w:after="120" w:line="240" w:lineRule="auto"/>
      <w:ind w:firstLine="0"/>
    </w:pPr>
    <w:rPr>
      <w:rFonts w:eastAsia="Times New Roman"/>
      <w:sz w:val="16"/>
      <w:szCs w:val="16"/>
    </w:rPr>
  </w:style>
  <w:style w:type="character" w:customStyle="1" w:styleId="BodyText3Char1">
    <w:name w:val="Body Text 3 Char1"/>
    <w:basedOn w:val="DefaultParagraphFont"/>
    <w:uiPriority w:val="99"/>
    <w:semiHidden/>
    <w:rsid w:val="00A72D34"/>
    <w:rPr>
      <w:rFonts w:ascii="Times New Roman" w:eastAsiaTheme="minorHAnsi" w:hAnsi="Times New Roman" w:cs="Times New Roman"/>
      <w:sz w:val="16"/>
      <w:szCs w:val="16"/>
    </w:rPr>
  </w:style>
  <w:style w:type="character" w:customStyle="1" w:styleId="smalltext">
    <w:name w:val="smalltext"/>
    <w:basedOn w:val="DefaultParagraphFont"/>
    <w:rsid w:val="00A72D34"/>
  </w:style>
  <w:style w:type="character" w:styleId="Strong">
    <w:name w:val="Strong"/>
    <w:basedOn w:val="DefaultParagraphFont"/>
    <w:uiPriority w:val="22"/>
    <w:qFormat/>
    <w:rsid w:val="00A72D34"/>
    <w:rPr>
      <w:b/>
      <w:bCs/>
    </w:rPr>
  </w:style>
  <w:style w:type="character" w:customStyle="1" w:styleId="cit-title">
    <w:name w:val="cit-title"/>
    <w:basedOn w:val="DefaultParagraphFont"/>
    <w:rsid w:val="00A72D34"/>
  </w:style>
  <w:style w:type="character" w:customStyle="1" w:styleId="site-title">
    <w:name w:val="site-title"/>
    <w:basedOn w:val="DefaultParagraphFont"/>
    <w:rsid w:val="00A72D34"/>
  </w:style>
  <w:style w:type="character" w:customStyle="1" w:styleId="cit-print-date">
    <w:name w:val="cit-print-date"/>
    <w:basedOn w:val="DefaultParagraphFont"/>
    <w:rsid w:val="00A72D34"/>
  </w:style>
  <w:style w:type="character" w:customStyle="1" w:styleId="cit-vol">
    <w:name w:val="cit-vol"/>
    <w:basedOn w:val="DefaultParagraphFont"/>
    <w:rsid w:val="00A72D34"/>
  </w:style>
  <w:style w:type="character" w:customStyle="1" w:styleId="cit-sep">
    <w:name w:val="cit-sep"/>
    <w:basedOn w:val="DefaultParagraphFont"/>
    <w:rsid w:val="00A72D34"/>
  </w:style>
  <w:style w:type="character" w:customStyle="1" w:styleId="cit-first-page">
    <w:name w:val="cit-first-page"/>
    <w:basedOn w:val="DefaultParagraphFont"/>
    <w:rsid w:val="00A72D34"/>
  </w:style>
  <w:style w:type="character" w:customStyle="1" w:styleId="cit-last-page">
    <w:name w:val="cit-last-page"/>
    <w:basedOn w:val="DefaultParagraphFont"/>
    <w:rsid w:val="00A72D34"/>
  </w:style>
  <w:style w:type="character" w:customStyle="1" w:styleId="name">
    <w:name w:val="name"/>
    <w:basedOn w:val="DefaultParagraphFont"/>
    <w:rsid w:val="00A72D34"/>
  </w:style>
  <w:style w:type="character" w:customStyle="1" w:styleId="HTMLAddressChar">
    <w:name w:val="HTML Address Char"/>
    <w:basedOn w:val="DefaultParagraphFont"/>
    <w:link w:val="HTMLAddress"/>
    <w:uiPriority w:val="99"/>
    <w:semiHidden/>
    <w:rsid w:val="00A72D34"/>
    <w:rPr>
      <w:rFonts w:ascii="Times" w:hAnsi="Times"/>
      <w:i/>
      <w:iCs/>
      <w:sz w:val="20"/>
      <w:szCs w:val="20"/>
    </w:rPr>
  </w:style>
  <w:style w:type="paragraph" w:styleId="HTMLAddress">
    <w:name w:val="HTML Address"/>
    <w:basedOn w:val="Normal"/>
    <w:link w:val="HTMLAddressChar"/>
    <w:uiPriority w:val="99"/>
    <w:semiHidden/>
    <w:unhideWhenUsed/>
    <w:rsid w:val="00A72D34"/>
    <w:pPr>
      <w:spacing w:line="240" w:lineRule="auto"/>
      <w:ind w:firstLine="0"/>
    </w:pPr>
    <w:rPr>
      <w:rFonts w:ascii="Times" w:eastAsiaTheme="minorEastAsia" w:hAnsi="Times" w:cstheme="minorBidi"/>
      <w:i/>
      <w:iCs/>
      <w:sz w:val="20"/>
      <w:szCs w:val="20"/>
    </w:rPr>
  </w:style>
  <w:style w:type="character" w:customStyle="1" w:styleId="HTMLAddressChar1">
    <w:name w:val="HTML Address Char1"/>
    <w:basedOn w:val="DefaultParagraphFont"/>
    <w:uiPriority w:val="99"/>
    <w:semiHidden/>
    <w:rsid w:val="00A72D34"/>
    <w:rPr>
      <w:rFonts w:ascii="Times New Roman" w:eastAsiaTheme="minorHAnsi" w:hAnsi="Times New Roman" w:cs="Times New Roman"/>
      <w:i/>
      <w:iCs/>
    </w:rPr>
  </w:style>
  <w:style w:type="character" w:customStyle="1" w:styleId="em-addr">
    <w:name w:val="em-addr"/>
    <w:basedOn w:val="DefaultParagraphFont"/>
    <w:rsid w:val="00A72D34"/>
  </w:style>
  <w:style w:type="character" w:customStyle="1" w:styleId="article-headermeta-info-label">
    <w:name w:val="article-header__meta-info-label"/>
    <w:basedOn w:val="DefaultParagraphFont"/>
    <w:rsid w:val="00A72D34"/>
  </w:style>
  <w:style w:type="character" w:customStyle="1" w:styleId="article-headermeta-info-data">
    <w:name w:val="article-header__meta-info-data"/>
    <w:basedOn w:val="DefaultParagraphFont"/>
    <w:rsid w:val="00A72D34"/>
  </w:style>
  <w:style w:type="paragraph" w:styleId="BodyTextIndent2">
    <w:name w:val="Body Text Indent 2"/>
    <w:basedOn w:val="Normal"/>
    <w:link w:val="BodyTextIndent2Char"/>
    <w:uiPriority w:val="99"/>
    <w:unhideWhenUsed/>
    <w:rsid w:val="00A72D34"/>
    <w:pPr>
      <w:spacing w:after="120"/>
      <w:ind w:left="360" w:firstLine="0"/>
    </w:pPr>
    <w:rPr>
      <w:rFonts w:asciiTheme="minorHAnsi" w:eastAsiaTheme="minorEastAsia" w:hAnsiTheme="minorHAnsi" w:cstheme="minorBidi"/>
      <w:sz w:val="22"/>
      <w:szCs w:val="22"/>
    </w:rPr>
  </w:style>
  <w:style w:type="character" w:customStyle="1" w:styleId="BodyTextIndent2Char">
    <w:name w:val="Body Text Indent 2 Char"/>
    <w:basedOn w:val="DefaultParagraphFont"/>
    <w:link w:val="BodyTextIndent2"/>
    <w:uiPriority w:val="99"/>
    <w:rsid w:val="00A72D34"/>
    <w:rPr>
      <w:sz w:val="22"/>
      <w:szCs w:val="22"/>
    </w:rPr>
  </w:style>
  <w:style w:type="paragraph" w:customStyle="1" w:styleId="References">
    <w:name w:val="References"/>
    <w:basedOn w:val="Normal"/>
    <w:rsid w:val="00A72D34"/>
    <w:pPr>
      <w:spacing w:line="480" w:lineRule="atLeast"/>
      <w:ind w:left="360" w:hanging="360"/>
    </w:pPr>
    <w:rPr>
      <w:rFonts w:ascii="Helvetica" w:eastAsia="Times New Roman" w:hAnsi="Helvetica"/>
      <w:noProof/>
      <w:sz w:val="20"/>
      <w:szCs w:val="20"/>
    </w:rPr>
  </w:style>
  <w:style w:type="paragraph" w:customStyle="1" w:styleId="normaltext">
    <w:name w:val="normaltext"/>
    <w:rsid w:val="00A72D34"/>
    <w:pPr>
      <w:spacing w:after="120"/>
    </w:pPr>
    <w:rPr>
      <w:rFonts w:ascii="Times New Roman" w:hAnsi="Times New Roman" w:cs="Times New Roman"/>
    </w:rPr>
  </w:style>
  <w:style w:type="character" w:customStyle="1" w:styleId="BodyTextIndentChar">
    <w:name w:val="Body Text Indent Char"/>
    <w:basedOn w:val="DefaultParagraphFont"/>
    <w:link w:val="BodyTextIndent"/>
    <w:uiPriority w:val="99"/>
    <w:semiHidden/>
    <w:rsid w:val="00A72D34"/>
  </w:style>
  <w:style w:type="paragraph" w:styleId="BodyTextIndent">
    <w:name w:val="Body Text Indent"/>
    <w:basedOn w:val="Normal"/>
    <w:link w:val="BodyTextIndentChar"/>
    <w:uiPriority w:val="99"/>
    <w:semiHidden/>
    <w:unhideWhenUsed/>
    <w:rsid w:val="00A72D34"/>
    <w:pPr>
      <w:spacing w:after="120" w:line="276" w:lineRule="auto"/>
      <w:ind w:left="360" w:firstLine="0"/>
    </w:pPr>
    <w:rPr>
      <w:rFonts w:asciiTheme="minorHAnsi" w:eastAsiaTheme="minorEastAsia" w:hAnsiTheme="minorHAnsi" w:cstheme="minorBidi"/>
    </w:rPr>
  </w:style>
  <w:style w:type="character" w:customStyle="1" w:styleId="BodyTextIndentChar1">
    <w:name w:val="Body Text Indent Char1"/>
    <w:basedOn w:val="DefaultParagraphFont"/>
    <w:uiPriority w:val="99"/>
    <w:semiHidden/>
    <w:rsid w:val="00A72D34"/>
    <w:rPr>
      <w:rFonts w:ascii="Times New Roman" w:eastAsiaTheme="minorHAnsi" w:hAnsi="Times New Roman" w:cs="Times New Roman"/>
    </w:rPr>
  </w:style>
  <w:style w:type="character" w:customStyle="1" w:styleId="maintitle">
    <w:name w:val="maintitle"/>
    <w:basedOn w:val="DefaultParagraphFont"/>
    <w:rsid w:val="00A72D34"/>
  </w:style>
  <w:style w:type="paragraph" w:customStyle="1" w:styleId="CenteredHeader">
    <w:name w:val="Centered Header"/>
    <w:basedOn w:val="Normal"/>
    <w:rsid w:val="00A72D34"/>
    <w:pPr>
      <w:shd w:val="pct10" w:color="auto" w:fill="auto"/>
      <w:spacing w:line="240" w:lineRule="auto"/>
      <w:ind w:firstLine="0"/>
    </w:pPr>
    <w:rPr>
      <w:rFonts w:ascii="Helvetica" w:eastAsia="Times New Roman" w:hAnsi="Helvetica"/>
      <w:b/>
      <w:sz w:val="28"/>
    </w:rPr>
  </w:style>
  <w:style w:type="paragraph" w:customStyle="1" w:styleId="LeftHeading">
    <w:name w:val="Left Heading"/>
    <w:basedOn w:val="Normal"/>
    <w:rsid w:val="00A72D34"/>
    <w:pPr>
      <w:shd w:val="pct10" w:color="auto" w:fill="auto"/>
      <w:spacing w:line="240" w:lineRule="auto"/>
      <w:ind w:firstLine="0"/>
    </w:pPr>
    <w:rPr>
      <w:rFonts w:ascii="Helvetica" w:eastAsia="Times New Roman" w:hAnsi="Helvetica"/>
      <w:b/>
    </w:rPr>
  </w:style>
  <w:style w:type="paragraph" w:customStyle="1" w:styleId="document-metadatatext">
    <w:name w:val="document-metadata__text"/>
    <w:basedOn w:val="Normal"/>
    <w:rsid w:val="00A72D34"/>
    <w:pPr>
      <w:spacing w:before="100" w:beforeAutospacing="1" w:after="100" w:afterAutospacing="1" w:line="240" w:lineRule="auto"/>
      <w:ind w:firstLine="0"/>
    </w:pPr>
    <w:rPr>
      <w:rFonts w:ascii="Times" w:eastAsiaTheme="minorEastAsia" w:hAnsi="Times" w:cstheme="minorBidi"/>
      <w:sz w:val="20"/>
      <w:szCs w:val="20"/>
    </w:rPr>
  </w:style>
  <w:style w:type="paragraph" w:customStyle="1" w:styleId="TableParagraph">
    <w:name w:val="Table Paragraph"/>
    <w:basedOn w:val="Normal"/>
    <w:uiPriority w:val="1"/>
    <w:qFormat/>
    <w:rsid w:val="00A72D34"/>
    <w:pPr>
      <w:widowControl w:val="0"/>
      <w:autoSpaceDE w:val="0"/>
      <w:autoSpaceDN w:val="0"/>
      <w:spacing w:before="34" w:line="240" w:lineRule="auto"/>
      <w:ind w:left="74" w:firstLine="0"/>
    </w:pPr>
    <w:rPr>
      <w:rFonts w:ascii="Trebuchet MS" w:eastAsia="Trebuchet MS" w:hAnsi="Trebuchet MS" w:cs="Trebuchet MS"/>
      <w:sz w:val="22"/>
      <w:szCs w:val="22"/>
    </w:rPr>
  </w:style>
  <w:style w:type="character" w:customStyle="1" w:styleId="notranslate">
    <w:name w:val="notranslate"/>
    <w:basedOn w:val="DefaultParagraphFont"/>
    <w:rsid w:val="00A72D34"/>
  </w:style>
  <w:style w:type="character" w:customStyle="1" w:styleId="cit">
    <w:name w:val="cit"/>
    <w:basedOn w:val="DefaultParagraphFont"/>
    <w:rsid w:val="00A72D34"/>
  </w:style>
  <w:style w:type="character" w:customStyle="1" w:styleId="fm-vol-iss-date">
    <w:name w:val="fm-vol-iss-date"/>
    <w:basedOn w:val="DefaultParagraphFont"/>
    <w:rsid w:val="00A72D34"/>
  </w:style>
  <w:style w:type="character" w:customStyle="1" w:styleId="doi">
    <w:name w:val="doi"/>
    <w:basedOn w:val="DefaultParagraphFont"/>
    <w:rsid w:val="00A72D34"/>
  </w:style>
  <w:style w:type="character" w:customStyle="1" w:styleId="fm-citation-ids-label">
    <w:name w:val="fm-citation-ids-label"/>
    <w:basedOn w:val="DefaultParagraphFont"/>
    <w:rsid w:val="00A72D34"/>
  </w:style>
  <w:style w:type="character" w:customStyle="1" w:styleId="element-citation">
    <w:name w:val="element-citation"/>
    <w:basedOn w:val="DefaultParagraphFont"/>
    <w:rsid w:val="00A72D34"/>
  </w:style>
  <w:style w:type="character" w:customStyle="1" w:styleId="ref-journal">
    <w:name w:val="ref-journal"/>
    <w:basedOn w:val="DefaultParagraphFont"/>
    <w:rsid w:val="00A72D34"/>
  </w:style>
  <w:style w:type="character" w:customStyle="1" w:styleId="ref-vol">
    <w:name w:val="ref-vol"/>
    <w:basedOn w:val="DefaultParagraphFont"/>
    <w:rsid w:val="00A72D34"/>
  </w:style>
  <w:style w:type="character" w:customStyle="1" w:styleId="non-delete">
    <w:name w:val="non-delete"/>
    <w:basedOn w:val="DefaultParagraphFont"/>
    <w:rsid w:val="00A72D34"/>
  </w:style>
  <w:style w:type="character" w:customStyle="1" w:styleId="xref-sep">
    <w:name w:val="xref-sep"/>
    <w:basedOn w:val="DefaultParagraphFont"/>
    <w:rsid w:val="00A72D34"/>
  </w:style>
  <w:style w:type="paragraph" w:customStyle="1" w:styleId="contributor-listreveal">
    <w:name w:val="contributor-list__reveal"/>
    <w:basedOn w:val="Normal"/>
    <w:rsid w:val="00A72D34"/>
    <w:pPr>
      <w:spacing w:before="100" w:beforeAutospacing="1" w:after="100" w:afterAutospacing="1" w:line="240" w:lineRule="auto"/>
      <w:ind w:firstLine="0"/>
    </w:pPr>
    <w:rPr>
      <w:rFonts w:ascii="Times" w:hAnsi="Times"/>
      <w:sz w:val="20"/>
      <w:szCs w:val="20"/>
    </w:rPr>
  </w:style>
  <w:style w:type="character" w:customStyle="1" w:styleId="contributor-listtoggler">
    <w:name w:val="contributor-list__toggler"/>
    <w:basedOn w:val="DefaultParagraphFont"/>
    <w:rsid w:val="00A72D34"/>
  </w:style>
  <w:style w:type="character" w:customStyle="1" w:styleId="collapsed-text">
    <w:name w:val="collapsed-text"/>
    <w:basedOn w:val="DefaultParagraphFont"/>
    <w:rsid w:val="00A72D34"/>
  </w:style>
  <w:style w:type="character" w:customStyle="1" w:styleId="publicationcontentepubdate">
    <w:name w:val="publicationcontentepubdate"/>
    <w:basedOn w:val="DefaultParagraphFont"/>
    <w:rsid w:val="00A72D34"/>
  </w:style>
  <w:style w:type="character" w:customStyle="1" w:styleId="articletype">
    <w:name w:val="articletype"/>
    <w:basedOn w:val="DefaultParagraphFont"/>
    <w:rsid w:val="00A72D34"/>
  </w:style>
  <w:style w:type="character" w:customStyle="1" w:styleId="article-headererrata-detail">
    <w:name w:val="article-header__errata-detail"/>
    <w:basedOn w:val="DefaultParagraphFont"/>
    <w:rsid w:val="00A72D34"/>
  </w:style>
  <w:style w:type="character" w:customStyle="1" w:styleId="addmd">
    <w:name w:val="addmd"/>
    <w:basedOn w:val="DefaultParagraphFont"/>
    <w:rsid w:val="00A72D34"/>
  </w:style>
  <w:style w:type="paragraph" w:customStyle="1" w:styleId="affiliation-list-reveal">
    <w:name w:val="affiliation-list-reveal"/>
    <w:basedOn w:val="Normal"/>
    <w:rsid w:val="00A72D34"/>
    <w:pPr>
      <w:spacing w:before="100" w:beforeAutospacing="1" w:after="100" w:afterAutospacing="1" w:line="240" w:lineRule="auto"/>
      <w:ind w:firstLine="0"/>
    </w:pPr>
    <w:rPr>
      <w:rFonts w:ascii="Times" w:hAnsi="Times"/>
      <w:sz w:val="20"/>
      <w:szCs w:val="20"/>
    </w:rPr>
  </w:style>
  <w:style w:type="character" w:customStyle="1" w:styleId="soc-bm-link-text">
    <w:name w:val="soc-bm-link-text"/>
    <w:basedOn w:val="DefaultParagraphFont"/>
    <w:rsid w:val="00A72D34"/>
  </w:style>
  <w:style w:type="paragraph" w:customStyle="1" w:styleId="social-bookmarking-help">
    <w:name w:val="social-bookmarking-help"/>
    <w:basedOn w:val="Normal"/>
    <w:rsid w:val="00A72D34"/>
    <w:pPr>
      <w:spacing w:before="100" w:beforeAutospacing="1" w:after="100" w:afterAutospacing="1" w:line="240" w:lineRule="auto"/>
      <w:ind w:firstLine="0"/>
    </w:pPr>
    <w:rPr>
      <w:rFonts w:ascii="Times" w:hAnsi="Times"/>
      <w:sz w:val="20"/>
      <w:szCs w:val="20"/>
    </w:rPr>
  </w:style>
  <w:style w:type="character" w:customStyle="1" w:styleId="article-nav-sep">
    <w:name w:val="article-nav-sep"/>
    <w:basedOn w:val="DefaultParagraphFont"/>
    <w:rsid w:val="00A72D34"/>
  </w:style>
  <w:style w:type="character" w:customStyle="1" w:styleId="toc-link">
    <w:name w:val="toc-link"/>
    <w:basedOn w:val="DefaultParagraphFont"/>
    <w:rsid w:val="00A72D34"/>
  </w:style>
  <w:style w:type="character" w:customStyle="1" w:styleId="slug-doi">
    <w:name w:val="slug-doi"/>
    <w:basedOn w:val="DefaultParagraphFont"/>
    <w:rsid w:val="00A72D34"/>
  </w:style>
  <w:style w:type="character" w:customStyle="1" w:styleId="slug-pub-date">
    <w:name w:val="slug-pub-date"/>
    <w:basedOn w:val="DefaultParagraphFont"/>
    <w:rsid w:val="00A72D34"/>
  </w:style>
  <w:style w:type="character" w:customStyle="1" w:styleId="slug-vol">
    <w:name w:val="slug-vol"/>
    <w:basedOn w:val="DefaultParagraphFont"/>
    <w:rsid w:val="00A72D34"/>
  </w:style>
  <w:style w:type="character" w:customStyle="1" w:styleId="slug-issue">
    <w:name w:val="slug-issue"/>
    <w:basedOn w:val="DefaultParagraphFont"/>
    <w:rsid w:val="00A72D34"/>
  </w:style>
  <w:style w:type="character" w:customStyle="1" w:styleId="slug-pages">
    <w:name w:val="slug-pages"/>
    <w:basedOn w:val="DefaultParagraphFont"/>
    <w:rsid w:val="00A72D34"/>
  </w:style>
  <w:style w:type="character" w:customStyle="1" w:styleId="fn">
    <w:name w:val="fn"/>
    <w:basedOn w:val="DefaultParagraphFont"/>
    <w:rsid w:val="00A72D34"/>
  </w:style>
  <w:style w:type="character" w:customStyle="1" w:styleId="nlmsourcecontrib">
    <w:name w:val="nlm_source_contrib"/>
    <w:basedOn w:val="DefaultParagraphFont"/>
    <w:rsid w:val="00A72D34"/>
  </w:style>
  <w:style w:type="character" w:customStyle="1" w:styleId="nlmsource">
    <w:name w:val="nlm_source"/>
    <w:basedOn w:val="DefaultParagraphFont"/>
    <w:rsid w:val="00A72D34"/>
  </w:style>
  <w:style w:type="character" w:customStyle="1" w:styleId="reference-accessdate">
    <w:name w:val="reference-accessdate"/>
    <w:basedOn w:val="DefaultParagraphFont"/>
    <w:rsid w:val="00A72D34"/>
  </w:style>
  <w:style w:type="character" w:customStyle="1" w:styleId="nowrap">
    <w:name w:val="nowrap"/>
    <w:basedOn w:val="DefaultParagraphFont"/>
    <w:rsid w:val="00A72D34"/>
  </w:style>
  <w:style w:type="character" w:customStyle="1" w:styleId="title1">
    <w:name w:val="title1"/>
    <w:basedOn w:val="DefaultParagraphFont"/>
    <w:rsid w:val="00A72D34"/>
  </w:style>
  <w:style w:type="character" w:customStyle="1" w:styleId="nlmstring-name">
    <w:name w:val="nlm_string-name"/>
    <w:basedOn w:val="DefaultParagraphFont"/>
    <w:rsid w:val="00A72D34"/>
  </w:style>
  <w:style w:type="paragraph" w:customStyle="1" w:styleId="copyright">
    <w:name w:val="copyright"/>
    <w:basedOn w:val="Normal"/>
    <w:rsid w:val="00A72D34"/>
    <w:pPr>
      <w:spacing w:before="100" w:beforeAutospacing="1" w:after="100" w:afterAutospacing="1" w:line="240" w:lineRule="auto"/>
      <w:ind w:firstLine="0"/>
    </w:pPr>
    <w:rPr>
      <w:sz w:val="20"/>
      <w:szCs w:val="20"/>
    </w:rPr>
  </w:style>
  <w:style w:type="character" w:customStyle="1" w:styleId="key">
    <w:name w:val="key"/>
    <w:basedOn w:val="DefaultParagraphFont"/>
    <w:rsid w:val="00A72D34"/>
  </w:style>
  <w:style w:type="character" w:customStyle="1" w:styleId="value">
    <w:name w:val="value"/>
    <w:basedOn w:val="DefaultParagraphFont"/>
    <w:rsid w:val="00A72D34"/>
  </w:style>
  <w:style w:type="paragraph" w:customStyle="1" w:styleId="titulo">
    <w:name w:val="titulo"/>
    <w:basedOn w:val="Normal"/>
    <w:rsid w:val="00A72D34"/>
    <w:pPr>
      <w:spacing w:before="100" w:beforeAutospacing="1" w:after="100" w:afterAutospacing="1" w:line="240" w:lineRule="auto"/>
      <w:ind w:firstLine="0"/>
    </w:pPr>
    <w:rPr>
      <w:rFonts w:eastAsiaTheme="minorEastAsia"/>
      <w:sz w:val="20"/>
      <w:szCs w:val="20"/>
    </w:rPr>
  </w:style>
  <w:style w:type="character" w:customStyle="1" w:styleId="titulo1">
    <w:name w:val="titulo1"/>
    <w:basedOn w:val="DefaultParagraphFont"/>
    <w:rsid w:val="00A72D34"/>
  </w:style>
  <w:style w:type="paragraph" w:customStyle="1" w:styleId="autores">
    <w:name w:val="autores"/>
    <w:basedOn w:val="Normal"/>
    <w:rsid w:val="00A72D34"/>
    <w:pPr>
      <w:spacing w:before="100" w:beforeAutospacing="1" w:after="100" w:afterAutospacing="1" w:line="240" w:lineRule="auto"/>
      <w:ind w:firstLine="0"/>
    </w:pPr>
    <w:rPr>
      <w:rFonts w:eastAsiaTheme="minorEastAsia"/>
      <w:sz w:val="20"/>
      <w:szCs w:val="20"/>
    </w:rPr>
  </w:style>
  <w:style w:type="paragraph" w:customStyle="1" w:styleId="localizacion">
    <w:name w:val="localizacion"/>
    <w:basedOn w:val="Normal"/>
    <w:rsid w:val="00A72D34"/>
    <w:pPr>
      <w:spacing w:before="100" w:beforeAutospacing="1" w:after="100" w:afterAutospacing="1" w:line="240" w:lineRule="auto"/>
      <w:ind w:firstLine="0"/>
    </w:pPr>
    <w:rPr>
      <w:rFonts w:eastAsiaTheme="minorEastAsia"/>
      <w:sz w:val="20"/>
      <w:szCs w:val="20"/>
    </w:rPr>
  </w:style>
  <w:style w:type="character" w:customStyle="1" w:styleId="journaltitle">
    <w:name w:val="journaltitle"/>
    <w:basedOn w:val="DefaultParagraphFont"/>
    <w:rsid w:val="00A72D34"/>
  </w:style>
  <w:style w:type="paragraph" w:customStyle="1" w:styleId="icon--meta-keyline-before">
    <w:name w:val="icon--meta-keyline-before"/>
    <w:basedOn w:val="Normal"/>
    <w:rsid w:val="00A72D34"/>
    <w:pPr>
      <w:spacing w:before="100" w:beforeAutospacing="1" w:after="100" w:afterAutospacing="1" w:line="240" w:lineRule="auto"/>
      <w:ind w:firstLine="0"/>
    </w:pPr>
    <w:rPr>
      <w:sz w:val="20"/>
      <w:szCs w:val="20"/>
    </w:rPr>
  </w:style>
  <w:style w:type="character" w:customStyle="1" w:styleId="articlecitationyear">
    <w:name w:val="articlecitation_year"/>
    <w:basedOn w:val="DefaultParagraphFont"/>
    <w:rsid w:val="00A72D34"/>
  </w:style>
  <w:style w:type="character" w:customStyle="1" w:styleId="articlecitationvolume">
    <w:name w:val="articlecitation_volume"/>
    <w:basedOn w:val="DefaultParagraphFont"/>
    <w:rsid w:val="00A72D34"/>
  </w:style>
  <w:style w:type="character" w:customStyle="1" w:styleId="articlecitationpages">
    <w:name w:val="articlecitation_pages"/>
    <w:basedOn w:val="DefaultParagraphFont"/>
    <w:rsid w:val="00A72D34"/>
  </w:style>
  <w:style w:type="character" w:customStyle="1" w:styleId="u-inline-block">
    <w:name w:val="u-inline-block"/>
    <w:basedOn w:val="DefaultParagraphFont"/>
    <w:rsid w:val="00A72D34"/>
  </w:style>
  <w:style w:type="character" w:customStyle="1" w:styleId="author-name">
    <w:name w:val="author-name"/>
    <w:basedOn w:val="DefaultParagraphFont"/>
    <w:rsid w:val="00A72D34"/>
  </w:style>
  <w:style w:type="paragraph" w:customStyle="1" w:styleId="TOCTitle">
    <w:name w:val="TOC Title"/>
    <w:basedOn w:val="Normal"/>
    <w:qFormat/>
    <w:rsid w:val="00A72D34"/>
    <w:pPr>
      <w:spacing w:line="240" w:lineRule="auto"/>
      <w:ind w:firstLine="0"/>
    </w:pPr>
    <w:rPr>
      <w:rFonts w:asciiTheme="majorHAnsi" w:eastAsia="Times New Roman" w:hAnsiTheme="majorHAnsi"/>
      <w:b/>
    </w:rPr>
  </w:style>
  <w:style w:type="paragraph" w:customStyle="1" w:styleId="Level1">
    <w:name w:val="Level 1"/>
    <w:basedOn w:val="TOC1"/>
    <w:qFormat/>
    <w:rsid w:val="00A72D34"/>
    <w:pPr>
      <w:tabs>
        <w:tab w:val="right" w:pos="8630"/>
      </w:tabs>
      <w:spacing w:before="360" w:after="360"/>
    </w:pPr>
    <w:rPr>
      <w:rFonts w:asciiTheme="majorHAnsi" w:hAnsiTheme="majorHAnsi"/>
      <w:bCs/>
      <w:caps w:val="0"/>
    </w:rPr>
  </w:style>
  <w:style w:type="paragraph" w:customStyle="1" w:styleId="Level3">
    <w:name w:val="Level 3"/>
    <w:basedOn w:val="TOC3"/>
    <w:qFormat/>
    <w:rsid w:val="00A72D34"/>
    <w:pPr>
      <w:tabs>
        <w:tab w:val="right" w:pos="8630"/>
      </w:tabs>
      <w:spacing w:line="240" w:lineRule="auto"/>
    </w:pPr>
    <w:rPr>
      <w:rFonts w:asciiTheme="majorHAnsi" w:eastAsia="Times New Roman" w:hAnsiTheme="majorHAnsi"/>
      <w:smallCaps w:val="0"/>
    </w:rPr>
  </w:style>
  <w:style w:type="paragraph" w:styleId="TOCHeading">
    <w:name w:val="TOC Heading"/>
    <w:basedOn w:val="Heading1"/>
    <w:next w:val="Normal"/>
    <w:uiPriority w:val="39"/>
    <w:unhideWhenUsed/>
    <w:qFormat/>
    <w:rsid w:val="00A72D34"/>
    <w:pPr>
      <w:spacing w:line="276" w:lineRule="auto"/>
      <w:outlineLvl w:val="9"/>
    </w:pPr>
  </w:style>
  <w:style w:type="character" w:styleId="FollowedHyperlink">
    <w:name w:val="FollowedHyperlink"/>
    <w:basedOn w:val="DefaultParagraphFont"/>
    <w:uiPriority w:val="99"/>
    <w:semiHidden/>
    <w:unhideWhenUsed/>
    <w:rsid w:val="00A72D34"/>
    <w:rPr>
      <w:color w:val="800080" w:themeColor="followedHyperlink"/>
      <w:u w:val="single"/>
    </w:rPr>
  </w:style>
  <w:style w:type="character" w:styleId="HTMLCite">
    <w:name w:val="HTML Cite"/>
    <w:basedOn w:val="DefaultParagraphFont"/>
    <w:uiPriority w:val="99"/>
    <w:semiHidden/>
    <w:unhideWhenUsed/>
    <w:rsid w:val="00A72D34"/>
    <w:rPr>
      <w:i/>
      <w:iCs/>
    </w:rPr>
  </w:style>
  <w:style w:type="paragraph" w:styleId="ListNumber">
    <w:name w:val="List Number"/>
    <w:basedOn w:val="Normal"/>
    <w:semiHidden/>
    <w:rsid w:val="00A72D34"/>
    <w:pPr>
      <w:spacing w:line="240" w:lineRule="auto"/>
      <w:ind w:left="360" w:hanging="360"/>
      <w:jc w:val="both"/>
    </w:pPr>
    <w:rPr>
      <w:rFonts w:ascii="Times" w:eastAsia="Times New Roman" w:hAnsi="Times"/>
      <w:sz w:val="20"/>
      <w:szCs w:val="20"/>
    </w:rPr>
  </w:style>
  <w:style w:type="paragraph" w:styleId="Revision">
    <w:name w:val="Revision"/>
    <w:hidden/>
    <w:uiPriority w:val="99"/>
    <w:semiHidden/>
    <w:rsid w:val="00A72D34"/>
    <w:rPr>
      <w:rFonts w:ascii="Times New Roman" w:eastAsiaTheme="minorHAnsi" w:hAnsi="Times New Roman" w:cs="Times New Roman"/>
    </w:rPr>
  </w:style>
  <w:style w:type="character" w:customStyle="1" w:styleId="UnresolvedMention1">
    <w:name w:val="Unresolved Mention1"/>
    <w:basedOn w:val="DefaultParagraphFont"/>
    <w:uiPriority w:val="99"/>
    <w:semiHidden/>
    <w:unhideWhenUsed/>
    <w:rsid w:val="00A72D34"/>
    <w:rPr>
      <w:color w:val="808080"/>
      <w:shd w:val="clear" w:color="auto" w:fill="E6E6E6"/>
    </w:rPr>
  </w:style>
  <w:style w:type="character" w:styleId="HTMLAcronym">
    <w:name w:val="HTML Acronym"/>
    <w:basedOn w:val="DefaultParagraphFont"/>
    <w:uiPriority w:val="99"/>
    <w:semiHidden/>
    <w:unhideWhenUsed/>
    <w:rsid w:val="00A72D34"/>
  </w:style>
  <w:style w:type="character" w:customStyle="1" w:styleId="UnresolvedMention2">
    <w:name w:val="Unresolved Mention2"/>
    <w:basedOn w:val="DefaultParagraphFont"/>
    <w:uiPriority w:val="99"/>
    <w:semiHidden/>
    <w:unhideWhenUsed/>
    <w:rsid w:val="00A72D34"/>
    <w:rPr>
      <w:color w:val="605E5C"/>
      <w:shd w:val="clear" w:color="auto" w:fill="E1DFDD"/>
    </w:rPr>
  </w:style>
  <w:style w:type="paragraph" w:customStyle="1" w:styleId="Figure">
    <w:name w:val="Figure"/>
    <w:basedOn w:val="Normal"/>
    <w:link w:val="FigureChar"/>
    <w:qFormat/>
    <w:rsid w:val="00A72D34"/>
  </w:style>
  <w:style w:type="paragraph" w:customStyle="1" w:styleId="table">
    <w:name w:val="table"/>
    <w:basedOn w:val="Normal"/>
    <w:link w:val="tableChar"/>
    <w:qFormat/>
    <w:rsid w:val="00A72D34"/>
    <w:pPr>
      <w:spacing w:line="240" w:lineRule="auto"/>
      <w:ind w:firstLine="0"/>
    </w:pPr>
  </w:style>
  <w:style w:type="character" w:customStyle="1" w:styleId="FigureChar">
    <w:name w:val="Figure Char"/>
    <w:basedOn w:val="DefaultParagraphFont"/>
    <w:link w:val="Figure"/>
    <w:rsid w:val="00A72D34"/>
    <w:rPr>
      <w:rFonts w:ascii="Times New Roman" w:eastAsiaTheme="minorHAnsi" w:hAnsi="Times New Roman" w:cs="Times New Roman"/>
    </w:rPr>
  </w:style>
  <w:style w:type="paragraph" w:customStyle="1" w:styleId="Quotes">
    <w:name w:val="Quotes"/>
    <w:basedOn w:val="Normal"/>
    <w:link w:val="QuotesChar"/>
    <w:qFormat/>
    <w:rsid w:val="00A72D34"/>
    <w:pPr>
      <w:ind w:left="720" w:firstLine="0"/>
    </w:pPr>
  </w:style>
  <w:style w:type="character" w:customStyle="1" w:styleId="tableChar">
    <w:name w:val="table Char"/>
    <w:basedOn w:val="DefaultParagraphFont"/>
    <w:link w:val="table"/>
    <w:rsid w:val="00A72D34"/>
    <w:rPr>
      <w:rFonts w:ascii="Times New Roman" w:eastAsiaTheme="minorHAnsi" w:hAnsi="Times New Roman" w:cs="Times New Roman"/>
    </w:rPr>
  </w:style>
  <w:style w:type="character" w:customStyle="1" w:styleId="QuotesChar">
    <w:name w:val="Quotes Char"/>
    <w:basedOn w:val="DefaultParagraphFont"/>
    <w:link w:val="Quotes"/>
    <w:rsid w:val="00A72D34"/>
    <w:rPr>
      <w:rFonts w:ascii="Times New Roman" w:eastAsiaTheme="minorHAnsi" w:hAnsi="Times New Roman" w:cs="Times New Roman"/>
    </w:rPr>
  </w:style>
  <w:style w:type="paragraph" w:customStyle="1" w:styleId="Tabletext">
    <w:name w:val="Table text"/>
    <w:basedOn w:val="Normal"/>
    <w:link w:val="TabletextChar"/>
    <w:qFormat/>
    <w:rsid w:val="00A72D34"/>
    <w:pPr>
      <w:spacing w:line="240" w:lineRule="auto"/>
      <w:ind w:firstLine="0"/>
    </w:pPr>
    <w:rPr>
      <w:sz w:val="22"/>
      <w:szCs w:val="22"/>
    </w:rPr>
  </w:style>
  <w:style w:type="character" w:customStyle="1" w:styleId="TabletextChar">
    <w:name w:val="Table text Char"/>
    <w:basedOn w:val="DefaultParagraphFont"/>
    <w:link w:val="Tabletext"/>
    <w:rsid w:val="00A72D34"/>
    <w:rPr>
      <w:rFonts w:ascii="Times New Roman" w:eastAsiaTheme="minorHAnsi" w:hAnsi="Times New Roman" w:cs="Times New Roman"/>
      <w:sz w:val="22"/>
      <w:szCs w:val="22"/>
    </w:rPr>
  </w:style>
  <w:style w:type="paragraph" w:customStyle="1" w:styleId="Bullets">
    <w:name w:val="Bullets"/>
    <w:basedOn w:val="ListParagraph"/>
    <w:link w:val="BulletsChar"/>
    <w:qFormat/>
    <w:rsid w:val="00A72D34"/>
    <w:pPr>
      <w:numPr>
        <w:numId w:val="5"/>
      </w:numPr>
      <w:spacing w:line="480" w:lineRule="auto"/>
      <w:ind w:left="720"/>
    </w:pPr>
    <w:rPr>
      <w:rFonts w:ascii="Times New Roman" w:hAnsi="Times New Roman" w:cs="Times New Roman"/>
    </w:rPr>
  </w:style>
  <w:style w:type="paragraph" w:customStyle="1" w:styleId="Tablebullets">
    <w:name w:val="Table bullets"/>
    <w:basedOn w:val="ListParagraph"/>
    <w:link w:val="TablebulletsChar"/>
    <w:qFormat/>
    <w:rsid w:val="00A72D34"/>
    <w:pPr>
      <w:numPr>
        <w:numId w:val="4"/>
      </w:numPr>
      <w:jc w:val="left"/>
    </w:pPr>
    <w:rPr>
      <w:rFonts w:ascii="Times New Roman" w:hAnsi="Times New Roman" w:cs="Times New Roman"/>
    </w:rPr>
  </w:style>
  <w:style w:type="character" w:customStyle="1" w:styleId="ListParagraphChar">
    <w:name w:val="List Paragraph Char"/>
    <w:basedOn w:val="DefaultParagraphFont"/>
    <w:link w:val="ListParagraph"/>
    <w:uiPriority w:val="1"/>
    <w:rsid w:val="00A72D34"/>
    <w:rPr>
      <w:sz w:val="22"/>
      <w:szCs w:val="22"/>
    </w:rPr>
  </w:style>
  <w:style w:type="character" w:customStyle="1" w:styleId="BulletsChar">
    <w:name w:val="Bullets Char"/>
    <w:basedOn w:val="ListParagraphChar"/>
    <w:link w:val="Bullets"/>
    <w:rsid w:val="00A72D34"/>
    <w:rPr>
      <w:rFonts w:ascii="Times New Roman" w:hAnsi="Times New Roman" w:cs="Times New Roman"/>
      <w:sz w:val="22"/>
      <w:szCs w:val="22"/>
    </w:rPr>
  </w:style>
  <w:style w:type="character" w:customStyle="1" w:styleId="TablebulletsChar">
    <w:name w:val="Table bullets Char"/>
    <w:basedOn w:val="ListParagraphChar"/>
    <w:link w:val="Tablebullets"/>
    <w:rsid w:val="00A72D34"/>
    <w:rPr>
      <w:rFonts w:ascii="Times New Roman" w:hAnsi="Times New Roman" w:cs="Times New Roman"/>
      <w:sz w:val="22"/>
      <w:szCs w:val="22"/>
    </w:rPr>
  </w:style>
  <w:style w:type="paragraph" w:customStyle="1" w:styleId="Tableheading">
    <w:name w:val="Table heading"/>
    <w:basedOn w:val="Tabletext"/>
    <w:link w:val="TableheadingChar"/>
    <w:qFormat/>
    <w:rsid w:val="00A72D34"/>
    <w:pPr>
      <w:spacing w:after="60"/>
      <w:jc w:val="center"/>
    </w:pPr>
    <w:rPr>
      <w:b/>
    </w:rPr>
  </w:style>
  <w:style w:type="character" w:customStyle="1" w:styleId="TableheadingChar">
    <w:name w:val="Table heading Char"/>
    <w:basedOn w:val="TabletextChar"/>
    <w:link w:val="Tableheading"/>
    <w:rsid w:val="00A72D34"/>
    <w:rPr>
      <w:rFonts w:ascii="Times New Roman" w:eastAsiaTheme="minorHAnsi" w:hAnsi="Times New Roman" w:cs="Times New Roman"/>
      <w:b/>
      <w:sz w:val="22"/>
      <w:szCs w:val="22"/>
    </w:rPr>
  </w:style>
  <w:style w:type="paragraph" w:styleId="TableofFigures">
    <w:name w:val="table of figures"/>
    <w:basedOn w:val="Normal"/>
    <w:next w:val="Normal"/>
    <w:uiPriority w:val="99"/>
    <w:unhideWhenUsed/>
    <w:rsid w:val="00A72D34"/>
  </w:style>
  <w:style w:type="paragraph" w:styleId="TOC4">
    <w:name w:val="toc 4"/>
    <w:basedOn w:val="Normal"/>
    <w:next w:val="Normal"/>
    <w:autoRedefine/>
    <w:uiPriority w:val="39"/>
    <w:semiHidden/>
    <w:unhideWhenUsed/>
    <w:rsid w:val="00A72D34"/>
    <w:pPr>
      <w:ind w:firstLine="0"/>
    </w:pPr>
    <w:rPr>
      <w:rFonts w:asciiTheme="minorHAnsi" w:hAnsiTheme="minorHAnsi"/>
      <w:sz w:val="22"/>
      <w:szCs w:val="22"/>
    </w:rPr>
  </w:style>
  <w:style w:type="paragraph" w:styleId="TOC5">
    <w:name w:val="toc 5"/>
    <w:basedOn w:val="Normal"/>
    <w:next w:val="Normal"/>
    <w:autoRedefine/>
    <w:uiPriority w:val="39"/>
    <w:semiHidden/>
    <w:unhideWhenUsed/>
    <w:rsid w:val="00A72D34"/>
    <w:pPr>
      <w:ind w:firstLine="0"/>
    </w:pPr>
    <w:rPr>
      <w:rFonts w:asciiTheme="minorHAnsi" w:hAnsiTheme="minorHAnsi"/>
      <w:sz w:val="22"/>
      <w:szCs w:val="22"/>
    </w:rPr>
  </w:style>
  <w:style w:type="paragraph" w:styleId="TOC6">
    <w:name w:val="toc 6"/>
    <w:basedOn w:val="Normal"/>
    <w:next w:val="Normal"/>
    <w:autoRedefine/>
    <w:uiPriority w:val="39"/>
    <w:semiHidden/>
    <w:unhideWhenUsed/>
    <w:rsid w:val="00A72D34"/>
    <w:pPr>
      <w:ind w:firstLine="0"/>
    </w:pPr>
    <w:rPr>
      <w:rFonts w:asciiTheme="minorHAnsi" w:hAnsiTheme="minorHAnsi"/>
      <w:sz w:val="22"/>
      <w:szCs w:val="22"/>
    </w:rPr>
  </w:style>
  <w:style w:type="paragraph" w:styleId="TOC7">
    <w:name w:val="toc 7"/>
    <w:basedOn w:val="Normal"/>
    <w:next w:val="Normal"/>
    <w:autoRedefine/>
    <w:uiPriority w:val="39"/>
    <w:semiHidden/>
    <w:unhideWhenUsed/>
    <w:rsid w:val="00A72D34"/>
    <w:pPr>
      <w:ind w:firstLine="0"/>
    </w:pPr>
    <w:rPr>
      <w:rFonts w:asciiTheme="minorHAnsi" w:hAnsiTheme="minorHAnsi"/>
      <w:sz w:val="22"/>
      <w:szCs w:val="22"/>
    </w:rPr>
  </w:style>
  <w:style w:type="paragraph" w:styleId="TOC8">
    <w:name w:val="toc 8"/>
    <w:basedOn w:val="Normal"/>
    <w:next w:val="Normal"/>
    <w:autoRedefine/>
    <w:uiPriority w:val="39"/>
    <w:semiHidden/>
    <w:unhideWhenUsed/>
    <w:rsid w:val="00A72D34"/>
    <w:pPr>
      <w:ind w:firstLine="0"/>
    </w:pPr>
    <w:rPr>
      <w:rFonts w:asciiTheme="minorHAnsi" w:hAnsiTheme="minorHAnsi"/>
      <w:sz w:val="22"/>
      <w:szCs w:val="22"/>
    </w:rPr>
  </w:style>
  <w:style w:type="paragraph" w:styleId="TOC9">
    <w:name w:val="toc 9"/>
    <w:basedOn w:val="Normal"/>
    <w:next w:val="Normal"/>
    <w:autoRedefine/>
    <w:uiPriority w:val="39"/>
    <w:semiHidden/>
    <w:unhideWhenUsed/>
    <w:rsid w:val="00A72D34"/>
    <w:pPr>
      <w:ind w:firstLine="0"/>
    </w:pPr>
    <w:rPr>
      <w:rFonts w:asciiTheme="minorHAnsi" w:hAnsiTheme="minorHAnsi"/>
      <w:sz w:val="22"/>
      <w:szCs w:val="22"/>
    </w:rPr>
  </w:style>
  <w:style w:type="paragraph" w:customStyle="1" w:styleId="CM62">
    <w:name w:val="CM62"/>
    <w:basedOn w:val="Default"/>
    <w:next w:val="Default"/>
    <w:uiPriority w:val="99"/>
    <w:rsid w:val="008F3A76"/>
    <w:pPr>
      <w:widowControl w:val="0"/>
    </w:pPr>
    <w:rPr>
      <w:rFonts w:ascii="Merriweather" w:hAnsi="Merriweather"/>
      <w:color w:val="auto"/>
    </w:rPr>
  </w:style>
  <w:style w:type="paragraph" w:customStyle="1" w:styleId="CM56">
    <w:name w:val="CM56"/>
    <w:basedOn w:val="Default"/>
    <w:next w:val="Default"/>
    <w:uiPriority w:val="99"/>
    <w:rsid w:val="008F3A76"/>
    <w:pPr>
      <w:widowControl w:val="0"/>
    </w:pPr>
    <w:rPr>
      <w:rFonts w:ascii="Merriweather" w:hAnsi="Merriweather"/>
      <w:color w:val="auto"/>
    </w:rPr>
  </w:style>
  <w:style w:type="paragraph" w:customStyle="1" w:styleId="CM23">
    <w:name w:val="CM23"/>
    <w:basedOn w:val="Default"/>
    <w:next w:val="Default"/>
    <w:uiPriority w:val="99"/>
    <w:rsid w:val="008F3A76"/>
    <w:pPr>
      <w:widowControl w:val="0"/>
    </w:pPr>
    <w:rPr>
      <w:rFonts w:ascii="Merriweather" w:hAnsi="Merriweather"/>
      <w:color w:val="auto"/>
    </w:rPr>
  </w:style>
  <w:style w:type="paragraph" w:customStyle="1" w:styleId="CM58">
    <w:name w:val="CM58"/>
    <w:basedOn w:val="Default"/>
    <w:next w:val="Default"/>
    <w:uiPriority w:val="99"/>
    <w:rsid w:val="008F3A76"/>
    <w:pPr>
      <w:widowControl w:val="0"/>
    </w:pPr>
    <w:rPr>
      <w:rFonts w:ascii="Merriweather" w:hAnsi="Merriweather"/>
      <w:color w:val="auto"/>
    </w:rPr>
  </w:style>
  <w:style w:type="paragraph" w:customStyle="1" w:styleId="CM59">
    <w:name w:val="CM59"/>
    <w:basedOn w:val="Default"/>
    <w:next w:val="Default"/>
    <w:uiPriority w:val="99"/>
    <w:rsid w:val="008F3A76"/>
    <w:pPr>
      <w:widowControl w:val="0"/>
    </w:pPr>
    <w:rPr>
      <w:rFonts w:ascii="Merriweather" w:hAnsi="Merriweather"/>
      <w:color w:val="auto"/>
    </w:rPr>
  </w:style>
  <w:style w:type="paragraph" w:customStyle="1" w:styleId="CM64">
    <w:name w:val="CM64"/>
    <w:basedOn w:val="Default"/>
    <w:next w:val="Default"/>
    <w:uiPriority w:val="99"/>
    <w:rsid w:val="008F3A76"/>
    <w:pPr>
      <w:widowControl w:val="0"/>
    </w:pPr>
    <w:rPr>
      <w:rFonts w:ascii="Merriweather" w:hAnsi="Merriweather"/>
      <w:color w:val="auto"/>
    </w:rPr>
  </w:style>
  <w:style w:type="character" w:customStyle="1" w:styleId="epub-sectionitem">
    <w:name w:val="epub-section__item"/>
    <w:basedOn w:val="DefaultParagraphFont"/>
    <w:rsid w:val="002E0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96168">
      <w:bodyDiv w:val="1"/>
      <w:marLeft w:val="0"/>
      <w:marRight w:val="0"/>
      <w:marTop w:val="0"/>
      <w:marBottom w:val="0"/>
      <w:divBdr>
        <w:top w:val="none" w:sz="0" w:space="0" w:color="auto"/>
        <w:left w:val="none" w:sz="0" w:space="0" w:color="auto"/>
        <w:bottom w:val="none" w:sz="0" w:space="0" w:color="auto"/>
        <w:right w:val="none" w:sz="0" w:space="0" w:color="auto"/>
      </w:divBdr>
    </w:div>
    <w:div w:id="103111976">
      <w:bodyDiv w:val="1"/>
      <w:marLeft w:val="0"/>
      <w:marRight w:val="0"/>
      <w:marTop w:val="0"/>
      <w:marBottom w:val="0"/>
      <w:divBdr>
        <w:top w:val="none" w:sz="0" w:space="0" w:color="auto"/>
        <w:left w:val="none" w:sz="0" w:space="0" w:color="auto"/>
        <w:bottom w:val="none" w:sz="0" w:space="0" w:color="auto"/>
        <w:right w:val="none" w:sz="0" w:space="0" w:color="auto"/>
      </w:divBdr>
    </w:div>
    <w:div w:id="179508803">
      <w:bodyDiv w:val="1"/>
      <w:marLeft w:val="0"/>
      <w:marRight w:val="0"/>
      <w:marTop w:val="0"/>
      <w:marBottom w:val="0"/>
      <w:divBdr>
        <w:top w:val="none" w:sz="0" w:space="0" w:color="auto"/>
        <w:left w:val="none" w:sz="0" w:space="0" w:color="auto"/>
        <w:bottom w:val="none" w:sz="0" w:space="0" w:color="auto"/>
        <w:right w:val="none" w:sz="0" w:space="0" w:color="auto"/>
      </w:divBdr>
    </w:div>
    <w:div w:id="614798126">
      <w:bodyDiv w:val="1"/>
      <w:marLeft w:val="0"/>
      <w:marRight w:val="0"/>
      <w:marTop w:val="0"/>
      <w:marBottom w:val="0"/>
      <w:divBdr>
        <w:top w:val="none" w:sz="0" w:space="0" w:color="auto"/>
        <w:left w:val="none" w:sz="0" w:space="0" w:color="auto"/>
        <w:bottom w:val="none" w:sz="0" w:space="0" w:color="auto"/>
        <w:right w:val="none" w:sz="0" w:space="0" w:color="auto"/>
      </w:divBdr>
    </w:div>
    <w:div w:id="974406794">
      <w:bodyDiv w:val="1"/>
      <w:marLeft w:val="0"/>
      <w:marRight w:val="0"/>
      <w:marTop w:val="0"/>
      <w:marBottom w:val="0"/>
      <w:divBdr>
        <w:top w:val="none" w:sz="0" w:space="0" w:color="auto"/>
        <w:left w:val="none" w:sz="0" w:space="0" w:color="auto"/>
        <w:bottom w:val="none" w:sz="0" w:space="0" w:color="auto"/>
        <w:right w:val="none" w:sz="0" w:space="0" w:color="auto"/>
      </w:divBdr>
    </w:div>
    <w:div w:id="1098217599">
      <w:bodyDiv w:val="1"/>
      <w:marLeft w:val="0"/>
      <w:marRight w:val="0"/>
      <w:marTop w:val="0"/>
      <w:marBottom w:val="0"/>
      <w:divBdr>
        <w:top w:val="none" w:sz="0" w:space="0" w:color="auto"/>
        <w:left w:val="none" w:sz="0" w:space="0" w:color="auto"/>
        <w:bottom w:val="none" w:sz="0" w:space="0" w:color="auto"/>
        <w:right w:val="none" w:sz="0" w:space="0" w:color="auto"/>
      </w:divBdr>
    </w:div>
    <w:div w:id="2017734046">
      <w:bodyDiv w:val="1"/>
      <w:marLeft w:val="0"/>
      <w:marRight w:val="0"/>
      <w:marTop w:val="0"/>
      <w:marBottom w:val="0"/>
      <w:divBdr>
        <w:top w:val="none" w:sz="0" w:space="0" w:color="auto"/>
        <w:left w:val="none" w:sz="0" w:space="0" w:color="auto"/>
        <w:bottom w:val="none" w:sz="0" w:space="0" w:color="auto"/>
        <w:right w:val="none" w:sz="0" w:space="0" w:color="auto"/>
      </w:divBdr>
    </w:div>
    <w:div w:id="2101561665">
      <w:bodyDiv w:val="1"/>
      <w:marLeft w:val="0"/>
      <w:marRight w:val="0"/>
      <w:marTop w:val="0"/>
      <w:marBottom w:val="0"/>
      <w:divBdr>
        <w:top w:val="none" w:sz="0" w:space="0" w:color="auto"/>
        <w:left w:val="none" w:sz="0" w:space="0" w:color="auto"/>
        <w:bottom w:val="none" w:sz="0" w:space="0" w:color="auto"/>
        <w:right w:val="none" w:sz="0" w:space="0" w:color="auto"/>
      </w:divBdr>
      <w:divsChild>
        <w:div w:id="932083650">
          <w:marLeft w:val="0"/>
          <w:marRight w:val="0"/>
          <w:marTop w:val="0"/>
          <w:marBottom w:val="0"/>
          <w:divBdr>
            <w:top w:val="none" w:sz="0" w:space="0" w:color="auto"/>
            <w:left w:val="none" w:sz="0" w:space="0" w:color="auto"/>
            <w:bottom w:val="none" w:sz="0" w:space="0" w:color="auto"/>
            <w:right w:val="none" w:sz="0" w:space="0" w:color="auto"/>
          </w:divBdr>
        </w:div>
        <w:div w:id="999232410">
          <w:marLeft w:val="0"/>
          <w:marRight w:val="0"/>
          <w:marTop w:val="0"/>
          <w:marBottom w:val="0"/>
          <w:divBdr>
            <w:top w:val="none" w:sz="0" w:space="0" w:color="auto"/>
            <w:left w:val="none" w:sz="0" w:space="0" w:color="auto"/>
            <w:bottom w:val="none" w:sz="0" w:space="0" w:color="auto"/>
            <w:right w:val="none" w:sz="0" w:space="0" w:color="auto"/>
          </w:divBdr>
          <w:divsChild>
            <w:div w:id="1306468599">
              <w:marLeft w:val="0"/>
              <w:marRight w:val="0"/>
              <w:marTop w:val="0"/>
              <w:marBottom w:val="0"/>
              <w:divBdr>
                <w:top w:val="none" w:sz="0" w:space="0" w:color="auto"/>
                <w:left w:val="none" w:sz="0" w:space="0" w:color="auto"/>
                <w:bottom w:val="none" w:sz="0" w:space="0" w:color="auto"/>
                <w:right w:val="none" w:sz="0" w:space="0" w:color="auto"/>
              </w:divBdr>
              <w:divsChild>
                <w:div w:id="1938710086">
                  <w:marLeft w:val="0"/>
                  <w:marRight w:val="0"/>
                  <w:marTop w:val="0"/>
                  <w:marBottom w:val="0"/>
                  <w:divBdr>
                    <w:top w:val="none" w:sz="0" w:space="0" w:color="auto"/>
                    <w:left w:val="none" w:sz="0" w:space="0" w:color="auto"/>
                    <w:bottom w:val="none" w:sz="0" w:space="0" w:color="auto"/>
                    <w:right w:val="none" w:sz="0" w:space="0" w:color="auto"/>
                  </w:divBdr>
                  <w:divsChild>
                    <w:div w:id="127921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048152">
          <w:marLeft w:val="0"/>
          <w:marRight w:val="0"/>
          <w:marTop w:val="22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emf"/><Relationship Id="rId18" Type="http://schemas.openxmlformats.org/officeDocument/2006/relationships/diagramLayout" Target="diagrams/layout2.xml"/><Relationship Id="rId26" Type="http://schemas.openxmlformats.org/officeDocument/2006/relationships/hyperlink" Target="https://doi.org/10.1371/journal.pmed.0020124" TargetMode="External"/><Relationship Id="rId3" Type="http://schemas.openxmlformats.org/officeDocument/2006/relationships/settings" Target="settings.xml"/><Relationship Id="rId21" Type="http://schemas.microsoft.com/office/2007/relationships/diagramDrawing" Target="diagrams/drawing2.xml"/><Relationship Id="rId34" Type="http://schemas.openxmlformats.org/officeDocument/2006/relationships/fontTable" Target="fontTable.xml"/><Relationship Id="rId7" Type="http://schemas.openxmlformats.org/officeDocument/2006/relationships/hyperlink" Target="mailto:c.warzynski@cornell.edu" TargetMode="External"/><Relationship Id="rId12" Type="http://schemas.microsoft.com/office/2007/relationships/diagramDrawing" Target="diagrams/drawing1.xml"/><Relationship Id="rId17" Type="http://schemas.openxmlformats.org/officeDocument/2006/relationships/diagramData" Target="diagrams/data2.xml"/><Relationship Id="rId25" Type="http://schemas.openxmlformats.org/officeDocument/2006/relationships/hyperlink" Target="https://doi.org/10.1089/ees.2016.0223" TargetMode="External"/><Relationship Id="rId33" Type="http://schemas.openxmlformats.org/officeDocument/2006/relationships/hyperlink" Target="mailto:roi@nist.gov"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diagramColors" Target="diagrams/colors2.xml"/><Relationship Id="rId29" Type="http://schemas.openxmlformats.org/officeDocument/2006/relationships/hyperlink" Target="http://dx.doi.org/10.5465/amle.2011.055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24" Type="http://schemas.openxmlformats.org/officeDocument/2006/relationships/hyperlink" Target="https://aeon.co/essays/it-s-time-for-science-to-abandon-the-term-statistically-significant" TargetMode="External"/><Relationship Id="rId32" Type="http://schemas.openxmlformats.org/officeDocument/2006/relationships/hyperlink" Target="https://hbr.org/2018/07/its-time-to-make-business-school-research-more-relevant" TargetMode="Externa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s://www.nsf.gov/about/history/vbush1945.htm" TargetMode="External"/><Relationship Id="rId28" Type="http://schemas.openxmlformats.org/officeDocument/2006/relationships/hyperlink" Target="https://en.wikipedia.org/wiki/Harvard_University_Press" TargetMode="External"/><Relationship Id="rId10" Type="http://schemas.openxmlformats.org/officeDocument/2006/relationships/diagramQuickStyle" Target="diagrams/quickStyle1.xml"/><Relationship Id="rId19" Type="http://schemas.openxmlformats.org/officeDocument/2006/relationships/diagramQuickStyle" Target="diagrams/quickStyle2.xml"/><Relationship Id="rId31" Type="http://schemas.openxmlformats.org/officeDocument/2006/relationships/hyperlink" Target="https://news.vanderbilt.edu/files/Cost-of-Federal-Regulatory-Compliance-2015.pdf" TargetMode="Externa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1.xml"/><Relationship Id="rId22" Type="http://schemas.openxmlformats.org/officeDocument/2006/relationships/hyperlink" Target="https://en.wikipedia.org/wiki/Public_law" TargetMode="External"/><Relationship Id="rId27" Type="http://schemas.openxmlformats.org/officeDocument/2006/relationships/hyperlink" Target="https://en.wikipedia.org/wiki/We_Have_Never_Been_Modern" TargetMode="External"/><Relationship Id="rId30" Type="http://schemas.openxmlformats.org/officeDocument/2006/relationships/hyperlink" Target="https://hbr.org/2018/07/its-time-to-make-business-school-research-more-relevant" TargetMode="External"/><Relationship Id="rId3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1B9C2ED-629E-CF45-9EA7-6F61A0929E71}" type="doc">
      <dgm:prSet loTypeId="urn:microsoft.com/office/officeart/2005/8/layout/cycle3" loCatId="" qsTypeId="urn:microsoft.com/office/officeart/2005/8/quickstyle/simple4" qsCatId="simple" csTypeId="urn:microsoft.com/office/officeart/2005/8/colors/colorful1" csCatId="colorful" phldr="1"/>
      <dgm:spPr/>
      <dgm:t>
        <a:bodyPr/>
        <a:lstStyle/>
        <a:p>
          <a:endParaRPr lang="en-US"/>
        </a:p>
      </dgm:t>
    </dgm:pt>
    <dgm:pt modelId="{A54C2B06-B8D9-ED48-A30E-24169E0A1C98}">
      <dgm:prSet phldrT="[Text]"/>
      <dgm:spPr>
        <a:solidFill>
          <a:schemeClr val="tx2">
            <a:lumMod val="60000"/>
            <a:lumOff val="40000"/>
          </a:schemeClr>
        </a:solidFill>
      </dgm:spPr>
      <dgm:t>
        <a:bodyPr/>
        <a:lstStyle/>
        <a:p>
          <a:r>
            <a:rPr lang="en-US" dirty="0">
              <a:solidFill>
                <a:srgbClr val="000000"/>
              </a:solidFill>
            </a:rPr>
            <a:t>Social Inquiry  (Action Research)</a:t>
          </a:r>
        </a:p>
      </dgm:t>
    </dgm:pt>
    <dgm:pt modelId="{EF9C947D-F11A-544A-A830-8AEC183E5412}" type="parTrans" cxnId="{2BA1DD28-090C-244D-BC69-61EB3FC13AF6}">
      <dgm:prSet/>
      <dgm:spPr/>
      <dgm:t>
        <a:bodyPr/>
        <a:lstStyle/>
        <a:p>
          <a:endParaRPr lang="en-US"/>
        </a:p>
      </dgm:t>
    </dgm:pt>
    <dgm:pt modelId="{8E4A1368-091D-2A45-A552-40096DA66D22}" type="sibTrans" cxnId="{2BA1DD28-090C-244D-BC69-61EB3FC13AF6}">
      <dgm:prSet/>
      <dgm:spPr/>
      <dgm:t>
        <a:bodyPr/>
        <a:lstStyle/>
        <a:p>
          <a:endParaRPr lang="en-US"/>
        </a:p>
      </dgm:t>
    </dgm:pt>
    <dgm:pt modelId="{107D9EB7-4276-AE47-B49E-4C7D11288E68}">
      <dgm:prSet phldrT="[Text]"/>
      <dgm:spPr/>
      <dgm:t>
        <a:bodyPr/>
        <a:lstStyle/>
        <a:p>
          <a:r>
            <a:rPr lang="en-US" dirty="0">
              <a:solidFill>
                <a:srgbClr val="000000"/>
              </a:solidFill>
            </a:rPr>
            <a:t>Literature Review   (Key Hypotheses)</a:t>
          </a:r>
        </a:p>
      </dgm:t>
    </dgm:pt>
    <dgm:pt modelId="{64C0DFBC-CDDB-2E43-BAB5-88F0C36E6CA3}" type="parTrans" cxnId="{DB5F9340-12F8-4B43-9899-38C73B1448B5}">
      <dgm:prSet/>
      <dgm:spPr/>
      <dgm:t>
        <a:bodyPr/>
        <a:lstStyle/>
        <a:p>
          <a:endParaRPr lang="en-US"/>
        </a:p>
      </dgm:t>
    </dgm:pt>
    <dgm:pt modelId="{40D4B564-222B-E84C-A1E5-70394D4A6A0B}" type="sibTrans" cxnId="{DB5F9340-12F8-4B43-9899-38C73B1448B5}">
      <dgm:prSet/>
      <dgm:spPr/>
      <dgm:t>
        <a:bodyPr/>
        <a:lstStyle/>
        <a:p>
          <a:endParaRPr lang="en-US"/>
        </a:p>
      </dgm:t>
    </dgm:pt>
    <dgm:pt modelId="{1F815A63-6716-9243-A47A-C203CB334B1D}">
      <dgm:prSet phldrT="[Text]"/>
      <dgm:spPr/>
      <dgm:t>
        <a:bodyPr/>
        <a:lstStyle/>
        <a:p>
          <a:r>
            <a:rPr lang="en-US" dirty="0">
              <a:solidFill>
                <a:srgbClr val="000000"/>
              </a:solidFill>
            </a:rPr>
            <a:t>Qualitative Data Collection &amp; Analysis (AI)</a:t>
          </a:r>
        </a:p>
      </dgm:t>
    </dgm:pt>
    <dgm:pt modelId="{68E9B973-C040-5049-8792-8E3F6FCA83F6}" type="parTrans" cxnId="{99125717-08FF-414F-802A-9E4E0FBA88F9}">
      <dgm:prSet/>
      <dgm:spPr/>
      <dgm:t>
        <a:bodyPr/>
        <a:lstStyle/>
        <a:p>
          <a:endParaRPr lang="en-US"/>
        </a:p>
      </dgm:t>
    </dgm:pt>
    <dgm:pt modelId="{FA439865-1D20-5545-9392-601E11670018}" type="sibTrans" cxnId="{99125717-08FF-414F-802A-9E4E0FBA88F9}">
      <dgm:prSet/>
      <dgm:spPr/>
      <dgm:t>
        <a:bodyPr/>
        <a:lstStyle/>
        <a:p>
          <a:endParaRPr lang="en-US"/>
        </a:p>
      </dgm:t>
    </dgm:pt>
    <dgm:pt modelId="{B83E76B4-FBDA-444C-B889-29961501397A}">
      <dgm:prSet phldrT="[Text]"/>
      <dgm:spPr/>
      <dgm:t>
        <a:bodyPr/>
        <a:lstStyle/>
        <a:p>
          <a:r>
            <a:rPr lang="en-US" dirty="0">
              <a:solidFill>
                <a:srgbClr val="000000"/>
              </a:solidFill>
            </a:rPr>
            <a:t>Interpretation/Grounded Theory (Semiotics)</a:t>
          </a:r>
        </a:p>
      </dgm:t>
    </dgm:pt>
    <dgm:pt modelId="{50FA3396-7EE7-2640-AE37-935FCE8EF7EB}" type="parTrans" cxnId="{9180F208-F187-2845-8026-EA3407006648}">
      <dgm:prSet/>
      <dgm:spPr/>
      <dgm:t>
        <a:bodyPr/>
        <a:lstStyle/>
        <a:p>
          <a:endParaRPr lang="en-US"/>
        </a:p>
      </dgm:t>
    </dgm:pt>
    <dgm:pt modelId="{825F037E-E12F-5042-B915-ECEF4921DB03}" type="sibTrans" cxnId="{9180F208-F187-2845-8026-EA3407006648}">
      <dgm:prSet/>
      <dgm:spPr/>
      <dgm:t>
        <a:bodyPr/>
        <a:lstStyle/>
        <a:p>
          <a:endParaRPr lang="en-US"/>
        </a:p>
      </dgm:t>
    </dgm:pt>
    <dgm:pt modelId="{783508DD-7C32-9843-8993-19C69EEFD1C3}">
      <dgm:prSet phldrT="[Text]"/>
      <dgm:spPr/>
      <dgm:t>
        <a:bodyPr/>
        <a:lstStyle/>
        <a:p>
          <a:r>
            <a:rPr lang="en-US" dirty="0">
              <a:solidFill>
                <a:srgbClr val="000000"/>
              </a:solidFill>
            </a:rPr>
            <a:t>Quantitative Data Collection/Validation         (TSM)</a:t>
          </a:r>
        </a:p>
      </dgm:t>
    </dgm:pt>
    <dgm:pt modelId="{A0ED768D-6D51-A54B-B15D-F9D06F103288}" type="parTrans" cxnId="{DCBB9F6A-40E9-594F-966E-C072E91FE6C1}">
      <dgm:prSet/>
      <dgm:spPr/>
      <dgm:t>
        <a:bodyPr/>
        <a:lstStyle/>
        <a:p>
          <a:endParaRPr lang="en-US"/>
        </a:p>
      </dgm:t>
    </dgm:pt>
    <dgm:pt modelId="{E51C31A5-78BC-DB4B-B933-6899191BF355}" type="sibTrans" cxnId="{DCBB9F6A-40E9-594F-966E-C072E91FE6C1}">
      <dgm:prSet/>
      <dgm:spPr/>
      <dgm:t>
        <a:bodyPr/>
        <a:lstStyle/>
        <a:p>
          <a:endParaRPr lang="en-US"/>
        </a:p>
      </dgm:t>
    </dgm:pt>
    <dgm:pt modelId="{653E3E1C-196C-2D42-B3CB-A09D370314AC}">
      <dgm:prSet phldrT="[Text]"/>
      <dgm:spPr/>
      <dgm:t>
        <a:bodyPr/>
        <a:lstStyle/>
        <a:p>
          <a:pPr algn="ctr"/>
          <a:r>
            <a:rPr lang="en-US" dirty="0">
              <a:solidFill>
                <a:srgbClr val="000000"/>
              </a:solidFill>
            </a:rPr>
            <a:t>Enact &amp; Embed Actor Networks  (ANT)</a:t>
          </a:r>
        </a:p>
      </dgm:t>
    </dgm:pt>
    <dgm:pt modelId="{5B4151D8-1126-054B-84BF-24961B7F4F12}" type="parTrans" cxnId="{AB0CA2E8-07C6-FE4D-A005-CF27395876A7}">
      <dgm:prSet/>
      <dgm:spPr/>
      <dgm:t>
        <a:bodyPr/>
        <a:lstStyle/>
        <a:p>
          <a:endParaRPr lang="en-US"/>
        </a:p>
      </dgm:t>
    </dgm:pt>
    <dgm:pt modelId="{FA306B6C-6859-A147-BB32-5FEB938742BE}" type="sibTrans" cxnId="{AB0CA2E8-07C6-FE4D-A005-CF27395876A7}">
      <dgm:prSet/>
      <dgm:spPr/>
      <dgm:t>
        <a:bodyPr/>
        <a:lstStyle/>
        <a:p>
          <a:endParaRPr lang="en-US"/>
        </a:p>
      </dgm:t>
    </dgm:pt>
    <dgm:pt modelId="{45D78A61-5175-7340-B087-EC21FD8B7B3F}" type="pres">
      <dgm:prSet presAssocID="{01B9C2ED-629E-CF45-9EA7-6F61A0929E71}" presName="Name0" presStyleCnt="0">
        <dgm:presLayoutVars>
          <dgm:dir/>
          <dgm:resizeHandles val="exact"/>
        </dgm:presLayoutVars>
      </dgm:prSet>
      <dgm:spPr/>
    </dgm:pt>
    <dgm:pt modelId="{A0F5D24B-320A-1945-9BFB-10E68B98164C}" type="pres">
      <dgm:prSet presAssocID="{01B9C2ED-629E-CF45-9EA7-6F61A0929E71}" presName="cycle" presStyleCnt="0"/>
      <dgm:spPr/>
    </dgm:pt>
    <dgm:pt modelId="{86B76BA6-70AF-524A-8EF5-5756402E1077}" type="pres">
      <dgm:prSet presAssocID="{A54C2B06-B8D9-ED48-A30E-24169E0A1C98}" presName="nodeFirstNode" presStyleLbl="node1" presStyleIdx="0" presStyleCnt="6">
        <dgm:presLayoutVars>
          <dgm:bulletEnabled val="1"/>
        </dgm:presLayoutVars>
      </dgm:prSet>
      <dgm:spPr/>
    </dgm:pt>
    <dgm:pt modelId="{EBA84238-B77E-9042-A500-D095A9D743B6}" type="pres">
      <dgm:prSet presAssocID="{8E4A1368-091D-2A45-A552-40096DA66D22}" presName="sibTransFirstNode" presStyleLbl="bgShp" presStyleIdx="0" presStyleCnt="1"/>
      <dgm:spPr/>
    </dgm:pt>
    <dgm:pt modelId="{A1A958E1-2754-724B-833D-66005CBD5620}" type="pres">
      <dgm:prSet presAssocID="{107D9EB7-4276-AE47-B49E-4C7D11288E68}" presName="nodeFollowingNodes" presStyleLbl="node1" presStyleIdx="1" presStyleCnt="6" custRadScaleRad="122797" custRadScaleInc="17552">
        <dgm:presLayoutVars>
          <dgm:bulletEnabled val="1"/>
        </dgm:presLayoutVars>
      </dgm:prSet>
      <dgm:spPr/>
    </dgm:pt>
    <dgm:pt modelId="{07A7EA7C-3ADF-834E-97D5-3D68A7B4B235}" type="pres">
      <dgm:prSet presAssocID="{1F815A63-6716-9243-A47A-C203CB334B1D}" presName="nodeFollowingNodes" presStyleLbl="node1" presStyleIdx="2" presStyleCnt="6" custRadScaleRad="117896" custRadScaleInc="-27492">
        <dgm:presLayoutVars>
          <dgm:bulletEnabled val="1"/>
        </dgm:presLayoutVars>
      </dgm:prSet>
      <dgm:spPr/>
    </dgm:pt>
    <dgm:pt modelId="{7B565B2E-7640-0F4A-884F-B52790B3D5E7}" type="pres">
      <dgm:prSet presAssocID="{B83E76B4-FBDA-444C-B889-29961501397A}" presName="nodeFollowingNodes" presStyleLbl="node1" presStyleIdx="3" presStyleCnt="6" custRadScaleRad="100438" custRadScaleInc="699">
        <dgm:presLayoutVars>
          <dgm:bulletEnabled val="1"/>
        </dgm:presLayoutVars>
      </dgm:prSet>
      <dgm:spPr/>
    </dgm:pt>
    <dgm:pt modelId="{8A5B74F9-0A9F-514A-96E3-D1BEE4129697}" type="pres">
      <dgm:prSet presAssocID="{783508DD-7C32-9843-8993-19C69EEFD1C3}" presName="nodeFollowingNodes" presStyleLbl="node1" presStyleIdx="4" presStyleCnt="6" custRadScaleRad="106724" custRadScaleInc="21951">
        <dgm:presLayoutVars>
          <dgm:bulletEnabled val="1"/>
        </dgm:presLayoutVars>
      </dgm:prSet>
      <dgm:spPr/>
    </dgm:pt>
    <dgm:pt modelId="{444ACCEF-9B46-5646-9E91-B7A94837C085}" type="pres">
      <dgm:prSet presAssocID="{653E3E1C-196C-2D42-B3CB-A09D370314AC}" presName="nodeFollowingNodes" presStyleLbl="node1" presStyleIdx="5" presStyleCnt="6" custRadScaleRad="112171" custRadScaleInc="-14116">
        <dgm:presLayoutVars>
          <dgm:bulletEnabled val="1"/>
        </dgm:presLayoutVars>
      </dgm:prSet>
      <dgm:spPr/>
    </dgm:pt>
  </dgm:ptLst>
  <dgm:cxnLst>
    <dgm:cxn modelId="{9180F208-F187-2845-8026-EA3407006648}" srcId="{01B9C2ED-629E-CF45-9EA7-6F61A0929E71}" destId="{B83E76B4-FBDA-444C-B889-29961501397A}" srcOrd="3" destOrd="0" parTransId="{50FA3396-7EE7-2640-AE37-935FCE8EF7EB}" sibTransId="{825F037E-E12F-5042-B915-ECEF4921DB03}"/>
    <dgm:cxn modelId="{99125717-08FF-414F-802A-9E4E0FBA88F9}" srcId="{01B9C2ED-629E-CF45-9EA7-6F61A0929E71}" destId="{1F815A63-6716-9243-A47A-C203CB334B1D}" srcOrd="2" destOrd="0" parTransId="{68E9B973-C040-5049-8792-8E3F6FCA83F6}" sibTransId="{FA439865-1D20-5545-9392-601E11670018}"/>
    <dgm:cxn modelId="{081C0323-DC92-7749-A865-635A7F77C060}" type="presOf" srcId="{B83E76B4-FBDA-444C-B889-29961501397A}" destId="{7B565B2E-7640-0F4A-884F-B52790B3D5E7}" srcOrd="0" destOrd="0" presId="urn:microsoft.com/office/officeart/2005/8/layout/cycle3"/>
    <dgm:cxn modelId="{2BA1DD28-090C-244D-BC69-61EB3FC13AF6}" srcId="{01B9C2ED-629E-CF45-9EA7-6F61A0929E71}" destId="{A54C2B06-B8D9-ED48-A30E-24169E0A1C98}" srcOrd="0" destOrd="0" parTransId="{EF9C947D-F11A-544A-A830-8AEC183E5412}" sibTransId="{8E4A1368-091D-2A45-A552-40096DA66D22}"/>
    <dgm:cxn modelId="{766E7540-2F8B-8342-B0C7-337930848732}" type="presOf" srcId="{01B9C2ED-629E-CF45-9EA7-6F61A0929E71}" destId="{45D78A61-5175-7340-B087-EC21FD8B7B3F}" srcOrd="0" destOrd="0" presId="urn:microsoft.com/office/officeart/2005/8/layout/cycle3"/>
    <dgm:cxn modelId="{DB5F9340-12F8-4B43-9899-38C73B1448B5}" srcId="{01B9C2ED-629E-CF45-9EA7-6F61A0929E71}" destId="{107D9EB7-4276-AE47-B49E-4C7D11288E68}" srcOrd="1" destOrd="0" parTransId="{64C0DFBC-CDDB-2E43-BAB5-88F0C36E6CA3}" sibTransId="{40D4B564-222B-E84C-A1E5-70394D4A6A0B}"/>
    <dgm:cxn modelId="{DCBB9F6A-40E9-594F-966E-C072E91FE6C1}" srcId="{01B9C2ED-629E-CF45-9EA7-6F61A0929E71}" destId="{783508DD-7C32-9843-8993-19C69EEFD1C3}" srcOrd="4" destOrd="0" parTransId="{A0ED768D-6D51-A54B-B15D-F9D06F103288}" sibTransId="{E51C31A5-78BC-DB4B-B933-6899191BF355}"/>
    <dgm:cxn modelId="{00F94057-2DF0-D24C-8700-847CFEA7B479}" type="presOf" srcId="{653E3E1C-196C-2D42-B3CB-A09D370314AC}" destId="{444ACCEF-9B46-5646-9E91-B7A94837C085}" srcOrd="0" destOrd="0" presId="urn:microsoft.com/office/officeart/2005/8/layout/cycle3"/>
    <dgm:cxn modelId="{3C889E82-D8E5-C240-8DB4-9E52582196B9}" type="presOf" srcId="{A54C2B06-B8D9-ED48-A30E-24169E0A1C98}" destId="{86B76BA6-70AF-524A-8EF5-5756402E1077}" srcOrd="0" destOrd="0" presId="urn:microsoft.com/office/officeart/2005/8/layout/cycle3"/>
    <dgm:cxn modelId="{C3EDE984-AB00-584A-BFCE-EAD97FD75428}" type="presOf" srcId="{1F815A63-6716-9243-A47A-C203CB334B1D}" destId="{07A7EA7C-3ADF-834E-97D5-3D68A7B4B235}" srcOrd="0" destOrd="0" presId="urn:microsoft.com/office/officeart/2005/8/layout/cycle3"/>
    <dgm:cxn modelId="{6A037298-3B26-7D45-8E17-039CFF16C636}" type="presOf" srcId="{8E4A1368-091D-2A45-A552-40096DA66D22}" destId="{EBA84238-B77E-9042-A500-D095A9D743B6}" srcOrd="0" destOrd="0" presId="urn:microsoft.com/office/officeart/2005/8/layout/cycle3"/>
    <dgm:cxn modelId="{178989BF-0A2C-634B-B344-D69B89C5A26F}" type="presOf" srcId="{107D9EB7-4276-AE47-B49E-4C7D11288E68}" destId="{A1A958E1-2754-724B-833D-66005CBD5620}" srcOrd="0" destOrd="0" presId="urn:microsoft.com/office/officeart/2005/8/layout/cycle3"/>
    <dgm:cxn modelId="{08D405D8-F39A-3146-A896-DF882C6F2EB1}" type="presOf" srcId="{783508DD-7C32-9843-8993-19C69EEFD1C3}" destId="{8A5B74F9-0A9F-514A-96E3-D1BEE4129697}" srcOrd="0" destOrd="0" presId="urn:microsoft.com/office/officeart/2005/8/layout/cycle3"/>
    <dgm:cxn modelId="{AB0CA2E8-07C6-FE4D-A005-CF27395876A7}" srcId="{01B9C2ED-629E-CF45-9EA7-6F61A0929E71}" destId="{653E3E1C-196C-2D42-B3CB-A09D370314AC}" srcOrd="5" destOrd="0" parTransId="{5B4151D8-1126-054B-84BF-24961B7F4F12}" sibTransId="{FA306B6C-6859-A147-BB32-5FEB938742BE}"/>
    <dgm:cxn modelId="{F8212C37-2836-8D4D-A430-E0AD54E03D17}" type="presParOf" srcId="{45D78A61-5175-7340-B087-EC21FD8B7B3F}" destId="{A0F5D24B-320A-1945-9BFB-10E68B98164C}" srcOrd="0" destOrd="0" presId="urn:microsoft.com/office/officeart/2005/8/layout/cycle3"/>
    <dgm:cxn modelId="{A2E8354E-3FCE-E543-A4FC-3A3CC53AC8B6}" type="presParOf" srcId="{A0F5D24B-320A-1945-9BFB-10E68B98164C}" destId="{86B76BA6-70AF-524A-8EF5-5756402E1077}" srcOrd="0" destOrd="0" presId="urn:microsoft.com/office/officeart/2005/8/layout/cycle3"/>
    <dgm:cxn modelId="{07552EF3-569B-0345-9612-6EE08DF532A9}" type="presParOf" srcId="{A0F5D24B-320A-1945-9BFB-10E68B98164C}" destId="{EBA84238-B77E-9042-A500-D095A9D743B6}" srcOrd="1" destOrd="0" presId="urn:microsoft.com/office/officeart/2005/8/layout/cycle3"/>
    <dgm:cxn modelId="{C3CC913C-21F0-C248-8E7E-0B87CD2E6C3E}" type="presParOf" srcId="{A0F5D24B-320A-1945-9BFB-10E68B98164C}" destId="{A1A958E1-2754-724B-833D-66005CBD5620}" srcOrd="2" destOrd="0" presId="urn:microsoft.com/office/officeart/2005/8/layout/cycle3"/>
    <dgm:cxn modelId="{11438903-6ECE-2A44-836C-485189ADCD61}" type="presParOf" srcId="{A0F5D24B-320A-1945-9BFB-10E68B98164C}" destId="{07A7EA7C-3ADF-834E-97D5-3D68A7B4B235}" srcOrd="3" destOrd="0" presId="urn:microsoft.com/office/officeart/2005/8/layout/cycle3"/>
    <dgm:cxn modelId="{074DA59E-6F35-2345-9FAA-908DD67DF4E4}" type="presParOf" srcId="{A0F5D24B-320A-1945-9BFB-10E68B98164C}" destId="{7B565B2E-7640-0F4A-884F-B52790B3D5E7}" srcOrd="4" destOrd="0" presId="urn:microsoft.com/office/officeart/2005/8/layout/cycle3"/>
    <dgm:cxn modelId="{8DBF96A0-2E8E-6548-9B09-EDFDAB5F2B88}" type="presParOf" srcId="{A0F5D24B-320A-1945-9BFB-10E68B98164C}" destId="{8A5B74F9-0A9F-514A-96E3-D1BEE4129697}" srcOrd="5" destOrd="0" presId="urn:microsoft.com/office/officeart/2005/8/layout/cycle3"/>
    <dgm:cxn modelId="{1C3DE0DA-631E-C74E-ADA5-D89889C3D693}" type="presParOf" srcId="{A0F5D24B-320A-1945-9BFB-10E68B98164C}" destId="{444ACCEF-9B46-5646-9E91-B7A94837C085}" srcOrd="6" destOrd="0" presId="urn:microsoft.com/office/officeart/2005/8/layout/cycle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3129B92-26AB-4C09-A5B0-AAB2CDC8A071}" type="doc">
      <dgm:prSet loTypeId="urn:microsoft.com/office/officeart/2005/8/layout/cycle5" loCatId="cycle" qsTypeId="urn:microsoft.com/office/officeart/2005/8/quickstyle/simple1" qsCatId="simple" csTypeId="urn:microsoft.com/office/officeart/2005/8/colors/accent0_3" csCatId="mainScheme" phldr="1"/>
      <dgm:spPr/>
      <dgm:t>
        <a:bodyPr/>
        <a:lstStyle/>
        <a:p>
          <a:endParaRPr lang="en-US"/>
        </a:p>
      </dgm:t>
    </dgm:pt>
    <dgm:pt modelId="{83FA37B2-0E0D-4F13-BC06-D7FD43A526F2}">
      <dgm:prSet phldrT="[Text]"/>
      <dgm:spPr>
        <a:solidFill>
          <a:srgbClr val="3366FF"/>
        </a:solidFill>
        <a:ln>
          <a:noFill/>
        </a:ln>
      </dgm:spPr>
      <dgm:t>
        <a:bodyPr/>
        <a:lstStyle/>
        <a:p>
          <a:pPr algn="ctr"/>
          <a:r>
            <a:rPr lang="en-US" dirty="0">
              <a:latin typeface="Calibri Light" panose="020F0302020204030204" pitchFamily="34" charset="0"/>
            </a:rPr>
            <a:t>Understanding (Humanities)</a:t>
          </a:r>
        </a:p>
      </dgm:t>
    </dgm:pt>
    <dgm:pt modelId="{26603E42-A1D7-410B-A62B-C633699CEF2F}" type="parTrans" cxnId="{A65BBEF3-8506-4A35-97C1-104A0D4ED2B5}">
      <dgm:prSet/>
      <dgm:spPr/>
      <dgm:t>
        <a:bodyPr/>
        <a:lstStyle/>
        <a:p>
          <a:pPr algn="ctr"/>
          <a:endParaRPr lang="en-US">
            <a:latin typeface="Calibri Light" panose="020F0302020204030204" pitchFamily="34" charset="0"/>
          </a:endParaRPr>
        </a:p>
      </dgm:t>
    </dgm:pt>
    <dgm:pt modelId="{BD25A91A-D25A-49F9-B1A1-D29C86E62270}" type="sibTrans" cxnId="{A65BBEF3-8506-4A35-97C1-104A0D4ED2B5}">
      <dgm:prSet/>
      <dgm:spPr/>
      <dgm:t>
        <a:bodyPr/>
        <a:lstStyle/>
        <a:p>
          <a:pPr algn="ctr"/>
          <a:endParaRPr lang="en-US">
            <a:latin typeface="Calibri Light" panose="020F0302020204030204" pitchFamily="34" charset="0"/>
          </a:endParaRPr>
        </a:p>
      </dgm:t>
    </dgm:pt>
    <dgm:pt modelId="{3F6A8E0F-40FF-48F3-B804-C1914295A524}">
      <dgm:prSet phldrT="[Text]"/>
      <dgm:spPr>
        <a:solidFill>
          <a:srgbClr val="008000"/>
        </a:solidFill>
        <a:ln>
          <a:noFill/>
        </a:ln>
      </dgm:spPr>
      <dgm:t>
        <a:bodyPr/>
        <a:lstStyle/>
        <a:p>
          <a:pPr algn="ctr"/>
          <a:r>
            <a:rPr lang="en-US" dirty="0">
              <a:latin typeface="Calibri Light" panose="020F0302020204030204" pitchFamily="34" charset="0"/>
            </a:rPr>
            <a:t>Explanation (Science)</a:t>
          </a:r>
        </a:p>
      </dgm:t>
    </dgm:pt>
    <dgm:pt modelId="{0FB8E8E8-26EF-48F4-B037-63947DADD0C2}" type="parTrans" cxnId="{358F2D7B-C56B-468A-B861-73937BDB8DEF}">
      <dgm:prSet/>
      <dgm:spPr/>
      <dgm:t>
        <a:bodyPr/>
        <a:lstStyle/>
        <a:p>
          <a:pPr algn="ctr"/>
          <a:endParaRPr lang="en-US">
            <a:latin typeface="Calibri Light" panose="020F0302020204030204" pitchFamily="34" charset="0"/>
          </a:endParaRPr>
        </a:p>
      </dgm:t>
    </dgm:pt>
    <dgm:pt modelId="{F571D905-B3A2-4142-9BC2-AE7014478BDE}" type="sibTrans" cxnId="{358F2D7B-C56B-468A-B861-73937BDB8DEF}">
      <dgm:prSet/>
      <dgm:spPr/>
      <dgm:t>
        <a:bodyPr/>
        <a:lstStyle/>
        <a:p>
          <a:pPr algn="ctr"/>
          <a:endParaRPr lang="en-US">
            <a:latin typeface="Calibri Light" panose="020F0302020204030204" pitchFamily="34" charset="0"/>
          </a:endParaRPr>
        </a:p>
      </dgm:t>
    </dgm:pt>
    <dgm:pt modelId="{8C29177C-26F5-4E3E-B1AA-B6554F495658}">
      <dgm:prSet phldrT="[Text]"/>
      <dgm:spPr>
        <a:solidFill>
          <a:srgbClr val="3366FF"/>
        </a:solidFill>
        <a:ln>
          <a:noFill/>
        </a:ln>
      </dgm:spPr>
      <dgm:t>
        <a:bodyPr/>
        <a:lstStyle/>
        <a:p>
          <a:pPr algn="ctr"/>
          <a:r>
            <a:rPr lang="en-US" dirty="0">
              <a:latin typeface="Calibri Light" panose="020F0302020204030204" pitchFamily="34" charset="0"/>
            </a:rPr>
            <a:t>Engagement</a:t>
          </a:r>
        </a:p>
      </dgm:t>
    </dgm:pt>
    <dgm:pt modelId="{7C8041C1-2C2C-41E6-AA8E-6A6095944415}" type="parTrans" cxnId="{7BDDB9B9-5764-4268-821F-D411CA3FBCD2}">
      <dgm:prSet/>
      <dgm:spPr/>
      <dgm:t>
        <a:bodyPr/>
        <a:lstStyle/>
        <a:p>
          <a:pPr algn="ctr"/>
          <a:endParaRPr lang="en-US">
            <a:latin typeface="Calibri Light" panose="020F0302020204030204" pitchFamily="34" charset="0"/>
          </a:endParaRPr>
        </a:p>
      </dgm:t>
    </dgm:pt>
    <dgm:pt modelId="{32C03B89-6902-409C-A5C3-BF2D21C349D1}" type="sibTrans" cxnId="{7BDDB9B9-5764-4268-821F-D411CA3FBCD2}">
      <dgm:prSet/>
      <dgm:spPr/>
      <dgm:t>
        <a:bodyPr/>
        <a:lstStyle/>
        <a:p>
          <a:pPr algn="ctr"/>
          <a:endParaRPr lang="en-US">
            <a:latin typeface="Calibri Light" panose="020F0302020204030204" pitchFamily="34" charset="0"/>
          </a:endParaRPr>
        </a:p>
      </dgm:t>
    </dgm:pt>
    <dgm:pt modelId="{34DAD030-A2BA-4C1F-BFE0-B365EAABDE0C}">
      <dgm:prSet phldrT="[Text]"/>
      <dgm:spPr>
        <a:solidFill>
          <a:srgbClr val="3366FF"/>
        </a:solidFill>
        <a:ln>
          <a:noFill/>
        </a:ln>
      </dgm:spPr>
      <dgm:t>
        <a:bodyPr/>
        <a:lstStyle/>
        <a:p>
          <a:pPr algn="ctr"/>
          <a:r>
            <a:rPr lang="en-US" dirty="0">
              <a:latin typeface="Calibri Light" panose="020F0302020204030204" pitchFamily="34" charset="0"/>
            </a:rPr>
            <a:t>Meaning</a:t>
          </a:r>
        </a:p>
      </dgm:t>
    </dgm:pt>
    <dgm:pt modelId="{14A6E411-6E95-4091-A781-7D73BA766051}" type="parTrans" cxnId="{B502CD09-7060-4D6B-922A-AFE90E778F44}">
      <dgm:prSet/>
      <dgm:spPr/>
      <dgm:t>
        <a:bodyPr/>
        <a:lstStyle/>
        <a:p>
          <a:pPr algn="ctr"/>
          <a:endParaRPr lang="en-US">
            <a:latin typeface="Calibri Light" panose="020F0302020204030204" pitchFamily="34" charset="0"/>
          </a:endParaRPr>
        </a:p>
      </dgm:t>
    </dgm:pt>
    <dgm:pt modelId="{BD55CCA1-16AE-4A52-9F4E-4AD43CC4DBA2}" type="sibTrans" cxnId="{B502CD09-7060-4D6B-922A-AFE90E778F44}">
      <dgm:prSet/>
      <dgm:spPr/>
      <dgm:t>
        <a:bodyPr/>
        <a:lstStyle/>
        <a:p>
          <a:pPr algn="ctr"/>
          <a:endParaRPr lang="en-US">
            <a:latin typeface="Calibri Light" panose="020F0302020204030204" pitchFamily="34" charset="0"/>
          </a:endParaRPr>
        </a:p>
      </dgm:t>
    </dgm:pt>
    <dgm:pt modelId="{3D6AE728-5606-4E9C-A9AB-F7C62F7DC52A}">
      <dgm:prSet phldrT="[Text]"/>
      <dgm:spPr>
        <a:solidFill>
          <a:srgbClr val="008000"/>
        </a:solidFill>
        <a:ln>
          <a:noFill/>
        </a:ln>
      </dgm:spPr>
      <dgm:t>
        <a:bodyPr/>
        <a:lstStyle/>
        <a:p>
          <a:pPr algn="ctr"/>
          <a:r>
            <a:rPr lang="en-US" dirty="0">
              <a:latin typeface="Calibri Light" panose="020F0302020204030204" pitchFamily="34" charset="0"/>
            </a:rPr>
            <a:t>Modeling</a:t>
          </a:r>
        </a:p>
      </dgm:t>
    </dgm:pt>
    <dgm:pt modelId="{C3F11F3E-DEB9-4B96-B773-B57A5E01FBC1}" type="parTrans" cxnId="{5E7B60FE-1032-40A7-9095-37EAC368D04A}">
      <dgm:prSet/>
      <dgm:spPr/>
      <dgm:t>
        <a:bodyPr/>
        <a:lstStyle/>
        <a:p>
          <a:pPr algn="ctr"/>
          <a:endParaRPr lang="en-US">
            <a:latin typeface="Calibri Light" panose="020F0302020204030204" pitchFamily="34" charset="0"/>
          </a:endParaRPr>
        </a:p>
      </dgm:t>
    </dgm:pt>
    <dgm:pt modelId="{987C9AC9-A6AE-4E95-A5A1-70E7366E66FB}" type="sibTrans" cxnId="{5E7B60FE-1032-40A7-9095-37EAC368D04A}">
      <dgm:prSet/>
      <dgm:spPr/>
      <dgm:t>
        <a:bodyPr/>
        <a:lstStyle/>
        <a:p>
          <a:pPr algn="ctr"/>
          <a:endParaRPr lang="en-US">
            <a:latin typeface="Calibri Light" panose="020F0302020204030204" pitchFamily="34" charset="0"/>
          </a:endParaRPr>
        </a:p>
      </dgm:t>
    </dgm:pt>
    <dgm:pt modelId="{ACFEF62C-BE86-45D3-9B06-6983FAE5121A}">
      <dgm:prSet phldrT="[Text]"/>
      <dgm:spPr>
        <a:solidFill>
          <a:srgbClr val="008000"/>
        </a:solidFill>
        <a:ln>
          <a:noFill/>
        </a:ln>
      </dgm:spPr>
      <dgm:t>
        <a:bodyPr/>
        <a:lstStyle/>
        <a:p>
          <a:pPr algn="ctr"/>
          <a:r>
            <a:rPr lang="en-US" dirty="0">
              <a:latin typeface="Calibri Light" panose="020F0302020204030204" pitchFamily="34" charset="0"/>
            </a:rPr>
            <a:t>Evidence</a:t>
          </a:r>
        </a:p>
      </dgm:t>
    </dgm:pt>
    <dgm:pt modelId="{F2E4C826-EE04-4AD3-B56B-D9AFD67AE794}" type="parTrans" cxnId="{0892AB0C-16EC-432B-85AB-2B8D8A092B19}">
      <dgm:prSet/>
      <dgm:spPr/>
      <dgm:t>
        <a:bodyPr/>
        <a:lstStyle/>
        <a:p>
          <a:pPr algn="ctr"/>
          <a:endParaRPr lang="en-US">
            <a:latin typeface="Calibri Light" panose="020F0302020204030204" pitchFamily="34" charset="0"/>
          </a:endParaRPr>
        </a:p>
      </dgm:t>
    </dgm:pt>
    <dgm:pt modelId="{F12F0794-EABB-4974-AFC8-A4FDFFB1EDAB}" type="sibTrans" cxnId="{0892AB0C-16EC-432B-85AB-2B8D8A092B19}">
      <dgm:prSet/>
      <dgm:spPr/>
      <dgm:t>
        <a:bodyPr/>
        <a:lstStyle/>
        <a:p>
          <a:pPr algn="ctr"/>
          <a:endParaRPr lang="en-US">
            <a:latin typeface="Calibri Light" panose="020F0302020204030204" pitchFamily="34" charset="0"/>
          </a:endParaRPr>
        </a:p>
      </dgm:t>
    </dgm:pt>
    <dgm:pt modelId="{7A772274-06E7-4461-8052-63E0DF14879A}">
      <dgm:prSet phldrT="[Text]"/>
      <dgm:spPr>
        <a:solidFill>
          <a:srgbClr val="800000"/>
        </a:solidFill>
        <a:ln>
          <a:noFill/>
        </a:ln>
      </dgm:spPr>
      <dgm:t>
        <a:bodyPr/>
        <a:lstStyle/>
        <a:p>
          <a:pPr algn="ctr"/>
          <a:r>
            <a:rPr lang="en-US" dirty="0">
              <a:latin typeface="Calibri Light" panose="020F0302020204030204" pitchFamily="34" charset="0"/>
            </a:rPr>
            <a:t>Culture</a:t>
          </a:r>
        </a:p>
      </dgm:t>
    </dgm:pt>
    <dgm:pt modelId="{A87E5E8A-416E-4054-B836-27BF905719C5}">
      <dgm:prSet phldrT="[Text]"/>
      <dgm:spPr>
        <a:solidFill>
          <a:srgbClr val="800000"/>
        </a:solidFill>
        <a:ln>
          <a:noFill/>
        </a:ln>
      </dgm:spPr>
      <dgm:t>
        <a:bodyPr/>
        <a:lstStyle/>
        <a:p>
          <a:pPr algn="ctr"/>
          <a:r>
            <a:rPr lang="en-US" dirty="0">
              <a:latin typeface="Calibri Light" panose="020F0302020204030204" pitchFamily="34" charset="0"/>
            </a:rPr>
            <a:t>Networks</a:t>
          </a:r>
        </a:p>
      </dgm:t>
    </dgm:pt>
    <dgm:pt modelId="{0EE38169-D382-41FE-9069-D033E5178A32}">
      <dgm:prSet phldrT="[Text]"/>
      <dgm:spPr>
        <a:solidFill>
          <a:srgbClr val="800000"/>
        </a:solidFill>
        <a:ln>
          <a:noFill/>
        </a:ln>
      </dgm:spPr>
      <dgm:t>
        <a:bodyPr/>
        <a:lstStyle/>
        <a:p>
          <a:pPr algn="ctr"/>
          <a:r>
            <a:rPr lang="en-US" dirty="0">
              <a:latin typeface="Calibri Light" panose="020F0302020204030204" pitchFamily="34" charset="0"/>
            </a:rPr>
            <a:t>Institutionalization (Scial Science)</a:t>
          </a:r>
        </a:p>
      </dgm:t>
    </dgm:pt>
    <dgm:pt modelId="{2AC6132E-2B94-4896-B28D-B2B5447F7B2C}" type="sibTrans" cxnId="{EBFCDB28-5CB8-4AC0-9523-4336A3BD451A}">
      <dgm:prSet/>
      <dgm:spPr/>
      <dgm:t>
        <a:bodyPr/>
        <a:lstStyle/>
        <a:p>
          <a:pPr algn="ctr"/>
          <a:endParaRPr lang="en-US">
            <a:latin typeface="Calibri Light" panose="020F0302020204030204" pitchFamily="34" charset="0"/>
          </a:endParaRPr>
        </a:p>
      </dgm:t>
    </dgm:pt>
    <dgm:pt modelId="{B30778C0-AE4F-48A2-BF79-C405754204ED}" type="parTrans" cxnId="{EBFCDB28-5CB8-4AC0-9523-4336A3BD451A}">
      <dgm:prSet/>
      <dgm:spPr/>
      <dgm:t>
        <a:bodyPr/>
        <a:lstStyle/>
        <a:p>
          <a:pPr algn="ctr"/>
          <a:endParaRPr lang="en-US">
            <a:latin typeface="Calibri Light" panose="020F0302020204030204" pitchFamily="34" charset="0"/>
          </a:endParaRPr>
        </a:p>
      </dgm:t>
    </dgm:pt>
    <dgm:pt modelId="{709E212D-EF3C-4617-AF03-503E0C8E42A4}" type="sibTrans" cxnId="{67FBB3BB-7B1C-4D25-8B6B-3BC4321AB691}">
      <dgm:prSet/>
      <dgm:spPr/>
      <dgm:t>
        <a:bodyPr/>
        <a:lstStyle/>
        <a:p>
          <a:pPr algn="ctr"/>
          <a:endParaRPr lang="en-US">
            <a:latin typeface="Calibri Light" panose="020F0302020204030204" pitchFamily="34" charset="0"/>
          </a:endParaRPr>
        </a:p>
      </dgm:t>
    </dgm:pt>
    <dgm:pt modelId="{E1A9D624-C577-44C1-84D2-A5AE7F1B83AD}" type="parTrans" cxnId="{67FBB3BB-7B1C-4D25-8B6B-3BC4321AB691}">
      <dgm:prSet/>
      <dgm:spPr/>
      <dgm:t>
        <a:bodyPr/>
        <a:lstStyle/>
        <a:p>
          <a:pPr algn="ctr"/>
          <a:endParaRPr lang="en-US">
            <a:latin typeface="Calibri Light" panose="020F0302020204030204" pitchFamily="34" charset="0"/>
          </a:endParaRPr>
        </a:p>
      </dgm:t>
    </dgm:pt>
    <dgm:pt modelId="{59E63865-BC20-4A0C-80DD-498147D51EAE}" type="sibTrans" cxnId="{3E48E855-1B01-4D90-81EA-B522483559C8}">
      <dgm:prSet/>
      <dgm:spPr/>
      <dgm:t>
        <a:bodyPr/>
        <a:lstStyle/>
        <a:p>
          <a:pPr algn="ctr"/>
          <a:endParaRPr lang="en-US">
            <a:latin typeface="Calibri Light" panose="020F0302020204030204" pitchFamily="34" charset="0"/>
          </a:endParaRPr>
        </a:p>
      </dgm:t>
    </dgm:pt>
    <dgm:pt modelId="{FFD80C3B-5046-4D19-ACF8-504FBDF11CED}" type="parTrans" cxnId="{3E48E855-1B01-4D90-81EA-B522483559C8}">
      <dgm:prSet/>
      <dgm:spPr/>
      <dgm:t>
        <a:bodyPr/>
        <a:lstStyle/>
        <a:p>
          <a:pPr algn="ctr"/>
          <a:endParaRPr lang="en-US">
            <a:latin typeface="Calibri Light" panose="020F0302020204030204" pitchFamily="34" charset="0"/>
          </a:endParaRPr>
        </a:p>
      </dgm:t>
    </dgm:pt>
    <dgm:pt modelId="{3740DE77-BD91-4519-82E4-9655941B6402}" type="pres">
      <dgm:prSet presAssocID="{33129B92-26AB-4C09-A5B0-AAB2CDC8A071}" presName="cycle" presStyleCnt="0">
        <dgm:presLayoutVars>
          <dgm:dir/>
          <dgm:resizeHandles val="exact"/>
        </dgm:presLayoutVars>
      </dgm:prSet>
      <dgm:spPr/>
    </dgm:pt>
    <dgm:pt modelId="{F89C24EF-8489-42D9-80A3-EE0BA3AE7C6B}" type="pres">
      <dgm:prSet presAssocID="{83FA37B2-0E0D-4F13-BC06-D7FD43A526F2}" presName="node" presStyleLbl="node1" presStyleIdx="0" presStyleCnt="3">
        <dgm:presLayoutVars>
          <dgm:bulletEnabled val="1"/>
        </dgm:presLayoutVars>
      </dgm:prSet>
      <dgm:spPr/>
    </dgm:pt>
    <dgm:pt modelId="{C79CD03F-62D6-48B2-99B5-0C9A4E5C2631}" type="pres">
      <dgm:prSet presAssocID="{83FA37B2-0E0D-4F13-BC06-D7FD43A526F2}" presName="spNode" presStyleCnt="0"/>
      <dgm:spPr/>
    </dgm:pt>
    <dgm:pt modelId="{3C4FE0E6-D9E3-46E7-875A-8B565FB65889}" type="pres">
      <dgm:prSet presAssocID="{BD25A91A-D25A-49F9-B1A1-D29C86E62270}" presName="sibTrans" presStyleLbl="sibTrans1D1" presStyleIdx="0" presStyleCnt="3"/>
      <dgm:spPr/>
    </dgm:pt>
    <dgm:pt modelId="{E85CAB43-5A82-4FE3-9D17-46C19EEBCA65}" type="pres">
      <dgm:prSet presAssocID="{3F6A8E0F-40FF-48F3-B804-C1914295A524}" presName="node" presStyleLbl="node1" presStyleIdx="1" presStyleCnt="3">
        <dgm:presLayoutVars>
          <dgm:bulletEnabled val="1"/>
        </dgm:presLayoutVars>
      </dgm:prSet>
      <dgm:spPr/>
    </dgm:pt>
    <dgm:pt modelId="{CC16D89D-FB6E-4D29-A050-3D998F93AF16}" type="pres">
      <dgm:prSet presAssocID="{3F6A8E0F-40FF-48F3-B804-C1914295A524}" presName="spNode" presStyleCnt="0"/>
      <dgm:spPr/>
    </dgm:pt>
    <dgm:pt modelId="{8F6F19C0-4068-457D-AA7A-D5F761228FB9}" type="pres">
      <dgm:prSet presAssocID="{F571D905-B3A2-4142-9BC2-AE7014478BDE}" presName="sibTrans" presStyleLbl="sibTrans1D1" presStyleIdx="1" presStyleCnt="3"/>
      <dgm:spPr/>
    </dgm:pt>
    <dgm:pt modelId="{AFD6BABA-DAAA-4DC3-B8CA-6CE93D7396F2}" type="pres">
      <dgm:prSet presAssocID="{0EE38169-D382-41FE-9069-D033E5178A32}" presName="node" presStyleLbl="node1" presStyleIdx="2" presStyleCnt="3" custRadScaleRad="98471" custRadScaleInc="1474">
        <dgm:presLayoutVars>
          <dgm:bulletEnabled val="1"/>
        </dgm:presLayoutVars>
      </dgm:prSet>
      <dgm:spPr/>
    </dgm:pt>
    <dgm:pt modelId="{B30C68D6-4BE8-4139-B35B-E50E1C7CE605}" type="pres">
      <dgm:prSet presAssocID="{0EE38169-D382-41FE-9069-D033E5178A32}" presName="spNode" presStyleCnt="0"/>
      <dgm:spPr/>
    </dgm:pt>
    <dgm:pt modelId="{9C557C55-C5D9-4817-BE58-D30A50E1D629}" type="pres">
      <dgm:prSet presAssocID="{2AC6132E-2B94-4896-B28D-B2B5447F7B2C}" presName="sibTrans" presStyleLbl="sibTrans1D1" presStyleIdx="2" presStyleCnt="3"/>
      <dgm:spPr/>
    </dgm:pt>
  </dgm:ptLst>
  <dgm:cxnLst>
    <dgm:cxn modelId="{B502CD09-7060-4D6B-922A-AFE90E778F44}" srcId="{83FA37B2-0E0D-4F13-BC06-D7FD43A526F2}" destId="{34DAD030-A2BA-4C1F-BFE0-B365EAABDE0C}" srcOrd="1" destOrd="0" parTransId="{14A6E411-6E95-4091-A781-7D73BA766051}" sibTransId="{BD55CCA1-16AE-4A52-9F4E-4AD43CC4DBA2}"/>
    <dgm:cxn modelId="{0892AB0C-16EC-432B-85AB-2B8D8A092B19}" srcId="{3F6A8E0F-40FF-48F3-B804-C1914295A524}" destId="{ACFEF62C-BE86-45D3-9B06-6983FAE5121A}" srcOrd="1" destOrd="0" parTransId="{F2E4C826-EE04-4AD3-B56B-D9AFD67AE794}" sibTransId="{F12F0794-EABB-4974-AFC8-A4FDFFB1EDAB}"/>
    <dgm:cxn modelId="{EBFCDB28-5CB8-4AC0-9523-4336A3BD451A}" srcId="{33129B92-26AB-4C09-A5B0-AAB2CDC8A071}" destId="{0EE38169-D382-41FE-9069-D033E5178A32}" srcOrd="2" destOrd="0" parTransId="{B30778C0-AE4F-48A2-BF79-C405754204ED}" sibTransId="{2AC6132E-2B94-4896-B28D-B2B5447F7B2C}"/>
    <dgm:cxn modelId="{9A4DEA32-63D7-6244-8BD6-254B9BDB01CD}" type="presOf" srcId="{7A772274-06E7-4461-8052-63E0DF14879A}" destId="{AFD6BABA-DAAA-4DC3-B8CA-6CE93D7396F2}" srcOrd="0" destOrd="2" presId="urn:microsoft.com/office/officeart/2005/8/layout/cycle5"/>
    <dgm:cxn modelId="{E0AEDF37-AB96-E946-92D1-E75671D3D017}" type="presOf" srcId="{ACFEF62C-BE86-45D3-9B06-6983FAE5121A}" destId="{E85CAB43-5A82-4FE3-9D17-46C19EEBCA65}" srcOrd="0" destOrd="2" presId="urn:microsoft.com/office/officeart/2005/8/layout/cycle5"/>
    <dgm:cxn modelId="{681E0B5D-E34F-5343-8F83-F792C19B41CD}" type="presOf" srcId="{83FA37B2-0E0D-4F13-BC06-D7FD43A526F2}" destId="{F89C24EF-8489-42D9-80A3-EE0BA3AE7C6B}" srcOrd="0" destOrd="0" presId="urn:microsoft.com/office/officeart/2005/8/layout/cycle5"/>
    <dgm:cxn modelId="{2DF01A5D-4F6E-5042-82CE-EB3EEFA3BDC6}" type="presOf" srcId="{2AC6132E-2B94-4896-B28D-B2B5447F7B2C}" destId="{9C557C55-C5D9-4817-BE58-D30A50E1D629}" srcOrd="0" destOrd="0" presId="urn:microsoft.com/office/officeart/2005/8/layout/cycle5"/>
    <dgm:cxn modelId="{64E44D70-3ADE-274C-B25E-5C7DE39E3617}" type="presOf" srcId="{A87E5E8A-416E-4054-B836-27BF905719C5}" destId="{AFD6BABA-DAAA-4DC3-B8CA-6CE93D7396F2}" srcOrd="0" destOrd="1" presId="urn:microsoft.com/office/officeart/2005/8/layout/cycle5"/>
    <dgm:cxn modelId="{F0D62475-09D8-1246-8B9A-28CEF9B00D44}" type="presOf" srcId="{3F6A8E0F-40FF-48F3-B804-C1914295A524}" destId="{E85CAB43-5A82-4FE3-9D17-46C19EEBCA65}" srcOrd="0" destOrd="0" presId="urn:microsoft.com/office/officeart/2005/8/layout/cycle5"/>
    <dgm:cxn modelId="{3E48E855-1B01-4D90-81EA-B522483559C8}" srcId="{0EE38169-D382-41FE-9069-D033E5178A32}" destId="{A87E5E8A-416E-4054-B836-27BF905719C5}" srcOrd="0" destOrd="0" parTransId="{FFD80C3B-5046-4D19-ACF8-504FBDF11CED}" sibTransId="{59E63865-BC20-4A0C-80DD-498147D51EAE}"/>
    <dgm:cxn modelId="{358F2D7B-C56B-468A-B861-73937BDB8DEF}" srcId="{33129B92-26AB-4C09-A5B0-AAB2CDC8A071}" destId="{3F6A8E0F-40FF-48F3-B804-C1914295A524}" srcOrd="1" destOrd="0" parTransId="{0FB8E8E8-26EF-48F4-B037-63947DADD0C2}" sibTransId="{F571D905-B3A2-4142-9BC2-AE7014478BDE}"/>
    <dgm:cxn modelId="{33CD47B5-8BA9-7546-B943-2431AB4BDCD7}" type="presOf" srcId="{34DAD030-A2BA-4C1F-BFE0-B365EAABDE0C}" destId="{F89C24EF-8489-42D9-80A3-EE0BA3AE7C6B}" srcOrd="0" destOrd="2" presId="urn:microsoft.com/office/officeart/2005/8/layout/cycle5"/>
    <dgm:cxn modelId="{42F221B8-CADA-7E44-9D17-C7DB026C86C4}" type="presOf" srcId="{0EE38169-D382-41FE-9069-D033E5178A32}" destId="{AFD6BABA-DAAA-4DC3-B8CA-6CE93D7396F2}" srcOrd="0" destOrd="0" presId="urn:microsoft.com/office/officeart/2005/8/layout/cycle5"/>
    <dgm:cxn modelId="{7BDDB9B9-5764-4268-821F-D411CA3FBCD2}" srcId="{83FA37B2-0E0D-4F13-BC06-D7FD43A526F2}" destId="{8C29177C-26F5-4E3E-B1AA-B6554F495658}" srcOrd="0" destOrd="0" parTransId="{7C8041C1-2C2C-41E6-AA8E-6A6095944415}" sibTransId="{32C03B89-6902-409C-A5C3-BF2D21C349D1}"/>
    <dgm:cxn modelId="{67FBB3BB-7B1C-4D25-8B6B-3BC4321AB691}" srcId="{0EE38169-D382-41FE-9069-D033E5178A32}" destId="{7A772274-06E7-4461-8052-63E0DF14879A}" srcOrd="1" destOrd="0" parTransId="{E1A9D624-C577-44C1-84D2-A5AE7F1B83AD}" sibTransId="{709E212D-EF3C-4617-AF03-503E0C8E42A4}"/>
    <dgm:cxn modelId="{90150BCB-41DD-984E-AC8E-740ECDA9CEDF}" type="presOf" srcId="{33129B92-26AB-4C09-A5B0-AAB2CDC8A071}" destId="{3740DE77-BD91-4519-82E4-9655941B6402}" srcOrd="0" destOrd="0" presId="urn:microsoft.com/office/officeart/2005/8/layout/cycle5"/>
    <dgm:cxn modelId="{8B04F3D0-0690-6D49-BFCF-D79ABB8AE751}" type="presOf" srcId="{F571D905-B3A2-4142-9BC2-AE7014478BDE}" destId="{8F6F19C0-4068-457D-AA7A-D5F761228FB9}" srcOrd="0" destOrd="0" presId="urn:microsoft.com/office/officeart/2005/8/layout/cycle5"/>
    <dgm:cxn modelId="{F6670FD5-699B-7544-85CD-85ABD57FF98A}" type="presOf" srcId="{BD25A91A-D25A-49F9-B1A1-D29C86E62270}" destId="{3C4FE0E6-D9E3-46E7-875A-8B565FB65889}" srcOrd="0" destOrd="0" presId="urn:microsoft.com/office/officeart/2005/8/layout/cycle5"/>
    <dgm:cxn modelId="{85B68CEF-A4B5-B64E-B4B6-50B4307867D8}" type="presOf" srcId="{8C29177C-26F5-4E3E-B1AA-B6554F495658}" destId="{F89C24EF-8489-42D9-80A3-EE0BA3AE7C6B}" srcOrd="0" destOrd="1" presId="urn:microsoft.com/office/officeart/2005/8/layout/cycle5"/>
    <dgm:cxn modelId="{A65BBEF3-8506-4A35-97C1-104A0D4ED2B5}" srcId="{33129B92-26AB-4C09-A5B0-AAB2CDC8A071}" destId="{83FA37B2-0E0D-4F13-BC06-D7FD43A526F2}" srcOrd="0" destOrd="0" parTransId="{26603E42-A1D7-410B-A62B-C633699CEF2F}" sibTransId="{BD25A91A-D25A-49F9-B1A1-D29C86E62270}"/>
    <dgm:cxn modelId="{3CB4E4F8-8B4C-8C40-A626-F3CFCAE36625}" type="presOf" srcId="{3D6AE728-5606-4E9C-A9AB-F7C62F7DC52A}" destId="{E85CAB43-5A82-4FE3-9D17-46C19EEBCA65}" srcOrd="0" destOrd="1" presId="urn:microsoft.com/office/officeart/2005/8/layout/cycle5"/>
    <dgm:cxn modelId="{5E7B60FE-1032-40A7-9095-37EAC368D04A}" srcId="{3F6A8E0F-40FF-48F3-B804-C1914295A524}" destId="{3D6AE728-5606-4E9C-A9AB-F7C62F7DC52A}" srcOrd="0" destOrd="0" parTransId="{C3F11F3E-DEB9-4B96-B773-B57A5E01FBC1}" sibTransId="{987C9AC9-A6AE-4E95-A5A1-70E7366E66FB}"/>
    <dgm:cxn modelId="{7540F635-52B3-8E4E-AE2A-79A7F065C591}" type="presParOf" srcId="{3740DE77-BD91-4519-82E4-9655941B6402}" destId="{F89C24EF-8489-42D9-80A3-EE0BA3AE7C6B}" srcOrd="0" destOrd="0" presId="urn:microsoft.com/office/officeart/2005/8/layout/cycle5"/>
    <dgm:cxn modelId="{BC2D3F4F-C9FE-D94F-9494-158818FB832F}" type="presParOf" srcId="{3740DE77-BD91-4519-82E4-9655941B6402}" destId="{C79CD03F-62D6-48B2-99B5-0C9A4E5C2631}" srcOrd="1" destOrd="0" presId="urn:microsoft.com/office/officeart/2005/8/layout/cycle5"/>
    <dgm:cxn modelId="{8A9D5754-AB1F-1A42-9652-59784B234BDB}" type="presParOf" srcId="{3740DE77-BD91-4519-82E4-9655941B6402}" destId="{3C4FE0E6-D9E3-46E7-875A-8B565FB65889}" srcOrd="2" destOrd="0" presId="urn:microsoft.com/office/officeart/2005/8/layout/cycle5"/>
    <dgm:cxn modelId="{8A365ADD-B560-9241-9E9A-ADC6433E1B45}" type="presParOf" srcId="{3740DE77-BD91-4519-82E4-9655941B6402}" destId="{E85CAB43-5A82-4FE3-9D17-46C19EEBCA65}" srcOrd="3" destOrd="0" presId="urn:microsoft.com/office/officeart/2005/8/layout/cycle5"/>
    <dgm:cxn modelId="{A95E4911-4760-A74B-B405-7368598E2ACE}" type="presParOf" srcId="{3740DE77-BD91-4519-82E4-9655941B6402}" destId="{CC16D89D-FB6E-4D29-A050-3D998F93AF16}" srcOrd="4" destOrd="0" presId="urn:microsoft.com/office/officeart/2005/8/layout/cycle5"/>
    <dgm:cxn modelId="{815133DD-28BE-2E41-ADF9-E077CC7D1D21}" type="presParOf" srcId="{3740DE77-BD91-4519-82E4-9655941B6402}" destId="{8F6F19C0-4068-457D-AA7A-D5F761228FB9}" srcOrd="5" destOrd="0" presId="urn:microsoft.com/office/officeart/2005/8/layout/cycle5"/>
    <dgm:cxn modelId="{23EE772B-8A51-CD45-9ECA-7B25766438E5}" type="presParOf" srcId="{3740DE77-BD91-4519-82E4-9655941B6402}" destId="{AFD6BABA-DAAA-4DC3-B8CA-6CE93D7396F2}" srcOrd="6" destOrd="0" presId="urn:microsoft.com/office/officeart/2005/8/layout/cycle5"/>
    <dgm:cxn modelId="{96A3DD75-8794-9E4F-A201-3EA0585CD78F}" type="presParOf" srcId="{3740DE77-BD91-4519-82E4-9655941B6402}" destId="{B30C68D6-4BE8-4139-B35B-E50E1C7CE605}" srcOrd="7" destOrd="0" presId="urn:microsoft.com/office/officeart/2005/8/layout/cycle5"/>
    <dgm:cxn modelId="{F7702D54-075E-A84A-9D6E-20752C89342B}" type="presParOf" srcId="{3740DE77-BD91-4519-82E4-9655941B6402}" destId="{9C557C55-C5D9-4817-BE58-D30A50E1D629}" srcOrd="8" destOrd="0" presId="urn:microsoft.com/office/officeart/2005/8/layout/cycle5"/>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A84238-B77E-9042-A500-D095A9D743B6}">
      <dsp:nvSpPr>
        <dsp:cNvPr id="0" name=""/>
        <dsp:cNvSpPr/>
      </dsp:nvSpPr>
      <dsp:spPr>
        <a:xfrm>
          <a:off x="717669" y="-4500"/>
          <a:ext cx="2789315" cy="2789315"/>
        </a:xfrm>
        <a:prstGeom prst="circularArrow">
          <a:avLst>
            <a:gd name="adj1" fmla="val 5274"/>
            <a:gd name="adj2" fmla="val 312630"/>
            <a:gd name="adj3" fmla="val 14324059"/>
            <a:gd name="adj4" fmla="val 17071100"/>
            <a:gd name="adj5" fmla="val 5477"/>
          </a:avLst>
        </a:prstGeom>
        <a:solidFill>
          <a:schemeClr val="accent2">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86B76BA6-70AF-524A-8EF5-5756402E1077}">
      <dsp:nvSpPr>
        <dsp:cNvPr id="0" name=""/>
        <dsp:cNvSpPr/>
      </dsp:nvSpPr>
      <dsp:spPr>
        <a:xfrm>
          <a:off x="1611062" y="194"/>
          <a:ext cx="1002530" cy="501265"/>
        </a:xfrm>
        <a:prstGeom prst="roundRect">
          <a:avLst/>
        </a:prstGeom>
        <a:solidFill>
          <a:schemeClr val="tx2">
            <a:lumMod val="60000"/>
            <a:lumOff val="4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dirty="0">
              <a:solidFill>
                <a:srgbClr val="000000"/>
              </a:solidFill>
            </a:rPr>
            <a:t>Social Inquiry  (Action Research)</a:t>
          </a:r>
        </a:p>
      </dsp:txBody>
      <dsp:txXfrm>
        <a:off x="1635532" y="24664"/>
        <a:ext cx="953590" cy="452325"/>
      </dsp:txXfrm>
    </dsp:sp>
    <dsp:sp modelId="{A1A958E1-2754-724B-833D-66005CBD5620}">
      <dsp:nvSpPr>
        <dsp:cNvPr id="0" name=""/>
        <dsp:cNvSpPr/>
      </dsp:nvSpPr>
      <dsp:spPr>
        <a:xfrm>
          <a:off x="2908534" y="634404"/>
          <a:ext cx="1002530" cy="501265"/>
        </a:xfrm>
        <a:prstGeom prst="roundRect">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dirty="0">
              <a:solidFill>
                <a:srgbClr val="000000"/>
              </a:solidFill>
            </a:rPr>
            <a:t>Literature Review   (Key Hypotheses)</a:t>
          </a:r>
        </a:p>
      </dsp:txBody>
      <dsp:txXfrm>
        <a:off x="2933004" y="658874"/>
        <a:ext cx="953590" cy="452325"/>
      </dsp:txXfrm>
    </dsp:sp>
    <dsp:sp modelId="{07A7EA7C-3ADF-834E-97D5-3D68A7B4B235}">
      <dsp:nvSpPr>
        <dsp:cNvPr id="0" name=""/>
        <dsp:cNvSpPr/>
      </dsp:nvSpPr>
      <dsp:spPr>
        <a:xfrm>
          <a:off x="2894342" y="1496376"/>
          <a:ext cx="1002530" cy="501265"/>
        </a:xfrm>
        <a:prstGeom prst="roundRect">
          <a:avLst/>
        </a:prstGeom>
        <a:gradFill rotWithShape="0">
          <a:gsLst>
            <a:gs pos="0">
              <a:schemeClr val="accent4">
                <a:hueOff val="0"/>
                <a:satOff val="0"/>
                <a:lumOff val="0"/>
                <a:alphaOff val="0"/>
                <a:tint val="100000"/>
                <a:shade val="100000"/>
                <a:satMod val="130000"/>
              </a:schemeClr>
            </a:gs>
            <a:gs pos="100000">
              <a:schemeClr val="accent4">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dirty="0">
              <a:solidFill>
                <a:srgbClr val="000000"/>
              </a:solidFill>
            </a:rPr>
            <a:t>Qualitative Data Collection &amp; Analysis (AI)</a:t>
          </a:r>
        </a:p>
      </dsp:txBody>
      <dsp:txXfrm>
        <a:off x="2918812" y="1520846"/>
        <a:ext cx="953590" cy="452325"/>
      </dsp:txXfrm>
    </dsp:sp>
    <dsp:sp modelId="{7B565B2E-7640-0F4A-884F-B52790B3D5E7}">
      <dsp:nvSpPr>
        <dsp:cNvPr id="0" name=""/>
        <dsp:cNvSpPr/>
      </dsp:nvSpPr>
      <dsp:spPr>
        <a:xfrm>
          <a:off x="1603931" y="2263524"/>
          <a:ext cx="1002530" cy="501265"/>
        </a:xfrm>
        <a:prstGeom prst="roundRect">
          <a:avLst/>
        </a:prstGeom>
        <a:gradFill rotWithShape="0">
          <a:gsLst>
            <a:gs pos="0">
              <a:schemeClr val="accent5">
                <a:hueOff val="0"/>
                <a:satOff val="0"/>
                <a:lumOff val="0"/>
                <a:alphaOff val="0"/>
                <a:tint val="100000"/>
                <a:shade val="100000"/>
                <a:satMod val="130000"/>
              </a:schemeClr>
            </a:gs>
            <a:gs pos="100000">
              <a:schemeClr val="accent5">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dirty="0">
              <a:solidFill>
                <a:srgbClr val="000000"/>
              </a:solidFill>
            </a:rPr>
            <a:t>Interpretation/Grounded Theory (Semiotics)</a:t>
          </a:r>
        </a:p>
      </dsp:txBody>
      <dsp:txXfrm>
        <a:off x="1628401" y="2287994"/>
        <a:ext cx="953590" cy="452325"/>
      </dsp:txXfrm>
    </dsp:sp>
    <dsp:sp modelId="{8A5B74F9-0A9F-514A-96E3-D1BEE4129697}">
      <dsp:nvSpPr>
        <dsp:cNvPr id="0" name=""/>
        <dsp:cNvSpPr/>
      </dsp:nvSpPr>
      <dsp:spPr>
        <a:xfrm>
          <a:off x="467233" y="1519170"/>
          <a:ext cx="1002530" cy="501265"/>
        </a:xfrm>
        <a:prstGeom prst="roundRect">
          <a:avLst/>
        </a:prstGeom>
        <a:gradFill rotWithShape="0">
          <a:gsLst>
            <a:gs pos="0">
              <a:schemeClr val="accent6">
                <a:hueOff val="0"/>
                <a:satOff val="0"/>
                <a:lumOff val="0"/>
                <a:alphaOff val="0"/>
                <a:tint val="100000"/>
                <a:shade val="100000"/>
                <a:satMod val="130000"/>
              </a:schemeClr>
            </a:gs>
            <a:gs pos="100000">
              <a:schemeClr val="accent6">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dirty="0">
              <a:solidFill>
                <a:srgbClr val="000000"/>
              </a:solidFill>
            </a:rPr>
            <a:t>Quantitative Data Collection/Validation         (TSM)</a:t>
          </a:r>
        </a:p>
      </dsp:txBody>
      <dsp:txXfrm>
        <a:off x="491703" y="1543640"/>
        <a:ext cx="953590" cy="452325"/>
      </dsp:txXfrm>
    </dsp:sp>
    <dsp:sp modelId="{444ACCEF-9B46-5646-9E91-B7A94837C085}">
      <dsp:nvSpPr>
        <dsp:cNvPr id="0" name=""/>
        <dsp:cNvSpPr/>
      </dsp:nvSpPr>
      <dsp:spPr>
        <a:xfrm>
          <a:off x="440438" y="641110"/>
          <a:ext cx="1002530" cy="501265"/>
        </a:xfrm>
        <a:prstGeom prst="roundRect">
          <a:avLst/>
        </a:prstGeom>
        <a:gradFill rotWithShape="0">
          <a:gsLst>
            <a:gs pos="0">
              <a:schemeClr val="accent2">
                <a:hueOff val="0"/>
                <a:satOff val="0"/>
                <a:lumOff val="0"/>
                <a:alphaOff val="0"/>
                <a:tint val="100000"/>
                <a:shade val="100000"/>
                <a:satMod val="130000"/>
              </a:schemeClr>
            </a:gs>
            <a:gs pos="100000">
              <a:schemeClr val="accent2">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dirty="0">
              <a:solidFill>
                <a:srgbClr val="000000"/>
              </a:solidFill>
            </a:rPr>
            <a:t>Enact &amp; Embed Actor Networks  (ANT)</a:t>
          </a:r>
        </a:p>
      </dsp:txBody>
      <dsp:txXfrm>
        <a:off x="464908" y="665580"/>
        <a:ext cx="953590" cy="4523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9C24EF-8489-42D9-80A3-EE0BA3AE7C6B}">
      <dsp:nvSpPr>
        <dsp:cNvPr id="0" name=""/>
        <dsp:cNvSpPr/>
      </dsp:nvSpPr>
      <dsp:spPr>
        <a:xfrm>
          <a:off x="1746800" y="504"/>
          <a:ext cx="1049189" cy="681973"/>
        </a:xfrm>
        <a:prstGeom prst="roundRect">
          <a:avLst/>
        </a:prstGeom>
        <a:solidFill>
          <a:srgbClr val="3366FF"/>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n-US" sz="900" kern="1200" dirty="0">
              <a:latin typeface="Calibri Light" panose="020F0302020204030204" pitchFamily="34" charset="0"/>
            </a:rPr>
            <a:t>Understanding (Humanities)</a:t>
          </a:r>
        </a:p>
        <a:p>
          <a:pPr marL="57150" lvl="1" indent="-57150" algn="ctr" defTabSz="311150">
            <a:lnSpc>
              <a:spcPct val="90000"/>
            </a:lnSpc>
            <a:spcBef>
              <a:spcPct val="0"/>
            </a:spcBef>
            <a:spcAft>
              <a:spcPct val="15000"/>
            </a:spcAft>
            <a:buChar char="•"/>
          </a:pPr>
          <a:r>
            <a:rPr lang="en-US" sz="700" kern="1200" dirty="0">
              <a:latin typeface="Calibri Light" panose="020F0302020204030204" pitchFamily="34" charset="0"/>
            </a:rPr>
            <a:t>Engagement</a:t>
          </a:r>
        </a:p>
        <a:p>
          <a:pPr marL="57150" lvl="1" indent="-57150" algn="ctr" defTabSz="311150">
            <a:lnSpc>
              <a:spcPct val="90000"/>
            </a:lnSpc>
            <a:spcBef>
              <a:spcPct val="0"/>
            </a:spcBef>
            <a:spcAft>
              <a:spcPct val="15000"/>
            </a:spcAft>
            <a:buChar char="•"/>
          </a:pPr>
          <a:r>
            <a:rPr lang="en-US" sz="700" kern="1200" dirty="0">
              <a:latin typeface="Calibri Light" panose="020F0302020204030204" pitchFamily="34" charset="0"/>
            </a:rPr>
            <a:t>Meaning</a:t>
          </a:r>
        </a:p>
      </dsp:txBody>
      <dsp:txXfrm>
        <a:off x="1780091" y="33795"/>
        <a:ext cx="982607" cy="615391"/>
      </dsp:txXfrm>
    </dsp:sp>
    <dsp:sp modelId="{3C4FE0E6-D9E3-46E7-875A-8B565FB65889}">
      <dsp:nvSpPr>
        <dsp:cNvPr id="0" name=""/>
        <dsp:cNvSpPr/>
      </dsp:nvSpPr>
      <dsp:spPr>
        <a:xfrm>
          <a:off x="1362343" y="341490"/>
          <a:ext cx="1818102" cy="1818102"/>
        </a:xfrm>
        <a:custGeom>
          <a:avLst/>
          <a:gdLst/>
          <a:ahLst/>
          <a:cxnLst/>
          <a:rect l="0" t="0" r="0" b="0"/>
          <a:pathLst>
            <a:path>
              <a:moveTo>
                <a:pt x="1574290" y="289510"/>
              </a:moveTo>
              <a:arcTo wR="909051" hR="909051" stAng="19022226" swAng="2300765"/>
            </a:path>
          </a:pathLst>
        </a:custGeom>
        <a:noFill/>
        <a:ln w="9525" cap="flat" cmpd="sng" algn="ctr">
          <a:solidFill>
            <a:schemeClr val="dk2">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E85CAB43-5A82-4FE3-9D17-46C19EEBCA65}">
      <dsp:nvSpPr>
        <dsp:cNvPr id="0" name=""/>
        <dsp:cNvSpPr/>
      </dsp:nvSpPr>
      <dsp:spPr>
        <a:xfrm>
          <a:off x="2534061" y="1364080"/>
          <a:ext cx="1049189" cy="681973"/>
        </a:xfrm>
        <a:prstGeom prst="roundRect">
          <a:avLst/>
        </a:prstGeom>
        <a:solidFill>
          <a:srgbClr val="008000"/>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n-US" sz="900" kern="1200" dirty="0">
              <a:latin typeface="Calibri Light" panose="020F0302020204030204" pitchFamily="34" charset="0"/>
            </a:rPr>
            <a:t>Explanation (Science)</a:t>
          </a:r>
        </a:p>
        <a:p>
          <a:pPr marL="57150" lvl="1" indent="-57150" algn="ctr" defTabSz="311150">
            <a:lnSpc>
              <a:spcPct val="90000"/>
            </a:lnSpc>
            <a:spcBef>
              <a:spcPct val="0"/>
            </a:spcBef>
            <a:spcAft>
              <a:spcPct val="15000"/>
            </a:spcAft>
            <a:buChar char="•"/>
          </a:pPr>
          <a:r>
            <a:rPr lang="en-US" sz="700" kern="1200" dirty="0">
              <a:latin typeface="Calibri Light" panose="020F0302020204030204" pitchFamily="34" charset="0"/>
            </a:rPr>
            <a:t>Modeling</a:t>
          </a:r>
        </a:p>
        <a:p>
          <a:pPr marL="57150" lvl="1" indent="-57150" algn="ctr" defTabSz="311150">
            <a:lnSpc>
              <a:spcPct val="90000"/>
            </a:lnSpc>
            <a:spcBef>
              <a:spcPct val="0"/>
            </a:spcBef>
            <a:spcAft>
              <a:spcPct val="15000"/>
            </a:spcAft>
            <a:buChar char="•"/>
          </a:pPr>
          <a:r>
            <a:rPr lang="en-US" sz="700" kern="1200" dirty="0">
              <a:latin typeface="Calibri Light" panose="020F0302020204030204" pitchFamily="34" charset="0"/>
            </a:rPr>
            <a:t>Evidence</a:t>
          </a:r>
        </a:p>
      </dsp:txBody>
      <dsp:txXfrm>
        <a:off x="2567352" y="1397371"/>
        <a:ext cx="982607" cy="615391"/>
      </dsp:txXfrm>
    </dsp:sp>
    <dsp:sp modelId="{8F6F19C0-4068-457D-AA7A-D5F761228FB9}">
      <dsp:nvSpPr>
        <dsp:cNvPr id="0" name=""/>
        <dsp:cNvSpPr/>
      </dsp:nvSpPr>
      <dsp:spPr>
        <a:xfrm>
          <a:off x="1376755" y="333689"/>
          <a:ext cx="1818102" cy="1818102"/>
        </a:xfrm>
        <a:custGeom>
          <a:avLst/>
          <a:gdLst/>
          <a:ahLst/>
          <a:cxnLst/>
          <a:rect l="0" t="0" r="0" b="0"/>
          <a:pathLst>
            <a:path>
              <a:moveTo>
                <a:pt x="1172390" y="1779123"/>
              </a:moveTo>
              <a:arcTo wR="909051" hR="909051" stAng="4389650" swAng="2137748"/>
            </a:path>
          </a:pathLst>
        </a:custGeom>
        <a:noFill/>
        <a:ln w="9525" cap="flat" cmpd="sng" algn="ctr">
          <a:solidFill>
            <a:schemeClr val="dk2">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AFD6BABA-DAAA-4DC3-B8CA-6CE93D7396F2}">
      <dsp:nvSpPr>
        <dsp:cNvPr id="0" name=""/>
        <dsp:cNvSpPr/>
      </dsp:nvSpPr>
      <dsp:spPr>
        <a:xfrm>
          <a:off x="967011" y="1349130"/>
          <a:ext cx="1049189" cy="681973"/>
        </a:xfrm>
        <a:prstGeom prst="roundRect">
          <a:avLst/>
        </a:prstGeom>
        <a:solidFill>
          <a:srgbClr val="800000"/>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n-US" sz="900" kern="1200" dirty="0">
              <a:latin typeface="Calibri Light" panose="020F0302020204030204" pitchFamily="34" charset="0"/>
            </a:rPr>
            <a:t>Institutionalization (Scial Science)</a:t>
          </a:r>
        </a:p>
        <a:p>
          <a:pPr marL="57150" lvl="1" indent="-57150" algn="ctr" defTabSz="311150">
            <a:lnSpc>
              <a:spcPct val="90000"/>
            </a:lnSpc>
            <a:spcBef>
              <a:spcPct val="0"/>
            </a:spcBef>
            <a:spcAft>
              <a:spcPct val="15000"/>
            </a:spcAft>
            <a:buChar char="•"/>
          </a:pPr>
          <a:r>
            <a:rPr lang="en-US" sz="700" kern="1200" dirty="0">
              <a:latin typeface="Calibri Light" panose="020F0302020204030204" pitchFamily="34" charset="0"/>
            </a:rPr>
            <a:t>Networks</a:t>
          </a:r>
        </a:p>
        <a:p>
          <a:pPr marL="57150" lvl="1" indent="-57150" algn="ctr" defTabSz="311150">
            <a:lnSpc>
              <a:spcPct val="90000"/>
            </a:lnSpc>
            <a:spcBef>
              <a:spcPct val="0"/>
            </a:spcBef>
            <a:spcAft>
              <a:spcPct val="15000"/>
            </a:spcAft>
            <a:buChar char="•"/>
          </a:pPr>
          <a:r>
            <a:rPr lang="en-US" sz="700" kern="1200" dirty="0">
              <a:latin typeface="Calibri Light" panose="020F0302020204030204" pitchFamily="34" charset="0"/>
            </a:rPr>
            <a:t>Culture</a:t>
          </a:r>
        </a:p>
      </dsp:txBody>
      <dsp:txXfrm>
        <a:off x="1000302" y="1382421"/>
        <a:ext cx="982607" cy="615391"/>
      </dsp:txXfrm>
    </dsp:sp>
    <dsp:sp modelId="{9C557C55-C5D9-4817-BE58-D30A50E1D629}">
      <dsp:nvSpPr>
        <dsp:cNvPr id="0" name=""/>
        <dsp:cNvSpPr/>
      </dsp:nvSpPr>
      <dsp:spPr>
        <a:xfrm>
          <a:off x="1375263" y="332190"/>
          <a:ext cx="1818102" cy="1818102"/>
        </a:xfrm>
        <a:custGeom>
          <a:avLst/>
          <a:gdLst/>
          <a:ahLst/>
          <a:cxnLst/>
          <a:rect l="0" t="0" r="0" b="0"/>
          <a:pathLst>
            <a:path>
              <a:moveTo>
                <a:pt x="3110" y="833913"/>
              </a:moveTo>
              <a:arcTo wR="909051" hR="909051" stAng="11084472" swAng="2247166"/>
            </a:path>
          </a:pathLst>
        </a:custGeom>
        <a:noFill/>
        <a:ln w="9525" cap="flat" cmpd="sng" algn="ctr">
          <a:solidFill>
            <a:schemeClr val="dk2">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44</Pages>
  <Words>11019</Words>
  <Characters>62814</Characters>
  <Application>Microsoft Office Word</Application>
  <DocSecurity>0</DocSecurity>
  <Lines>523</Lines>
  <Paragraphs>147</Paragraphs>
  <ScaleCrop>false</ScaleCrop>
  <Company/>
  <LinksUpToDate>false</LinksUpToDate>
  <CharactersWithSpaces>73686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Chester Warzynski</dc:creator>
  <cp:keywords/>
  <dc:description/>
  <cp:lastModifiedBy>Silverthorn, Courtney (Fed)</cp:lastModifiedBy>
  <cp:revision>3</cp:revision>
  <dcterms:created xsi:type="dcterms:W3CDTF">2018-07-30T00:29:00Z</dcterms:created>
  <dcterms:modified xsi:type="dcterms:W3CDTF">2018-07-30T13:15:00Z</dcterms:modified>
</cp:coreProperties>
</file>