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12A" w:rsidRDefault="00F30CAB">
      <w:pPr>
        <w:jc w:val="center"/>
        <w:rPr>
          <w:b/>
        </w:rPr>
      </w:pPr>
      <w:r>
        <w:rPr>
          <w:b/>
        </w:rPr>
        <w:fldChar w:fldCharType="begin"/>
      </w:r>
      <w:r>
        <w:rPr>
          <w:b/>
        </w:rPr>
        <w:instrText xml:space="preserve"> MACROBUTTON MTEditEquationSection2 </w:instrText>
      </w:r>
      <w:r w:rsidRPr="00F30CAB">
        <w:rPr>
          <w:rStyle w:val="MTEquationSection"/>
        </w:rPr>
        <w:instrText>Equation Chapter 1 Section 1</w:instrText>
      </w:r>
      <w:r>
        <w:rPr>
          <w:b/>
        </w:rPr>
        <w:fldChar w:fldCharType="begin"/>
      </w:r>
      <w:r>
        <w:rPr>
          <w:b/>
        </w:rPr>
        <w:instrText xml:space="preserve"> SEQ MTEqn \r \h \* MERGEFORMAT </w:instrText>
      </w:r>
      <w:r>
        <w:rPr>
          <w:b/>
        </w:rPr>
        <w:fldChar w:fldCharType="end"/>
      </w:r>
      <w:r>
        <w:rPr>
          <w:b/>
        </w:rPr>
        <w:fldChar w:fldCharType="begin"/>
      </w:r>
      <w:r>
        <w:rPr>
          <w:b/>
        </w:rPr>
        <w:instrText xml:space="preserve"> SEQ MTSec \r 1 \h \* MERGEFORMAT </w:instrText>
      </w:r>
      <w:r>
        <w:rPr>
          <w:b/>
        </w:rPr>
        <w:fldChar w:fldCharType="end"/>
      </w:r>
      <w:r>
        <w:rPr>
          <w:b/>
        </w:rPr>
        <w:fldChar w:fldCharType="begin"/>
      </w:r>
      <w:r>
        <w:rPr>
          <w:b/>
        </w:rPr>
        <w:instrText xml:space="preserve"> SEQ MTChap \r 1 \h \* MERGEFORMAT </w:instrText>
      </w:r>
      <w:r>
        <w:rPr>
          <w:b/>
        </w:rPr>
        <w:fldChar w:fldCharType="end"/>
      </w:r>
      <w:r>
        <w:rPr>
          <w:b/>
        </w:rPr>
        <w:fldChar w:fldCharType="end"/>
      </w:r>
      <w:r w:rsidR="00DB312A">
        <w:rPr>
          <w:b/>
        </w:rPr>
        <w:t>SOP 16</w:t>
      </w:r>
    </w:p>
    <w:p w:rsidR="00DB312A" w:rsidRDefault="00DB312A">
      <w:pPr>
        <w:jc w:val="center"/>
        <w:rPr>
          <w:b/>
        </w:rPr>
      </w:pPr>
    </w:p>
    <w:p w:rsidR="00DB312A" w:rsidRDefault="00DB312A">
      <w:pPr>
        <w:jc w:val="center"/>
        <w:rPr>
          <w:b/>
        </w:rPr>
      </w:pPr>
      <w:r>
        <w:rPr>
          <w:b/>
        </w:rPr>
        <w:t>Standard Operatin</w:t>
      </w:r>
      <w:r w:rsidR="00717389">
        <w:rPr>
          <w:b/>
        </w:rPr>
        <w:t>g</w:t>
      </w:r>
      <w:r>
        <w:rPr>
          <w:b/>
        </w:rPr>
        <w:t xml:space="preserve"> Procedure for</w:t>
      </w:r>
    </w:p>
    <w:p w:rsidR="00DB312A" w:rsidRDefault="00DB312A">
      <w:pPr>
        <w:jc w:val="center"/>
        <w:rPr>
          <w:b/>
        </w:rPr>
      </w:pPr>
      <w:r>
        <w:rPr>
          <w:b/>
        </w:rPr>
        <w:t>Calibration of Measuring Flasks</w:t>
      </w:r>
    </w:p>
    <w:p w:rsidR="00DB312A" w:rsidRDefault="00DB312A">
      <w:pPr>
        <w:jc w:val="center"/>
        <w:rPr>
          <w:b/>
        </w:rPr>
      </w:pPr>
      <w:r>
        <w:rPr>
          <w:b/>
        </w:rPr>
        <w:t>Volume Transfer Method</w:t>
      </w:r>
    </w:p>
    <w:p w:rsidR="00DB312A" w:rsidRDefault="00DB312A">
      <w:pPr>
        <w:jc w:val="center"/>
      </w:pPr>
    </w:p>
    <w:p w:rsidR="00DB312A" w:rsidRDefault="00DB312A">
      <w:pPr>
        <w:jc w:val="both"/>
      </w:pPr>
    </w:p>
    <w:p w:rsidR="00FF113C" w:rsidRDefault="00DB312A" w:rsidP="00FC1129">
      <w:pPr>
        <w:pStyle w:val="Heading1"/>
      </w:pPr>
      <w:r w:rsidRPr="00FC1129">
        <w:t>Introduction</w:t>
      </w:r>
      <w:r>
        <w:t xml:space="preserve"> </w:t>
      </w:r>
    </w:p>
    <w:p w:rsidR="00DB312A" w:rsidRDefault="00DB312A" w:rsidP="00972C8B">
      <w:pPr>
        <w:pStyle w:val="Heading2"/>
      </w:pPr>
      <w:r>
        <w:t xml:space="preserve">Purpose of Test </w:t>
      </w:r>
    </w:p>
    <w:p w:rsidR="00DB312A" w:rsidRDefault="00DB312A" w:rsidP="00F30CAB">
      <w:pPr>
        <w:pStyle w:val="BodyText"/>
        <w:ind w:left="1440"/>
      </w:pPr>
      <w:r w:rsidRPr="00127E1F">
        <w:t xml:space="preserve">This procedure describes a method for </w:t>
      </w:r>
      <w:r w:rsidR="00977513" w:rsidRPr="00127E1F">
        <w:t xml:space="preserve">volume transfer </w:t>
      </w:r>
      <w:r w:rsidRPr="00127E1F">
        <w:t xml:space="preserve">calibration of the </w:t>
      </w:r>
      <w:r w:rsidR="00944EC1">
        <w:t>“To Deliver” (TD)</w:t>
      </w:r>
      <w:r w:rsidRPr="00127E1F">
        <w:t xml:space="preserve"> volume of measuring flasks </w:t>
      </w:r>
      <w:r w:rsidR="00977513" w:rsidRPr="00127E1F">
        <w:t>from calibrated volumetric standards</w:t>
      </w:r>
      <w:r w:rsidR="00621EF2" w:rsidRPr="00127E1F">
        <w:t>. The test item</w:t>
      </w:r>
      <w:r w:rsidR="00B276EF" w:rsidRPr="00127E1F">
        <w:t>s</w:t>
      </w:r>
      <w:r w:rsidR="00977513" w:rsidRPr="00127E1F">
        <w:t xml:space="preserve"> are </w:t>
      </w:r>
      <w:r w:rsidR="00621EF2" w:rsidRPr="00127E1F">
        <w:t xml:space="preserve">then </w:t>
      </w:r>
      <w:r w:rsidRPr="00127E1F">
        <w:t>used as volumetric measurement standards, often for packaged commodity verification</w:t>
      </w:r>
      <w:r w:rsidR="00A74E18" w:rsidRPr="00127E1F">
        <w:t xml:space="preserve">. </w:t>
      </w:r>
      <w:r w:rsidR="00977513" w:rsidRPr="00127E1F">
        <w:t xml:space="preserve">If </w:t>
      </w:r>
      <w:r w:rsidR="00944EC1">
        <w:t>“To Contain” (TC)</w:t>
      </w:r>
      <w:r w:rsidR="00977513" w:rsidRPr="00127E1F">
        <w:t xml:space="preserve"> calibrations are to be performed, appropriate modifications are needed in the procedure to ensure complete drying of the flask between calibration runs.</w:t>
      </w:r>
      <w:r w:rsidR="00D10E50">
        <w:t xml:space="preserve"> </w:t>
      </w:r>
      <w:r w:rsidR="00D10E50" w:rsidRPr="00D10E50">
        <w:t>Detailed measurement ranges, standards, equipment, and uncertainties for this SOP are generally compiled in a separate document in the laboratory.</w:t>
      </w:r>
    </w:p>
    <w:p w:rsidR="00A35C09" w:rsidRDefault="00A35C09" w:rsidP="00D25447">
      <w:pPr>
        <w:pStyle w:val="Heading2"/>
      </w:pPr>
      <w:r>
        <w:t>Conformity Assessment</w:t>
      </w:r>
    </w:p>
    <w:p w:rsidR="00D10E50" w:rsidRPr="00127E1F" w:rsidRDefault="00D10E50" w:rsidP="00F30CAB">
      <w:pPr>
        <w:pStyle w:val="BodyText"/>
        <w:ind w:left="1440"/>
      </w:pPr>
      <w:r>
        <w:t>Standards that are calibrated for use in legal weights and measures applications should be evaluated for conformance to the appropriate specifications and tolerances that apply.</w:t>
      </w:r>
      <w:r w:rsidR="00A35C09" w:rsidRPr="00A35C09">
        <w:t xml:space="preserve"> Where compliance is required by law, conformity evaluations should be conducted prior to performing calibrations. See Section 6.2 for reporting results.</w:t>
      </w:r>
      <w:r w:rsidR="00A35C09">
        <w:t xml:space="preserve"> </w:t>
      </w:r>
    </w:p>
    <w:p w:rsidR="00DB312A" w:rsidRDefault="00DB312A" w:rsidP="00F30CAB">
      <w:pPr>
        <w:pStyle w:val="Heading2"/>
        <w:keepNext w:val="0"/>
        <w:keepLines w:val="0"/>
      </w:pPr>
      <w:r>
        <w:t xml:space="preserve">Prerequisites </w:t>
      </w:r>
    </w:p>
    <w:p w:rsidR="00DB312A" w:rsidRDefault="00DB312A" w:rsidP="00F30CAB">
      <w:pPr>
        <w:pStyle w:val="Heading3"/>
        <w:keepNext w:val="0"/>
        <w:keepLines w:val="0"/>
      </w:pPr>
      <w:r>
        <w:t xml:space="preserve">Verify that valid calibration certificates are available for </w:t>
      </w:r>
      <w:r w:rsidR="00155201">
        <w:t xml:space="preserve">all </w:t>
      </w:r>
      <w:r>
        <w:t xml:space="preserve">the standards used in the </w:t>
      </w:r>
      <w:r w:rsidR="00621EF2">
        <w:t>calibration</w:t>
      </w:r>
      <w:r>
        <w:t>.</w:t>
      </w:r>
      <w:r w:rsidR="00B276EF">
        <w:t xml:space="preserve"> All standards must </w:t>
      </w:r>
      <w:r w:rsidR="00B276EF" w:rsidRPr="009E3BFE">
        <w:t>have demonstrated metrological traceability to the international system of units (SI), which may be to the SI through a National Metrology Institute such as NIST</w:t>
      </w:r>
      <w:r w:rsidR="00B276EF">
        <w:t>.</w:t>
      </w:r>
      <w:r w:rsidR="00345003">
        <w:t xml:space="preserve"> Where reference standards do not have suitable calibration values and uncertainties, SOP 14 is preferred for calibration of measuring flasks.</w:t>
      </w:r>
    </w:p>
    <w:p w:rsidR="00DB312A" w:rsidRDefault="00DB312A" w:rsidP="00F30CAB">
      <w:pPr>
        <w:pStyle w:val="Heading3"/>
        <w:keepNext w:val="0"/>
        <w:keepLines w:val="0"/>
      </w:pPr>
      <w:r>
        <w:t>Verify that the standards to be used have sufficiently small standard uncertainties for the intended level of calibration</w:t>
      </w:r>
      <w:r w:rsidR="00717389">
        <w:t>.</w:t>
      </w:r>
    </w:p>
    <w:p w:rsidR="00DB312A" w:rsidRDefault="00DB312A" w:rsidP="00F30CAB">
      <w:pPr>
        <w:pStyle w:val="Heading3"/>
        <w:keepNext w:val="0"/>
        <w:keepLines w:val="0"/>
      </w:pPr>
      <w:r>
        <w:t xml:space="preserve">Verify that the </w:t>
      </w:r>
      <w:r w:rsidR="00977513">
        <w:t xml:space="preserve">standard </w:t>
      </w:r>
      <w:r>
        <w:t>burets and pipets are clean</w:t>
      </w:r>
      <w:r w:rsidR="00276113">
        <w:t>, free of leaks,</w:t>
      </w:r>
      <w:r>
        <w:t xml:space="preserve"> and in good operational condition.</w:t>
      </w:r>
    </w:p>
    <w:p w:rsidR="00DB312A" w:rsidRDefault="00DB312A" w:rsidP="00F30CAB">
      <w:pPr>
        <w:pStyle w:val="Heading3"/>
        <w:keepNext w:val="0"/>
        <w:keepLines w:val="0"/>
      </w:pPr>
      <w:r>
        <w:t xml:space="preserve">Verify the availability of an adequate supply of </w:t>
      </w:r>
      <w:r w:rsidR="00977513">
        <w:t xml:space="preserve">pure </w:t>
      </w:r>
      <w:r>
        <w:t>distilled or deionized water (See GLP 10)</w:t>
      </w:r>
      <w:r w:rsidR="00B276EF" w:rsidRPr="009E3BFE">
        <w:t xml:space="preserve"> of sufficient quality and quantity for the calibration. Do not use tap water for this procedure</w:t>
      </w:r>
      <w:r w:rsidR="00B276EF">
        <w:t xml:space="preserve"> to ensure the reference glassware is maintained with valid reference values</w:t>
      </w:r>
      <w:r w:rsidR="00B276EF" w:rsidRPr="009E3BFE">
        <w:t>!</w:t>
      </w:r>
    </w:p>
    <w:p w:rsidR="00DB312A" w:rsidRDefault="00DB312A" w:rsidP="00F30CAB">
      <w:pPr>
        <w:pStyle w:val="Heading3"/>
        <w:keepNext w:val="0"/>
        <w:keepLines w:val="0"/>
      </w:pPr>
      <w:r>
        <w:lastRenderedPageBreak/>
        <w:t xml:space="preserve">Verify that the operator has had specific training and is proficient in SOP 16, GMP 3, </w:t>
      </w:r>
      <w:r w:rsidR="009971AA">
        <w:t xml:space="preserve">GMP 7, </w:t>
      </w:r>
      <w:r>
        <w:t>and is familiar with the operating characteristics and conditioning of pipets and burets.</w:t>
      </w:r>
    </w:p>
    <w:p w:rsidR="00DB312A" w:rsidRDefault="00DB312A" w:rsidP="00F30CAB">
      <w:pPr>
        <w:pStyle w:val="Heading3"/>
        <w:keepNext w:val="0"/>
        <w:keepLines w:val="0"/>
      </w:pPr>
      <w:r>
        <w:t xml:space="preserve">Verify that the laboratory facilities </w:t>
      </w:r>
      <w:r w:rsidRPr="00F77DE6">
        <w:t xml:space="preserve">meet </w:t>
      </w:r>
      <w:r w:rsidR="00F77DE6" w:rsidRPr="00F77DE6">
        <w:t>the minimum conditions shown in Table 1 to meet the expected uncertainty</w:t>
      </w:r>
      <w:r>
        <w:t xml:space="preserve"> </w:t>
      </w:r>
      <w:r w:rsidR="00717389">
        <w:t xml:space="preserve">that is </w:t>
      </w:r>
      <w:r w:rsidR="00E15634">
        <w:t xml:space="preserve">achievable </w:t>
      </w:r>
      <w:r>
        <w:t>with this procedure</w:t>
      </w:r>
      <w:r w:rsidR="00534473">
        <w:t>.</w:t>
      </w:r>
    </w:p>
    <w:p w:rsidR="009C5916" w:rsidRPr="00F52003" w:rsidRDefault="009C5916" w:rsidP="00022A22">
      <w:pPr>
        <w:pStyle w:val="Table"/>
        <w:keepNext/>
        <w:keepLines/>
      </w:pPr>
      <w:r w:rsidRPr="00F52003">
        <w:t xml:space="preserve">Table </w:t>
      </w:r>
      <w:r w:rsidR="001065AF">
        <w:rPr>
          <w:noProof/>
        </w:rPr>
        <w:fldChar w:fldCharType="begin"/>
      </w:r>
      <w:r w:rsidR="001065AF">
        <w:rPr>
          <w:noProof/>
        </w:rPr>
        <w:instrText xml:space="preserve"> SEQ Table \* ARABIC </w:instrText>
      </w:r>
      <w:r w:rsidR="001065AF">
        <w:rPr>
          <w:noProof/>
        </w:rPr>
        <w:fldChar w:fldCharType="separate"/>
      </w:r>
      <w:r w:rsidR="00CA7215">
        <w:rPr>
          <w:noProof/>
        </w:rPr>
        <w:t>1</w:t>
      </w:r>
      <w:r w:rsidR="001065AF">
        <w:rPr>
          <w:noProof/>
        </w:rPr>
        <w:fldChar w:fldCharType="end"/>
      </w:r>
      <w:r w:rsidRPr="00F52003">
        <w:t>. Laboratory environmental conditions.</w:t>
      </w:r>
    </w:p>
    <w:tbl>
      <w:tblPr>
        <w:tblW w:w="9480" w:type="dxa"/>
        <w:jc w:val="center"/>
        <w:tblLayout w:type="fixed"/>
        <w:tblCellMar>
          <w:left w:w="120" w:type="dxa"/>
          <w:right w:w="120" w:type="dxa"/>
        </w:tblCellMar>
        <w:tblLook w:val="0000" w:firstRow="0" w:lastRow="0" w:firstColumn="0" w:lastColumn="0" w:noHBand="0" w:noVBand="0"/>
        <w:tblCaption w:val="Laboratory environmental conditions."/>
        <w:tblDescription w:val="environmental conditions required for glass to glass volume transfer calibrations; temperature to be between 18 and 27 degrees Celcius, stable to plus and minus 1 degrees C per hour during the calibrations; humidity to be between 40 and 60 percent relative humidity, stable to plus and minus 20 percent per 4 hour period."/>
      </w:tblPr>
      <w:tblGrid>
        <w:gridCol w:w="1643"/>
        <w:gridCol w:w="4973"/>
        <w:gridCol w:w="2864"/>
      </w:tblGrid>
      <w:tr w:rsidR="00F77DE6" w:rsidRPr="008F1441" w:rsidTr="00D878C5">
        <w:trPr>
          <w:cantSplit/>
          <w:trHeight w:val="654"/>
          <w:jc w:val="center"/>
        </w:trPr>
        <w:tc>
          <w:tcPr>
            <w:tcW w:w="1643" w:type="dxa"/>
            <w:tcBorders>
              <w:top w:val="double" w:sz="6" w:space="0" w:color="auto"/>
              <w:left w:val="double" w:sz="6" w:space="0" w:color="auto"/>
              <w:bottom w:val="double" w:sz="6" w:space="0" w:color="auto"/>
            </w:tcBorders>
            <w:vAlign w:val="center"/>
          </w:tcPr>
          <w:p w:rsidR="00F77DE6" w:rsidRPr="008F1441" w:rsidRDefault="00F77DE6" w:rsidP="00A67752">
            <w:pPr>
              <w:keepNext/>
              <w:keepLines/>
              <w:spacing w:line="240" w:lineRule="exact"/>
              <w:jc w:val="center"/>
              <w:rPr>
                <w:b/>
                <w:sz w:val="22"/>
              </w:rPr>
            </w:pPr>
            <w:r w:rsidRPr="008F1441">
              <w:rPr>
                <w:b/>
                <w:sz w:val="22"/>
              </w:rPr>
              <w:t>Procedure</w:t>
            </w:r>
          </w:p>
        </w:tc>
        <w:tc>
          <w:tcPr>
            <w:tcW w:w="4973" w:type="dxa"/>
            <w:tcBorders>
              <w:top w:val="double" w:sz="6" w:space="0" w:color="auto"/>
              <w:left w:val="single" w:sz="6" w:space="0" w:color="auto"/>
              <w:bottom w:val="double" w:sz="6" w:space="0" w:color="auto"/>
            </w:tcBorders>
            <w:vAlign w:val="center"/>
          </w:tcPr>
          <w:p w:rsidR="00F77DE6" w:rsidRPr="008F1441" w:rsidRDefault="00F77DE6" w:rsidP="00A67752">
            <w:pPr>
              <w:keepNext/>
              <w:keepLines/>
              <w:spacing w:line="240" w:lineRule="exact"/>
              <w:jc w:val="center"/>
              <w:rPr>
                <w:b/>
                <w:sz w:val="22"/>
              </w:rPr>
            </w:pPr>
            <w:r w:rsidRPr="008F1441">
              <w:rPr>
                <w:b/>
                <w:sz w:val="22"/>
              </w:rPr>
              <w:t>Temperature</w:t>
            </w:r>
          </w:p>
        </w:tc>
        <w:tc>
          <w:tcPr>
            <w:tcW w:w="2864" w:type="dxa"/>
            <w:tcBorders>
              <w:top w:val="double" w:sz="6" w:space="0" w:color="auto"/>
              <w:left w:val="single" w:sz="6" w:space="0" w:color="auto"/>
              <w:bottom w:val="double" w:sz="6" w:space="0" w:color="auto"/>
              <w:right w:val="double" w:sz="6" w:space="0" w:color="auto"/>
            </w:tcBorders>
            <w:vAlign w:val="center"/>
          </w:tcPr>
          <w:p w:rsidR="00F77DE6" w:rsidRPr="008F1441" w:rsidRDefault="00F77DE6" w:rsidP="00A67752">
            <w:pPr>
              <w:pStyle w:val="Table"/>
              <w:jc w:val="center"/>
            </w:pPr>
            <w:r w:rsidRPr="008F1441">
              <w:t>Relative Humidity</w:t>
            </w:r>
          </w:p>
        </w:tc>
      </w:tr>
      <w:tr w:rsidR="00F77DE6" w:rsidRPr="008F1441" w:rsidTr="00D878C5">
        <w:trPr>
          <w:cantSplit/>
          <w:trHeight w:val="721"/>
          <w:jc w:val="center"/>
        </w:trPr>
        <w:tc>
          <w:tcPr>
            <w:tcW w:w="1643" w:type="dxa"/>
            <w:tcBorders>
              <w:left w:val="double" w:sz="6" w:space="0" w:color="auto"/>
              <w:bottom w:val="double" w:sz="6" w:space="0" w:color="auto"/>
            </w:tcBorders>
            <w:vAlign w:val="center"/>
          </w:tcPr>
          <w:p w:rsidR="00F77DE6" w:rsidRPr="008F1441" w:rsidRDefault="00F77DE6" w:rsidP="00022A22">
            <w:pPr>
              <w:keepNext/>
              <w:keepLines/>
              <w:spacing w:line="240" w:lineRule="exact"/>
              <w:jc w:val="center"/>
              <w:rPr>
                <w:sz w:val="22"/>
              </w:rPr>
            </w:pPr>
            <w:r w:rsidRPr="008F1441">
              <w:rPr>
                <w:sz w:val="22"/>
              </w:rPr>
              <w:t>Volume Transfer</w:t>
            </w:r>
          </w:p>
        </w:tc>
        <w:tc>
          <w:tcPr>
            <w:tcW w:w="4973" w:type="dxa"/>
            <w:tcBorders>
              <w:left w:val="single" w:sz="6" w:space="0" w:color="auto"/>
              <w:bottom w:val="double" w:sz="6" w:space="0" w:color="auto"/>
            </w:tcBorders>
            <w:vAlign w:val="center"/>
          </w:tcPr>
          <w:p w:rsidR="00F77DE6" w:rsidRPr="008F1441" w:rsidRDefault="00F77DE6" w:rsidP="00022A22">
            <w:pPr>
              <w:keepNext/>
              <w:keepLines/>
              <w:spacing w:line="240" w:lineRule="exact"/>
              <w:jc w:val="center"/>
              <w:rPr>
                <w:sz w:val="22"/>
              </w:rPr>
            </w:pPr>
            <w:r w:rsidRPr="008F1441">
              <w:rPr>
                <w:sz w:val="22"/>
              </w:rPr>
              <w:t xml:space="preserve">18 </w:t>
            </w:r>
            <w:r w:rsidRPr="008F1441">
              <w:rPr>
                <w:sz w:val="22"/>
              </w:rPr>
              <w:sym w:font="Symbol" w:char="F0B0"/>
            </w:r>
            <w:r w:rsidRPr="008F1441">
              <w:rPr>
                <w:sz w:val="22"/>
              </w:rPr>
              <w:t xml:space="preserve">C to 27 </w:t>
            </w:r>
            <w:r w:rsidRPr="008F1441">
              <w:rPr>
                <w:sz w:val="22"/>
              </w:rPr>
              <w:sym w:font="Symbol" w:char="F0B0"/>
            </w:r>
            <w:r w:rsidRPr="008F1441">
              <w:rPr>
                <w:sz w:val="22"/>
              </w:rPr>
              <w:t xml:space="preserve">C,  </w:t>
            </w:r>
            <w:r w:rsidRPr="008F1441">
              <w:rPr>
                <w:sz w:val="22"/>
              </w:rPr>
              <w:br/>
            </w:r>
            <w:r w:rsidR="00B276EF" w:rsidRPr="008F1441">
              <w:rPr>
                <w:sz w:val="22"/>
              </w:rPr>
              <w:t>S</w:t>
            </w:r>
            <w:r w:rsidR="00BF2012" w:rsidRPr="008F1441">
              <w:rPr>
                <w:sz w:val="22"/>
              </w:rPr>
              <w:t xml:space="preserve">table to ± </w:t>
            </w:r>
            <w:r w:rsidRPr="008F1441">
              <w:rPr>
                <w:sz w:val="22"/>
              </w:rPr>
              <w:t xml:space="preserve">1 </w:t>
            </w:r>
            <w:r w:rsidRPr="008F1441">
              <w:rPr>
                <w:sz w:val="22"/>
              </w:rPr>
              <w:sym w:font="Symbol" w:char="F0B0"/>
            </w:r>
            <w:r w:rsidRPr="008F1441">
              <w:rPr>
                <w:sz w:val="22"/>
              </w:rPr>
              <w:t>C</w:t>
            </w:r>
            <w:r w:rsidR="00B276EF" w:rsidRPr="008F1441">
              <w:rPr>
                <w:sz w:val="22"/>
              </w:rPr>
              <w:t xml:space="preserve"> </w:t>
            </w:r>
            <w:r w:rsidRPr="008F1441">
              <w:rPr>
                <w:sz w:val="22"/>
              </w:rPr>
              <w:t>/</w:t>
            </w:r>
            <w:r w:rsidR="00B276EF" w:rsidRPr="008F1441">
              <w:rPr>
                <w:sz w:val="22"/>
              </w:rPr>
              <w:t xml:space="preserve"> 1 </w:t>
            </w:r>
            <w:r w:rsidRPr="008F1441">
              <w:rPr>
                <w:sz w:val="22"/>
              </w:rPr>
              <w:t>h</w:t>
            </w:r>
            <w:r w:rsidR="00621EF2" w:rsidRPr="008F1441">
              <w:rPr>
                <w:sz w:val="22"/>
              </w:rPr>
              <w:t xml:space="preserve"> during the calibration</w:t>
            </w:r>
          </w:p>
        </w:tc>
        <w:tc>
          <w:tcPr>
            <w:tcW w:w="2864" w:type="dxa"/>
            <w:tcBorders>
              <w:left w:val="single" w:sz="6" w:space="0" w:color="auto"/>
              <w:bottom w:val="double" w:sz="6" w:space="0" w:color="auto"/>
              <w:right w:val="double" w:sz="6" w:space="0" w:color="auto"/>
            </w:tcBorders>
            <w:vAlign w:val="center"/>
          </w:tcPr>
          <w:p w:rsidR="00F77DE6" w:rsidRPr="008F1441" w:rsidRDefault="00F77DE6" w:rsidP="00022A22">
            <w:pPr>
              <w:keepNext/>
              <w:keepLines/>
              <w:spacing w:line="240" w:lineRule="exact"/>
              <w:jc w:val="center"/>
              <w:rPr>
                <w:sz w:val="22"/>
              </w:rPr>
            </w:pPr>
            <w:r w:rsidRPr="008F1441">
              <w:rPr>
                <w:sz w:val="22"/>
              </w:rPr>
              <w:t>40 % to 60 %</w:t>
            </w:r>
          </w:p>
          <w:p w:rsidR="00F77DE6" w:rsidRPr="008F1441" w:rsidRDefault="00B276EF" w:rsidP="00022A22">
            <w:pPr>
              <w:keepNext/>
              <w:keepLines/>
              <w:spacing w:line="240" w:lineRule="exact"/>
              <w:jc w:val="center"/>
              <w:rPr>
                <w:sz w:val="22"/>
              </w:rPr>
            </w:pPr>
            <w:r w:rsidRPr="008F1441">
              <w:rPr>
                <w:sz w:val="22"/>
              </w:rPr>
              <w:t xml:space="preserve">Stable to </w:t>
            </w:r>
            <w:r w:rsidR="00F77DE6" w:rsidRPr="008F1441">
              <w:rPr>
                <w:sz w:val="22"/>
              </w:rPr>
              <w:t xml:space="preserve">± 20 % </w:t>
            </w:r>
            <w:r w:rsidRPr="008F1441">
              <w:rPr>
                <w:sz w:val="22"/>
              </w:rPr>
              <w:t xml:space="preserve"> </w:t>
            </w:r>
            <w:r w:rsidR="00F77DE6" w:rsidRPr="008F1441">
              <w:rPr>
                <w:sz w:val="22"/>
              </w:rPr>
              <w:t>/ 4 h</w:t>
            </w:r>
          </w:p>
        </w:tc>
      </w:tr>
    </w:tbl>
    <w:p w:rsidR="00DB312A" w:rsidRPr="00FF113C" w:rsidRDefault="00DB312A" w:rsidP="00F52003">
      <w:pPr>
        <w:pStyle w:val="Heading1"/>
        <w:spacing w:before="240"/>
      </w:pPr>
      <w:r w:rsidRPr="00FF113C">
        <w:t>Methodology</w:t>
      </w:r>
    </w:p>
    <w:p w:rsidR="00DB312A" w:rsidRDefault="00DB312A" w:rsidP="00972C8B">
      <w:pPr>
        <w:pStyle w:val="Heading2"/>
      </w:pPr>
      <w:r>
        <w:t>Scope, Precision, Accuracy</w:t>
      </w:r>
    </w:p>
    <w:p w:rsidR="00DB312A" w:rsidRDefault="00DB312A" w:rsidP="00F30CAB">
      <w:pPr>
        <w:pStyle w:val="BodyText"/>
        <w:ind w:left="1440"/>
      </w:pPr>
      <w:r>
        <w:t>The method is applicable for the calibration of any size of measuring flask for which standard pipets of comparable volume are available</w:t>
      </w:r>
      <w:r w:rsidR="00A74E18">
        <w:t xml:space="preserve">. </w:t>
      </w:r>
      <w:r>
        <w:t xml:space="preserve">Typical flasks have volumes in the range of </w:t>
      </w:r>
      <w:r w:rsidR="009971AA">
        <w:t xml:space="preserve">100 mL </w:t>
      </w:r>
      <w:r>
        <w:t xml:space="preserve">to </w:t>
      </w:r>
      <w:r w:rsidR="009971AA">
        <w:t xml:space="preserve">5 L </w:t>
      </w:r>
      <w:r>
        <w:t>(1 gill to 1 gal)</w:t>
      </w:r>
      <w:r w:rsidR="00A74E18">
        <w:t xml:space="preserve">. </w:t>
      </w:r>
      <w:r>
        <w:t>The precision of calibration depend</w:t>
      </w:r>
      <w:r w:rsidR="00977513">
        <w:t>s</w:t>
      </w:r>
      <w:r>
        <w:t xml:space="preserve"> on the care exercised in adjusting the various volumes and strict adherence to the various steps of the procedure. The accuracy will depend on the accuracy of calibration of the volumetric standards used</w:t>
      </w:r>
      <w:r w:rsidR="008A0B31">
        <w:t>,</w:t>
      </w:r>
      <w:r>
        <w:t xml:space="preserve"> </w:t>
      </w:r>
      <w:r w:rsidR="00717389">
        <w:t xml:space="preserve">accuracy in reading the meniscus, </w:t>
      </w:r>
      <w:r>
        <w:t>together with the precision of the comparison</w:t>
      </w:r>
      <w:r w:rsidR="00A74E18">
        <w:t xml:space="preserve">. </w:t>
      </w:r>
      <w:r>
        <w:t xml:space="preserve">Clean glassware and strict adherence to the drainage instructions are essential for precise and accurate results. </w:t>
      </w:r>
    </w:p>
    <w:p w:rsidR="00DB312A" w:rsidRDefault="00DB312A" w:rsidP="00972C8B">
      <w:pPr>
        <w:pStyle w:val="Heading2"/>
      </w:pPr>
      <w:r>
        <w:t>Summary</w:t>
      </w:r>
    </w:p>
    <w:p w:rsidR="00DB312A" w:rsidRDefault="00DB312A" w:rsidP="00F30CAB">
      <w:pPr>
        <w:pStyle w:val="BodyText"/>
        <w:ind w:left="1440"/>
      </w:pPr>
      <w:r>
        <w:t>The flask to be calibrated is given an initial wet</w:t>
      </w:r>
      <w:r>
        <w:noBreakHyphen/>
        <w:t>down</w:t>
      </w:r>
      <w:r w:rsidR="00977513">
        <w:t xml:space="preserve"> using the correct drain procedure</w:t>
      </w:r>
      <w:r>
        <w:t xml:space="preserve">, then </w:t>
      </w:r>
      <w:r w:rsidR="00977513">
        <w:t xml:space="preserve">nearly </w:t>
      </w:r>
      <w:r>
        <w:t>filled with water delivered from a calibrated pipet</w:t>
      </w:r>
      <w:r w:rsidR="00A74E18">
        <w:t xml:space="preserve">. </w:t>
      </w:r>
      <w:r w:rsidR="00977513">
        <w:t>(</w:t>
      </w:r>
      <w:r w:rsidR="00621EF2">
        <w:t>This procedure relies on c</w:t>
      </w:r>
      <w:r w:rsidR="00977513">
        <w:t xml:space="preserve">alibrated pipets </w:t>
      </w:r>
      <w:r w:rsidR="00621EF2">
        <w:t xml:space="preserve">that </w:t>
      </w:r>
      <w:r w:rsidR="00977513">
        <w:t>deliver slightly less than the full nominal volume</w:t>
      </w:r>
      <w:r w:rsidR="009A0F17">
        <w:t>).</w:t>
      </w:r>
      <w:r w:rsidR="00977513">
        <w:t xml:space="preserve"> </w:t>
      </w:r>
      <w:r>
        <w:t xml:space="preserve">Additional water is added </w:t>
      </w:r>
      <w:r w:rsidR="00621EF2">
        <w:t xml:space="preserve">to the test flask </w:t>
      </w:r>
      <w:r>
        <w:t xml:space="preserve">from a calibrated </w:t>
      </w:r>
      <w:proofErr w:type="spellStart"/>
      <w:r>
        <w:t>buret</w:t>
      </w:r>
      <w:proofErr w:type="spellEnd"/>
      <w:r>
        <w:t xml:space="preserve"> until the meniscus </w:t>
      </w:r>
      <w:r w:rsidR="00977513">
        <w:t xml:space="preserve">in the test item </w:t>
      </w:r>
      <w:r>
        <w:t xml:space="preserve">coincides with the calibration </w:t>
      </w:r>
      <w:r w:rsidR="00977513">
        <w:t xml:space="preserve">graduation </w:t>
      </w:r>
      <w:r>
        <w:t>mark</w:t>
      </w:r>
      <w:r w:rsidR="00A74E18">
        <w:t xml:space="preserve">. </w:t>
      </w:r>
      <w:r>
        <w:t xml:space="preserve">The sum of </w:t>
      </w:r>
      <w:r w:rsidR="00977513">
        <w:t xml:space="preserve">the </w:t>
      </w:r>
      <w:r>
        <w:t>volumes delivered into the wet</w:t>
      </w:r>
      <w:r w:rsidR="00977513">
        <w:t>ted</w:t>
      </w:r>
      <w:r>
        <w:t xml:space="preserve"> flask is equivalent to its </w:t>
      </w:r>
      <w:r w:rsidR="00944EC1">
        <w:t>“To Deliver” (TD)</w:t>
      </w:r>
      <w:r>
        <w:t xml:space="preserve"> volume</w:t>
      </w:r>
      <w:r w:rsidR="00A74E18">
        <w:t xml:space="preserve">. </w:t>
      </w:r>
      <w:r w:rsidR="009121AA">
        <w:t>The process described assumes</w:t>
      </w:r>
      <w:r>
        <w:t xml:space="preserve"> that the flask is marked with a 10-second drain time</w:t>
      </w:r>
      <w:r w:rsidR="00A74E18">
        <w:t xml:space="preserve">. </w:t>
      </w:r>
      <w:r>
        <w:t xml:space="preserve">If </w:t>
      </w:r>
      <w:r w:rsidR="009121AA">
        <w:t>the flask is marked with a drain time other than 10 s</w:t>
      </w:r>
      <w:r w:rsidR="00175092">
        <w:t>,</w:t>
      </w:r>
      <w:r w:rsidR="009121AA">
        <w:t xml:space="preserve"> the</w:t>
      </w:r>
      <w:r w:rsidR="009971AA">
        <w:t xml:space="preserve"> specified drain time </w:t>
      </w:r>
      <w:r>
        <w:t>should be used</w:t>
      </w:r>
      <w:r w:rsidR="009121AA">
        <w:t xml:space="preserve"> </w:t>
      </w:r>
      <w:r w:rsidR="00175092">
        <w:t xml:space="preserve">rather than </w:t>
      </w:r>
      <w:r w:rsidR="009121AA">
        <w:t>the 10 s drain time described</w:t>
      </w:r>
      <w:r w:rsidR="00A74E18">
        <w:t xml:space="preserve">. </w:t>
      </w:r>
      <w:r w:rsidR="00175092">
        <w:t>A</w:t>
      </w:r>
      <w:r>
        <w:t xml:space="preserve"> 30-second drain time should be used</w:t>
      </w:r>
      <w:r w:rsidR="00175092">
        <w:t xml:space="preserve"> when a flask has no drain time specified.</w:t>
      </w:r>
      <w:r>
        <w:t xml:space="preserve"> </w:t>
      </w:r>
    </w:p>
    <w:p w:rsidR="00DB312A" w:rsidRDefault="00B276EF" w:rsidP="00F30CAB">
      <w:pPr>
        <w:pStyle w:val="Heading2"/>
        <w:keepNext w:val="0"/>
        <w:keepLines w:val="0"/>
      </w:pPr>
      <w:r>
        <w:t xml:space="preserve">Standards and </w:t>
      </w:r>
      <w:r w:rsidR="00DB312A">
        <w:t xml:space="preserve">Equipment </w:t>
      </w:r>
    </w:p>
    <w:p w:rsidR="00DB312A" w:rsidRPr="00F52003" w:rsidRDefault="00DB312A" w:rsidP="00F30CAB">
      <w:pPr>
        <w:pStyle w:val="Heading3"/>
        <w:keepNext w:val="0"/>
        <w:keepLines w:val="0"/>
      </w:pPr>
      <w:r w:rsidRPr="00F52003">
        <w:t>Calibrated standard pipet(s) of suitable volume</w:t>
      </w:r>
      <w:r w:rsidR="00B276EF" w:rsidRPr="00F52003">
        <w:t>s.</w:t>
      </w:r>
      <w:r w:rsidRPr="00F52003">
        <w:t xml:space="preserve"> </w:t>
      </w:r>
      <w:r w:rsidR="00E27D3D" w:rsidRPr="00F52003">
        <w:t>These standards are typically made of borosilicate glass</w:t>
      </w:r>
      <w:r w:rsidR="00534473" w:rsidRPr="00F52003">
        <w:t>.</w:t>
      </w:r>
    </w:p>
    <w:p w:rsidR="00E27D3D" w:rsidRDefault="00DB312A" w:rsidP="00F30CAB">
      <w:pPr>
        <w:pStyle w:val="Heading3"/>
        <w:keepNext w:val="0"/>
        <w:keepLines w:val="0"/>
      </w:pPr>
      <w:r>
        <w:lastRenderedPageBreak/>
        <w:t xml:space="preserve">Calibrated standard </w:t>
      </w:r>
      <w:proofErr w:type="spellStart"/>
      <w:r>
        <w:t>buret</w:t>
      </w:r>
      <w:proofErr w:type="spellEnd"/>
      <w:r>
        <w:t>(s) of 1</w:t>
      </w:r>
      <w:r w:rsidR="00BD68DB">
        <w:t>0 mL (or 1</w:t>
      </w:r>
      <w:r>
        <w:t>20 minim</w:t>
      </w:r>
      <w:r w:rsidR="00BD68DB">
        <w:rPr>
          <w:rStyle w:val="FootnoteReference"/>
        </w:rPr>
        <w:footnoteReference w:id="1"/>
      </w:r>
      <w:r w:rsidR="00BD68DB">
        <w:t>)</w:t>
      </w:r>
      <w:r>
        <w:t xml:space="preserve"> capacity</w:t>
      </w:r>
      <w:r w:rsidR="00B276EF">
        <w:t xml:space="preserve">. </w:t>
      </w:r>
      <w:r w:rsidR="00E27D3D">
        <w:t>These standards are typically made of borosilicate glass</w:t>
      </w:r>
      <w:r w:rsidR="00534473">
        <w:t>.</w:t>
      </w:r>
    </w:p>
    <w:p w:rsidR="00621EF2" w:rsidRPr="00B276EF" w:rsidRDefault="00621EF2" w:rsidP="00F30CAB">
      <w:pPr>
        <w:pStyle w:val="Heading3"/>
        <w:keepNext w:val="0"/>
        <w:keepLines w:val="0"/>
      </w:pPr>
      <w:r w:rsidRPr="00B276EF">
        <w:t xml:space="preserve">Calibrated thermometers, </w:t>
      </w:r>
      <w:r w:rsidR="00B276EF" w:rsidRPr="00B276EF">
        <w:t xml:space="preserve">with resolution and uncertainty to ≤ </w:t>
      </w:r>
      <w:r w:rsidRPr="00B276EF">
        <w:t>0.1 °C to determine water temperature.</w:t>
      </w:r>
    </w:p>
    <w:p w:rsidR="00DB312A" w:rsidRDefault="00DB312A" w:rsidP="00F30CAB">
      <w:pPr>
        <w:pStyle w:val="Heading3"/>
        <w:keepNext w:val="0"/>
        <w:keepLines w:val="0"/>
      </w:pPr>
      <w:r>
        <w:t>Meniscus reading device (See GMP 3).</w:t>
      </w:r>
    </w:p>
    <w:p w:rsidR="00DB312A" w:rsidRDefault="00276113" w:rsidP="00F30CAB">
      <w:pPr>
        <w:pStyle w:val="Heading3"/>
        <w:keepNext w:val="0"/>
        <w:keepLines w:val="0"/>
      </w:pPr>
      <w:r>
        <w:t xml:space="preserve">Stopwatch or </w:t>
      </w:r>
      <w:r w:rsidR="00155201">
        <w:t>an</w:t>
      </w:r>
      <w:r>
        <w:t>other suitable t</w:t>
      </w:r>
      <w:r w:rsidR="00DB312A">
        <w:t>iming device</w:t>
      </w:r>
      <w:r w:rsidR="00E27D3D">
        <w:t xml:space="preserve"> (does not need to be calibrated).</w:t>
      </w:r>
    </w:p>
    <w:p w:rsidR="00FC1129" w:rsidRDefault="00DB312A" w:rsidP="00972C8B">
      <w:pPr>
        <w:pStyle w:val="Heading2"/>
      </w:pPr>
      <w:r>
        <w:t xml:space="preserve">Procedure </w:t>
      </w:r>
    </w:p>
    <w:p w:rsidR="00DB312A" w:rsidRDefault="00DB312A" w:rsidP="00F52003">
      <w:pPr>
        <w:pStyle w:val="Heading3"/>
      </w:pPr>
      <w:r>
        <w:t xml:space="preserve">Cleanliness check </w:t>
      </w:r>
    </w:p>
    <w:p w:rsidR="00DB312A" w:rsidRDefault="00DB312A" w:rsidP="00A67752">
      <w:pPr>
        <w:pStyle w:val="BodyText"/>
        <w:ind w:left="2160"/>
      </w:pPr>
      <w:r>
        <w:t xml:space="preserve">Verify that all glassware, including the standards used and the vessels to be calibrated, </w:t>
      </w:r>
      <w:r w:rsidR="009121AA">
        <w:t xml:space="preserve">are </w:t>
      </w:r>
      <w:r>
        <w:t>internally clean, as evidenced by uniform drainage of water</w:t>
      </w:r>
      <w:r w:rsidR="00A74E18">
        <w:t xml:space="preserve">. </w:t>
      </w:r>
      <w:r>
        <w:t>No water droplets should remain on the internal surfaces as the water drains from the vessels</w:t>
      </w:r>
      <w:r w:rsidR="00A74E18">
        <w:t xml:space="preserve">. </w:t>
      </w:r>
      <w:r>
        <w:t>If this occurs, the glassware must be cleaned with suitable agents and rinsed with pure water until uniform drainage is obtained</w:t>
      </w:r>
      <w:r w:rsidR="00A74E18">
        <w:t xml:space="preserve">. </w:t>
      </w:r>
      <w:r>
        <w:t>(See GMP 7).</w:t>
      </w:r>
    </w:p>
    <w:p w:rsidR="00DB312A" w:rsidRDefault="00DB312A" w:rsidP="00F30CAB">
      <w:pPr>
        <w:pStyle w:val="Heading3"/>
        <w:keepNext w:val="0"/>
        <w:keepLines w:val="0"/>
      </w:pPr>
      <w:r>
        <w:t>Wet</w:t>
      </w:r>
      <w:r w:rsidR="00BD68DB">
        <w:t>-</w:t>
      </w:r>
      <w:r>
        <w:t>down of pipet and flask</w:t>
      </w:r>
    </w:p>
    <w:p w:rsidR="00DB312A" w:rsidRDefault="00DB312A" w:rsidP="00F30CAB">
      <w:pPr>
        <w:pStyle w:val="Heading4"/>
        <w:keepNext w:val="0"/>
        <w:keepLines w:val="0"/>
      </w:pPr>
      <w:r>
        <w:t xml:space="preserve">Fill the standard pipet </w:t>
      </w:r>
      <w:bookmarkStart w:id="0" w:name="_GoBack"/>
      <w:bookmarkEnd w:id="0"/>
      <w:r w:rsidR="009121AA">
        <w:t>until water flows from the top tip</w:t>
      </w:r>
      <w:r>
        <w:t xml:space="preserve">, then </w:t>
      </w:r>
      <w:r w:rsidR="00E27D3D">
        <w:t xml:space="preserve">completely </w:t>
      </w:r>
      <w:r>
        <w:t>drain into an empty vessel</w:t>
      </w:r>
      <w:r w:rsidR="00A74E18">
        <w:t xml:space="preserve">. </w:t>
      </w:r>
      <w:r>
        <w:t>Check for uniform drainage</w:t>
      </w:r>
      <w:r w:rsidR="00A74E18">
        <w:t xml:space="preserve">. </w:t>
      </w:r>
      <w:r>
        <w:t>Touch</w:t>
      </w:r>
      <w:r w:rsidR="00BD68DB">
        <w:t xml:space="preserve"> </w:t>
      </w:r>
      <w:r>
        <w:t>off the pipet outlet tip against the con</w:t>
      </w:r>
      <w:r>
        <w:softHyphen/>
        <w:t>tainer wall to remove excess droplets and to establish a constant tip retention volume</w:t>
      </w:r>
      <w:r w:rsidR="00A74E18">
        <w:t xml:space="preserve">. </w:t>
      </w:r>
      <w:r>
        <w:t>The pipet and bore of the delivery side of the stopcock should appear to be "empty" and the delivery tip should contain a small volume of water retained in it</w:t>
      </w:r>
      <w:r w:rsidR="00A74E18">
        <w:t xml:space="preserve">. </w:t>
      </w:r>
      <w:r>
        <w:t>This is the "wet</w:t>
      </w:r>
      <w:r w:rsidR="00BD68DB">
        <w:t>-</w:t>
      </w:r>
      <w:r>
        <w:t>down" condition of the pipet</w:t>
      </w:r>
      <w:r w:rsidR="00A74E18">
        <w:t xml:space="preserve">. </w:t>
      </w:r>
      <w:r>
        <w:t xml:space="preserve">It must be done at the beginning of each test sequence. </w:t>
      </w:r>
      <w:r w:rsidR="0036296E">
        <w:t xml:space="preserve">Ensure that the outside of the standard pipet is free of water droplets that may fall into the </w:t>
      </w:r>
      <w:r w:rsidR="00175092">
        <w:t xml:space="preserve">unknown </w:t>
      </w:r>
      <w:r w:rsidR="0036296E">
        <w:t>flask</w:t>
      </w:r>
      <w:r w:rsidR="00175092">
        <w:t>.</w:t>
      </w:r>
    </w:p>
    <w:p w:rsidR="00DB312A" w:rsidRDefault="00DB312A" w:rsidP="00F30CAB">
      <w:pPr>
        <w:pStyle w:val="Heading4"/>
        <w:keepNext w:val="0"/>
        <w:keepLines w:val="0"/>
      </w:pPr>
      <w:r>
        <w:t xml:space="preserve">Refill the pipet and </w:t>
      </w:r>
      <w:r w:rsidR="0036296E">
        <w:t xml:space="preserve">use it to fill </w:t>
      </w:r>
      <w:r>
        <w:t>the flask to be calibrated</w:t>
      </w:r>
      <w:r w:rsidR="00A74E18">
        <w:t xml:space="preserve">. </w:t>
      </w:r>
      <w:r>
        <w:t xml:space="preserve">Empty the flask </w:t>
      </w:r>
      <w:r w:rsidR="00621EF2">
        <w:t xml:space="preserve">using a gentle pour </w:t>
      </w:r>
      <w:r>
        <w:t xml:space="preserve">in a 30 </w:t>
      </w:r>
      <w:r w:rsidR="00717389">
        <w:t xml:space="preserve">s </w:t>
      </w:r>
      <w:r>
        <w:sym w:font="Symbol" w:char="F0B1"/>
      </w:r>
      <w:r>
        <w:t xml:space="preserve"> 5 s</w:t>
      </w:r>
      <w:r w:rsidR="00717389">
        <w:t xml:space="preserve"> </w:t>
      </w:r>
      <w:r>
        <w:t>period by gradually inclining the flask to avoid splashing of the walls as much as possible</w:t>
      </w:r>
      <w:r w:rsidR="00A74E18">
        <w:t xml:space="preserve">. </w:t>
      </w:r>
      <w:r>
        <w:t>When the main drainage stream has ceased, the flask will be nearly vertical</w:t>
      </w:r>
      <w:r w:rsidR="00A74E18">
        <w:t xml:space="preserve">. </w:t>
      </w:r>
      <w:r>
        <w:t>Allow an additional 10 second drainage</w:t>
      </w:r>
      <w:r w:rsidR="005B2B00" w:rsidRPr="005B2B00">
        <w:t xml:space="preserve"> </w:t>
      </w:r>
      <w:r w:rsidR="005B2B00">
        <w:t>after discharge of the flask contents</w:t>
      </w:r>
      <w:r>
        <w:t xml:space="preserve"> while </w:t>
      </w:r>
      <w:r w:rsidR="005B2B00">
        <w:t xml:space="preserve">holding the flask </w:t>
      </w:r>
      <w:r>
        <w:t>at a 10</w:t>
      </w:r>
      <w:r>
        <w:sym w:font="Symbol" w:char="F0B0"/>
      </w:r>
      <w:r>
        <w:t xml:space="preserve"> </w:t>
      </w:r>
      <w:r w:rsidR="00621EF2">
        <w:t xml:space="preserve">to </w:t>
      </w:r>
      <w:r>
        <w:t>15</w:t>
      </w:r>
      <w:r>
        <w:sym w:font="Symbol" w:char="F0B0"/>
      </w:r>
      <w:r>
        <w:t xml:space="preserve"> angle from vertical, then touch off the rim of the flask to remove any drops adhering to it</w:t>
      </w:r>
      <w:r w:rsidR="00A74E18">
        <w:t xml:space="preserve">. </w:t>
      </w:r>
      <w:r>
        <w:t>At the same time, check that uniform drainage has been achieved</w:t>
      </w:r>
      <w:r w:rsidR="00A74E18">
        <w:t xml:space="preserve">. </w:t>
      </w:r>
      <w:r>
        <w:t xml:space="preserve">This establishes the </w:t>
      </w:r>
      <w:r w:rsidR="00944EC1">
        <w:t>“To Deliver” (TD)</w:t>
      </w:r>
      <w:r>
        <w:t xml:space="preserve"> condition of </w:t>
      </w:r>
      <w:r>
        <w:lastRenderedPageBreak/>
        <w:t>the flask</w:t>
      </w:r>
      <w:r w:rsidR="00A74E18">
        <w:t xml:space="preserve">. </w:t>
      </w:r>
      <w:r>
        <w:t>Note that some small amount of water will remain in the flask</w:t>
      </w:r>
      <w:r w:rsidR="00A74E18">
        <w:t xml:space="preserve">. </w:t>
      </w:r>
      <w:r>
        <w:t>Each flask to be calibrated must be given this "wet</w:t>
      </w:r>
      <w:r w:rsidR="00BD68DB">
        <w:t>-</w:t>
      </w:r>
      <w:r>
        <w:t>down" treatment</w:t>
      </w:r>
      <w:r w:rsidR="0036296E">
        <w:t xml:space="preserve"> immediately before the start of the test</w:t>
      </w:r>
      <w:r>
        <w:t>.</w:t>
      </w:r>
    </w:p>
    <w:p w:rsidR="00DB312A" w:rsidRDefault="00DB312A" w:rsidP="00F30CAB">
      <w:pPr>
        <w:pStyle w:val="Heading3"/>
        <w:keepNext w:val="0"/>
        <w:keepLines w:val="0"/>
      </w:pPr>
      <w:r>
        <w:t xml:space="preserve">Conditioning the </w:t>
      </w:r>
      <w:proofErr w:type="spellStart"/>
      <w:r>
        <w:t>buret</w:t>
      </w:r>
      <w:proofErr w:type="spellEnd"/>
      <w:r>
        <w:t xml:space="preserve"> </w:t>
      </w:r>
    </w:p>
    <w:p w:rsidR="00DB312A" w:rsidRDefault="00DB312A" w:rsidP="00F30CAB">
      <w:pPr>
        <w:pStyle w:val="Heading4"/>
        <w:keepNext w:val="0"/>
        <w:keepLines w:val="0"/>
      </w:pPr>
      <w:r>
        <w:t xml:space="preserve">Fill the standard </w:t>
      </w:r>
      <w:proofErr w:type="spellStart"/>
      <w:r>
        <w:t>buret</w:t>
      </w:r>
      <w:proofErr w:type="spellEnd"/>
      <w:r>
        <w:t xml:space="preserve"> to overflow and drain several times to verify uniform drainage</w:t>
      </w:r>
      <w:r w:rsidR="00A74E18">
        <w:t xml:space="preserve">. </w:t>
      </w:r>
      <w:r>
        <w:t>Refill with water. Note that the stopcock bore and delivery tip should be filled with water at all times, in contrast to the condition for the pipet.</w:t>
      </w:r>
    </w:p>
    <w:p w:rsidR="00DB312A" w:rsidRDefault="00DB312A" w:rsidP="00F30CAB">
      <w:pPr>
        <w:pStyle w:val="Heading4"/>
        <w:keepNext w:val="0"/>
        <w:keepLines w:val="0"/>
      </w:pPr>
      <w:r>
        <w:t>Touch</w:t>
      </w:r>
      <w:r w:rsidR="00BD68DB">
        <w:t xml:space="preserve"> </w:t>
      </w:r>
      <w:r>
        <w:t>off the delivery tip against the wall of the receiving vessel</w:t>
      </w:r>
      <w:r w:rsidDel="008A0B31">
        <w:t>,</w:t>
      </w:r>
      <w:r>
        <w:t xml:space="preserve"> to remove any droplet adhering to the external surface of the </w:t>
      </w:r>
      <w:r w:rsidR="00481A2C">
        <w:t>tip</w:t>
      </w:r>
      <w:r w:rsidR="00A74E18">
        <w:t xml:space="preserve">. </w:t>
      </w:r>
      <w:r>
        <w:t xml:space="preserve">This is an operation that must be done every time a measured volume of water is delivered from the </w:t>
      </w:r>
      <w:proofErr w:type="spellStart"/>
      <w:r>
        <w:t>buret</w:t>
      </w:r>
      <w:proofErr w:type="spellEnd"/>
      <w:r w:rsidR="00481A2C">
        <w:t xml:space="preserve"> to ensure </w:t>
      </w:r>
      <w:r w:rsidR="0036296E">
        <w:t>consistent</w:t>
      </w:r>
      <w:r w:rsidR="00481A2C">
        <w:t xml:space="preserve"> volume delivery</w:t>
      </w:r>
      <w:r>
        <w:t>.</w:t>
      </w:r>
    </w:p>
    <w:p w:rsidR="00DB312A" w:rsidRDefault="00DB312A" w:rsidP="00F30CAB">
      <w:pPr>
        <w:pStyle w:val="Heading3"/>
        <w:keepNext w:val="0"/>
        <w:keepLines w:val="0"/>
      </w:pPr>
      <w:r>
        <w:t xml:space="preserve">Calibration </w:t>
      </w:r>
    </w:p>
    <w:p w:rsidR="00DB312A" w:rsidRDefault="00DB312A" w:rsidP="00F30CAB">
      <w:pPr>
        <w:pStyle w:val="Heading4"/>
        <w:keepNext w:val="0"/>
        <w:keepLines w:val="0"/>
      </w:pPr>
      <w:r>
        <w:t>Run 1</w:t>
      </w:r>
      <w:r w:rsidR="00E27D3D">
        <w:t>.</w:t>
      </w:r>
      <w:r>
        <w:rPr>
          <w:b/>
        </w:rPr>
        <w:t xml:space="preserve"> </w:t>
      </w:r>
      <w:r>
        <w:t xml:space="preserve">Fill the standard pipet to overflow. The delivery bore and the delivery tip will be empty, except for the small volume retained in the </w:t>
      </w:r>
      <w:r w:rsidR="00481A2C">
        <w:t>tip</w:t>
      </w:r>
      <w:r w:rsidR="00A74E18">
        <w:t xml:space="preserve">. </w:t>
      </w:r>
      <w:r>
        <w:t xml:space="preserve">Place the inside of the flask neck in contact with the tip of the pipet or </w:t>
      </w:r>
      <w:proofErr w:type="spellStart"/>
      <w:r>
        <w:t>buret</w:t>
      </w:r>
      <w:proofErr w:type="spellEnd"/>
      <w:r>
        <w:t xml:space="preserve">, to avoid splashing but in a manner that does not block the flow of water. </w:t>
      </w:r>
    </w:p>
    <w:p w:rsidR="00DB312A" w:rsidRDefault="00DB312A" w:rsidP="00F30CAB">
      <w:pPr>
        <w:pStyle w:val="Heading4"/>
        <w:keepNext w:val="0"/>
        <w:keepLines w:val="0"/>
      </w:pPr>
      <w:r>
        <w:t>Deliver the contents of the pipet into the "wet</w:t>
      </w:r>
      <w:r w:rsidR="00BD68DB">
        <w:t>-</w:t>
      </w:r>
      <w:r>
        <w:t>down" flask</w:t>
      </w:r>
      <w:r w:rsidR="00A74E18">
        <w:t xml:space="preserve">. </w:t>
      </w:r>
      <w:r w:rsidR="00481A2C">
        <w:t xml:space="preserve">Repeat as necessary to </w:t>
      </w:r>
      <w:r>
        <w:t>nearly fill the flask to the calibration line</w:t>
      </w:r>
      <w:r w:rsidR="00A74E18">
        <w:t xml:space="preserve">. </w:t>
      </w:r>
      <w:r w:rsidR="00AC0BF4">
        <w:t>The value recorded for the standard pipet will be the total of the deliveries used.</w:t>
      </w:r>
    </w:p>
    <w:p w:rsidR="00DB312A" w:rsidRDefault="00DB312A" w:rsidP="00F30CAB">
      <w:pPr>
        <w:pStyle w:val="Heading4"/>
        <w:keepNext w:val="0"/>
        <w:keepLines w:val="0"/>
      </w:pPr>
      <w:r>
        <w:t xml:space="preserve">Add water to the flask from the </w:t>
      </w:r>
      <w:proofErr w:type="spellStart"/>
      <w:r>
        <w:t>buret</w:t>
      </w:r>
      <w:proofErr w:type="spellEnd"/>
      <w:r>
        <w:t xml:space="preserve"> until the meniscus coincides with the calibration mark</w:t>
      </w:r>
      <w:r w:rsidR="00A74E18">
        <w:t xml:space="preserve">. </w:t>
      </w:r>
      <w:r>
        <w:t>(See GMP 3 for instructions on how to read a meniscus</w:t>
      </w:r>
      <w:r w:rsidR="009A0F17">
        <w:t>).</w:t>
      </w:r>
      <w:r>
        <w:t xml:space="preserve">  Read the volume </w:t>
      </w:r>
      <w:r w:rsidR="00E27D3D">
        <w:t xml:space="preserve">of water </w:t>
      </w:r>
      <w:r>
        <w:t>delivered</w:t>
      </w:r>
      <w:r w:rsidR="00E27D3D">
        <w:t xml:space="preserve"> from the </w:t>
      </w:r>
      <w:proofErr w:type="spellStart"/>
      <w:r w:rsidR="00E27D3D">
        <w:t>buret</w:t>
      </w:r>
      <w:proofErr w:type="spellEnd"/>
      <w:r>
        <w:t xml:space="preserve"> and record on a suitable data sheet such as the one in the Appendix</w:t>
      </w:r>
      <w:r w:rsidR="00A74E18">
        <w:t xml:space="preserve">. </w:t>
      </w:r>
      <w:r w:rsidR="009B7B3F">
        <w:t>Note:</w:t>
      </w:r>
      <w:r w:rsidR="00481A2C">
        <w:t xml:space="preserve"> If multiple deliveries of the complete </w:t>
      </w:r>
      <w:proofErr w:type="spellStart"/>
      <w:r w:rsidR="00481A2C">
        <w:t>buret</w:t>
      </w:r>
      <w:proofErr w:type="spellEnd"/>
      <w:r w:rsidR="00481A2C">
        <w:t xml:space="preserve"> contents are required, ensure that at no time the </w:t>
      </w:r>
      <w:proofErr w:type="spellStart"/>
      <w:r w:rsidR="00481A2C">
        <w:t>buret</w:t>
      </w:r>
      <w:proofErr w:type="spellEnd"/>
      <w:r w:rsidR="00481A2C">
        <w:t xml:space="preserve"> water level drops below the lowest graduation mark, or the entire process must be started over</w:t>
      </w:r>
      <w:r w:rsidR="00A74E18">
        <w:t xml:space="preserve">. </w:t>
      </w:r>
      <w:r w:rsidR="00076EA4">
        <w:t xml:space="preserve">The value recorded for the standard </w:t>
      </w:r>
      <w:proofErr w:type="spellStart"/>
      <w:r w:rsidR="00076EA4">
        <w:t>buret</w:t>
      </w:r>
      <w:proofErr w:type="spellEnd"/>
      <w:r w:rsidR="00076EA4">
        <w:t xml:space="preserve"> will be the sum of the delivered volumes</w:t>
      </w:r>
      <w:r>
        <w:t>.</w:t>
      </w:r>
    </w:p>
    <w:p w:rsidR="00DB312A" w:rsidRDefault="00DB312A" w:rsidP="00F30CAB">
      <w:pPr>
        <w:pStyle w:val="Heading4"/>
        <w:keepNext w:val="0"/>
        <w:keepLines w:val="0"/>
      </w:pPr>
      <w:r>
        <w:t>Empty the measuring flask as described in 2.4.2.2 to re</w:t>
      </w:r>
      <w:r>
        <w:noBreakHyphen/>
        <w:t>establish "wet</w:t>
      </w:r>
      <w:r w:rsidR="00BD68DB">
        <w:t>-</w:t>
      </w:r>
      <w:r>
        <w:t>down."</w:t>
      </w:r>
      <w:r w:rsidR="005D07B8" w:rsidRPr="005D07B8">
        <w:t xml:space="preserve"> </w:t>
      </w:r>
    </w:p>
    <w:p w:rsidR="00DB312A" w:rsidRDefault="005D07B8" w:rsidP="00F30CAB">
      <w:pPr>
        <w:pStyle w:val="Heading4"/>
        <w:keepNext w:val="0"/>
        <w:keepLines w:val="0"/>
      </w:pPr>
      <w:r>
        <w:t>R</w:t>
      </w:r>
      <w:r w:rsidR="00F52003">
        <w:t>e</w:t>
      </w:r>
      <w:r>
        <w:t>cord all data using the form given in the Appendix or a similar format.</w:t>
      </w:r>
    </w:p>
    <w:p w:rsidR="00717389" w:rsidRDefault="00DB312A" w:rsidP="00F30CAB">
      <w:pPr>
        <w:pStyle w:val="Heading4"/>
        <w:keepNext w:val="0"/>
        <w:keepLines w:val="0"/>
      </w:pPr>
      <w:r>
        <w:t>Run 2</w:t>
      </w:r>
      <w:r w:rsidR="00E27D3D">
        <w:t xml:space="preserve">. </w:t>
      </w:r>
      <w:r>
        <w:t>Replicate Measurement</w:t>
      </w:r>
      <w:r w:rsidR="00E27D3D">
        <w:t>.</w:t>
      </w:r>
      <w:r>
        <w:t xml:space="preserve"> Repeat the procedure described in 2.4.4</w:t>
      </w:r>
      <w:r w:rsidR="00BF2012">
        <w:t xml:space="preserve">. </w:t>
      </w:r>
      <w:r>
        <w:t xml:space="preserve">The test measure must be capable of repeating to 0.01 </w:t>
      </w:r>
      <w:r w:rsidR="00BD68DB">
        <w:t xml:space="preserve">% </w:t>
      </w:r>
      <w:r>
        <w:t xml:space="preserve">of </w:t>
      </w:r>
      <w:r>
        <w:lastRenderedPageBreak/>
        <w:t>the test volume during calibration</w:t>
      </w:r>
      <w:r w:rsidR="00A74E18">
        <w:t xml:space="preserve">. </w:t>
      </w:r>
      <w:r>
        <w:t>Repeatability problems may be due to contamination</w:t>
      </w:r>
      <w:r w:rsidR="005D07B8">
        <w:t xml:space="preserve">, </w:t>
      </w:r>
      <w:r w:rsidR="00717389">
        <w:t xml:space="preserve">poor meniscus readings, </w:t>
      </w:r>
      <w:r>
        <w:t xml:space="preserve">lack of cleanliness, </w:t>
      </w:r>
      <w:r w:rsidR="005D07B8">
        <w:t>or</w:t>
      </w:r>
      <w:r>
        <w:t xml:space="preserve"> </w:t>
      </w:r>
      <w:r w:rsidR="00621EF2">
        <w:t xml:space="preserve">conduct of the calibration </w:t>
      </w:r>
      <w:r>
        <w:t>in</w:t>
      </w:r>
      <w:r w:rsidR="008A0B31">
        <w:t xml:space="preserve"> an</w:t>
      </w:r>
      <w:r w:rsidR="00717389">
        <w:t xml:space="preserve"> </w:t>
      </w:r>
      <w:r>
        <w:t>unstable environment</w:t>
      </w:r>
      <w:r w:rsidR="00A74E18">
        <w:t xml:space="preserve">. </w:t>
      </w:r>
      <w:r>
        <w:t>Repeatability problems must be corrected before calibration can be completed.</w:t>
      </w:r>
    </w:p>
    <w:p w:rsidR="00DB312A" w:rsidRDefault="00717389" w:rsidP="00F30CAB">
      <w:pPr>
        <w:pStyle w:val="Heading4"/>
        <w:keepNext w:val="0"/>
        <w:keepLines w:val="0"/>
      </w:pPr>
      <w:r>
        <w:t xml:space="preserve">Calibration </w:t>
      </w:r>
      <w:r w:rsidR="009B7B3F">
        <w:t>Note:</w:t>
      </w:r>
      <w:r>
        <w:t xml:space="preserve">  If the </w:t>
      </w:r>
      <w:r w:rsidR="00621EF2">
        <w:t xml:space="preserve">test </w:t>
      </w:r>
      <w:r>
        <w:t>vessel has a graduated neck (in addition to the nominal mark) additional graduations should be inspected for proper marking and calibrated as well.</w:t>
      </w:r>
    </w:p>
    <w:p w:rsidR="00DB312A" w:rsidRDefault="00DB312A" w:rsidP="00F30CAB">
      <w:pPr>
        <w:pStyle w:val="Heading1"/>
      </w:pPr>
      <w:r>
        <w:t>C</w:t>
      </w:r>
      <w:r w:rsidR="002176F9">
        <w:t>alcula</w:t>
      </w:r>
      <w:r>
        <w:t xml:space="preserve">tions </w:t>
      </w:r>
    </w:p>
    <w:p w:rsidR="00DB312A" w:rsidRDefault="00DB312A" w:rsidP="00F30CAB">
      <w:pPr>
        <w:pStyle w:val="Heading2"/>
      </w:pPr>
      <w:r>
        <w:t xml:space="preserve">Compute the individual </w:t>
      </w:r>
      <w:r w:rsidR="00944EC1">
        <w:t>“To Deliver” (TD)</w:t>
      </w:r>
      <w:r>
        <w:t xml:space="preserve"> volume</w:t>
      </w:r>
      <w:r w:rsidR="00E27D3D">
        <w:t>s</w:t>
      </w:r>
      <w:r>
        <w:t xml:space="preserve">, </w:t>
      </w:r>
      <w:r w:rsidRPr="0036296E">
        <w:rPr>
          <w:i/>
        </w:rPr>
        <w:t>V</w:t>
      </w:r>
      <w:r w:rsidRPr="0036296E">
        <w:rPr>
          <w:i/>
          <w:vertAlign w:val="subscript"/>
        </w:rPr>
        <w:t>TD</w:t>
      </w:r>
      <w:r w:rsidR="00E27D3D">
        <w:t xml:space="preserve">, </w:t>
      </w:r>
      <w:r>
        <w:t>for Run 1 and Run 2</w:t>
      </w:r>
      <w:r w:rsidR="00236EAE">
        <w:t xml:space="preserve"> using Eqn. 1</w:t>
      </w:r>
      <w:r>
        <w:t xml:space="preserve">. </w:t>
      </w:r>
    </w:p>
    <w:p w:rsidR="00F52003" w:rsidRDefault="00F52003" w:rsidP="00F30CAB">
      <w:pPr>
        <w:pStyle w:val="MTDisplayEquation"/>
        <w:keepNext/>
        <w:tabs>
          <w:tab w:val="clear" w:pos="4320"/>
          <w:tab w:val="clear" w:pos="8640"/>
          <w:tab w:val="center" w:pos="4680"/>
        </w:tabs>
        <w:jc w:val="right"/>
      </w:pPr>
      <w:r w:rsidRPr="00F52003">
        <w:rPr>
          <w:position w:val="-12"/>
        </w:rPr>
        <w:object w:dxaOrig="1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volume to deliver in the flask at the measurement temperature equals the volume from the pipette plus the volume from the buret." style="width:65.25pt;height:18pt" o:ole="">
            <v:imagedata r:id="rId8" o:title=""/>
          </v:shape>
          <o:OLEObject Type="Embed" ProgID="Equation.DSMT4" ShapeID="_x0000_i1025" DrawAspect="Content" ObjectID="_1618838563" r:id="rId9"/>
        </w:object>
      </w:r>
      <w:r w:rsidR="00F30CAB">
        <w:tab/>
      </w:r>
      <w:r w:rsidR="00F30CAB">
        <w:fldChar w:fldCharType="begin"/>
      </w:r>
      <w:r w:rsidR="00F30CAB">
        <w:instrText xml:space="preserve"> MACROBUTTON MTPlaceRef \* MERGEFORMAT </w:instrText>
      </w:r>
      <w:r w:rsidR="00F30CAB">
        <w:fldChar w:fldCharType="begin"/>
      </w:r>
      <w:r w:rsidR="00F30CAB">
        <w:instrText xml:space="preserve"> SEQ MTEqn \h \* MERGEFORMAT </w:instrText>
      </w:r>
      <w:r w:rsidR="00F30CAB">
        <w:fldChar w:fldCharType="end"/>
      </w:r>
      <w:r w:rsidR="00F30CAB">
        <w:instrText>Eqn. (</w:instrText>
      </w:r>
      <w:r w:rsidR="00BF2302">
        <w:rPr>
          <w:noProof/>
        </w:rPr>
        <w:fldChar w:fldCharType="begin"/>
      </w:r>
      <w:r w:rsidR="00BF2302">
        <w:rPr>
          <w:noProof/>
        </w:rPr>
        <w:instrText xml:space="preserve"> SEQ MTEqn \c \* Arabic \* MERGEFORMAT </w:instrText>
      </w:r>
      <w:r w:rsidR="00BF2302">
        <w:rPr>
          <w:noProof/>
        </w:rPr>
        <w:fldChar w:fldCharType="separate"/>
      </w:r>
      <w:r w:rsidR="00CA7215">
        <w:rPr>
          <w:noProof/>
        </w:rPr>
        <w:instrText>1</w:instrText>
      </w:r>
      <w:r w:rsidR="00BF2302">
        <w:rPr>
          <w:noProof/>
        </w:rPr>
        <w:fldChar w:fldCharType="end"/>
      </w:r>
      <w:r w:rsidR="00F30CAB">
        <w:instrText>)</w:instrText>
      </w:r>
      <w:r w:rsidR="00F30CAB">
        <w:fldChar w:fldCharType="end"/>
      </w:r>
    </w:p>
    <w:p w:rsidR="008F1441" w:rsidRPr="007D71B8" w:rsidRDefault="008F1441" w:rsidP="007D71B8">
      <w:pPr>
        <w:jc w:val="center"/>
        <w:rPr>
          <w:rFonts w:cs="Times New Roman"/>
          <w:b/>
          <w:i/>
        </w:rPr>
      </w:pPr>
    </w:p>
    <w:p w:rsidR="009C5916" w:rsidRDefault="009C5916" w:rsidP="00127E1F">
      <w:pPr>
        <w:pStyle w:val="Caption"/>
      </w:pPr>
    </w:p>
    <w:p w:rsidR="009C5916" w:rsidRPr="00F52003" w:rsidRDefault="009C5916" w:rsidP="00F30CAB">
      <w:pPr>
        <w:pStyle w:val="Table"/>
      </w:pPr>
      <w:r w:rsidRPr="00F52003">
        <w:t xml:space="preserve">Table </w:t>
      </w:r>
      <w:r w:rsidR="001065AF">
        <w:rPr>
          <w:noProof/>
        </w:rPr>
        <w:fldChar w:fldCharType="begin"/>
      </w:r>
      <w:r w:rsidR="001065AF">
        <w:rPr>
          <w:noProof/>
        </w:rPr>
        <w:instrText xml:space="preserve"> SEQ Table \* ARABIC </w:instrText>
      </w:r>
      <w:r w:rsidR="001065AF">
        <w:rPr>
          <w:noProof/>
        </w:rPr>
        <w:fldChar w:fldCharType="separate"/>
      </w:r>
      <w:r w:rsidR="00CA7215">
        <w:rPr>
          <w:noProof/>
        </w:rPr>
        <w:t>2</w:t>
      </w:r>
      <w:r w:rsidR="001065AF">
        <w:rPr>
          <w:noProof/>
        </w:rPr>
        <w:fldChar w:fldCharType="end"/>
      </w:r>
      <w:r w:rsidRPr="00F52003">
        <w:t>. Variables for volume equation.</w:t>
      </w:r>
    </w:p>
    <w:tbl>
      <w:tblPr>
        <w:tblW w:w="0" w:type="auto"/>
        <w:jc w:val="center"/>
        <w:tblLayout w:type="fixed"/>
        <w:tblCellMar>
          <w:left w:w="120" w:type="dxa"/>
          <w:right w:w="120" w:type="dxa"/>
        </w:tblCellMar>
        <w:tblLook w:val="0000" w:firstRow="0" w:lastRow="0" w:firstColumn="0" w:lastColumn="0" w:noHBand="0" w:noVBand="0"/>
        <w:tblCaption w:val="Table 2, variables for volume equation"/>
        <w:tblDescription w:val="V subscript TD: “To deliver” Volume &#10;V subscript P: &quot;To deliver&quot; calibrated volume of the standard pipet &#10;V subscript B: Volume of water delivered from the buret, corrected for any calibration values&#10;"/>
      </w:tblPr>
      <w:tblGrid>
        <w:gridCol w:w="1256"/>
        <w:gridCol w:w="7164"/>
      </w:tblGrid>
      <w:tr w:rsidR="00DB312A" w:rsidRPr="008F1441" w:rsidTr="008F1441">
        <w:trPr>
          <w:cantSplit/>
          <w:jc w:val="center"/>
        </w:trPr>
        <w:tc>
          <w:tcPr>
            <w:tcW w:w="1256" w:type="dxa"/>
            <w:tcBorders>
              <w:top w:val="double" w:sz="6" w:space="0" w:color="auto"/>
              <w:left w:val="double" w:sz="6" w:space="0" w:color="auto"/>
              <w:bottom w:val="double" w:sz="6" w:space="0" w:color="auto"/>
            </w:tcBorders>
          </w:tcPr>
          <w:p w:rsidR="00DB312A" w:rsidRPr="008F1441" w:rsidRDefault="00DB312A" w:rsidP="00972C8B">
            <w:pPr>
              <w:keepNext/>
              <w:jc w:val="center"/>
              <w:rPr>
                <w:b/>
                <w:sz w:val="22"/>
              </w:rPr>
            </w:pPr>
            <w:r w:rsidRPr="008F1441">
              <w:rPr>
                <w:b/>
                <w:sz w:val="22"/>
              </w:rPr>
              <w:t>Variable</w:t>
            </w:r>
          </w:p>
        </w:tc>
        <w:tc>
          <w:tcPr>
            <w:tcW w:w="7164" w:type="dxa"/>
            <w:tcBorders>
              <w:top w:val="double" w:sz="6" w:space="0" w:color="auto"/>
              <w:left w:val="single" w:sz="6" w:space="0" w:color="auto"/>
              <w:bottom w:val="double" w:sz="6" w:space="0" w:color="auto"/>
              <w:right w:val="double" w:sz="6" w:space="0" w:color="auto"/>
            </w:tcBorders>
          </w:tcPr>
          <w:p w:rsidR="00DB312A" w:rsidRPr="008F1441" w:rsidRDefault="00DB312A" w:rsidP="00972C8B">
            <w:pPr>
              <w:keepNext/>
              <w:jc w:val="center"/>
              <w:rPr>
                <w:b/>
                <w:sz w:val="22"/>
              </w:rPr>
            </w:pPr>
            <w:r w:rsidRPr="008F1441">
              <w:rPr>
                <w:b/>
                <w:sz w:val="22"/>
              </w:rPr>
              <w:t>Description</w:t>
            </w:r>
          </w:p>
        </w:tc>
      </w:tr>
      <w:tr w:rsidR="00E27D3D" w:rsidRPr="008F1441" w:rsidTr="008F1441">
        <w:trPr>
          <w:cantSplit/>
          <w:trHeight w:val="333"/>
          <w:jc w:val="center"/>
        </w:trPr>
        <w:tc>
          <w:tcPr>
            <w:tcW w:w="1256" w:type="dxa"/>
            <w:tcBorders>
              <w:top w:val="double" w:sz="6" w:space="0" w:color="auto"/>
              <w:left w:val="double" w:sz="6" w:space="0" w:color="auto"/>
              <w:bottom w:val="single" w:sz="6" w:space="0" w:color="auto"/>
            </w:tcBorders>
            <w:vAlign w:val="center"/>
          </w:tcPr>
          <w:p w:rsidR="00E27D3D" w:rsidRPr="008F1441" w:rsidRDefault="00E27D3D" w:rsidP="00972C8B">
            <w:pPr>
              <w:keepNext/>
              <w:jc w:val="center"/>
              <w:rPr>
                <w:i/>
                <w:sz w:val="22"/>
              </w:rPr>
            </w:pPr>
            <w:r w:rsidRPr="008F1441">
              <w:rPr>
                <w:i/>
                <w:sz w:val="22"/>
              </w:rPr>
              <w:t>V</w:t>
            </w:r>
            <w:r w:rsidRPr="008F1441">
              <w:rPr>
                <w:i/>
                <w:sz w:val="22"/>
                <w:vertAlign w:val="subscript"/>
              </w:rPr>
              <w:t>TD</w:t>
            </w:r>
          </w:p>
        </w:tc>
        <w:tc>
          <w:tcPr>
            <w:tcW w:w="7164" w:type="dxa"/>
            <w:tcBorders>
              <w:top w:val="double" w:sz="6" w:space="0" w:color="auto"/>
              <w:left w:val="single" w:sz="6" w:space="0" w:color="auto"/>
              <w:bottom w:val="single" w:sz="6" w:space="0" w:color="auto"/>
              <w:right w:val="double" w:sz="6" w:space="0" w:color="auto"/>
            </w:tcBorders>
            <w:vAlign w:val="center"/>
          </w:tcPr>
          <w:p w:rsidR="00E27D3D" w:rsidRPr="008F1441" w:rsidRDefault="00E27D3D" w:rsidP="00972C8B">
            <w:pPr>
              <w:keepNext/>
              <w:rPr>
                <w:sz w:val="22"/>
              </w:rPr>
            </w:pPr>
            <w:r w:rsidRPr="008F1441">
              <w:rPr>
                <w:sz w:val="22"/>
              </w:rPr>
              <w:t xml:space="preserve">“To deliver” Volume </w:t>
            </w:r>
          </w:p>
        </w:tc>
      </w:tr>
      <w:tr w:rsidR="00DB312A" w:rsidRPr="008F1441" w:rsidTr="008F1441">
        <w:trPr>
          <w:cantSplit/>
          <w:trHeight w:val="333"/>
          <w:jc w:val="center"/>
        </w:trPr>
        <w:tc>
          <w:tcPr>
            <w:tcW w:w="1256" w:type="dxa"/>
            <w:tcBorders>
              <w:top w:val="single" w:sz="6" w:space="0" w:color="auto"/>
              <w:left w:val="double" w:sz="6" w:space="0" w:color="auto"/>
              <w:bottom w:val="single" w:sz="6" w:space="0" w:color="auto"/>
            </w:tcBorders>
            <w:vAlign w:val="center"/>
          </w:tcPr>
          <w:p w:rsidR="00DB312A" w:rsidRPr="008F1441" w:rsidRDefault="00DB312A" w:rsidP="00972C8B">
            <w:pPr>
              <w:keepNext/>
              <w:jc w:val="center"/>
              <w:rPr>
                <w:i/>
                <w:sz w:val="22"/>
              </w:rPr>
            </w:pPr>
            <w:r w:rsidRPr="008F1441">
              <w:rPr>
                <w:i/>
                <w:sz w:val="22"/>
              </w:rPr>
              <w:t>V</w:t>
            </w:r>
            <w:r w:rsidRPr="008F1441">
              <w:rPr>
                <w:i/>
                <w:sz w:val="22"/>
                <w:vertAlign w:val="subscript"/>
              </w:rPr>
              <w:t>P</w:t>
            </w:r>
          </w:p>
        </w:tc>
        <w:tc>
          <w:tcPr>
            <w:tcW w:w="7164" w:type="dxa"/>
            <w:tcBorders>
              <w:top w:val="single" w:sz="6" w:space="0" w:color="auto"/>
              <w:left w:val="single" w:sz="6" w:space="0" w:color="auto"/>
              <w:bottom w:val="single" w:sz="6" w:space="0" w:color="auto"/>
              <w:right w:val="double" w:sz="6" w:space="0" w:color="auto"/>
            </w:tcBorders>
            <w:vAlign w:val="center"/>
          </w:tcPr>
          <w:p w:rsidR="00DB312A" w:rsidRPr="008F1441" w:rsidRDefault="00DB312A" w:rsidP="00972C8B">
            <w:pPr>
              <w:keepNext/>
              <w:rPr>
                <w:sz w:val="22"/>
              </w:rPr>
            </w:pPr>
            <w:r w:rsidRPr="008F1441">
              <w:rPr>
                <w:sz w:val="22"/>
              </w:rPr>
              <w:t>"</w:t>
            </w:r>
            <w:r w:rsidR="00621EF2" w:rsidRPr="008F1441">
              <w:rPr>
                <w:sz w:val="22"/>
              </w:rPr>
              <w:t xml:space="preserve">To </w:t>
            </w:r>
            <w:r w:rsidRPr="008F1441">
              <w:rPr>
                <w:sz w:val="22"/>
              </w:rPr>
              <w:t>deliver" calibrated volume of the standard pipet</w:t>
            </w:r>
            <w:r w:rsidR="00E27D3D" w:rsidRPr="008F1441">
              <w:rPr>
                <w:sz w:val="22"/>
              </w:rPr>
              <w:t xml:space="preserve"> </w:t>
            </w:r>
          </w:p>
        </w:tc>
      </w:tr>
      <w:tr w:rsidR="00DB312A" w:rsidRPr="008F1441" w:rsidTr="008F1441">
        <w:trPr>
          <w:cantSplit/>
          <w:trHeight w:val="660"/>
          <w:jc w:val="center"/>
        </w:trPr>
        <w:tc>
          <w:tcPr>
            <w:tcW w:w="1256" w:type="dxa"/>
            <w:tcBorders>
              <w:top w:val="single" w:sz="6" w:space="0" w:color="auto"/>
              <w:left w:val="double" w:sz="6" w:space="0" w:color="auto"/>
              <w:bottom w:val="double" w:sz="6" w:space="0" w:color="auto"/>
            </w:tcBorders>
            <w:vAlign w:val="center"/>
          </w:tcPr>
          <w:p w:rsidR="00DB312A" w:rsidRPr="008F1441" w:rsidRDefault="00DB312A" w:rsidP="00972C8B">
            <w:pPr>
              <w:keepNext/>
              <w:jc w:val="center"/>
              <w:rPr>
                <w:i/>
                <w:sz w:val="22"/>
              </w:rPr>
            </w:pPr>
            <w:r w:rsidRPr="008F1441">
              <w:rPr>
                <w:i/>
                <w:sz w:val="22"/>
              </w:rPr>
              <w:t>V</w:t>
            </w:r>
            <w:r w:rsidRPr="008F1441">
              <w:rPr>
                <w:i/>
                <w:sz w:val="22"/>
                <w:vertAlign w:val="subscript"/>
              </w:rPr>
              <w:t>B</w:t>
            </w:r>
          </w:p>
        </w:tc>
        <w:tc>
          <w:tcPr>
            <w:tcW w:w="7164" w:type="dxa"/>
            <w:tcBorders>
              <w:top w:val="single" w:sz="6" w:space="0" w:color="auto"/>
              <w:left w:val="single" w:sz="6" w:space="0" w:color="auto"/>
              <w:bottom w:val="double" w:sz="6" w:space="0" w:color="auto"/>
              <w:right w:val="double" w:sz="6" w:space="0" w:color="auto"/>
            </w:tcBorders>
            <w:vAlign w:val="center"/>
          </w:tcPr>
          <w:p w:rsidR="00DB312A" w:rsidRPr="008F1441" w:rsidRDefault="00621EF2" w:rsidP="00972C8B">
            <w:pPr>
              <w:keepNext/>
              <w:rPr>
                <w:sz w:val="22"/>
              </w:rPr>
            </w:pPr>
            <w:r w:rsidRPr="008F1441">
              <w:rPr>
                <w:sz w:val="22"/>
              </w:rPr>
              <w:t xml:space="preserve">Volume </w:t>
            </w:r>
            <w:r w:rsidR="00DB312A" w:rsidRPr="008F1441">
              <w:rPr>
                <w:sz w:val="22"/>
              </w:rPr>
              <w:t xml:space="preserve">of water delivered from the </w:t>
            </w:r>
            <w:proofErr w:type="spellStart"/>
            <w:r w:rsidR="00DB312A" w:rsidRPr="008F1441">
              <w:rPr>
                <w:sz w:val="22"/>
              </w:rPr>
              <w:t>buret</w:t>
            </w:r>
            <w:proofErr w:type="spellEnd"/>
            <w:r w:rsidR="00DB312A" w:rsidRPr="008F1441">
              <w:rPr>
                <w:sz w:val="22"/>
              </w:rPr>
              <w:t>, corrected for any calibration values</w:t>
            </w:r>
          </w:p>
        </w:tc>
      </w:tr>
    </w:tbl>
    <w:p w:rsidR="00DB312A" w:rsidRDefault="00DB312A">
      <w:pPr>
        <w:jc w:val="both"/>
      </w:pPr>
    </w:p>
    <w:p w:rsidR="00DB312A" w:rsidRDefault="00DB312A" w:rsidP="00972C8B">
      <w:pPr>
        <w:pStyle w:val="Heading2"/>
      </w:pPr>
      <w:r>
        <w:t>Temperature correction</w:t>
      </w:r>
    </w:p>
    <w:p w:rsidR="00694F88" w:rsidRDefault="00DB312A" w:rsidP="00CA7215">
      <w:pPr>
        <w:pStyle w:val="BodyText"/>
        <w:ind w:left="1440"/>
      </w:pPr>
      <w:r>
        <w:t>For calibration of glassware</w:t>
      </w:r>
      <w:r w:rsidR="00561984">
        <w:t xml:space="preserve"> that is not made of borosilicate glass</w:t>
      </w:r>
      <w:r>
        <w:t>, not only should the above temperature conditions be realized</w:t>
      </w:r>
      <w:r w:rsidR="006B56AA">
        <w:t>,</w:t>
      </w:r>
      <w:r>
        <w:t xml:space="preserve"> but the water temperature must also be known</w:t>
      </w:r>
      <w:r w:rsidR="00A74E18">
        <w:t xml:space="preserve">. </w:t>
      </w:r>
      <w:r>
        <w:t>The water used must be stored in the laboratory until its tempera</w:t>
      </w:r>
      <w:r>
        <w:softHyphen/>
        <w:t>ture is equilibrated with its surroundings</w:t>
      </w:r>
      <w:r w:rsidR="00E85F75">
        <w:t>,</w:t>
      </w:r>
      <w:r>
        <w:t xml:space="preserve"> and the temperature of the discharged water is measured using the calibrated thermometer</w:t>
      </w:r>
      <w:r w:rsidR="00A74E18">
        <w:t xml:space="preserve">. </w:t>
      </w:r>
      <w:r>
        <w:t>The "</w:t>
      </w:r>
      <w:r w:rsidR="00621EF2">
        <w:t>To Deliver</w:t>
      </w:r>
      <w:r>
        <w:t xml:space="preserve">" volume of the flask, corrected to the </w:t>
      </w:r>
      <w:r w:rsidR="0011257A">
        <w:t xml:space="preserve">reference </w:t>
      </w:r>
      <w:r>
        <w:t>temperature of 20</w:t>
      </w:r>
      <w:r w:rsidR="00E27D3D">
        <w:t xml:space="preserve"> </w:t>
      </w:r>
      <w:r>
        <w:sym w:font="Symbol" w:char="F0B0"/>
      </w:r>
      <w:r>
        <w:t xml:space="preserve">C, </w:t>
      </w:r>
      <w:r w:rsidR="00E27D3D" w:rsidRPr="0036296E">
        <w:rPr>
          <w:i/>
        </w:rPr>
        <w:t>V</w:t>
      </w:r>
      <w:r w:rsidR="00E27D3D" w:rsidRPr="0036296E">
        <w:rPr>
          <w:i/>
          <w:vertAlign w:val="subscript"/>
        </w:rPr>
        <w:t>TD</w:t>
      </w:r>
      <w:r w:rsidR="00E27D3D" w:rsidRPr="00BD68DB">
        <w:rPr>
          <w:vertAlign w:val="subscript"/>
        </w:rPr>
        <w:t>20</w:t>
      </w:r>
      <w:r w:rsidR="00E27D3D">
        <w:t xml:space="preserve">, </w:t>
      </w:r>
      <w:r>
        <w:t xml:space="preserve">is computed, using </w:t>
      </w:r>
      <w:r w:rsidR="00236EAE">
        <w:t>Eqn. 2</w:t>
      </w:r>
      <w:r w:rsidR="00561984">
        <w:t>:</w:t>
      </w:r>
      <w:r>
        <w:t xml:space="preserve"> </w:t>
      </w:r>
    </w:p>
    <w:p w:rsidR="00F52003" w:rsidRDefault="00F30CAB" w:rsidP="00F30CAB">
      <w:pPr>
        <w:pStyle w:val="MTDisplayEquation"/>
        <w:keepNext/>
        <w:tabs>
          <w:tab w:val="clear" w:pos="4320"/>
          <w:tab w:val="center" w:pos="4410"/>
        </w:tabs>
        <w:spacing w:after="240"/>
        <w:jc w:val="right"/>
      </w:pPr>
      <w:r>
        <w:tab/>
      </w:r>
      <w:r w:rsidR="00D878C5" w:rsidRPr="00F52003">
        <w:rPr>
          <w:position w:val="-16"/>
        </w:rPr>
        <w:object w:dxaOrig="3100" w:dyaOrig="440">
          <v:shape id="_x0000_i1026" type="#_x0000_t75" alt="Equation 2. Volume to deliver at 20 degrees Celcius equals the volume to deliver times the quantity 1 plus the quantity of the differences in cubical coefficient of expansions, alpha and beta, times the differences in observed temperature and reference temperature. " style="width:155.25pt;height:21.75pt;mso-position-vertical:absolute" o:ole="">
            <v:imagedata r:id="rId10" o:title=""/>
          </v:shape>
          <o:OLEObject Type="Embed" ProgID="Equation.DSMT4" ShapeID="_x0000_i1026" DrawAspect="Content" ObjectID="_1618838564" r:id="rId11"/>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Eqn. (</w:instrText>
      </w:r>
      <w:r w:rsidR="00BF2302">
        <w:rPr>
          <w:noProof/>
        </w:rPr>
        <w:fldChar w:fldCharType="begin"/>
      </w:r>
      <w:r w:rsidR="00BF2302">
        <w:rPr>
          <w:noProof/>
        </w:rPr>
        <w:instrText xml:space="preserve"> SEQ MTEqn \c \* Arabic \* MERGEFORMAT </w:instrText>
      </w:r>
      <w:r w:rsidR="00BF2302">
        <w:rPr>
          <w:noProof/>
        </w:rPr>
        <w:fldChar w:fldCharType="separate"/>
      </w:r>
      <w:r w:rsidR="00CA7215">
        <w:rPr>
          <w:noProof/>
        </w:rPr>
        <w:instrText>2</w:instrText>
      </w:r>
      <w:r w:rsidR="00BF2302">
        <w:rPr>
          <w:noProof/>
        </w:rPr>
        <w:fldChar w:fldCharType="end"/>
      </w:r>
      <w:r>
        <w:instrText>)</w:instrText>
      </w:r>
      <w:r>
        <w:fldChar w:fldCharType="end"/>
      </w:r>
    </w:p>
    <w:p w:rsidR="009C5916" w:rsidRPr="00F52003" w:rsidRDefault="009C5916" w:rsidP="00F30CAB">
      <w:pPr>
        <w:pStyle w:val="Table"/>
      </w:pPr>
      <w:r w:rsidRPr="00F52003">
        <w:t xml:space="preserve">Table </w:t>
      </w:r>
      <w:r w:rsidR="001065AF">
        <w:rPr>
          <w:noProof/>
        </w:rPr>
        <w:fldChar w:fldCharType="begin"/>
      </w:r>
      <w:r w:rsidR="001065AF">
        <w:rPr>
          <w:noProof/>
        </w:rPr>
        <w:instrText xml:space="preserve"> SEQ Table \* ARABIC </w:instrText>
      </w:r>
      <w:r w:rsidR="001065AF">
        <w:rPr>
          <w:noProof/>
        </w:rPr>
        <w:fldChar w:fldCharType="separate"/>
      </w:r>
      <w:r w:rsidR="00CA7215">
        <w:rPr>
          <w:noProof/>
        </w:rPr>
        <w:t>3</w:t>
      </w:r>
      <w:r w:rsidR="001065AF">
        <w:rPr>
          <w:noProof/>
        </w:rPr>
        <w:fldChar w:fldCharType="end"/>
      </w:r>
      <w:r w:rsidRPr="00F52003">
        <w:t>. Variables for volume temperature correction equation.</w:t>
      </w:r>
    </w:p>
    <w:tbl>
      <w:tblPr>
        <w:tblW w:w="0" w:type="auto"/>
        <w:jc w:val="center"/>
        <w:tblLayout w:type="fixed"/>
        <w:tblCellMar>
          <w:left w:w="120" w:type="dxa"/>
          <w:right w:w="120" w:type="dxa"/>
        </w:tblCellMar>
        <w:tblLook w:val="0000" w:firstRow="0" w:lastRow="0" w:firstColumn="0" w:lastColumn="0" w:noHBand="0" w:noVBand="0"/>
        <w:tblCaption w:val="Variables for volume temperature correction equation"/>
        <w:tblDescription w:val="V subscript TD: observed delivered volume as computed in 3.1&#10;V subscript TD20: “To deliver” volume at the reference temperature of 20 degrees C&#10;t: Temperature of water at time of calibration&#10;alpha: Cubical coefficient of expansion of glass of standard (e.g., 0.000010 °C-1 for borosilicate glass)&#10;beta: Cubical coefficient of expansion of glass of flask (e.g., 0.000025 °C-1 for soda-lime glass)&#10;"/>
      </w:tblPr>
      <w:tblGrid>
        <w:gridCol w:w="1692"/>
        <w:gridCol w:w="7355"/>
      </w:tblGrid>
      <w:tr w:rsidR="00DB312A" w:rsidRPr="008F1441" w:rsidTr="00D878C5">
        <w:trPr>
          <w:trHeight w:val="281"/>
          <w:jc w:val="center"/>
        </w:trPr>
        <w:tc>
          <w:tcPr>
            <w:tcW w:w="1692" w:type="dxa"/>
            <w:tcBorders>
              <w:top w:val="double" w:sz="6" w:space="0" w:color="auto"/>
              <w:left w:val="double" w:sz="6" w:space="0" w:color="auto"/>
            </w:tcBorders>
          </w:tcPr>
          <w:p w:rsidR="00DB312A" w:rsidRPr="008F1441" w:rsidRDefault="00DB312A">
            <w:pPr>
              <w:jc w:val="center"/>
              <w:rPr>
                <w:b/>
                <w:sz w:val="22"/>
              </w:rPr>
            </w:pPr>
            <w:r w:rsidRPr="008F1441">
              <w:rPr>
                <w:b/>
                <w:sz w:val="22"/>
              </w:rPr>
              <w:t xml:space="preserve"> Variable</w:t>
            </w:r>
          </w:p>
        </w:tc>
        <w:tc>
          <w:tcPr>
            <w:tcW w:w="7355" w:type="dxa"/>
            <w:tcBorders>
              <w:top w:val="double" w:sz="6" w:space="0" w:color="auto"/>
              <w:left w:val="single" w:sz="6" w:space="0" w:color="auto"/>
              <w:right w:val="double" w:sz="6" w:space="0" w:color="auto"/>
            </w:tcBorders>
          </w:tcPr>
          <w:p w:rsidR="00DB312A" w:rsidRPr="008F1441" w:rsidRDefault="00DB312A">
            <w:pPr>
              <w:jc w:val="center"/>
              <w:rPr>
                <w:b/>
                <w:sz w:val="22"/>
              </w:rPr>
            </w:pPr>
            <w:r w:rsidRPr="008F1441">
              <w:rPr>
                <w:b/>
                <w:sz w:val="22"/>
              </w:rPr>
              <w:t>Description</w:t>
            </w:r>
          </w:p>
        </w:tc>
      </w:tr>
      <w:tr w:rsidR="00DB312A" w:rsidRPr="008F1441" w:rsidTr="00D878C5">
        <w:trPr>
          <w:trHeight w:val="281"/>
          <w:jc w:val="center"/>
        </w:trPr>
        <w:tc>
          <w:tcPr>
            <w:tcW w:w="1692" w:type="dxa"/>
            <w:tcBorders>
              <w:top w:val="double" w:sz="6" w:space="0" w:color="auto"/>
              <w:left w:val="double" w:sz="6" w:space="0" w:color="auto"/>
            </w:tcBorders>
            <w:vAlign w:val="center"/>
          </w:tcPr>
          <w:p w:rsidR="00DB312A" w:rsidRPr="008F1441" w:rsidRDefault="00DB312A" w:rsidP="00CF2916">
            <w:pPr>
              <w:jc w:val="center"/>
              <w:rPr>
                <w:i/>
                <w:sz w:val="22"/>
              </w:rPr>
            </w:pPr>
            <w:r w:rsidRPr="008F1441">
              <w:rPr>
                <w:i/>
                <w:sz w:val="22"/>
              </w:rPr>
              <w:t>V</w:t>
            </w:r>
            <w:r w:rsidRPr="008F1441">
              <w:rPr>
                <w:i/>
                <w:sz w:val="22"/>
                <w:vertAlign w:val="subscript"/>
              </w:rPr>
              <w:t>TD</w:t>
            </w:r>
          </w:p>
        </w:tc>
        <w:tc>
          <w:tcPr>
            <w:tcW w:w="7355" w:type="dxa"/>
            <w:tcBorders>
              <w:top w:val="double" w:sz="6" w:space="0" w:color="auto"/>
              <w:left w:val="single" w:sz="6" w:space="0" w:color="auto"/>
              <w:right w:val="double" w:sz="6" w:space="0" w:color="auto"/>
            </w:tcBorders>
            <w:vAlign w:val="center"/>
          </w:tcPr>
          <w:p w:rsidR="00DB312A" w:rsidRPr="008F1441" w:rsidRDefault="00DB312A" w:rsidP="00CF2916">
            <w:pPr>
              <w:rPr>
                <w:sz w:val="22"/>
              </w:rPr>
            </w:pPr>
            <w:r w:rsidRPr="008F1441">
              <w:rPr>
                <w:sz w:val="22"/>
              </w:rPr>
              <w:t>observed delivered volume as computed in 3.1</w:t>
            </w:r>
          </w:p>
        </w:tc>
      </w:tr>
      <w:tr w:rsidR="00E27D3D" w:rsidRPr="008F1441" w:rsidTr="00D878C5">
        <w:trPr>
          <w:trHeight w:val="296"/>
          <w:jc w:val="center"/>
        </w:trPr>
        <w:tc>
          <w:tcPr>
            <w:tcW w:w="1692" w:type="dxa"/>
            <w:tcBorders>
              <w:top w:val="single" w:sz="6" w:space="0" w:color="auto"/>
              <w:left w:val="double" w:sz="6" w:space="0" w:color="auto"/>
            </w:tcBorders>
            <w:vAlign w:val="center"/>
          </w:tcPr>
          <w:p w:rsidR="00E27D3D" w:rsidRPr="008F1441" w:rsidRDefault="00E27D3D" w:rsidP="00CF2916">
            <w:pPr>
              <w:jc w:val="center"/>
              <w:rPr>
                <w:i/>
                <w:sz w:val="22"/>
              </w:rPr>
            </w:pPr>
            <w:r w:rsidRPr="008F1441">
              <w:rPr>
                <w:i/>
                <w:sz w:val="22"/>
              </w:rPr>
              <w:t>V</w:t>
            </w:r>
            <w:r w:rsidRPr="008F1441">
              <w:rPr>
                <w:i/>
                <w:sz w:val="22"/>
                <w:vertAlign w:val="subscript"/>
              </w:rPr>
              <w:t>TD</w:t>
            </w:r>
            <w:r w:rsidRPr="008F1441">
              <w:rPr>
                <w:sz w:val="22"/>
                <w:vertAlign w:val="subscript"/>
              </w:rPr>
              <w:t>20</w:t>
            </w:r>
          </w:p>
        </w:tc>
        <w:tc>
          <w:tcPr>
            <w:tcW w:w="7355" w:type="dxa"/>
            <w:tcBorders>
              <w:top w:val="single" w:sz="6" w:space="0" w:color="auto"/>
              <w:left w:val="single" w:sz="6" w:space="0" w:color="auto"/>
              <w:right w:val="double" w:sz="6" w:space="0" w:color="auto"/>
            </w:tcBorders>
            <w:vAlign w:val="center"/>
          </w:tcPr>
          <w:p w:rsidR="00E27D3D" w:rsidRPr="008F1441" w:rsidRDefault="00E27D3D" w:rsidP="00CF2916">
            <w:pPr>
              <w:rPr>
                <w:sz w:val="22"/>
              </w:rPr>
            </w:pPr>
            <w:r w:rsidRPr="008F1441">
              <w:rPr>
                <w:sz w:val="22"/>
              </w:rPr>
              <w:t xml:space="preserve">“To deliver” volume at the reference temperature of 20 </w:t>
            </w:r>
            <w:r w:rsidRPr="008F1441">
              <w:rPr>
                <w:sz w:val="22"/>
              </w:rPr>
              <w:sym w:font="Symbol" w:char="F0B0"/>
            </w:r>
            <w:r w:rsidRPr="008F1441">
              <w:rPr>
                <w:sz w:val="22"/>
              </w:rPr>
              <w:t>C</w:t>
            </w:r>
          </w:p>
        </w:tc>
      </w:tr>
      <w:tr w:rsidR="00DB312A" w:rsidRPr="008F1441" w:rsidTr="00D878C5">
        <w:trPr>
          <w:trHeight w:val="281"/>
          <w:jc w:val="center"/>
        </w:trPr>
        <w:tc>
          <w:tcPr>
            <w:tcW w:w="1692" w:type="dxa"/>
            <w:tcBorders>
              <w:top w:val="single" w:sz="6" w:space="0" w:color="auto"/>
              <w:left w:val="double" w:sz="6" w:space="0" w:color="auto"/>
            </w:tcBorders>
            <w:vAlign w:val="center"/>
          </w:tcPr>
          <w:p w:rsidR="00DB312A" w:rsidRPr="008F1441" w:rsidRDefault="00DB312A" w:rsidP="00CF2916">
            <w:pPr>
              <w:jc w:val="center"/>
              <w:rPr>
                <w:i/>
                <w:sz w:val="22"/>
              </w:rPr>
            </w:pPr>
            <w:r w:rsidRPr="008F1441">
              <w:rPr>
                <w:i/>
                <w:sz w:val="22"/>
              </w:rPr>
              <w:t>t</w:t>
            </w:r>
          </w:p>
        </w:tc>
        <w:tc>
          <w:tcPr>
            <w:tcW w:w="7355" w:type="dxa"/>
            <w:tcBorders>
              <w:top w:val="single" w:sz="6" w:space="0" w:color="auto"/>
              <w:left w:val="single" w:sz="6" w:space="0" w:color="auto"/>
              <w:right w:val="double" w:sz="6" w:space="0" w:color="auto"/>
            </w:tcBorders>
            <w:vAlign w:val="center"/>
          </w:tcPr>
          <w:p w:rsidR="00DB312A" w:rsidRPr="008F1441" w:rsidRDefault="00621EF2" w:rsidP="00CF2916">
            <w:pPr>
              <w:rPr>
                <w:sz w:val="22"/>
              </w:rPr>
            </w:pPr>
            <w:r w:rsidRPr="008F1441">
              <w:rPr>
                <w:sz w:val="22"/>
              </w:rPr>
              <w:t xml:space="preserve">Temperature </w:t>
            </w:r>
            <w:r w:rsidR="00DB312A" w:rsidRPr="008F1441">
              <w:rPr>
                <w:sz w:val="22"/>
              </w:rPr>
              <w:t>of water at time of calibration</w:t>
            </w:r>
          </w:p>
        </w:tc>
      </w:tr>
      <w:tr w:rsidR="00DB312A" w:rsidRPr="008F1441" w:rsidTr="00D878C5">
        <w:trPr>
          <w:trHeight w:val="549"/>
          <w:jc w:val="center"/>
        </w:trPr>
        <w:tc>
          <w:tcPr>
            <w:tcW w:w="1692" w:type="dxa"/>
            <w:tcBorders>
              <w:top w:val="single" w:sz="6" w:space="0" w:color="auto"/>
              <w:left w:val="double" w:sz="6" w:space="0" w:color="auto"/>
            </w:tcBorders>
            <w:vAlign w:val="center"/>
          </w:tcPr>
          <w:p w:rsidR="00DB312A" w:rsidRPr="008F1441" w:rsidRDefault="00DB312A" w:rsidP="00CF2916">
            <w:pPr>
              <w:jc w:val="center"/>
              <w:rPr>
                <w:i/>
                <w:sz w:val="22"/>
              </w:rPr>
            </w:pPr>
            <w:r w:rsidRPr="008F1441">
              <w:rPr>
                <w:i/>
                <w:sz w:val="22"/>
              </w:rPr>
              <w:sym w:font="Symbol" w:char="F061"/>
            </w:r>
          </w:p>
        </w:tc>
        <w:tc>
          <w:tcPr>
            <w:tcW w:w="7355" w:type="dxa"/>
            <w:tcBorders>
              <w:top w:val="single" w:sz="6" w:space="0" w:color="auto"/>
              <w:left w:val="single" w:sz="6" w:space="0" w:color="auto"/>
              <w:right w:val="double" w:sz="6" w:space="0" w:color="auto"/>
            </w:tcBorders>
            <w:vAlign w:val="center"/>
          </w:tcPr>
          <w:p w:rsidR="00DB312A" w:rsidRPr="008F1441" w:rsidRDefault="00621EF2" w:rsidP="00CF2916">
            <w:pPr>
              <w:rPr>
                <w:sz w:val="22"/>
              </w:rPr>
            </w:pPr>
            <w:r w:rsidRPr="008F1441">
              <w:rPr>
                <w:sz w:val="22"/>
              </w:rPr>
              <w:t>C</w:t>
            </w:r>
            <w:r w:rsidR="00DB312A" w:rsidRPr="008F1441">
              <w:rPr>
                <w:sz w:val="22"/>
              </w:rPr>
              <w:t>ubical coefficient of expansion of glass of standard (e.g.</w:t>
            </w:r>
            <w:r w:rsidR="00E27D3D" w:rsidRPr="008F1441">
              <w:rPr>
                <w:sz w:val="22"/>
              </w:rPr>
              <w:t>,</w:t>
            </w:r>
            <w:r w:rsidR="00DB312A" w:rsidRPr="008F1441">
              <w:rPr>
                <w:sz w:val="22"/>
              </w:rPr>
              <w:t xml:space="preserve"> 0.000010 °C</w:t>
            </w:r>
            <w:r w:rsidR="00DB312A" w:rsidRPr="008F1441">
              <w:rPr>
                <w:sz w:val="22"/>
                <w:vertAlign w:val="superscript"/>
              </w:rPr>
              <w:t>-1</w:t>
            </w:r>
            <w:r w:rsidR="00DB312A" w:rsidRPr="008F1441">
              <w:rPr>
                <w:sz w:val="22"/>
              </w:rPr>
              <w:t xml:space="preserve"> for borosilicate glass)</w:t>
            </w:r>
          </w:p>
        </w:tc>
      </w:tr>
      <w:tr w:rsidR="00DB312A" w:rsidRPr="008F1441" w:rsidTr="00D878C5">
        <w:trPr>
          <w:trHeight w:val="563"/>
          <w:jc w:val="center"/>
        </w:trPr>
        <w:tc>
          <w:tcPr>
            <w:tcW w:w="1692" w:type="dxa"/>
            <w:tcBorders>
              <w:top w:val="single" w:sz="6" w:space="0" w:color="auto"/>
              <w:left w:val="double" w:sz="6" w:space="0" w:color="auto"/>
              <w:bottom w:val="double" w:sz="6" w:space="0" w:color="auto"/>
            </w:tcBorders>
            <w:vAlign w:val="center"/>
          </w:tcPr>
          <w:p w:rsidR="00DB312A" w:rsidRPr="008F1441" w:rsidRDefault="00DB312A" w:rsidP="00CF2916">
            <w:pPr>
              <w:jc w:val="center"/>
              <w:rPr>
                <w:i/>
                <w:sz w:val="22"/>
              </w:rPr>
            </w:pPr>
            <w:r w:rsidRPr="008F1441">
              <w:rPr>
                <w:i/>
                <w:sz w:val="22"/>
              </w:rPr>
              <w:sym w:font="Symbol" w:char="F062"/>
            </w:r>
          </w:p>
        </w:tc>
        <w:tc>
          <w:tcPr>
            <w:tcW w:w="7355" w:type="dxa"/>
            <w:tcBorders>
              <w:top w:val="single" w:sz="6" w:space="0" w:color="auto"/>
              <w:left w:val="single" w:sz="6" w:space="0" w:color="auto"/>
              <w:bottom w:val="double" w:sz="6" w:space="0" w:color="auto"/>
              <w:right w:val="double" w:sz="6" w:space="0" w:color="auto"/>
            </w:tcBorders>
            <w:vAlign w:val="center"/>
          </w:tcPr>
          <w:p w:rsidR="00DB312A" w:rsidRPr="008F1441" w:rsidRDefault="00621EF2" w:rsidP="00CF2916">
            <w:pPr>
              <w:rPr>
                <w:sz w:val="22"/>
              </w:rPr>
            </w:pPr>
            <w:r w:rsidRPr="008F1441">
              <w:rPr>
                <w:sz w:val="22"/>
              </w:rPr>
              <w:t xml:space="preserve">Cubical </w:t>
            </w:r>
            <w:r w:rsidR="00DB312A" w:rsidRPr="008F1441">
              <w:rPr>
                <w:sz w:val="22"/>
              </w:rPr>
              <w:t>coefficient of expansion of glass of flask (e.g., 0.000025 °C</w:t>
            </w:r>
            <w:r w:rsidR="00DB312A" w:rsidRPr="008F1441">
              <w:rPr>
                <w:sz w:val="22"/>
                <w:vertAlign w:val="superscript"/>
              </w:rPr>
              <w:t xml:space="preserve">-1 </w:t>
            </w:r>
            <w:r w:rsidR="00DB312A" w:rsidRPr="008F1441">
              <w:rPr>
                <w:sz w:val="22"/>
              </w:rPr>
              <w:t>for soda-lime glass)</w:t>
            </w:r>
          </w:p>
        </w:tc>
      </w:tr>
    </w:tbl>
    <w:p w:rsidR="00DB312A" w:rsidRDefault="00DB312A">
      <w:pPr>
        <w:jc w:val="both"/>
      </w:pPr>
    </w:p>
    <w:p w:rsidR="00DB312A" w:rsidRPr="00175092" w:rsidRDefault="00DB312A" w:rsidP="00CA7215">
      <w:pPr>
        <w:pStyle w:val="BodyText"/>
        <w:ind w:left="1440"/>
        <w:rPr>
          <w:i/>
        </w:rPr>
      </w:pPr>
      <w:r>
        <w:t xml:space="preserve">The volumetric standards are </w:t>
      </w:r>
      <w:r w:rsidR="00561984">
        <w:t xml:space="preserve">typically </w:t>
      </w:r>
      <w:r>
        <w:t>made of borosilicate glass</w:t>
      </w:r>
      <w:r w:rsidR="00A74E18">
        <w:t xml:space="preserve">. </w:t>
      </w:r>
      <w:r>
        <w:t>If borosilicate flasks are calibrated, no temperature correction is required</w:t>
      </w:r>
      <w:r w:rsidR="00A74E18">
        <w:t xml:space="preserve">. </w:t>
      </w:r>
      <w:r>
        <w:t>This procedure relies on the fact that since deliveries are made over a short time, the temperature remains the same in the standard as in the unknown</w:t>
      </w:r>
      <w:r w:rsidR="00A74E18">
        <w:t xml:space="preserve">. </w:t>
      </w:r>
      <w:r w:rsidRPr="00175092">
        <w:rPr>
          <w:i/>
        </w:rPr>
        <w:t xml:space="preserve">When standards and flasks are not of the same material, the water temperature change must be </w:t>
      </w:r>
      <w:r w:rsidR="0025437D" w:rsidRPr="00175092">
        <w:rPr>
          <w:i/>
        </w:rPr>
        <w:t xml:space="preserve">less than </w:t>
      </w:r>
      <w:r w:rsidRPr="00175092">
        <w:rPr>
          <w:i/>
        </w:rPr>
        <w:t xml:space="preserve">0.5 </w:t>
      </w:r>
      <w:r w:rsidRPr="00BD68DB">
        <w:sym w:font="Symbol" w:char="F0B0"/>
      </w:r>
      <w:r w:rsidRPr="00BD68DB">
        <w:t>C</w:t>
      </w:r>
      <w:r w:rsidRPr="00175092">
        <w:rPr>
          <w:i/>
        </w:rPr>
        <w:t xml:space="preserve"> while </w:t>
      </w:r>
      <w:r w:rsidR="00B70422" w:rsidRPr="00175092">
        <w:rPr>
          <w:i/>
        </w:rPr>
        <w:t>the</w:t>
      </w:r>
      <w:r w:rsidR="00B70422" w:rsidRPr="00175092" w:rsidDel="008A0B31">
        <w:rPr>
          <w:i/>
        </w:rPr>
        <w:t xml:space="preserve"> </w:t>
      </w:r>
      <w:r w:rsidR="008A0B31" w:rsidRPr="00175092">
        <w:rPr>
          <w:i/>
        </w:rPr>
        <w:t xml:space="preserve">water </w:t>
      </w:r>
      <w:r w:rsidRPr="00175092">
        <w:rPr>
          <w:i/>
        </w:rPr>
        <w:t>is in the standards and the flask</w:t>
      </w:r>
      <w:r w:rsidR="00A74E18">
        <w:rPr>
          <w:i/>
        </w:rPr>
        <w:t xml:space="preserve">. </w:t>
      </w:r>
    </w:p>
    <w:p w:rsidR="00797CEC" w:rsidRDefault="00797CEC" w:rsidP="00972C8B">
      <w:pPr>
        <w:pStyle w:val="Heading2"/>
      </w:pPr>
      <w:r>
        <w:t>Alternative Reference Temperatures</w:t>
      </w:r>
    </w:p>
    <w:p w:rsidR="00797CEC" w:rsidRDefault="00797CEC" w:rsidP="00CA7215">
      <w:pPr>
        <w:pStyle w:val="BodyText"/>
        <w:ind w:left="1440"/>
      </w:pPr>
      <w:r>
        <w:t>Reference temperatures other than 20 ºC (68 ºF) may occasionally be used. Common reference temperatures for other liquids follow:</w:t>
      </w:r>
    </w:p>
    <w:p w:rsidR="00797CEC" w:rsidRDefault="00797CEC" w:rsidP="00797CEC">
      <w:pPr>
        <w:pStyle w:val="a2Technical"/>
        <w:keepNext/>
        <w:keepLines/>
        <w:spacing w:line="240" w:lineRule="exact"/>
        <w:jc w:val="both"/>
        <w:rPr>
          <w:rFonts w:ascii="Times New Roman" w:hAnsi="Times New Roman"/>
        </w:rPr>
      </w:pPr>
    </w:p>
    <w:p w:rsidR="008F1441" w:rsidRPr="00F52003" w:rsidRDefault="008F1441" w:rsidP="00175F7F">
      <w:pPr>
        <w:pStyle w:val="Table"/>
      </w:pPr>
      <w:r w:rsidRPr="00F52003">
        <w:t xml:space="preserve">Table </w:t>
      </w:r>
      <w:r w:rsidR="001065AF">
        <w:rPr>
          <w:noProof/>
        </w:rPr>
        <w:fldChar w:fldCharType="begin"/>
      </w:r>
      <w:r w:rsidR="001065AF">
        <w:rPr>
          <w:noProof/>
        </w:rPr>
        <w:instrText xml:space="preserve"> SEQ Table \* ARABIC </w:instrText>
      </w:r>
      <w:r w:rsidR="001065AF">
        <w:rPr>
          <w:noProof/>
        </w:rPr>
        <w:fldChar w:fldCharType="separate"/>
      </w:r>
      <w:r w:rsidR="00CA7215">
        <w:rPr>
          <w:noProof/>
        </w:rPr>
        <w:t>4</w:t>
      </w:r>
      <w:r w:rsidR="001065AF">
        <w:rPr>
          <w:noProof/>
        </w:rPr>
        <w:fldChar w:fldCharType="end"/>
      </w:r>
      <w:r w:rsidRPr="00F52003">
        <w:t>. Reference temperatures for flasks.</w:t>
      </w:r>
    </w:p>
    <w:tbl>
      <w:tblPr>
        <w:tblW w:w="0" w:type="auto"/>
        <w:tblInd w:w="34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Caption w:val="Reference temperatures for flasks based on various commodities"/>
        <w:tblDescription w:val="Frozen food labeled by volume (e.g., fruit juice): - 18 ºC (0 ºF)&#10;Beer:  3.9 ºC (39.1 ºF)&#10;Food that must be kept refrigerated (e.g., milk): 4.4 ºC (40 ºF)&#10;Distilled spirits or petroleum; 15.56 ºC (60 ºF)&#10;Petroleum (International Reference): 15 ºC (59 ºF)&#10;Wine: 20 ºC (68 ºF)&#10;Unrefrigerated liquids (e.g., sold unchilled, like soft drinks): 20 ºC (68 ºF)&#10;Petroleum (Hawaii): 26.67 ºC (80 ºF)&#10;"/>
      </w:tblPr>
      <w:tblGrid>
        <w:gridCol w:w="5940"/>
        <w:gridCol w:w="3045"/>
      </w:tblGrid>
      <w:tr w:rsidR="00797CEC" w:rsidRPr="008F1441" w:rsidTr="008F1441">
        <w:trPr>
          <w:trHeight w:val="270"/>
        </w:trPr>
        <w:tc>
          <w:tcPr>
            <w:tcW w:w="5940" w:type="dxa"/>
            <w:tcBorders>
              <w:top w:val="double" w:sz="4" w:space="0" w:color="auto"/>
              <w:bottom w:val="double" w:sz="4" w:space="0" w:color="auto"/>
            </w:tcBorders>
            <w:shd w:val="clear" w:color="auto" w:fill="auto"/>
            <w:vAlign w:val="center"/>
          </w:tcPr>
          <w:p w:rsidR="00797CEC" w:rsidRPr="008F1441" w:rsidRDefault="00797CEC" w:rsidP="00175F7F">
            <w:pPr>
              <w:pStyle w:val="a2Technical"/>
              <w:spacing w:line="240" w:lineRule="exact"/>
              <w:ind w:left="0"/>
              <w:jc w:val="center"/>
              <w:rPr>
                <w:rFonts w:ascii="Times New Roman" w:hAnsi="Times New Roman"/>
                <w:b/>
                <w:sz w:val="22"/>
              </w:rPr>
            </w:pPr>
            <w:r w:rsidRPr="008F1441">
              <w:rPr>
                <w:rFonts w:ascii="Times New Roman" w:hAnsi="Times New Roman"/>
                <w:b/>
                <w:sz w:val="22"/>
              </w:rPr>
              <w:t>Commodity</w:t>
            </w:r>
          </w:p>
        </w:tc>
        <w:tc>
          <w:tcPr>
            <w:tcW w:w="3045" w:type="dxa"/>
            <w:tcBorders>
              <w:top w:val="double" w:sz="4" w:space="0" w:color="auto"/>
              <w:bottom w:val="double" w:sz="4" w:space="0" w:color="auto"/>
            </w:tcBorders>
            <w:shd w:val="clear" w:color="auto" w:fill="auto"/>
            <w:vAlign w:val="center"/>
          </w:tcPr>
          <w:p w:rsidR="00797CEC" w:rsidRPr="008F1441" w:rsidRDefault="00797CEC" w:rsidP="00175F7F">
            <w:pPr>
              <w:pStyle w:val="a2Technical"/>
              <w:spacing w:line="240" w:lineRule="exact"/>
              <w:ind w:left="0"/>
              <w:jc w:val="center"/>
              <w:rPr>
                <w:rFonts w:ascii="Times New Roman" w:hAnsi="Times New Roman"/>
                <w:b/>
                <w:sz w:val="22"/>
              </w:rPr>
            </w:pPr>
            <w:r w:rsidRPr="008F1441">
              <w:rPr>
                <w:rFonts w:ascii="Times New Roman" w:hAnsi="Times New Roman"/>
                <w:b/>
                <w:sz w:val="22"/>
              </w:rPr>
              <w:t>Reference Temperature</w:t>
            </w:r>
          </w:p>
        </w:tc>
      </w:tr>
      <w:tr w:rsidR="00797CEC" w:rsidRPr="008F1441" w:rsidTr="008F1441">
        <w:trPr>
          <w:trHeight w:val="270"/>
        </w:trPr>
        <w:tc>
          <w:tcPr>
            <w:tcW w:w="5940" w:type="dxa"/>
            <w:tcBorders>
              <w:top w:val="double" w:sz="4" w:space="0" w:color="auto"/>
            </w:tcBorders>
            <w:shd w:val="clear" w:color="auto" w:fill="auto"/>
            <w:vAlign w:val="center"/>
          </w:tcPr>
          <w:p w:rsidR="00797CEC" w:rsidRPr="008F1441" w:rsidRDefault="00797CEC" w:rsidP="00175F7F">
            <w:pPr>
              <w:pStyle w:val="a2Technical"/>
              <w:spacing w:line="240" w:lineRule="exact"/>
              <w:ind w:left="0"/>
              <w:rPr>
                <w:rFonts w:ascii="Times New Roman" w:hAnsi="Times New Roman"/>
                <w:sz w:val="22"/>
              </w:rPr>
            </w:pPr>
            <w:r w:rsidRPr="008F1441">
              <w:rPr>
                <w:rFonts w:ascii="Times New Roman" w:hAnsi="Times New Roman"/>
                <w:sz w:val="22"/>
              </w:rPr>
              <w:t>Frozen food labeled by volume (e.g., fruit juice)</w:t>
            </w:r>
          </w:p>
        </w:tc>
        <w:tc>
          <w:tcPr>
            <w:tcW w:w="3045" w:type="dxa"/>
            <w:tcBorders>
              <w:top w:val="double" w:sz="4" w:space="0" w:color="auto"/>
            </w:tcBorders>
            <w:shd w:val="clear" w:color="auto" w:fill="auto"/>
            <w:vAlign w:val="center"/>
          </w:tcPr>
          <w:p w:rsidR="00797CEC" w:rsidRPr="008F1441" w:rsidRDefault="00797CEC" w:rsidP="00175F7F">
            <w:pPr>
              <w:pStyle w:val="a2Technical"/>
              <w:spacing w:line="240" w:lineRule="exact"/>
              <w:ind w:left="0"/>
              <w:jc w:val="center"/>
              <w:rPr>
                <w:rFonts w:ascii="Times New Roman" w:hAnsi="Times New Roman"/>
                <w:sz w:val="22"/>
              </w:rPr>
            </w:pPr>
            <w:r w:rsidRPr="008F1441">
              <w:rPr>
                <w:rFonts w:ascii="Times New Roman" w:hAnsi="Times New Roman"/>
                <w:sz w:val="22"/>
              </w:rPr>
              <w:t>- 18 ºC (0 ºF)</w:t>
            </w:r>
          </w:p>
        </w:tc>
      </w:tr>
      <w:tr w:rsidR="00797CEC" w:rsidRPr="008F1441" w:rsidTr="008F1441">
        <w:trPr>
          <w:trHeight w:val="270"/>
        </w:trPr>
        <w:tc>
          <w:tcPr>
            <w:tcW w:w="5940" w:type="dxa"/>
            <w:shd w:val="clear" w:color="auto" w:fill="auto"/>
            <w:vAlign w:val="center"/>
          </w:tcPr>
          <w:p w:rsidR="00797CEC" w:rsidRPr="008F1441" w:rsidRDefault="00797CEC" w:rsidP="00175F7F">
            <w:pPr>
              <w:pStyle w:val="a2Technical"/>
              <w:spacing w:line="240" w:lineRule="exact"/>
              <w:ind w:left="0"/>
              <w:rPr>
                <w:rFonts w:ascii="Times New Roman" w:hAnsi="Times New Roman"/>
                <w:sz w:val="22"/>
              </w:rPr>
            </w:pPr>
            <w:r w:rsidRPr="008F1441">
              <w:rPr>
                <w:rFonts w:ascii="Times New Roman" w:hAnsi="Times New Roman"/>
                <w:sz w:val="22"/>
              </w:rPr>
              <w:t>Beer</w:t>
            </w:r>
          </w:p>
        </w:tc>
        <w:tc>
          <w:tcPr>
            <w:tcW w:w="3045" w:type="dxa"/>
            <w:shd w:val="clear" w:color="auto" w:fill="auto"/>
            <w:vAlign w:val="center"/>
          </w:tcPr>
          <w:p w:rsidR="00797CEC" w:rsidRPr="008F1441" w:rsidRDefault="00797CEC" w:rsidP="00175F7F">
            <w:pPr>
              <w:pStyle w:val="a2Technical"/>
              <w:spacing w:line="240" w:lineRule="exact"/>
              <w:ind w:left="0"/>
              <w:jc w:val="center"/>
              <w:rPr>
                <w:rFonts w:ascii="Times New Roman" w:hAnsi="Times New Roman"/>
                <w:sz w:val="22"/>
              </w:rPr>
            </w:pPr>
            <w:r w:rsidRPr="008F1441">
              <w:rPr>
                <w:rFonts w:ascii="Times New Roman" w:hAnsi="Times New Roman"/>
                <w:sz w:val="22"/>
              </w:rPr>
              <w:t>3.9 ºC (39.1 ºF)</w:t>
            </w:r>
          </w:p>
        </w:tc>
      </w:tr>
      <w:tr w:rsidR="00797CEC" w:rsidRPr="008F1441" w:rsidTr="008F1441">
        <w:trPr>
          <w:trHeight w:val="270"/>
        </w:trPr>
        <w:tc>
          <w:tcPr>
            <w:tcW w:w="5940" w:type="dxa"/>
            <w:shd w:val="clear" w:color="auto" w:fill="auto"/>
            <w:vAlign w:val="center"/>
          </w:tcPr>
          <w:p w:rsidR="00797CEC" w:rsidRPr="008F1441" w:rsidRDefault="00797CEC" w:rsidP="00175F7F">
            <w:pPr>
              <w:pStyle w:val="a2Technical"/>
              <w:spacing w:line="240" w:lineRule="exact"/>
              <w:ind w:left="0"/>
              <w:rPr>
                <w:rFonts w:ascii="Times New Roman" w:hAnsi="Times New Roman"/>
                <w:sz w:val="22"/>
              </w:rPr>
            </w:pPr>
            <w:r w:rsidRPr="008F1441">
              <w:rPr>
                <w:rFonts w:ascii="Times New Roman" w:hAnsi="Times New Roman"/>
                <w:sz w:val="22"/>
              </w:rPr>
              <w:t>Food that must be kept refrigerated (e.g., milk)</w:t>
            </w:r>
          </w:p>
        </w:tc>
        <w:tc>
          <w:tcPr>
            <w:tcW w:w="3045" w:type="dxa"/>
            <w:shd w:val="clear" w:color="auto" w:fill="auto"/>
            <w:vAlign w:val="center"/>
          </w:tcPr>
          <w:p w:rsidR="00797CEC" w:rsidRPr="008F1441" w:rsidRDefault="00797CEC" w:rsidP="00175F7F">
            <w:pPr>
              <w:pStyle w:val="a2Technical"/>
              <w:spacing w:line="240" w:lineRule="exact"/>
              <w:ind w:left="0"/>
              <w:jc w:val="center"/>
              <w:rPr>
                <w:rFonts w:ascii="Times New Roman" w:hAnsi="Times New Roman"/>
                <w:sz w:val="22"/>
              </w:rPr>
            </w:pPr>
            <w:r w:rsidRPr="008F1441">
              <w:rPr>
                <w:rFonts w:ascii="Times New Roman" w:hAnsi="Times New Roman"/>
                <w:sz w:val="22"/>
              </w:rPr>
              <w:t>4.4 ºC (40 ºF)</w:t>
            </w:r>
          </w:p>
        </w:tc>
      </w:tr>
      <w:tr w:rsidR="00797CEC" w:rsidRPr="008F1441" w:rsidTr="008F1441">
        <w:trPr>
          <w:trHeight w:val="270"/>
        </w:trPr>
        <w:tc>
          <w:tcPr>
            <w:tcW w:w="5940" w:type="dxa"/>
            <w:shd w:val="clear" w:color="auto" w:fill="auto"/>
            <w:vAlign w:val="center"/>
          </w:tcPr>
          <w:p w:rsidR="00797CEC" w:rsidRPr="008F1441" w:rsidRDefault="00797CEC" w:rsidP="00175F7F">
            <w:pPr>
              <w:pStyle w:val="a2Technical"/>
              <w:spacing w:line="240" w:lineRule="exact"/>
              <w:ind w:left="0"/>
              <w:rPr>
                <w:rFonts w:ascii="Times New Roman" w:hAnsi="Times New Roman"/>
                <w:sz w:val="22"/>
              </w:rPr>
            </w:pPr>
            <w:r w:rsidRPr="008F1441">
              <w:rPr>
                <w:rFonts w:ascii="Times New Roman" w:hAnsi="Times New Roman"/>
                <w:sz w:val="22"/>
              </w:rPr>
              <w:t>Distilled spirits or petroleum</w:t>
            </w:r>
          </w:p>
        </w:tc>
        <w:tc>
          <w:tcPr>
            <w:tcW w:w="3045" w:type="dxa"/>
            <w:shd w:val="clear" w:color="auto" w:fill="auto"/>
            <w:vAlign w:val="center"/>
          </w:tcPr>
          <w:p w:rsidR="00797CEC" w:rsidRPr="008F1441" w:rsidRDefault="00797CEC" w:rsidP="00175F7F">
            <w:pPr>
              <w:pStyle w:val="a2Technical"/>
              <w:spacing w:line="240" w:lineRule="exact"/>
              <w:ind w:left="0"/>
              <w:jc w:val="center"/>
              <w:rPr>
                <w:rFonts w:ascii="Times New Roman" w:hAnsi="Times New Roman"/>
                <w:sz w:val="22"/>
              </w:rPr>
            </w:pPr>
            <w:r w:rsidRPr="008F1441">
              <w:rPr>
                <w:rFonts w:ascii="Times New Roman" w:hAnsi="Times New Roman"/>
                <w:sz w:val="22"/>
              </w:rPr>
              <w:t>15.56 ºC (60 ºF)</w:t>
            </w:r>
          </w:p>
        </w:tc>
      </w:tr>
      <w:tr w:rsidR="00797CEC" w:rsidRPr="008F1441" w:rsidTr="008F1441">
        <w:trPr>
          <w:trHeight w:val="270"/>
        </w:trPr>
        <w:tc>
          <w:tcPr>
            <w:tcW w:w="5940" w:type="dxa"/>
            <w:shd w:val="clear" w:color="auto" w:fill="auto"/>
            <w:vAlign w:val="center"/>
          </w:tcPr>
          <w:p w:rsidR="00797CEC" w:rsidRPr="008F1441" w:rsidRDefault="00797CEC" w:rsidP="00175F7F">
            <w:pPr>
              <w:pStyle w:val="a2Technical"/>
              <w:spacing w:line="240" w:lineRule="exact"/>
              <w:ind w:left="0"/>
              <w:rPr>
                <w:rFonts w:ascii="Times New Roman" w:hAnsi="Times New Roman"/>
                <w:sz w:val="22"/>
              </w:rPr>
            </w:pPr>
            <w:r w:rsidRPr="008F1441">
              <w:rPr>
                <w:rFonts w:ascii="Times New Roman" w:hAnsi="Times New Roman"/>
                <w:sz w:val="22"/>
              </w:rPr>
              <w:t xml:space="preserve">Petroleum (International Reference) </w:t>
            </w:r>
          </w:p>
        </w:tc>
        <w:tc>
          <w:tcPr>
            <w:tcW w:w="3045" w:type="dxa"/>
            <w:shd w:val="clear" w:color="auto" w:fill="auto"/>
            <w:vAlign w:val="center"/>
          </w:tcPr>
          <w:p w:rsidR="00797CEC" w:rsidRPr="008F1441" w:rsidRDefault="00797CEC" w:rsidP="00175F7F">
            <w:pPr>
              <w:pStyle w:val="a2Technical"/>
              <w:spacing w:line="240" w:lineRule="exact"/>
              <w:ind w:left="0"/>
              <w:jc w:val="center"/>
              <w:rPr>
                <w:rFonts w:ascii="Times New Roman" w:hAnsi="Times New Roman"/>
                <w:sz w:val="22"/>
              </w:rPr>
            </w:pPr>
            <w:r w:rsidRPr="008F1441">
              <w:rPr>
                <w:rFonts w:ascii="Times New Roman" w:hAnsi="Times New Roman"/>
                <w:sz w:val="22"/>
              </w:rPr>
              <w:t>15 ºC (59 ºF)</w:t>
            </w:r>
          </w:p>
        </w:tc>
      </w:tr>
      <w:tr w:rsidR="00797CEC" w:rsidRPr="008F1441" w:rsidTr="008F1441">
        <w:trPr>
          <w:trHeight w:val="270"/>
        </w:trPr>
        <w:tc>
          <w:tcPr>
            <w:tcW w:w="5940" w:type="dxa"/>
            <w:shd w:val="clear" w:color="auto" w:fill="auto"/>
            <w:vAlign w:val="center"/>
          </w:tcPr>
          <w:p w:rsidR="00797CEC" w:rsidRPr="008F1441" w:rsidRDefault="00797CEC" w:rsidP="00175F7F">
            <w:pPr>
              <w:pStyle w:val="a2Technical"/>
              <w:spacing w:line="240" w:lineRule="exact"/>
              <w:ind w:left="0"/>
              <w:rPr>
                <w:rFonts w:ascii="Times New Roman" w:hAnsi="Times New Roman"/>
                <w:sz w:val="22"/>
              </w:rPr>
            </w:pPr>
            <w:r w:rsidRPr="008F1441">
              <w:rPr>
                <w:rFonts w:ascii="Times New Roman" w:hAnsi="Times New Roman"/>
                <w:sz w:val="22"/>
              </w:rPr>
              <w:t>Wine</w:t>
            </w:r>
          </w:p>
        </w:tc>
        <w:tc>
          <w:tcPr>
            <w:tcW w:w="3045" w:type="dxa"/>
            <w:shd w:val="clear" w:color="auto" w:fill="auto"/>
            <w:vAlign w:val="center"/>
          </w:tcPr>
          <w:p w:rsidR="00797CEC" w:rsidRPr="008F1441" w:rsidRDefault="00797CEC" w:rsidP="00175F7F">
            <w:pPr>
              <w:pStyle w:val="a2Technical"/>
              <w:spacing w:line="240" w:lineRule="exact"/>
              <w:ind w:left="0"/>
              <w:jc w:val="center"/>
              <w:rPr>
                <w:rFonts w:ascii="Times New Roman" w:hAnsi="Times New Roman"/>
                <w:sz w:val="22"/>
              </w:rPr>
            </w:pPr>
            <w:r w:rsidRPr="008F1441">
              <w:rPr>
                <w:rFonts w:ascii="Times New Roman" w:hAnsi="Times New Roman"/>
                <w:sz w:val="22"/>
              </w:rPr>
              <w:t>20 ºC (68 ºF)</w:t>
            </w:r>
          </w:p>
        </w:tc>
      </w:tr>
      <w:tr w:rsidR="00797CEC" w:rsidRPr="008F1441" w:rsidTr="008F1441">
        <w:trPr>
          <w:trHeight w:val="270"/>
        </w:trPr>
        <w:tc>
          <w:tcPr>
            <w:tcW w:w="5940" w:type="dxa"/>
            <w:shd w:val="clear" w:color="auto" w:fill="auto"/>
            <w:vAlign w:val="center"/>
          </w:tcPr>
          <w:p w:rsidR="00797CEC" w:rsidRPr="008F1441" w:rsidRDefault="00797CEC" w:rsidP="00175F7F">
            <w:pPr>
              <w:pStyle w:val="a2Technical"/>
              <w:spacing w:line="240" w:lineRule="exact"/>
              <w:ind w:left="0"/>
              <w:rPr>
                <w:rFonts w:ascii="Times New Roman" w:hAnsi="Times New Roman"/>
                <w:sz w:val="22"/>
              </w:rPr>
            </w:pPr>
            <w:r w:rsidRPr="008F1441">
              <w:rPr>
                <w:rFonts w:ascii="Times New Roman" w:hAnsi="Times New Roman"/>
                <w:sz w:val="22"/>
              </w:rPr>
              <w:t xml:space="preserve">Unrefrigerated liquids (e.g., sold </w:t>
            </w:r>
            <w:proofErr w:type="spellStart"/>
            <w:r w:rsidRPr="008F1441">
              <w:rPr>
                <w:rFonts w:ascii="Times New Roman" w:hAnsi="Times New Roman"/>
                <w:sz w:val="22"/>
              </w:rPr>
              <w:t>unchilled</w:t>
            </w:r>
            <w:proofErr w:type="spellEnd"/>
            <w:r w:rsidRPr="008F1441">
              <w:rPr>
                <w:rFonts w:ascii="Times New Roman" w:hAnsi="Times New Roman"/>
                <w:sz w:val="22"/>
              </w:rPr>
              <w:t>, like soft drinks)</w:t>
            </w:r>
          </w:p>
        </w:tc>
        <w:tc>
          <w:tcPr>
            <w:tcW w:w="3045" w:type="dxa"/>
            <w:shd w:val="clear" w:color="auto" w:fill="auto"/>
            <w:vAlign w:val="center"/>
          </w:tcPr>
          <w:p w:rsidR="00797CEC" w:rsidRPr="008F1441" w:rsidRDefault="00797CEC" w:rsidP="00175F7F">
            <w:pPr>
              <w:pStyle w:val="a2Technical"/>
              <w:spacing w:line="240" w:lineRule="exact"/>
              <w:ind w:left="0"/>
              <w:jc w:val="center"/>
              <w:rPr>
                <w:rFonts w:ascii="Times New Roman" w:hAnsi="Times New Roman"/>
                <w:sz w:val="22"/>
              </w:rPr>
            </w:pPr>
            <w:r w:rsidRPr="008F1441">
              <w:rPr>
                <w:rFonts w:ascii="Times New Roman" w:hAnsi="Times New Roman"/>
                <w:sz w:val="22"/>
              </w:rPr>
              <w:t>20 ºC (68 ºF)</w:t>
            </w:r>
          </w:p>
        </w:tc>
      </w:tr>
      <w:tr w:rsidR="00797CEC" w:rsidRPr="008F1441" w:rsidTr="008F1441">
        <w:trPr>
          <w:trHeight w:val="270"/>
        </w:trPr>
        <w:tc>
          <w:tcPr>
            <w:tcW w:w="5940" w:type="dxa"/>
            <w:shd w:val="clear" w:color="auto" w:fill="auto"/>
            <w:vAlign w:val="center"/>
          </w:tcPr>
          <w:p w:rsidR="00797CEC" w:rsidRPr="008F1441" w:rsidRDefault="00797CEC" w:rsidP="00175F7F">
            <w:pPr>
              <w:pStyle w:val="a2Technical"/>
              <w:spacing w:line="240" w:lineRule="exact"/>
              <w:ind w:left="0"/>
              <w:rPr>
                <w:rFonts w:ascii="Times New Roman" w:hAnsi="Times New Roman"/>
                <w:sz w:val="22"/>
              </w:rPr>
            </w:pPr>
            <w:r w:rsidRPr="008F1441">
              <w:rPr>
                <w:rFonts w:ascii="Times New Roman" w:hAnsi="Times New Roman"/>
                <w:sz w:val="22"/>
              </w:rPr>
              <w:t xml:space="preserve">Petroleum (Hawaii) </w:t>
            </w:r>
          </w:p>
        </w:tc>
        <w:tc>
          <w:tcPr>
            <w:tcW w:w="3045" w:type="dxa"/>
            <w:shd w:val="clear" w:color="auto" w:fill="auto"/>
            <w:vAlign w:val="center"/>
          </w:tcPr>
          <w:p w:rsidR="00797CEC" w:rsidRPr="008F1441" w:rsidRDefault="00797CEC" w:rsidP="00175F7F">
            <w:pPr>
              <w:pStyle w:val="a2Technical"/>
              <w:spacing w:line="240" w:lineRule="exact"/>
              <w:ind w:left="0"/>
              <w:jc w:val="center"/>
              <w:rPr>
                <w:rFonts w:ascii="Times New Roman" w:hAnsi="Times New Roman"/>
                <w:sz w:val="22"/>
              </w:rPr>
            </w:pPr>
            <w:r w:rsidRPr="008F1441">
              <w:rPr>
                <w:rFonts w:ascii="Times New Roman" w:hAnsi="Times New Roman"/>
                <w:sz w:val="22"/>
              </w:rPr>
              <w:t>26.67 ºC (80 ºF)</w:t>
            </w:r>
          </w:p>
        </w:tc>
      </w:tr>
    </w:tbl>
    <w:p w:rsidR="00797CEC" w:rsidRDefault="00797CEC" w:rsidP="00797CEC">
      <w:pPr>
        <w:pStyle w:val="a2Technical"/>
        <w:keepNext/>
        <w:keepLines/>
        <w:spacing w:line="240" w:lineRule="exact"/>
        <w:jc w:val="both"/>
        <w:rPr>
          <w:rFonts w:ascii="Times New Roman" w:hAnsi="Times New Roman"/>
        </w:rPr>
      </w:pPr>
    </w:p>
    <w:p w:rsidR="00797CEC" w:rsidRDefault="00797CEC" w:rsidP="00175F7F">
      <w:pPr>
        <w:pStyle w:val="Heading2"/>
        <w:keepNext w:val="0"/>
        <w:keepLines w:val="0"/>
      </w:pPr>
      <w:r>
        <w:t>When alternative reference temperatures are used</w:t>
      </w:r>
      <w:r w:rsidDel="008A0B31">
        <w:t xml:space="preserve">, </w:t>
      </w:r>
      <w:r>
        <w:t xml:space="preserve">at the request of the user of the field standard, and when the glassware is </w:t>
      </w:r>
      <w:r w:rsidRPr="003169F0">
        <w:rPr>
          <w:i/>
        </w:rPr>
        <w:t>not</w:t>
      </w:r>
      <w:r>
        <w:t xml:space="preserve"> marked with a reference temperature, the calibrated value of the standard may be reported at a different reference temperature, </w:t>
      </w:r>
      <w:r w:rsidRPr="00DC7662">
        <w:rPr>
          <w:i/>
        </w:rPr>
        <w:t>t</w:t>
      </w:r>
      <w:r w:rsidRPr="00DC7662">
        <w:rPr>
          <w:i/>
          <w:vertAlign w:val="subscript"/>
        </w:rPr>
        <w:t>ref</w:t>
      </w:r>
      <w:r>
        <w:t xml:space="preserve">, by using </w:t>
      </w:r>
      <w:r w:rsidR="00236EAE">
        <w:t>Eqn. 3.</w:t>
      </w:r>
    </w:p>
    <w:p w:rsidR="00F52003" w:rsidRDefault="00D878C5" w:rsidP="00175F7F">
      <w:pPr>
        <w:pStyle w:val="MTDisplayEquation"/>
        <w:tabs>
          <w:tab w:val="clear" w:pos="4320"/>
          <w:tab w:val="clear" w:pos="8640"/>
        </w:tabs>
        <w:spacing w:after="240"/>
        <w:jc w:val="right"/>
      </w:pPr>
      <w:r w:rsidRPr="00F52003">
        <w:rPr>
          <w:position w:val="-18"/>
        </w:rPr>
        <w:object w:dxaOrig="3200" w:dyaOrig="480">
          <v:shape id="_x0000_i1027" type="#_x0000_t75" alt="Equation 3: Volume to deliver at the reference temperature equals the volume to deliver times the quantity one plus the quantity of the differences in coefficients os cubical expansions, alpha and beta, times the quantity of the difference in measured temperature and the reference temperature." style="width:159.75pt;height:24pt" o:ole="">
            <v:imagedata r:id="rId12" o:title=""/>
          </v:shape>
          <o:OLEObject Type="Embed" ProgID="Equation.DSMT4" ShapeID="_x0000_i1027" DrawAspect="Content" ObjectID="_1618838565" r:id="rId13"/>
        </w:object>
      </w:r>
      <w:r w:rsidR="00CA7215">
        <w:tab/>
      </w:r>
      <w:r w:rsidR="00175F7F">
        <w:tab/>
      </w:r>
      <w:r w:rsidR="00175F7F">
        <w:tab/>
      </w:r>
      <w:r w:rsidR="00CA7215">
        <w:tab/>
      </w:r>
      <w:r w:rsidR="00CA7215">
        <w:fldChar w:fldCharType="begin"/>
      </w:r>
      <w:r w:rsidR="00CA7215">
        <w:instrText xml:space="preserve"> MACROBUTTON MTPlaceRef \* MERGEFORMAT </w:instrText>
      </w:r>
      <w:r w:rsidR="00CA7215">
        <w:fldChar w:fldCharType="begin"/>
      </w:r>
      <w:r w:rsidR="00CA7215">
        <w:instrText xml:space="preserve"> SEQ MTEqn \h \* MERGEFORMAT </w:instrText>
      </w:r>
      <w:r w:rsidR="00CA7215">
        <w:fldChar w:fldCharType="end"/>
      </w:r>
      <w:r w:rsidR="00CA7215">
        <w:instrText>Eqn. (</w:instrText>
      </w:r>
      <w:r w:rsidR="00BF2302">
        <w:rPr>
          <w:noProof/>
        </w:rPr>
        <w:fldChar w:fldCharType="begin"/>
      </w:r>
      <w:r w:rsidR="00BF2302">
        <w:rPr>
          <w:noProof/>
        </w:rPr>
        <w:instrText xml:space="preserve"> SEQ MTEqn \c \* Arabic \* MERGEFORMAT </w:instrText>
      </w:r>
      <w:r w:rsidR="00BF2302">
        <w:rPr>
          <w:noProof/>
        </w:rPr>
        <w:fldChar w:fldCharType="separate"/>
      </w:r>
      <w:r w:rsidR="00CA7215">
        <w:rPr>
          <w:noProof/>
        </w:rPr>
        <w:instrText>3</w:instrText>
      </w:r>
      <w:r w:rsidR="00BF2302">
        <w:rPr>
          <w:noProof/>
        </w:rPr>
        <w:fldChar w:fldCharType="end"/>
      </w:r>
      <w:r w:rsidR="00CA7215">
        <w:instrText>)</w:instrText>
      </w:r>
      <w:r w:rsidR="00CA7215">
        <w:fldChar w:fldCharType="end"/>
      </w:r>
    </w:p>
    <w:p w:rsidR="00236EAE" w:rsidRDefault="00236EAE" w:rsidP="00175F7F">
      <w:pPr>
        <w:pStyle w:val="Heading2"/>
        <w:keepNext w:val="0"/>
        <w:keepLines w:val="0"/>
      </w:pPr>
      <w:r>
        <w:t xml:space="preserve">Report the average volume </w:t>
      </w:r>
      <w:r w:rsidRPr="00DC7662">
        <w:rPr>
          <w:i/>
        </w:rPr>
        <w:t>V</w:t>
      </w:r>
      <w:r w:rsidRPr="00DC7662">
        <w:rPr>
          <w:i/>
          <w:vertAlign w:val="subscript"/>
        </w:rPr>
        <w:t>TD</w:t>
      </w:r>
      <w:r w:rsidRPr="00BD68DB">
        <w:rPr>
          <w:vertAlign w:val="subscript"/>
        </w:rPr>
        <w:t>20</w:t>
      </w:r>
      <w:r w:rsidRPr="00BD68DB">
        <w:t xml:space="preserve"> </w:t>
      </w:r>
      <w:r>
        <w:t>as the value for the flask after the temperature correction has been applied to each Run.</w:t>
      </w:r>
    </w:p>
    <w:p w:rsidR="00DB312A" w:rsidRDefault="00DB312A" w:rsidP="00175F7F">
      <w:pPr>
        <w:pStyle w:val="Heading1"/>
        <w:keepNext w:val="0"/>
        <w:keepLines w:val="0"/>
      </w:pPr>
      <w:r>
        <w:t>Measurement Assurance</w:t>
      </w:r>
    </w:p>
    <w:p w:rsidR="00DB312A" w:rsidRDefault="00DB312A" w:rsidP="00175F7F">
      <w:pPr>
        <w:pStyle w:val="Heading2"/>
        <w:keepNext w:val="0"/>
        <w:keepLines w:val="0"/>
      </w:pPr>
      <w:r>
        <w:t>Duplicate th</w:t>
      </w:r>
      <w:r w:rsidR="00561984">
        <w:t>is</w:t>
      </w:r>
      <w:r>
        <w:t xml:space="preserve"> process with a suitable check standard </w:t>
      </w:r>
      <w:r w:rsidR="00621EF2">
        <w:t xml:space="preserve">(Quality Assurance Reference Flask, QARF) </w:t>
      </w:r>
      <w:r>
        <w:t>or have a suitable range of check standards for the laboratory</w:t>
      </w:r>
      <w:r w:rsidR="00621EF2">
        <w:t xml:space="preserve"> with similar size graduations and neck diameters</w:t>
      </w:r>
      <w:r w:rsidR="00A74E18">
        <w:t xml:space="preserve">. </w:t>
      </w:r>
      <w:r>
        <w:t xml:space="preserve">See SOP 17 and </w:t>
      </w:r>
      <w:r w:rsidR="002F6D50">
        <w:t xml:space="preserve">NISTIR 6969, </w:t>
      </w:r>
      <w:r>
        <w:t>SOP 30.</w:t>
      </w:r>
    </w:p>
    <w:p w:rsidR="00DB312A" w:rsidRDefault="00DB312A" w:rsidP="00175F7F">
      <w:pPr>
        <w:pStyle w:val="Heading2"/>
        <w:keepNext w:val="0"/>
        <w:keepLines w:val="0"/>
      </w:pPr>
      <w:r>
        <w:t xml:space="preserve">Plot </w:t>
      </w:r>
      <w:r w:rsidR="00561984">
        <w:t xml:space="preserve">the </w:t>
      </w:r>
      <w:r>
        <w:t xml:space="preserve">check standard volume and verify </w:t>
      </w:r>
      <w:r w:rsidR="00561984">
        <w:t xml:space="preserve">that </w:t>
      </w:r>
      <w:r>
        <w:t>it is within established limits</w:t>
      </w:r>
      <w:r w:rsidR="00A74E18">
        <w:t xml:space="preserve">. </w:t>
      </w:r>
      <w:r w:rsidR="00561984">
        <w:t>Alternatively</w:t>
      </w:r>
      <w:r w:rsidR="00155201">
        <w:t>,</w:t>
      </w:r>
      <w:r w:rsidR="00561984">
        <w:t xml:space="preserve"> a</w:t>
      </w:r>
      <w:r w:rsidR="00561984" w:rsidRPr="00BD68DB">
        <w:rPr>
          <w:i/>
        </w:rPr>
        <w:t xml:space="preserve"> </w:t>
      </w:r>
      <w:r w:rsidRPr="00BD68DB">
        <w:rPr>
          <w:i/>
        </w:rPr>
        <w:t>t</w:t>
      </w:r>
      <w:r>
        <w:t xml:space="preserve">-test may be incorporated </w:t>
      </w:r>
      <w:r w:rsidR="00561984">
        <w:t xml:space="preserve">into the process </w:t>
      </w:r>
      <w:r>
        <w:t xml:space="preserve">to check </w:t>
      </w:r>
      <w:r w:rsidR="00561984">
        <w:t xml:space="preserve">the </w:t>
      </w:r>
      <w:r>
        <w:t xml:space="preserve">observed value against </w:t>
      </w:r>
      <w:r w:rsidR="00561984">
        <w:t xml:space="preserve">an </w:t>
      </w:r>
      <w:r>
        <w:t xml:space="preserve">accepted </w:t>
      </w:r>
      <w:r w:rsidR="00561984">
        <w:t xml:space="preserve">reference </w:t>
      </w:r>
      <w:r>
        <w:t>value.</w:t>
      </w:r>
      <w:r w:rsidR="00175092">
        <w:t xml:space="preserve"> (See NISTIR 6969, Section 8).</w:t>
      </w:r>
    </w:p>
    <w:p w:rsidR="00DB312A" w:rsidRDefault="00561984" w:rsidP="00175F7F">
      <w:pPr>
        <w:pStyle w:val="Heading2"/>
        <w:keepNext w:val="0"/>
        <w:keepLines w:val="0"/>
      </w:pPr>
      <w:r>
        <w:t>The m</w:t>
      </w:r>
      <w:r w:rsidR="00DB312A">
        <w:t xml:space="preserve">ean of the check standard </w:t>
      </w:r>
      <w:r>
        <w:t xml:space="preserve">value </w:t>
      </w:r>
      <w:r w:rsidR="00DB312A">
        <w:t>is used to evaluate bias and drift over time.</w:t>
      </w:r>
    </w:p>
    <w:p w:rsidR="00DB312A" w:rsidRDefault="00DB312A" w:rsidP="00175F7F">
      <w:pPr>
        <w:pStyle w:val="Heading2"/>
        <w:keepNext w:val="0"/>
        <w:keepLines w:val="0"/>
      </w:pPr>
      <w:r>
        <w:lastRenderedPageBreak/>
        <w:t xml:space="preserve">Check standard observations </w:t>
      </w:r>
      <w:r w:rsidR="00561984">
        <w:t xml:space="preserve">are </w:t>
      </w:r>
      <w:r>
        <w:t>used to calculate the standard deviation of the measurement process.</w:t>
      </w:r>
    </w:p>
    <w:p w:rsidR="00DB312A" w:rsidRDefault="00DB312A" w:rsidP="00797CEC">
      <w:pPr>
        <w:pStyle w:val="Heading1"/>
      </w:pPr>
      <w:r>
        <w:t>Assignment of Uncertainties</w:t>
      </w:r>
    </w:p>
    <w:p w:rsidR="00DB312A" w:rsidRDefault="00DB312A" w:rsidP="00CA7215">
      <w:pPr>
        <w:pStyle w:val="BodyText"/>
        <w:ind w:left="720"/>
      </w:pPr>
      <w:r>
        <w:t xml:space="preserve">The limits of expanded uncertainty, </w:t>
      </w:r>
      <w:r w:rsidRPr="00DC7662">
        <w:rPr>
          <w:i/>
        </w:rPr>
        <w:t>U</w:t>
      </w:r>
      <w:r>
        <w:t xml:space="preserve">, include estimates of the standard uncertainty of the laboratory volumetric standards used, </w:t>
      </w:r>
      <w:r w:rsidRPr="00BD68DB">
        <w:rPr>
          <w:i/>
        </w:rPr>
        <w:t>u</w:t>
      </w:r>
      <w:r w:rsidRPr="00BD68DB">
        <w:rPr>
          <w:i/>
          <w:vertAlign w:val="subscript"/>
        </w:rPr>
        <w:t>s</w:t>
      </w:r>
      <w:r>
        <w:t xml:space="preserve">, plus the standard deviation of the process, </w:t>
      </w:r>
      <w:r w:rsidRPr="00BD68DB">
        <w:rPr>
          <w:i/>
        </w:rPr>
        <w:t>s</w:t>
      </w:r>
      <w:r w:rsidRPr="00BD68DB">
        <w:rPr>
          <w:i/>
          <w:vertAlign w:val="subscript"/>
        </w:rPr>
        <w:t>p</w:t>
      </w:r>
      <w:r>
        <w:t>, at the 95 percent level of confidence</w:t>
      </w:r>
      <w:r w:rsidR="00A74E18">
        <w:t xml:space="preserve">. </w:t>
      </w:r>
      <w:r>
        <w:t xml:space="preserve">See </w:t>
      </w:r>
      <w:r w:rsidR="002F6D50">
        <w:t xml:space="preserve">NISTIR 6969, </w:t>
      </w:r>
      <w:r>
        <w:t xml:space="preserve">SOP 29 for the complete standard operating procedure for calculating the uncertainty. </w:t>
      </w:r>
    </w:p>
    <w:p w:rsidR="00DB312A" w:rsidRPr="00972C8B" w:rsidRDefault="00DB312A" w:rsidP="00972C8B">
      <w:pPr>
        <w:pStyle w:val="Heading2"/>
      </w:pPr>
      <w:r w:rsidRPr="00972C8B">
        <w:t xml:space="preserve">The standard uncertainty for the standard, </w:t>
      </w:r>
      <w:r w:rsidRPr="00175F7F">
        <w:rPr>
          <w:i/>
        </w:rPr>
        <w:t>u</w:t>
      </w:r>
      <w:r w:rsidRPr="00175F7F">
        <w:rPr>
          <w:i/>
          <w:vertAlign w:val="subscript"/>
        </w:rPr>
        <w:t>s</w:t>
      </w:r>
      <w:r w:rsidRPr="00972C8B">
        <w:t xml:space="preserve">, is obtained from the calibration </w:t>
      </w:r>
      <w:r w:rsidR="00175F7F">
        <w:t xml:space="preserve">certificates </w:t>
      </w:r>
      <w:r w:rsidR="00621EF2" w:rsidRPr="00972C8B">
        <w:t xml:space="preserve">for the pipet and </w:t>
      </w:r>
      <w:proofErr w:type="spellStart"/>
      <w:r w:rsidR="00621EF2" w:rsidRPr="00972C8B">
        <w:t>buret</w:t>
      </w:r>
      <w:proofErr w:type="spellEnd"/>
      <w:r w:rsidR="00621EF2" w:rsidRPr="00972C8B">
        <w:t xml:space="preserve"> used for the calibration</w:t>
      </w:r>
      <w:r w:rsidRPr="00972C8B">
        <w:t xml:space="preserve">. The combined standard uncertainty, </w:t>
      </w:r>
      <w:r w:rsidRPr="00175F7F">
        <w:rPr>
          <w:i/>
        </w:rPr>
        <w:t>u</w:t>
      </w:r>
      <w:r w:rsidRPr="00175F7F">
        <w:rPr>
          <w:i/>
          <w:vertAlign w:val="subscript"/>
        </w:rPr>
        <w:t>c</w:t>
      </w:r>
      <w:r w:rsidRPr="00972C8B">
        <w:t xml:space="preserve">, </w:t>
      </w:r>
      <w:r w:rsidR="00561984" w:rsidRPr="00972C8B" w:rsidDel="008A0B31">
        <w:t xml:space="preserve">from the calibration report </w:t>
      </w:r>
      <w:r w:rsidR="00561984" w:rsidRPr="00972C8B">
        <w:t xml:space="preserve">must be </w:t>
      </w:r>
      <w:r w:rsidRPr="00972C8B">
        <w:t xml:space="preserve">used and not the expanded uncertainty, </w:t>
      </w:r>
      <w:r w:rsidRPr="00175F7F">
        <w:rPr>
          <w:i/>
        </w:rPr>
        <w:t>U</w:t>
      </w:r>
      <w:r w:rsidR="00561984" w:rsidRPr="00972C8B">
        <w:t>.</w:t>
      </w:r>
      <w:r w:rsidRPr="00972C8B">
        <w:t xml:space="preserve"> </w:t>
      </w:r>
      <w:r w:rsidR="00561984" w:rsidRPr="00972C8B">
        <w:t>T</w:t>
      </w:r>
      <w:r w:rsidRPr="00972C8B">
        <w:t>herefore</w:t>
      </w:r>
      <w:r w:rsidR="00561984" w:rsidRPr="00972C8B">
        <w:t>,</w:t>
      </w:r>
      <w:r w:rsidRPr="00972C8B">
        <w:t xml:space="preserve"> the reported uncertainty for the standard will usually need to be divided by </w:t>
      </w:r>
      <w:r w:rsidR="00561984" w:rsidRPr="00972C8B">
        <w:t xml:space="preserve">a </w:t>
      </w:r>
      <w:r w:rsidRPr="00972C8B">
        <w:t>coverage factor</w:t>
      </w:r>
      <w:r w:rsidR="00561984" w:rsidRPr="00972C8B">
        <w:t>,</w:t>
      </w:r>
      <w:r w:rsidRPr="00972C8B">
        <w:t xml:space="preserve"> </w:t>
      </w:r>
      <w:r w:rsidRPr="00175F7F">
        <w:rPr>
          <w:i/>
        </w:rPr>
        <w:t>k</w:t>
      </w:r>
      <w:r w:rsidR="00A74E18" w:rsidRPr="00972C8B">
        <w:t xml:space="preserve">. </w:t>
      </w:r>
      <w:r w:rsidR="00FF113C" w:rsidRPr="00972C8B">
        <w:t>Multiple standards are used in this procedure</w:t>
      </w:r>
      <w:r w:rsidR="00BD68DB" w:rsidRPr="00972C8B">
        <w:t>;</w:t>
      </w:r>
      <w:r w:rsidR="00FF113C" w:rsidRPr="00972C8B">
        <w:t xml:space="preserve"> however</w:t>
      </w:r>
      <w:r w:rsidR="00BD68DB" w:rsidRPr="00972C8B">
        <w:t>,</w:t>
      </w:r>
      <w:r w:rsidR="00FF113C" w:rsidRPr="00972C8B">
        <w:t xml:space="preserve"> they are typically calibrated independently</w:t>
      </w:r>
      <w:r w:rsidR="00BD68DB" w:rsidRPr="00972C8B">
        <w:t>.</w:t>
      </w:r>
      <w:r w:rsidR="00FF113C" w:rsidRPr="00972C8B">
        <w:t xml:space="preserve"> </w:t>
      </w:r>
      <w:r w:rsidR="00BD68DB" w:rsidRPr="00972C8B">
        <w:t>M</w:t>
      </w:r>
      <w:r w:rsidR="00FF113C" w:rsidRPr="00972C8B">
        <w:t>ultiple standard uncertainties are handled according to SOP 29.</w:t>
      </w:r>
    </w:p>
    <w:p w:rsidR="00DB312A" w:rsidRPr="005E13C4" w:rsidRDefault="00561984" w:rsidP="00972C8B">
      <w:pPr>
        <w:pStyle w:val="Heading2"/>
      </w:pPr>
      <w:r w:rsidRPr="005E13C4">
        <w:t>The s</w:t>
      </w:r>
      <w:r w:rsidR="00DB312A" w:rsidRPr="005E13C4">
        <w:t>tandard deviation of the measurement process</w:t>
      </w:r>
      <w:r w:rsidR="005E13C4">
        <w:t xml:space="preserve">, </w:t>
      </w:r>
      <w:r w:rsidR="005E13C4" w:rsidRPr="005E13C4">
        <w:rPr>
          <w:i/>
        </w:rPr>
        <w:t>s</w:t>
      </w:r>
      <w:r w:rsidR="005E13C4" w:rsidRPr="005E13C4">
        <w:rPr>
          <w:i/>
          <w:vertAlign w:val="subscript"/>
        </w:rPr>
        <w:t>p</w:t>
      </w:r>
      <w:r w:rsidR="005E13C4">
        <w:t xml:space="preserve">, </w:t>
      </w:r>
      <w:r w:rsidRPr="005E13C4">
        <w:t xml:space="preserve">is obtained </w:t>
      </w:r>
      <w:r w:rsidR="00DB312A" w:rsidRPr="005E13C4">
        <w:t>from control chart performance (See SOP 17 or 20, and SOP 30)</w:t>
      </w:r>
      <w:r w:rsidR="005E13C4" w:rsidRPr="005E13C4">
        <w:t xml:space="preserve"> for a suitable </w:t>
      </w:r>
      <w:r w:rsidR="00175F7F">
        <w:t>Quality Assurance Reference Flask (</w:t>
      </w:r>
      <w:r w:rsidR="005E13C4" w:rsidRPr="005E13C4">
        <w:t>QARF</w:t>
      </w:r>
      <w:r w:rsidR="00175F7F">
        <w:t>)</w:t>
      </w:r>
      <w:r w:rsidR="005E13C4">
        <w:t xml:space="preserve"> </w:t>
      </w:r>
      <w:r w:rsidR="00DB312A" w:rsidRPr="005E13C4">
        <w:t xml:space="preserve">using </w:t>
      </w:r>
      <w:r w:rsidRPr="005E13C4">
        <w:t xml:space="preserve">the same </w:t>
      </w:r>
      <w:r w:rsidR="00DB312A" w:rsidRPr="005E13C4">
        <w:t>volume transfer procedures</w:t>
      </w:r>
      <w:r w:rsidRPr="005E13C4">
        <w:t xml:space="preserve"> on flasks of comparable size and neck dimensions</w:t>
      </w:r>
      <w:r w:rsidR="00A74E18" w:rsidRPr="005E13C4">
        <w:t xml:space="preserve">. </w:t>
      </w:r>
    </w:p>
    <w:p w:rsidR="00DB312A" w:rsidRDefault="00DB312A" w:rsidP="00972C8B">
      <w:pPr>
        <w:pStyle w:val="Heading2"/>
      </w:pPr>
      <w:r w:rsidRPr="002176F9">
        <w:t>Other standard uncertainties usually included at this calibration level include uncertainties associated with the ability to read the meniscus, only part of which is included in the process variability</w:t>
      </w:r>
      <w:r w:rsidR="00621EF2" w:rsidRPr="002176F9">
        <w:t xml:space="preserve"> (See GMP 3)</w:t>
      </w:r>
      <w:r w:rsidRPr="002176F9">
        <w:t>, the cubical coefficient of expansion for the flask under test, use of proper temperature corrections, the accuracy of temperature measurements</w:t>
      </w:r>
      <w:r w:rsidR="00621EF2" w:rsidRPr="002176F9">
        <w:t xml:space="preserve"> taking into consideration potential gradients in the glassware during calibration</w:t>
      </w:r>
      <w:r w:rsidRPr="002176F9">
        <w:t xml:space="preserve">, round robin </w:t>
      </w:r>
      <w:r w:rsidR="00175F7F">
        <w:t xml:space="preserve">or proficiency testing </w:t>
      </w:r>
      <w:r w:rsidRPr="002176F9">
        <w:t>data showing reproducibility, environmental variations over time, and bias or drift of the standard</w:t>
      </w:r>
      <w:r w:rsidR="00175092" w:rsidRPr="002176F9">
        <w:t>.</w:t>
      </w:r>
    </w:p>
    <w:p w:rsidR="00345003" w:rsidRDefault="00345003" w:rsidP="00345003">
      <w:pPr>
        <w:pStyle w:val="Heading2"/>
      </w:pPr>
      <w:r>
        <w:t>Uncertainty Evaluation</w:t>
      </w:r>
    </w:p>
    <w:p w:rsidR="00345003" w:rsidRPr="00345003" w:rsidRDefault="00345003" w:rsidP="00345003">
      <w:pPr>
        <w:pStyle w:val="BodyText"/>
        <w:ind w:left="1440"/>
      </w:pPr>
      <w:r w:rsidRPr="00345003">
        <w:t>Where applicable, uncertainties for volume calibrations that are assessed for conformity must be less than the tolerances specified in Handbook 105-</w:t>
      </w:r>
      <w:r>
        <w:t>2</w:t>
      </w:r>
      <w:r w:rsidRPr="00345003">
        <w:t xml:space="preserve"> and used for decision rules.</w:t>
      </w:r>
      <w:r>
        <w:t xml:space="preserve"> Where decision rules cannot be met using this procedure, SOP 14, gravimetric calibration is preferred.</w:t>
      </w:r>
    </w:p>
    <w:p w:rsidR="00DB312A" w:rsidRDefault="00175F7F" w:rsidP="00797CEC">
      <w:pPr>
        <w:pStyle w:val="Heading1"/>
      </w:pPr>
      <w:r>
        <w:t>Calibration Certificate</w:t>
      </w:r>
    </w:p>
    <w:p w:rsidR="00DB312A" w:rsidRDefault="00DB312A" w:rsidP="00175F7F">
      <w:pPr>
        <w:pStyle w:val="Heading2"/>
      </w:pPr>
      <w:r>
        <w:t xml:space="preserve">Report results as described in </w:t>
      </w:r>
      <w:r w:rsidR="002F6D50">
        <w:t xml:space="preserve">NISTIR 6969, </w:t>
      </w:r>
      <w:r>
        <w:t>SOP 1, Preparation of Calibration/Test Results, with the addition of the following</w:t>
      </w:r>
      <w:r w:rsidR="00561984">
        <w:t xml:space="preserve"> items</w:t>
      </w:r>
      <w:r>
        <w:t>:</w:t>
      </w:r>
    </w:p>
    <w:p w:rsidR="00DB312A" w:rsidRDefault="005E13C4" w:rsidP="00CA7215">
      <w:pPr>
        <w:pStyle w:val="BodyText"/>
        <w:ind w:left="1440"/>
      </w:pPr>
      <w:r>
        <w:t>“To Contain” or “To Deliver” v</w:t>
      </w:r>
      <w:r w:rsidR="00DB312A" w:rsidRPr="002176F9">
        <w:t xml:space="preserve">olume, </w:t>
      </w:r>
      <w:r w:rsidR="00621EF2" w:rsidRPr="002176F9">
        <w:t xml:space="preserve">applicable reference temperature, </w:t>
      </w:r>
      <w:r w:rsidR="00DB312A" w:rsidRPr="002176F9">
        <w:t xml:space="preserve">uncertainty, material, thermal coefficient of expansion (assumed or measured), construction, any identifying markings, tolerances (if appropriate), laboratory </w:t>
      </w:r>
      <w:r w:rsidR="00DB312A" w:rsidRPr="002176F9">
        <w:lastRenderedPageBreak/>
        <w:t>temperature, water temperature</w:t>
      </w:r>
      <w:r w:rsidR="00561984" w:rsidRPr="002176F9">
        <w:t xml:space="preserve"> at time of test</w:t>
      </w:r>
      <w:r w:rsidR="00DB312A" w:rsidRPr="002176F9">
        <w:t xml:space="preserve">, barometric pressure, relative humidity, and </w:t>
      </w:r>
      <w:r w:rsidR="00561984" w:rsidRPr="002176F9">
        <w:t xml:space="preserve">any </w:t>
      </w:r>
      <w:r w:rsidR="00DB312A" w:rsidRPr="002176F9">
        <w:t>out</w:t>
      </w:r>
      <w:r w:rsidR="00BD68DB" w:rsidRPr="002176F9">
        <w:t>-</w:t>
      </w:r>
      <w:r w:rsidR="00DB312A" w:rsidRPr="002176F9">
        <w:t>of</w:t>
      </w:r>
      <w:r w:rsidR="00BD68DB" w:rsidRPr="002176F9">
        <w:t>-</w:t>
      </w:r>
      <w:r w:rsidR="00DB312A" w:rsidRPr="002176F9">
        <w:t>tolerance conditions.</w:t>
      </w:r>
    </w:p>
    <w:p w:rsidR="00175F7F" w:rsidRPr="003C73DD" w:rsidRDefault="00175F7F" w:rsidP="00175F7F">
      <w:pPr>
        <w:pStyle w:val="Heading2"/>
      </w:pPr>
      <w:bookmarkStart w:id="1" w:name="_Hlk533832849"/>
      <w:r w:rsidRPr="003C73DD">
        <w:t xml:space="preserve">Conformity </w:t>
      </w:r>
      <w:r w:rsidR="009E0227">
        <w:t>A</w:t>
      </w:r>
      <w:r w:rsidRPr="003C73DD">
        <w:t>ssessment</w:t>
      </w:r>
    </w:p>
    <w:p w:rsidR="00A97EAC" w:rsidRDefault="00A97EAC" w:rsidP="00A97EAC">
      <w:pPr>
        <w:pStyle w:val="BodyText"/>
        <w:ind w:left="1440"/>
        <w:rPr>
          <w:highlight w:val="yellow"/>
        </w:rPr>
      </w:pPr>
      <w:bookmarkStart w:id="2" w:name="_Hlk8119533"/>
      <w:r>
        <w:t xml:space="preserve">Evaluate compliance to applicable tolerances as needed or required by the customer or by legal metrology requirements. Compliance assessments must note the applicable documentary standard and which portions of the standard were or were not evaluated. The uncertainty for volume calibrations must be less than the tolerances published in the applicable documentary standards. For flasks, where the unknown standard cannot be adjusted, and a portion of the uncertainty band from the error exceeds tolerance limits, it is not appropriate to state compliance with the tolerances unless additional decision rules are communicated with and agreed to by the end user. Correction values (measurement results) may need to be used by the end user in such cases. </w:t>
      </w:r>
      <w:bookmarkEnd w:id="2"/>
    </w:p>
    <w:p w:rsidR="00175F7F" w:rsidRDefault="00175F7F" w:rsidP="00175F7F">
      <w:pPr>
        <w:pStyle w:val="BodyText"/>
        <w:ind w:left="1440"/>
        <w:rPr>
          <w:highlight w:val="yellow"/>
        </w:rPr>
      </w:pPr>
    </w:p>
    <w:bookmarkEnd w:id="1"/>
    <w:p w:rsidR="00175F7F" w:rsidRPr="002176F9" w:rsidRDefault="00175F7F" w:rsidP="00CA7215">
      <w:pPr>
        <w:pStyle w:val="BodyText"/>
        <w:ind w:left="1440"/>
      </w:pPr>
    </w:p>
    <w:p w:rsidR="00175092" w:rsidRDefault="00175092" w:rsidP="00797CEC">
      <w:pPr>
        <w:pStyle w:val="Heading1"/>
      </w:pPr>
      <w:r w:rsidRPr="00407CCC">
        <w:t>References</w:t>
      </w:r>
    </w:p>
    <w:p w:rsidR="00175092" w:rsidRPr="007D7187" w:rsidRDefault="00175092" w:rsidP="00175092">
      <w:pPr>
        <w:tabs>
          <w:tab w:val="left" w:pos="-1440"/>
          <w:tab w:val="left" w:pos="-1134"/>
          <w:tab w:val="left" w:pos="-831"/>
          <w:tab w:val="left" w:pos="-554"/>
          <w:tab w:val="left" w:pos="-276"/>
          <w:tab w:val="left" w:pos="2"/>
          <w:tab w:val="left" w:pos="280"/>
          <w:tab w:val="left" w:pos="559"/>
          <w:tab w:val="left" w:pos="837"/>
          <w:tab w:val="left" w:pos="1116"/>
          <w:tab w:val="left" w:pos="1394"/>
          <w:tab w:val="left" w:pos="1672"/>
          <w:tab w:val="left" w:pos="1951"/>
          <w:tab w:val="left" w:pos="2229"/>
          <w:tab w:val="left" w:pos="2508"/>
          <w:tab w:val="left" w:pos="2786"/>
          <w:tab w:val="left" w:pos="3064"/>
          <w:tab w:val="left" w:pos="3343"/>
          <w:tab w:val="left" w:pos="3621"/>
          <w:tab w:val="left" w:pos="3900"/>
          <w:tab w:val="left" w:pos="4178"/>
          <w:tab w:val="left" w:pos="4456"/>
          <w:tab w:val="left" w:pos="4735"/>
          <w:tab w:val="left" w:pos="5013"/>
          <w:tab w:val="left" w:pos="5292"/>
          <w:tab w:val="left" w:pos="5570"/>
          <w:tab w:val="left" w:pos="5848"/>
          <w:tab w:val="left" w:pos="6127"/>
          <w:tab w:val="left" w:pos="6405"/>
          <w:tab w:val="left" w:pos="6684"/>
          <w:tab w:val="left" w:pos="6962"/>
          <w:tab w:val="left" w:pos="7240"/>
          <w:tab w:val="left" w:pos="7519"/>
          <w:tab w:val="left" w:pos="7797"/>
          <w:tab w:val="left" w:pos="8076"/>
          <w:tab w:val="left" w:pos="8354"/>
          <w:tab w:val="left" w:pos="8632"/>
          <w:tab w:val="left" w:pos="8911"/>
          <w:tab w:val="left" w:pos="9189"/>
          <w:tab w:val="left" w:pos="9468"/>
        </w:tabs>
        <w:spacing w:line="240" w:lineRule="exact"/>
        <w:jc w:val="both"/>
        <w:rPr>
          <w:szCs w:val="24"/>
        </w:rPr>
      </w:pPr>
      <w:r w:rsidRPr="007D7187">
        <w:rPr>
          <w:szCs w:val="24"/>
        </w:rPr>
        <w:t xml:space="preserve">Bean, V. E., </w:t>
      </w:r>
      <w:proofErr w:type="spellStart"/>
      <w:r w:rsidRPr="007D7187">
        <w:rPr>
          <w:szCs w:val="24"/>
        </w:rPr>
        <w:t>Espina</w:t>
      </w:r>
      <w:proofErr w:type="spellEnd"/>
      <w:r w:rsidRPr="007D7187">
        <w:rPr>
          <w:szCs w:val="24"/>
        </w:rPr>
        <w:t>, P. I., Wright, J. D., Houser, J. F., Sheckels, S. D., and Johnson, A. N., NIST Calibration Services for Liquid Volume, NIST Special Publication 250-72, National Institute of Standards and Technology, Gaithersburg, MD, (200</w:t>
      </w:r>
      <w:r w:rsidR="00B276EF">
        <w:rPr>
          <w:szCs w:val="24"/>
        </w:rPr>
        <w:t>9</w:t>
      </w:r>
      <w:r w:rsidRPr="007D7187">
        <w:rPr>
          <w:szCs w:val="24"/>
        </w:rPr>
        <w:t>)</w:t>
      </w:r>
      <w:r>
        <w:rPr>
          <w:szCs w:val="24"/>
        </w:rPr>
        <w:t>.</w:t>
      </w:r>
    </w:p>
    <w:p w:rsidR="00175092" w:rsidRPr="00A67752" w:rsidRDefault="00175092" w:rsidP="00797CEC">
      <w:pPr>
        <w:pStyle w:val="Heading1"/>
        <w:numPr>
          <w:ilvl w:val="0"/>
          <w:numId w:val="0"/>
        </w:numPr>
        <w:jc w:val="center"/>
        <w:rPr>
          <w:b/>
        </w:rPr>
      </w:pPr>
      <w:r>
        <w:br w:type="page"/>
      </w:r>
      <w:r w:rsidR="00DB312A" w:rsidRPr="00A67752">
        <w:rPr>
          <w:b/>
        </w:rPr>
        <w:lastRenderedPageBreak/>
        <w:t>Appendix</w:t>
      </w:r>
      <w:r w:rsidR="00D051A7" w:rsidRPr="00A67752">
        <w:rPr>
          <w:b/>
        </w:rPr>
        <w:t xml:space="preserve"> A</w:t>
      </w:r>
    </w:p>
    <w:p w:rsidR="00DB312A" w:rsidRPr="00A67752" w:rsidRDefault="00DB312A">
      <w:pPr>
        <w:jc w:val="center"/>
      </w:pPr>
      <w:r w:rsidRPr="00A67752">
        <w:t>Calibration of Measuring Flask</w:t>
      </w:r>
      <w:r w:rsidR="00D44455" w:rsidRPr="00A67752">
        <w:t>s</w:t>
      </w:r>
    </w:p>
    <w:p w:rsidR="00DB312A" w:rsidRPr="00A67752" w:rsidRDefault="00DB312A">
      <w:pPr>
        <w:jc w:val="center"/>
        <w:rPr>
          <w:sz w:val="22"/>
        </w:rPr>
      </w:pPr>
      <w:r w:rsidRPr="00A67752">
        <w:t>(Volume Transfer Method)</w:t>
      </w:r>
    </w:p>
    <w:p w:rsidR="00DB312A" w:rsidRPr="00797CEC" w:rsidRDefault="00DB312A">
      <w:pPr>
        <w:jc w:val="both"/>
        <w:rPr>
          <w:rFonts w:cs="Times New Roman"/>
          <w:sz w:val="22"/>
        </w:rPr>
      </w:pPr>
    </w:p>
    <w:p w:rsidR="00DB312A" w:rsidRPr="00797CEC" w:rsidRDefault="00DB312A">
      <w:pPr>
        <w:jc w:val="both"/>
        <w:rPr>
          <w:rFonts w:cs="Times New Roman"/>
          <w:sz w:val="22"/>
        </w:rPr>
      </w:pPr>
      <w:r w:rsidRPr="00797CEC">
        <w:rPr>
          <w:rFonts w:cs="Times New Roman"/>
          <w:b/>
          <w:sz w:val="22"/>
        </w:rPr>
        <w:t>Laboratory data and conditions</w:t>
      </w:r>
      <w:r w:rsidRPr="00797CEC">
        <w:rPr>
          <w:rFonts w:cs="Times New Roman"/>
          <w:sz w:val="22"/>
        </w:rPr>
        <w:t>:</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62" w:type="dxa"/>
          <w:right w:w="62" w:type="dxa"/>
        </w:tblCellMar>
        <w:tblLook w:val="0000" w:firstRow="0" w:lastRow="0" w:firstColumn="0" w:lastColumn="0" w:noHBand="0" w:noVBand="0"/>
        <w:tblCaption w:val="Lab data conditions"/>
        <w:tblDescription w:val="1. data sheet for volume calibration"/>
      </w:tblPr>
      <w:tblGrid>
        <w:gridCol w:w="2335"/>
        <w:gridCol w:w="2335"/>
        <w:gridCol w:w="2335"/>
        <w:gridCol w:w="1167"/>
        <w:gridCol w:w="1168"/>
      </w:tblGrid>
      <w:tr w:rsidR="00621EF2" w:rsidRPr="00797CEC" w:rsidTr="00323563">
        <w:trPr>
          <w:jc w:val="center"/>
        </w:trPr>
        <w:tc>
          <w:tcPr>
            <w:tcW w:w="2335" w:type="dxa"/>
          </w:tcPr>
          <w:p w:rsidR="00621EF2" w:rsidRPr="00D051A7" w:rsidRDefault="00621EF2">
            <w:pPr>
              <w:jc w:val="right"/>
              <w:rPr>
                <w:rFonts w:cs="Times New Roman"/>
                <w:sz w:val="20"/>
              </w:rPr>
            </w:pPr>
            <w:r w:rsidRPr="00D051A7">
              <w:rPr>
                <w:rFonts w:cs="Times New Roman"/>
                <w:sz w:val="20"/>
              </w:rPr>
              <w:t>Test Number</w:t>
            </w:r>
          </w:p>
        </w:tc>
        <w:tc>
          <w:tcPr>
            <w:tcW w:w="2335" w:type="dxa"/>
          </w:tcPr>
          <w:p w:rsidR="00621EF2" w:rsidRPr="00D051A7" w:rsidRDefault="00621EF2">
            <w:pPr>
              <w:jc w:val="right"/>
              <w:rPr>
                <w:rFonts w:cs="Times New Roman"/>
                <w:sz w:val="20"/>
              </w:rPr>
            </w:pPr>
          </w:p>
        </w:tc>
        <w:tc>
          <w:tcPr>
            <w:tcW w:w="2335" w:type="dxa"/>
          </w:tcPr>
          <w:p w:rsidR="00621EF2" w:rsidRPr="00D051A7" w:rsidRDefault="00621EF2">
            <w:pPr>
              <w:jc w:val="right"/>
              <w:rPr>
                <w:rFonts w:cs="Times New Roman"/>
                <w:sz w:val="20"/>
              </w:rPr>
            </w:pPr>
            <w:r w:rsidRPr="00D051A7">
              <w:rPr>
                <w:rFonts w:cs="Times New Roman"/>
                <w:sz w:val="20"/>
              </w:rPr>
              <w:t>Date</w:t>
            </w:r>
          </w:p>
        </w:tc>
        <w:tc>
          <w:tcPr>
            <w:tcW w:w="2335" w:type="dxa"/>
            <w:gridSpan w:val="2"/>
          </w:tcPr>
          <w:p w:rsidR="00621EF2" w:rsidRPr="00D051A7" w:rsidRDefault="00621EF2">
            <w:pPr>
              <w:jc w:val="right"/>
              <w:rPr>
                <w:rFonts w:cs="Times New Roman"/>
                <w:sz w:val="20"/>
              </w:rPr>
            </w:pPr>
          </w:p>
        </w:tc>
      </w:tr>
      <w:tr w:rsidR="00621EF2" w:rsidRPr="00797CEC" w:rsidTr="00323563">
        <w:trPr>
          <w:jc w:val="center"/>
        </w:trPr>
        <w:tc>
          <w:tcPr>
            <w:tcW w:w="2335" w:type="dxa"/>
          </w:tcPr>
          <w:p w:rsidR="00621EF2" w:rsidRPr="00D051A7" w:rsidRDefault="00621EF2" w:rsidP="00621EF2">
            <w:pPr>
              <w:jc w:val="right"/>
              <w:rPr>
                <w:rFonts w:cs="Times New Roman"/>
                <w:sz w:val="20"/>
              </w:rPr>
            </w:pPr>
            <w:r w:rsidRPr="00D051A7">
              <w:rPr>
                <w:rFonts w:cs="Times New Roman"/>
                <w:sz w:val="20"/>
              </w:rPr>
              <w:t xml:space="preserve">Vessel </w:t>
            </w:r>
            <w:r w:rsidR="003327A7" w:rsidRPr="00F12266">
              <w:rPr>
                <w:sz w:val="18"/>
                <w:szCs w:val="18"/>
              </w:rPr>
              <w:t>I</w:t>
            </w:r>
            <w:r w:rsidR="003327A7">
              <w:rPr>
                <w:sz w:val="18"/>
                <w:szCs w:val="18"/>
              </w:rPr>
              <w:t>dentification</w:t>
            </w:r>
            <w:r w:rsidRPr="00D051A7">
              <w:rPr>
                <w:rFonts w:cs="Times New Roman"/>
                <w:sz w:val="20"/>
              </w:rPr>
              <w:t xml:space="preserve"> </w:t>
            </w:r>
          </w:p>
        </w:tc>
        <w:tc>
          <w:tcPr>
            <w:tcW w:w="2335" w:type="dxa"/>
          </w:tcPr>
          <w:p w:rsidR="00621EF2" w:rsidRPr="00D051A7" w:rsidRDefault="00621EF2">
            <w:pPr>
              <w:jc w:val="right"/>
              <w:rPr>
                <w:rFonts w:cs="Times New Roman"/>
                <w:sz w:val="20"/>
              </w:rPr>
            </w:pPr>
          </w:p>
        </w:tc>
        <w:tc>
          <w:tcPr>
            <w:tcW w:w="2335" w:type="dxa"/>
          </w:tcPr>
          <w:p w:rsidR="00621EF2" w:rsidRPr="00D051A7" w:rsidRDefault="00621EF2">
            <w:pPr>
              <w:jc w:val="right"/>
              <w:rPr>
                <w:rFonts w:cs="Times New Roman"/>
                <w:sz w:val="20"/>
              </w:rPr>
            </w:pPr>
            <w:r w:rsidRPr="00D051A7">
              <w:rPr>
                <w:rFonts w:cs="Times New Roman"/>
                <w:sz w:val="20"/>
              </w:rPr>
              <w:t>Operator</w:t>
            </w:r>
          </w:p>
        </w:tc>
        <w:tc>
          <w:tcPr>
            <w:tcW w:w="2335" w:type="dxa"/>
            <w:gridSpan w:val="2"/>
          </w:tcPr>
          <w:p w:rsidR="00621EF2" w:rsidRPr="00D051A7" w:rsidRDefault="00621EF2">
            <w:pPr>
              <w:jc w:val="right"/>
              <w:rPr>
                <w:rFonts w:cs="Times New Roman"/>
                <w:sz w:val="20"/>
              </w:rPr>
            </w:pPr>
          </w:p>
        </w:tc>
      </w:tr>
      <w:tr w:rsidR="00621EF2" w:rsidRPr="00797CEC" w:rsidTr="00323563">
        <w:trPr>
          <w:jc w:val="center"/>
        </w:trPr>
        <w:tc>
          <w:tcPr>
            <w:tcW w:w="2335" w:type="dxa"/>
          </w:tcPr>
          <w:p w:rsidR="00621EF2" w:rsidRPr="00D051A7" w:rsidRDefault="00621EF2">
            <w:pPr>
              <w:jc w:val="right"/>
              <w:rPr>
                <w:rFonts w:cs="Times New Roman"/>
                <w:sz w:val="20"/>
              </w:rPr>
            </w:pPr>
            <w:r w:rsidRPr="00D051A7">
              <w:rPr>
                <w:rFonts w:cs="Times New Roman"/>
                <w:sz w:val="20"/>
              </w:rPr>
              <w:t>Nominal Volume</w:t>
            </w:r>
          </w:p>
        </w:tc>
        <w:tc>
          <w:tcPr>
            <w:tcW w:w="2335" w:type="dxa"/>
          </w:tcPr>
          <w:p w:rsidR="00621EF2" w:rsidRPr="00D051A7" w:rsidRDefault="00621EF2">
            <w:pPr>
              <w:jc w:val="right"/>
              <w:rPr>
                <w:rFonts w:cs="Times New Roman"/>
                <w:sz w:val="20"/>
              </w:rPr>
            </w:pPr>
          </w:p>
        </w:tc>
        <w:tc>
          <w:tcPr>
            <w:tcW w:w="2335" w:type="dxa"/>
          </w:tcPr>
          <w:p w:rsidR="00621EF2" w:rsidRPr="00D051A7" w:rsidRDefault="00621EF2">
            <w:pPr>
              <w:jc w:val="right"/>
              <w:rPr>
                <w:rFonts w:cs="Times New Roman"/>
                <w:sz w:val="20"/>
              </w:rPr>
            </w:pPr>
          </w:p>
        </w:tc>
        <w:tc>
          <w:tcPr>
            <w:tcW w:w="1167" w:type="dxa"/>
          </w:tcPr>
          <w:p w:rsidR="00621EF2" w:rsidRPr="00D051A7" w:rsidRDefault="00621EF2" w:rsidP="00D051A7">
            <w:pPr>
              <w:jc w:val="center"/>
              <w:rPr>
                <w:rFonts w:cs="Times New Roman"/>
                <w:sz w:val="20"/>
              </w:rPr>
            </w:pPr>
            <w:r w:rsidRPr="00D051A7">
              <w:rPr>
                <w:rFonts w:cs="Times New Roman"/>
                <w:sz w:val="20"/>
              </w:rPr>
              <w:t>Before</w:t>
            </w:r>
          </w:p>
        </w:tc>
        <w:tc>
          <w:tcPr>
            <w:tcW w:w="1168" w:type="dxa"/>
          </w:tcPr>
          <w:p w:rsidR="00621EF2" w:rsidRPr="00D051A7" w:rsidRDefault="00621EF2" w:rsidP="00D051A7">
            <w:pPr>
              <w:jc w:val="center"/>
              <w:rPr>
                <w:rFonts w:cs="Times New Roman"/>
                <w:sz w:val="20"/>
              </w:rPr>
            </w:pPr>
            <w:r w:rsidRPr="00D051A7">
              <w:rPr>
                <w:rFonts w:cs="Times New Roman"/>
                <w:sz w:val="20"/>
              </w:rPr>
              <w:t>After</w:t>
            </w:r>
          </w:p>
        </w:tc>
      </w:tr>
      <w:tr w:rsidR="00621EF2" w:rsidRPr="00797CEC" w:rsidTr="00323563">
        <w:trPr>
          <w:jc w:val="center"/>
        </w:trPr>
        <w:tc>
          <w:tcPr>
            <w:tcW w:w="2335" w:type="dxa"/>
          </w:tcPr>
          <w:p w:rsidR="00621EF2" w:rsidRPr="00D051A7" w:rsidRDefault="00621EF2">
            <w:pPr>
              <w:jc w:val="right"/>
              <w:rPr>
                <w:rFonts w:cs="Times New Roman"/>
                <w:sz w:val="20"/>
              </w:rPr>
            </w:pPr>
            <w:r w:rsidRPr="00D051A7">
              <w:rPr>
                <w:rFonts w:cs="Times New Roman"/>
                <w:sz w:val="20"/>
              </w:rPr>
              <w:t>Coefficient of Expansion</w:t>
            </w:r>
          </w:p>
        </w:tc>
        <w:tc>
          <w:tcPr>
            <w:tcW w:w="2335" w:type="dxa"/>
          </w:tcPr>
          <w:p w:rsidR="00621EF2" w:rsidRPr="00D051A7" w:rsidRDefault="00621EF2">
            <w:pPr>
              <w:jc w:val="right"/>
              <w:rPr>
                <w:rFonts w:cs="Times New Roman"/>
                <w:sz w:val="20"/>
              </w:rPr>
            </w:pPr>
          </w:p>
        </w:tc>
        <w:tc>
          <w:tcPr>
            <w:tcW w:w="2335" w:type="dxa"/>
          </w:tcPr>
          <w:p w:rsidR="00621EF2" w:rsidRPr="00D051A7" w:rsidRDefault="00621EF2">
            <w:pPr>
              <w:jc w:val="right"/>
              <w:rPr>
                <w:rFonts w:cs="Times New Roman"/>
                <w:sz w:val="20"/>
              </w:rPr>
            </w:pPr>
            <w:r w:rsidRPr="00D051A7">
              <w:rPr>
                <w:rFonts w:cs="Times New Roman"/>
                <w:sz w:val="20"/>
              </w:rPr>
              <w:t>Temperature</w:t>
            </w:r>
          </w:p>
        </w:tc>
        <w:tc>
          <w:tcPr>
            <w:tcW w:w="1167" w:type="dxa"/>
          </w:tcPr>
          <w:p w:rsidR="00621EF2" w:rsidRPr="00D051A7" w:rsidRDefault="00621EF2">
            <w:pPr>
              <w:jc w:val="right"/>
              <w:rPr>
                <w:rFonts w:cs="Times New Roman"/>
                <w:sz w:val="20"/>
              </w:rPr>
            </w:pPr>
          </w:p>
        </w:tc>
        <w:tc>
          <w:tcPr>
            <w:tcW w:w="1168" w:type="dxa"/>
          </w:tcPr>
          <w:p w:rsidR="00621EF2" w:rsidRPr="00D051A7" w:rsidRDefault="00621EF2">
            <w:pPr>
              <w:jc w:val="right"/>
              <w:rPr>
                <w:rFonts w:cs="Times New Roman"/>
                <w:sz w:val="20"/>
              </w:rPr>
            </w:pPr>
          </w:p>
        </w:tc>
      </w:tr>
      <w:tr w:rsidR="00621EF2" w:rsidRPr="00797CEC" w:rsidTr="00323563">
        <w:trPr>
          <w:jc w:val="center"/>
        </w:trPr>
        <w:tc>
          <w:tcPr>
            <w:tcW w:w="2335" w:type="dxa"/>
          </w:tcPr>
          <w:p w:rsidR="00621EF2" w:rsidRPr="00D051A7" w:rsidRDefault="00621EF2">
            <w:pPr>
              <w:jc w:val="right"/>
              <w:rPr>
                <w:rFonts w:cs="Times New Roman"/>
                <w:sz w:val="20"/>
              </w:rPr>
            </w:pPr>
            <w:r w:rsidRPr="00D051A7">
              <w:rPr>
                <w:rFonts w:cs="Times New Roman"/>
                <w:sz w:val="20"/>
              </w:rPr>
              <w:t xml:space="preserve">Process standard deviation from control chart, </w:t>
            </w:r>
            <w:r w:rsidRPr="00D051A7">
              <w:rPr>
                <w:rFonts w:cs="Times New Roman"/>
                <w:i/>
                <w:sz w:val="20"/>
              </w:rPr>
              <w:t>s</w:t>
            </w:r>
            <w:r w:rsidRPr="00D051A7">
              <w:rPr>
                <w:rFonts w:cs="Times New Roman"/>
                <w:i/>
                <w:sz w:val="20"/>
                <w:vertAlign w:val="subscript"/>
              </w:rPr>
              <w:t>p</w:t>
            </w:r>
            <w:r w:rsidRPr="00D051A7" w:rsidDel="00621EF2">
              <w:rPr>
                <w:rFonts w:cs="Times New Roman"/>
                <w:sz w:val="20"/>
              </w:rPr>
              <w:t xml:space="preserve"> </w:t>
            </w:r>
          </w:p>
        </w:tc>
        <w:tc>
          <w:tcPr>
            <w:tcW w:w="2335" w:type="dxa"/>
          </w:tcPr>
          <w:p w:rsidR="00621EF2" w:rsidRPr="00D051A7" w:rsidRDefault="00621EF2">
            <w:pPr>
              <w:jc w:val="right"/>
              <w:rPr>
                <w:rFonts w:cs="Times New Roman"/>
                <w:sz w:val="20"/>
              </w:rPr>
            </w:pPr>
          </w:p>
        </w:tc>
        <w:tc>
          <w:tcPr>
            <w:tcW w:w="2335" w:type="dxa"/>
          </w:tcPr>
          <w:p w:rsidR="00621EF2" w:rsidRPr="00D051A7" w:rsidRDefault="00621EF2">
            <w:pPr>
              <w:jc w:val="right"/>
              <w:rPr>
                <w:rFonts w:cs="Times New Roman"/>
                <w:sz w:val="20"/>
              </w:rPr>
            </w:pPr>
            <w:r w:rsidRPr="00D051A7">
              <w:rPr>
                <w:rFonts w:cs="Times New Roman"/>
                <w:sz w:val="20"/>
              </w:rPr>
              <w:t>Pressure</w:t>
            </w:r>
            <w:r w:rsidRPr="00D051A7" w:rsidDel="00621EF2">
              <w:rPr>
                <w:rFonts w:cs="Times New Roman"/>
                <w:sz w:val="20"/>
              </w:rPr>
              <w:t xml:space="preserve"> </w:t>
            </w:r>
          </w:p>
        </w:tc>
        <w:tc>
          <w:tcPr>
            <w:tcW w:w="1167" w:type="dxa"/>
          </w:tcPr>
          <w:p w:rsidR="00621EF2" w:rsidRPr="00D051A7" w:rsidRDefault="00621EF2">
            <w:pPr>
              <w:jc w:val="right"/>
              <w:rPr>
                <w:rFonts w:cs="Times New Roman"/>
                <w:sz w:val="20"/>
              </w:rPr>
            </w:pPr>
          </w:p>
        </w:tc>
        <w:tc>
          <w:tcPr>
            <w:tcW w:w="1168" w:type="dxa"/>
          </w:tcPr>
          <w:p w:rsidR="00621EF2" w:rsidRPr="00D051A7" w:rsidRDefault="00621EF2">
            <w:pPr>
              <w:jc w:val="right"/>
              <w:rPr>
                <w:rFonts w:cs="Times New Roman"/>
                <w:sz w:val="20"/>
              </w:rPr>
            </w:pPr>
          </w:p>
        </w:tc>
      </w:tr>
      <w:tr w:rsidR="00621EF2" w:rsidRPr="00797CEC" w:rsidTr="00323563">
        <w:trPr>
          <w:jc w:val="center"/>
        </w:trPr>
        <w:tc>
          <w:tcPr>
            <w:tcW w:w="2335" w:type="dxa"/>
          </w:tcPr>
          <w:p w:rsidR="00621EF2" w:rsidRPr="00D051A7" w:rsidRDefault="00621EF2">
            <w:pPr>
              <w:jc w:val="right"/>
              <w:rPr>
                <w:rFonts w:cs="Times New Roman"/>
                <w:sz w:val="20"/>
              </w:rPr>
            </w:pPr>
            <w:r w:rsidRPr="00D051A7">
              <w:rPr>
                <w:rFonts w:cs="Times New Roman"/>
                <w:sz w:val="20"/>
              </w:rPr>
              <w:t>Degrees of Freedom</w:t>
            </w:r>
          </w:p>
        </w:tc>
        <w:tc>
          <w:tcPr>
            <w:tcW w:w="2335" w:type="dxa"/>
          </w:tcPr>
          <w:p w:rsidR="00621EF2" w:rsidRPr="00D051A7" w:rsidRDefault="00621EF2">
            <w:pPr>
              <w:jc w:val="right"/>
              <w:rPr>
                <w:rFonts w:cs="Times New Roman"/>
                <w:sz w:val="20"/>
              </w:rPr>
            </w:pPr>
          </w:p>
        </w:tc>
        <w:tc>
          <w:tcPr>
            <w:tcW w:w="2335" w:type="dxa"/>
          </w:tcPr>
          <w:p w:rsidR="00621EF2" w:rsidRPr="00D051A7" w:rsidRDefault="00621EF2">
            <w:pPr>
              <w:jc w:val="right"/>
              <w:rPr>
                <w:rFonts w:cs="Times New Roman"/>
                <w:sz w:val="20"/>
              </w:rPr>
            </w:pPr>
            <w:r w:rsidRPr="00D051A7">
              <w:rPr>
                <w:rFonts w:cs="Times New Roman"/>
                <w:sz w:val="20"/>
              </w:rPr>
              <w:t>Relative Humidity</w:t>
            </w:r>
            <w:r w:rsidRPr="00D051A7" w:rsidDel="00621EF2">
              <w:rPr>
                <w:rFonts w:cs="Times New Roman"/>
                <w:sz w:val="20"/>
              </w:rPr>
              <w:t xml:space="preserve"> </w:t>
            </w:r>
          </w:p>
        </w:tc>
        <w:tc>
          <w:tcPr>
            <w:tcW w:w="1167" w:type="dxa"/>
          </w:tcPr>
          <w:p w:rsidR="00621EF2" w:rsidRPr="00D051A7" w:rsidRDefault="00621EF2">
            <w:pPr>
              <w:jc w:val="right"/>
              <w:rPr>
                <w:rFonts w:cs="Times New Roman"/>
                <w:sz w:val="20"/>
              </w:rPr>
            </w:pPr>
          </w:p>
        </w:tc>
        <w:tc>
          <w:tcPr>
            <w:tcW w:w="1168" w:type="dxa"/>
          </w:tcPr>
          <w:p w:rsidR="00621EF2" w:rsidRPr="00D051A7" w:rsidRDefault="00621EF2">
            <w:pPr>
              <w:jc w:val="right"/>
              <w:rPr>
                <w:rFonts w:cs="Times New Roman"/>
                <w:sz w:val="20"/>
              </w:rPr>
            </w:pPr>
          </w:p>
        </w:tc>
      </w:tr>
    </w:tbl>
    <w:p w:rsidR="00DB312A" w:rsidRPr="00797CEC" w:rsidRDefault="00DB312A">
      <w:pPr>
        <w:jc w:val="both"/>
        <w:rPr>
          <w:rFonts w:cs="Times New Roman"/>
          <w:sz w:val="22"/>
        </w:rPr>
      </w:pPr>
    </w:p>
    <w:p w:rsidR="00DB312A" w:rsidRPr="00797CEC" w:rsidRDefault="00DB312A">
      <w:pPr>
        <w:jc w:val="both"/>
        <w:rPr>
          <w:rFonts w:cs="Times New Roman"/>
          <w:sz w:val="22"/>
        </w:rPr>
      </w:pPr>
      <w:r w:rsidRPr="00797CEC">
        <w:rPr>
          <w:rFonts w:cs="Times New Roman"/>
          <w:b/>
          <w:sz w:val="22"/>
        </w:rPr>
        <w:t>Volume standard(s) data:</w:t>
      </w:r>
    </w:p>
    <w:tbl>
      <w:tblPr>
        <w:tblW w:w="934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62" w:type="dxa"/>
          <w:right w:w="62" w:type="dxa"/>
        </w:tblCellMar>
        <w:tblLook w:val="0000" w:firstRow="0" w:lastRow="0" w:firstColumn="0" w:lastColumn="0" w:noHBand="0" w:noVBand="0"/>
        <w:tblCaption w:val="Lab standards used in volume calibration"/>
        <w:tblDescription w:val="2. data sheet for volume calibration - standards"/>
      </w:tblPr>
      <w:tblGrid>
        <w:gridCol w:w="2079"/>
        <w:gridCol w:w="1241"/>
        <w:gridCol w:w="1260"/>
        <w:gridCol w:w="1067"/>
        <w:gridCol w:w="1440"/>
        <w:gridCol w:w="1363"/>
        <w:gridCol w:w="890"/>
      </w:tblGrid>
      <w:tr w:rsidR="00323563" w:rsidRPr="00797CEC" w:rsidTr="00D051A7">
        <w:trPr>
          <w:jc w:val="center"/>
        </w:trPr>
        <w:tc>
          <w:tcPr>
            <w:tcW w:w="2079" w:type="dxa"/>
            <w:vAlign w:val="center"/>
          </w:tcPr>
          <w:p w:rsidR="00323563" w:rsidRPr="00D051A7" w:rsidRDefault="003327A7">
            <w:pPr>
              <w:jc w:val="center"/>
              <w:rPr>
                <w:rFonts w:cs="Times New Roman"/>
                <w:b/>
                <w:sz w:val="20"/>
              </w:rPr>
            </w:pPr>
            <w:r w:rsidRPr="00F12266">
              <w:rPr>
                <w:sz w:val="18"/>
                <w:szCs w:val="18"/>
              </w:rPr>
              <w:t>I</w:t>
            </w:r>
            <w:r>
              <w:rPr>
                <w:sz w:val="18"/>
                <w:szCs w:val="18"/>
              </w:rPr>
              <w:t>dentification</w:t>
            </w:r>
          </w:p>
          <w:p w:rsidR="00323563" w:rsidRPr="00D051A7" w:rsidRDefault="00323563">
            <w:pPr>
              <w:jc w:val="center"/>
              <w:rPr>
                <w:rFonts w:cs="Times New Roman"/>
                <w:b/>
                <w:sz w:val="20"/>
              </w:rPr>
            </w:pPr>
            <w:r w:rsidRPr="00D051A7">
              <w:rPr>
                <w:rFonts w:cs="Times New Roman"/>
                <w:b/>
                <w:sz w:val="20"/>
              </w:rPr>
              <w:t>(enter interval if needed)</w:t>
            </w:r>
          </w:p>
        </w:tc>
        <w:tc>
          <w:tcPr>
            <w:tcW w:w="1241" w:type="dxa"/>
            <w:vAlign w:val="center"/>
          </w:tcPr>
          <w:p w:rsidR="00323563" w:rsidRPr="00D051A7" w:rsidRDefault="00323563">
            <w:pPr>
              <w:jc w:val="center"/>
              <w:rPr>
                <w:rFonts w:cs="Times New Roman"/>
                <w:b/>
                <w:sz w:val="20"/>
              </w:rPr>
            </w:pPr>
            <w:r w:rsidRPr="00D051A7">
              <w:rPr>
                <w:rFonts w:cs="Times New Roman"/>
                <w:b/>
                <w:sz w:val="20"/>
              </w:rPr>
              <w:t>Nominal</w:t>
            </w:r>
          </w:p>
        </w:tc>
        <w:tc>
          <w:tcPr>
            <w:tcW w:w="1260" w:type="dxa"/>
            <w:vAlign w:val="center"/>
          </w:tcPr>
          <w:p w:rsidR="00323563" w:rsidRPr="00D051A7" w:rsidRDefault="00323563" w:rsidP="00323563">
            <w:pPr>
              <w:jc w:val="center"/>
              <w:rPr>
                <w:rFonts w:cs="Times New Roman"/>
                <w:b/>
                <w:sz w:val="20"/>
              </w:rPr>
            </w:pPr>
            <w:r w:rsidRPr="00D051A7">
              <w:rPr>
                <w:rFonts w:cs="Times New Roman"/>
                <w:b/>
                <w:sz w:val="20"/>
              </w:rPr>
              <w:t xml:space="preserve">Calibrated Volume </w:t>
            </w:r>
          </w:p>
        </w:tc>
        <w:tc>
          <w:tcPr>
            <w:tcW w:w="1067" w:type="dxa"/>
            <w:vAlign w:val="center"/>
          </w:tcPr>
          <w:p w:rsidR="00323563" w:rsidRPr="00D051A7" w:rsidRDefault="00323563">
            <w:pPr>
              <w:jc w:val="center"/>
              <w:rPr>
                <w:rFonts w:cs="Times New Roman"/>
                <w:b/>
                <w:sz w:val="20"/>
              </w:rPr>
            </w:pPr>
            <w:r w:rsidRPr="00D051A7">
              <w:rPr>
                <w:rFonts w:cs="Times New Roman"/>
                <w:b/>
                <w:sz w:val="20"/>
              </w:rPr>
              <w:t>Volume  Correction</w:t>
            </w:r>
          </w:p>
        </w:tc>
        <w:tc>
          <w:tcPr>
            <w:tcW w:w="1440" w:type="dxa"/>
            <w:vAlign w:val="center"/>
          </w:tcPr>
          <w:p w:rsidR="00323563" w:rsidRPr="00D051A7" w:rsidRDefault="00323563" w:rsidP="00323563">
            <w:pPr>
              <w:jc w:val="center"/>
              <w:rPr>
                <w:rFonts w:cs="Times New Roman"/>
                <w:b/>
                <w:sz w:val="20"/>
              </w:rPr>
            </w:pPr>
            <w:r w:rsidRPr="00D051A7">
              <w:rPr>
                <w:rFonts w:cs="Times New Roman"/>
                <w:b/>
                <w:sz w:val="20"/>
              </w:rPr>
              <w:t>Coefficient of Expansion</w:t>
            </w:r>
          </w:p>
        </w:tc>
        <w:tc>
          <w:tcPr>
            <w:tcW w:w="1363" w:type="dxa"/>
            <w:vAlign w:val="center"/>
          </w:tcPr>
          <w:p w:rsidR="00323563" w:rsidRPr="00D051A7" w:rsidRDefault="00D051A7" w:rsidP="00323563">
            <w:pPr>
              <w:jc w:val="center"/>
              <w:rPr>
                <w:rFonts w:cs="Times New Roman"/>
                <w:b/>
                <w:sz w:val="20"/>
              </w:rPr>
            </w:pPr>
            <w:r>
              <w:rPr>
                <w:rFonts w:cs="Times New Roman"/>
                <w:b/>
                <w:sz w:val="20"/>
              </w:rPr>
              <w:t xml:space="preserve">Exp. </w:t>
            </w:r>
            <w:r w:rsidR="00323563" w:rsidRPr="00D051A7">
              <w:rPr>
                <w:rFonts w:cs="Times New Roman"/>
                <w:b/>
                <w:sz w:val="20"/>
              </w:rPr>
              <w:t>Uncertainty</w:t>
            </w:r>
          </w:p>
        </w:tc>
        <w:tc>
          <w:tcPr>
            <w:tcW w:w="890" w:type="dxa"/>
            <w:vAlign w:val="center"/>
          </w:tcPr>
          <w:p w:rsidR="00323563" w:rsidRPr="00D051A7" w:rsidRDefault="00323563">
            <w:pPr>
              <w:jc w:val="center"/>
              <w:rPr>
                <w:rFonts w:cs="Times New Roman"/>
                <w:b/>
                <w:sz w:val="20"/>
              </w:rPr>
            </w:pPr>
            <w:r w:rsidRPr="00D051A7">
              <w:rPr>
                <w:rFonts w:cs="Times New Roman"/>
                <w:b/>
                <w:i/>
                <w:sz w:val="20"/>
              </w:rPr>
              <w:t>k</w:t>
            </w:r>
            <w:r w:rsidRPr="00D051A7">
              <w:rPr>
                <w:rFonts w:cs="Times New Roman"/>
                <w:b/>
                <w:sz w:val="20"/>
              </w:rPr>
              <w:t xml:space="preserve"> factor</w:t>
            </w:r>
          </w:p>
        </w:tc>
      </w:tr>
      <w:tr w:rsidR="00323563" w:rsidRPr="00797CEC" w:rsidTr="00D051A7">
        <w:trPr>
          <w:jc w:val="center"/>
        </w:trPr>
        <w:tc>
          <w:tcPr>
            <w:tcW w:w="2079" w:type="dxa"/>
          </w:tcPr>
          <w:p w:rsidR="00323563" w:rsidRPr="00D051A7" w:rsidRDefault="00323563" w:rsidP="00D051A7">
            <w:pPr>
              <w:rPr>
                <w:rFonts w:cs="Times New Roman"/>
                <w:sz w:val="20"/>
              </w:rPr>
            </w:pPr>
            <w:r w:rsidRPr="00D051A7">
              <w:rPr>
                <w:rFonts w:cs="Times New Roman"/>
                <w:sz w:val="20"/>
              </w:rPr>
              <w:t>Pipet</w:t>
            </w:r>
          </w:p>
        </w:tc>
        <w:tc>
          <w:tcPr>
            <w:tcW w:w="1241" w:type="dxa"/>
          </w:tcPr>
          <w:p w:rsidR="00323563" w:rsidRPr="00D051A7" w:rsidRDefault="00323563">
            <w:pPr>
              <w:rPr>
                <w:rFonts w:cs="Times New Roman"/>
                <w:sz w:val="20"/>
              </w:rPr>
            </w:pPr>
          </w:p>
        </w:tc>
        <w:tc>
          <w:tcPr>
            <w:tcW w:w="1260" w:type="dxa"/>
          </w:tcPr>
          <w:p w:rsidR="00323563" w:rsidRPr="00D051A7" w:rsidRDefault="00323563">
            <w:pPr>
              <w:rPr>
                <w:rFonts w:cs="Times New Roman"/>
                <w:sz w:val="20"/>
              </w:rPr>
            </w:pPr>
          </w:p>
        </w:tc>
        <w:tc>
          <w:tcPr>
            <w:tcW w:w="1067" w:type="dxa"/>
          </w:tcPr>
          <w:p w:rsidR="00323563" w:rsidRPr="00D051A7" w:rsidRDefault="00323563">
            <w:pPr>
              <w:rPr>
                <w:rFonts w:cs="Times New Roman"/>
                <w:sz w:val="20"/>
              </w:rPr>
            </w:pPr>
          </w:p>
        </w:tc>
        <w:tc>
          <w:tcPr>
            <w:tcW w:w="1440" w:type="dxa"/>
          </w:tcPr>
          <w:p w:rsidR="00323563" w:rsidRPr="00D051A7" w:rsidRDefault="00323563">
            <w:pPr>
              <w:jc w:val="center"/>
              <w:rPr>
                <w:rFonts w:cs="Times New Roman"/>
                <w:sz w:val="20"/>
              </w:rPr>
            </w:pPr>
          </w:p>
        </w:tc>
        <w:tc>
          <w:tcPr>
            <w:tcW w:w="1363" w:type="dxa"/>
          </w:tcPr>
          <w:p w:rsidR="00323563" w:rsidRPr="00D051A7" w:rsidRDefault="00323563">
            <w:pPr>
              <w:rPr>
                <w:rFonts w:cs="Times New Roman"/>
                <w:sz w:val="20"/>
              </w:rPr>
            </w:pPr>
          </w:p>
        </w:tc>
        <w:tc>
          <w:tcPr>
            <w:tcW w:w="890" w:type="dxa"/>
          </w:tcPr>
          <w:p w:rsidR="00323563" w:rsidRPr="00D051A7" w:rsidRDefault="00323563">
            <w:pPr>
              <w:rPr>
                <w:rFonts w:cs="Times New Roman"/>
                <w:sz w:val="20"/>
              </w:rPr>
            </w:pPr>
          </w:p>
        </w:tc>
      </w:tr>
      <w:tr w:rsidR="00323563" w:rsidRPr="00797CEC" w:rsidTr="00D051A7">
        <w:trPr>
          <w:jc w:val="center"/>
        </w:trPr>
        <w:tc>
          <w:tcPr>
            <w:tcW w:w="2079" w:type="dxa"/>
          </w:tcPr>
          <w:p w:rsidR="00323563" w:rsidRPr="00D051A7" w:rsidRDefault="00323563" w:rsidP="00D051A7">
            <w:pPr>
              <w:rPr>
                <w:rFonts w:cs="Times New Roman"/>
                <w:sz w:val="20"/>
              </w:rPr>
            </w:pPr>
            <w:proofErr w:type="spellStart"/>
            <w:r w:rsidRPr="00D051A7">
              <w:rPr>
                <w:rFonts w:cs="Times New Roman"/>
                <w:sz w:val="20"/>
              </w:rPr>
              <w:t>Buret</w:t>
            </w:r>
            <w:proofErr w:type="spellEnd"/>
          </w:p>
        </w:tc>
        <w:tc>
          <w:tcPr>
            <w:tcW w:w="1241" w:type="dxa"/>
          </w:tcPr>
          <w:p w:rsidR="00323563" w:rsidRPr="00D051A7" w:rsidRDefault="00323563">
            <w:pPr>
              <w:rPr>
                <w:rFonts w:cs="Times New Roman"/>
                <w:sz w:val="20"/>
              </w:rPr>
            </w:pPr>
          </w:p>
        </w:tc>
        <w:tc>
          <w:tcPr>
            <w:tcW w:w="1260" w:type="dxa"/>
          </w:tcPr>
          <w:p w:rsidR="00323563" w:rsidRPr="00D051A7" w:rsidRDefault="00323563">
            <w:pPr>
              <w:rPr>
                <w:rFonts w:cs="Times New Roman"/>
                <w:sz w:val="20"/>
              </w:rPr>
            </w:pPr>
          </w:p>
        </w:tc>
        <w:tc>
          <w:tcPr>
            <w:tcW w:w="1067" w:type="dxa"/>
          </w:tcPr>
          <w:p w:rsidR="00323563" w:rsidRPr="00D051A7" w:rsidRDefault="00323563">
            <w:pPr>
              <w:rPr>
                <w:rFonts w:cs="Times New Roman"/>
                <w:sz w:val="20"/>
              </w:rPr>
            </w:pPr>
          </w:p>
        </w:tc>
        <w:tc>
          <w:tcPr>
            <w:tcW w:w="1440" w:type="dxa"/>
          </w:tcPr>
          <w:p w:rsidR="00323563" w:rsidRPr="00D051A7" w:rsidRDefault="00323563">
            <w:pPr>
              <w:jc w:val="center"/>
              <w:rPr>
                <w:rFonts w:cs="Times New Roman"/>
                <w:sz w:val="20"/>
              </w:rPr>
            </w:pPr>
          </w:p>
        </w:tc>
        <w:tc>
          <w:tcPr>
            <w:tcW w:w="1363" w:type="dxa"/>
          </w:tcPr>
          <w:p w:rsidR="00323563" w:rsidRPr="00D051A7" w:rsidRDefault="00323563">
            <w:pPr>
              <w:rPr>
                <w:rFonts w:cs="Times New Roman"/>
                <w:sz w:val="20"/>
              </w:rPr>
            </w:pPr>
          </w:p>
        </w:tc>
        <w:tc>
          <w:tcPr>
            <w:tcW w:w="890" w:type="dxa"/>
          </w:tcPr>
          <w:p w:rsidR="00323563" w:rsidRPr="00D051A7" w:rsidRDefault="00323563">
            <w:pPr>
              <w:rPr>
                <w:rFonts w:cs="Times New Roman"/>
                <w:sz w:val="20"/>
              </w:rPr>
            </w:pPr>
          </w:p>
        </w:tc>
      </w:tr>
      <w:tr w:rsidR="00323563" w:rsidRPr="00797CEC" w:rsidTr="00D051A7">
        <w:trPr>
          <w:jc w:val="center"/>
        </w:trPr>
        <w:tc>
          <w:tcPr>
            <w:tcW w:w="2079" w:type="dxa"/>
          </w:tcPr>
          <w:p w:rsidR="00323563" w:rsidRPr="00D051A7" w:rsidRDefault="00323563" w:rsidP="00D051A7">
            <w:pPr>
              <w:rPr>
                <w:rFonts w:cs="Times New Roman"/>
                <w:sz w:val="20"/>
              </w:rPr>
            </w:pPr>
            <w:proofErr w:type="spellStart"/>
            <w:r w:rsidRPr="00D051A7">
              <w:rPr>
                <w:rFonts w:cs="Times New Roman"/>
                <w:sz w:val="20"/>
              </w:rPr>
              <w:t>Buret</w:t>
            </w:r>
            <w:proofErr w:type="spellEnd"/>
          </w:p>
        </w:tc>
        <w:tc>
          <w:tcPr>
            <w:tcW w:w="1241" w:type="dxa"/>
          </w:tcPr>
          <w:p w:rsidR="00323563" w:rsidRPr="00D051A7" w:rsidRDefault="00323563">
            <w:pPr>
              <w:rPr>
                <w:rFonts w:cs="Times New Roman"/>
                <w:sz w:val="20"/>
              </w:rPr>
            </w:pPr>
          </w:p>
        </w:tc>
        <w:tc>
          <w:tcPr>
            <w:tcW w:w="1260" w:type="dxa"/>
          </w:tcPr>
          <w:p w:rsidR="00323563" w:rsidRPr="00D051A7" w:rsidRDefault="00323563">
            <w:pPr>
              <w:rPr>
                <w:rFonts w:cs="Times New Roman"/>
                <w:sz w:val="20"/>
              </w:rPr>
            </w:pPr>
          </w:p>
        </w:tc>
        <w:tc>
          <w:tcPr>
            <w:tcW w:w="1067" w:type="dxa"/>
          </w:tcPr>
          <w:p w:rsidR="00323563" w:rsidRPr="00D051A7" w:rsidRDefault="00323563">
            <w:pPr>
              <w:rPr>
                <w:rFonts w:cs="Times New Roman"/>
                <w:sz w:val="20"/>
              </w:rPr>
            </w:pPr>
          </w:p>
        </w:tc>
        <w:tc>
          <w:tcPr>
            <w:tcW w:w="1440" w:type="dxa"/>
          </w:tcPr>
          <w:p w:rsidR="00323563" w:rsidRPr="00D051A7" w:rsidRDefault="00323563">
            <w:pPr>
              <w:jc w:val="center"/>
              <w:rPr>
                <w:rFonts w:cs="Times New Roman"/>
                <w:sz w:val="20"/>
              </w:rPr>
            </w:pPr>
          </w:p>
        </w:tc>
        <w:tc>
          <w:tcPr>
            <w:tcW w:w="1363" w:type="dxa"/>
          </w:tcPr>
          <w:p w:rsidR="00323563" w:rsidRPr="00D051A7" w:rsidRDefault="00323563">
            <w:pPr>
              <w:rPr>
                <w:rFonts w:cs="Times New Roman"/>
                <w:sz w:val="20"/>
              </w:rPr>
            </w:pPr>
          </w:p>
        </w:tc>
        <w:tc>
          <w:tcPr>
            <w:tcW w:w="890" w:type="dxa"/>
          </w:tcPr>
          <w:p w:rsidR="00323563" w:rsidRPr="00D051A7" w:rsidRDefault="00323563">
            <w:pPr>
              <w:rPr>
                <w:rFonts w:cs="Times New Roman"/>
                <w:sz w:val="20"/>
              </w:rPr>
            </w:pPr>
          </w:p>
        </w:tc>
      </w:tr>
      <w:tr w:rsidR="00323563" w:rsidRPr="00797CEC" w:rsidTr="00D051A7">
        <w:trPr>
          <w:jc w:val="center"/>
        </w:trPr>
        <w:tc>
          <w:tcPr>
            <w:tcW w:w="2079" w:type="dxa"/>
          </w:tcPr>
          <w:p w:rsidR="00323563" w:rsidRPr="00D051A7" w:rsidRDefault="00323563" w:rsidP="00D051A7">
            <w:pPr>
              <w:rPr>
                <w:rFonts w:cs="Times New Roman"/>
                <w:sz w:val="20"/>
              </w:rPr>
            </w:pPr>
            <w:proofErr w:type="spellStart"/>
            <w:r w:rsidRPr="00D051A7">
              <w:rPr>
                <w:rFonts w:cs="Times New Roman"/>
                <w:sz w:val="20"/>
              </w:rPr>
              <w:t>Buret</w:t>
            </w:r>
            <w:proofErr w:type="spellEnd"/>
          </w:p>
        </w:tc>
        <w:tc>
          <w:tcPr>
            <w:tcW w:w="1241" w:type="dxa"/>
          </w:tcPr>
          <w:p w:rsidR="00323563" w:rsidRPr="00D051A7" w:rsidRDefault="00323563">
            <w:pPr>
              <w:rPr>
                <w:rFonts w:cs="Times New Roman"/>
                <w:sz w:val="20"/>
              </w:rPr>
            </w:pPr>
          </w:p>
        </w:tc>
        <w:tc>
          <w:tcPr>
            <w:tcW w:w="1260" w:type="dxa"/>
          </w:tcPr>
          <w:p w:rsidR="00323563" w:rsidRPr="00D051A7" w:rsidRDefault="00323563">
            <w:pPr>
              <w:rPr>
                <w:rFonts w:cs="Times New Roman"/>
                <w:sz w:val="20"/>
              </w:rPr>
            </w:pPr>
          </w:p>
        </w:tc>
        <w:tc>
          <w:tcPr>
            <w:tcW w:w="1067" w:type="dxa"/>
          </w:tcPr>
          <w:p w:rsidR="00323563" w:rsidRPr="00D051A7" w:rsidRDefault="00323563">
            <w:pPr>
              <w:rPr>
                <w:rFonts w:cs="Times New Roman"/>
                <w:sz w:val="20"/>
              </w:rPr>
            </w:pPr>
          </w:p>
        </w:tc>
        <w:tc>
          <w:tcPr>
            <w:tcW w:w="1440" w:type="dxa"/>
          </w:tcPr>
          <w:p w:rsidR="00323563" w:rsidRPr="00D051A7" w:rsidRDefault="00323563">
            <w:pPr>
              <w:jc w:val="center"/>
              <w:rPr>
                <w:rFonts w:cs="Times New Roman"/>
                <w:sz w:val="20"/>
              </w:rPr>
            </w:pPr>
          </w:p>
        </w:tc>
        <w:tc>
          <w:tcPr>
            <w:tcW w:w="1363" w:type="dxa"/>
          </w:tcPr>
          <w:p w:rsidR="00323563" w:rsidRPr="00D051A7" w:rsidRDefault="00323563">
            <w:pPr>
              <w:rPr>
                <w:rFonts w:cs="Times New Roman"/>
                <w:sz w:val="20"/>
              </w:rPr>
            </w:pPr>
          </w:p>
        </w:tc>
        <w:tc>
          <w:tcPr>
            <w:tcW w:w="890" w:type="dxa"/>
          </w:tcPr>
          <w:p w:rsidR="00323563" w:rsidRPr="00D051A7" w:rsidRDefault="00323563">
            <w:pPr>
              <w:rPr>
                <w:rFonts w:cs="Times New Roman"/>
                <w:sz w:val="20"/>
              </w:rPr>
            </w:pPr>
          </w:p>
        </w:tc>
      </w:tr>
    </w:tbl>
    <w:p w:rsidR="00DB312A" w:rsidRPr="00797CEC" w:rsidRDefault="00DB312A">
      <w:pPr>
        <w:jc w:val="both"/>
        <w:rPr>
          <w:rFonts w:cs="Times New Roman"/>
          <w:sz w:val="22"/>
        </w:rPr>
      </w:pPr>
    </w:p>
    <w:p w:rsidR="00DB312A" w:rsidRPr="00797CEC" w:rsidRDefault="00DB312A">
      <w:pPr>
        <w:jc w:val="both"/>
        <w:rPr>
          <w:rFonts w:cs="Times New Roman"/>
          <w:sz w:val="22"/>
        </w:rPr>
      </w:pPr>
      <w:r w:rsidRPr="00797CEC">
        <w:rPr>
          <w:rFonts w:cs="Times New Roman"/>
          <w:b/>
          <w:sz w:val="22"/>
        </w:rPr>
        <w:t>Observations:</w:t>
      </w:r>
    </w:p>
    <w:tbl>
      <w:tblPr>
        <w:tblW w:w="0" w:type="auto"/>
        <w:jc w:val="center"/>
        <w:tblLayout w:type="fixed"/>
        <w:tblCellMar>
          <w:left w:w="0" w:type="dxa"/>
          <w:right w:w="0" w:type="dxa"/>
        </w:tblCellMar>
        <w:tblLook w:val="0000" w:firstRow="0" w:lastRow="0" w:firstColumn="0" w:lastColumn="0" w:noHBand="0" w:noVBand="0"/>
        <w:tblCaption w:val="Data sheet for volume calibration"/>
        <w:tblDescription w:val="Measurement observations from buret and pipette in volume transfer calibration"/>
      </w:tblPr>
      <w:tblGrid>
        <w:gridCol w:w="3330"/>
        <w:gridCol w:w="3060"/>
        <w:gridCol w:w="2970"/>
      </w:tblGrid>
      <w:tr w:rsidR="00DB312A" w:rsidRPr="00797CEC">
        <w:trPr>
          <w:jc w:val="center"/>
        </w:trPr>
        <w:tc>
          <w:tcPr>
            <w:tcW w:w="3330" w:type="dxa"/>
            <w:tcBorders>
              <w:top w:val="double" w:sz="6" w:space="0" w:color="auto"/>
              <w:left w:val="double" w:sz="6" w:space="0" w:color="auto"/>
            </w:tcBorders>
          </w:tcPr>
          <w:p w:rsidR="00DB312A" w:rsidRPr="00797CEC" w:rsidRDefault="00DB312A">
            <w:pPr>
              <w:rPr>
                <w:rFonts w:cs="Times New Roman"/>
                <w:sz w:val="22"/>
              </w:rPr>
            </w:pPr>
          </w:p>
        </w:tc>
        <w:tc>
          <w:tcPr>
            <w:tcW w:w="3060" w:type="dxa"/>
            <w:tcBorders>
              <w:top w:val="double" w:sz="6" w:space="0" w:color="auto"/>
              <w:left w:val="single" w:sz="6" w:space="0" w:color="auto"/>
            </w:tcBorders>
          </w:tcPr>
          <w:p w:rsidR="00DB312A" w:rsidRPr="00D051A7" w:rsidRDefault="00323563" w:rsidP="00323563">
            <w:pPr>
              <w:jc w:val="center"/>
              <w:rPr>
                <w:rFonts w:cs="Times New Roman"/>
                <w:b/>
                <w:sz w:val="22"/>
              </w:rPr>
            </w:pPr>
            <w:r w:rsidRPr="00D051A7">
              <w:rPr>
                <w:rFonts w:cs="Times New Roman"/>
                <w:b/>
                <w:sz w:val="22"/>
              </w:rPr>
              <w:t>Run</w:t>
            </w:r>
            <w:r w:rsidR="00DB312A" w:rsidRPr="00D051A7">
              <w:rPr>
                <w:rFonts w:cs="Times New Roman"/>
                <w:b/>
                <w:sz w:val="22"/>
              </w:rPr>
              <w:t xml:space="preserve"> 1</w:t>
            </w:r>
          </w:p>
        </w:tc>
        <w:tc>
          <w:tcPr>
            <w:tcW w:w="2970" w:type="dxa"/>
            <w:tcBorders>
              <w:top w:val="double" w:sz="6" w:space="0" w:color="auto"/>
              <w:left w:val="single" w:sz="6" w:space="0" w:color="auto"/>
              <w:right w:val="double" w:sz="6" w:space="0" w:color="auto"/>
            </w:tcBorders>
          </w:tcPr>
          <w:p w:rsidR="00DB312A" w:rsidRPr="00D051A7" w:rsidRDefault="00323563">
            <w:pPr>
              <w:jc w:val="center"/>
              <w:rPr>
                <w:rFonts w:cs="Times New Roman"/>
                <w:b/>
                <w:sz w:val="22"/>
              </w:rPr>
            </w:pPr>
            <w:r w:rsidRPr="00D051A7">
              <w:rPr>
                <w:rFonts w:cs="Times New Roman"/>
                <w:b/>
                <w:sz w:val="22"/>
              </w:rPr>
              <w:t>Run 2</w:t>
            </w:r>
          </w:p>
        </w:tc>
      </w:tr>
      <w:tr w:rsidR="00DB312A" w:rsidRPr="00797CEC">
        <w:trPr>
          <w:jc w:val="center"/>
        </w:trPr>
        <w:tc>
          <w:tcPr>
            <w:tcW w:w="3330" w:type="dxa"/>
            <w:tcBorders>
              <w:top w:val="double" w:sz="6" w:space="0" w:color="auto"/>
              <w:left w:val="double" w:sz="6" w:space="0" w:color="auto"/>
            </w:tcBorders>
          </w:tcPr>
          <w:p w:rsidR="00DB312A" w:rsidRPr="00D051A7" w:rsidRDefault="00561984">
            <w:pPr>
              <w:rPr>
                <w:rFonts w:cs="Times New Roman"/>
                <w:sz w:val="20"/>
              </w:rPr>
            </w:pPr>
            <w:r w:rsidRPr="00D051A7">
              <w:rPr>
                <w:rFonts w:cs="Times New Roman"/>
                <w:sz w:val="20"/>
              </w:rPr>
              <w:t xml:space="preserve">Calibrated </w:t>
            </w:r>
            <w:r w:rsidR="00DB312A" w:rsidRPr="00D051A7">
              <w:rPr>
                <w:rFonts w:cs="Times New Roman"/>
                <w:sz w:val="20"/>
              </w:rPr>
              <w:t>Pipet</w:t>
            </w:r>
            <w:r w:rsidRPr="00D051A7">
              <w:rPr>
                <w:rFonts w:cs="Times New Roman"/>
                <w:sz w:val="20"/>
              </w:rPr>
              <w:t xml:space="preserve"> Volume</w:t>
            </w:r>
            <w:r w:rsidR="00DB312A" w:rsidRPr="00D051A7">
              <w:rPr>
                <w:rFonts w:cs="Times New Roman"/>
                <w:sz w:val="20"/>
              </w:rPr>
              <w:t xml:space="preserve">:  </w:t>
            </w:r>
            <w:proofErr w:type="spellStart"/>
            <w:r w:rsidR="00DB312A" w:rsidRPr="00D051A7">
              <w:rPr>
                <w:rFonts w:cs="Times New Roman"/>
                <w:i/>
                <w:sz w:val="20"/>
              </w:rPr>
              <w:t>V</w:t>
            </w:r>
            <w:r w:rsidR="00DB312A" w:rsidRPr="00D051A7">
              <w:rPr>
                <w:rFonts w:cs="Times New Roman"/>
                <w:i/>
                <w:sz w:val="20"/>
                <w:vertAlign w:val="subscript"/>
              </w:rPr>
              <w:t>p</w:t>
            </w:r>
            <w:proofErr w:type="spellEnd"/>
          </w:p>
        </w:tc>
        <w:tc>
          <w:tcPr>
            <w:tcW w:w="3060" w:type="dxa"/>
            <w:tcBorders>
              <w:top w:val="double" w:sz="6" w:space="0" w:color="auto"/>
              <w:left w:val="single" w:sz="6" w:space="0" w:color="auto"/>
            </w:tcBorders>
          </w:tcPr>
          <w:p w:rsidR="00DB312A" w:rsidRPr="00797CEC" w:rsidRDefault="00DB312A">
            <w:pPr>
              <w:rPr>
                <w:rFonts w:cs="Times New Roman"/>
                <w:sz w:val="22"/>
              </w:rPr>
            </w:pPr>
          </w:p>
        </w:tc>
        <w:tc>
          <w:tcPr>
            <w:tcW w:w="2970" w:type="dxa"/>
            <w:tcBorders>
              <w:top w:val="double" w:sz="6" w:space="0" w:color="auto"/>
              <w:left w:val="single" w:sz="6" w:space="0" w:color="auto"/>
              <w:right w:val="double" w:sz="6" w:space="0" w:color="auto"/>
            </w:tcBorders>
          </w:tcPr>
          <w:p w:rsidR="00DB312A" w:rsidRPr="00797CEC" w:rsidRDefault="00DB312A">
            <w:pPr>
              <w:rPr>
                <w:rFonts w:cs="Times New Roman"/>
                <w:sz w:val="22"/>
              </w:rPr>
            </w:pPr>
          </w:p>
        </w:tc>
      </w:tr>
      <w:tr w:rsidR="00DB312A" w:rsidRPr="00797CEC">
        <w:trPr>
          <w:jc w:val="center"/>
        </w:trPr>
        <w:tc>
          <w:tcPr>
            <w:tcW w:w="3330" w:type="dxa"/>
            <w:tcBorders>
              <w:top w:val="single" w:sz="6" w:space="0" w:color="auto"/>
              <w:left w:val="double" w:sz="6" w:space="0" w:color="auto"/>
            </w:tcBorders>
          </w:tcPr>
          <w:p w:rsidR="00DB312A" w:rsidRPr="00D051A7" w:rsidRDefault="00DB312A">
            <w:pPr>
              <w:rPr>
                <w:rFonts w:cs="Times New Roman"/>
                <w:sz w:val="20"/>
              </w:rPr>
            </w:pPr>
            <w:proofErr w:type="spellStart"/>
            <w:r w:rsidRPr="00D051A7">
              <w:rPr>
                <w:rFonts w:cs="Times New Roman"/>
                <w:sz w:val="20"/>
              </w:rPr>
              <w:t>Buret</w:t>
            </w:r>
            <w:proofErr w:type="spellEnd"/>
            <w:r w:rsidR="00561984" w:rsidRPr="00D051A7">
              <w:rPr>
                <w:rFonts w:cs="Times New Roman"/>
                <w:sz w:val="20"/>
              </w:rPr>
              <w:t xml:space="preserve"> Volume</w:t>
            </w:r>
            <w:r w:rsidRPr="00D051A7">
              <w:rPr>
                <w:rFonts w:cs="Times New Roman"/>
                <w:sz w:val="20"/>
              </w:rPr>
              <w:t xml:space="preserve">: </w:t>
            </w:r>
          </w:p>
        </w:tc>
        <w:tc>
          <w:tcPr>
            <w:tcW w:w="3060" w:type="dxa"/>
            <w:tcBorders>
              <w:top w:val="single" w:sz="6" w:space="0" w:color="auto"/>
              <w:left w:val="single" w:sz="6" w:space="0" w:color="auto"/>
            </w:tcBorders>
          </w:tcPr>
          <w:p w:rsidR="00DB312A" w:rsidRPr="00797CEC" w:rsidRDefault="00DB312A">
            <w:pPr>
              <w:rPr>
                <w:rFonts w:cs="Times New Roman"/>
                <w:sz w:val="22"/>
              </w:rPr>
            </w:pPr>
          </w:p>
        </w:tc>
        <w:tc>
          <w:tcPr>
            <w:tcW w:w="2970" w:type="dxa"/>
            <w:tcBorders>
              <w:top w:val="single" w:sz="6" w:space="0" w:color="auto"/>
              <w:left w:val="single" w:sz="6" w:space="0" w:color="auto"/>
              <w:right w:val="double" w:sz="6" w:space="0" w:color="auto"/>
            </w:tcBorders>
          </w:tcPr>
          <w:p w:rsidR="00DB312A" w:rsidRPr="00797CEC" w:rsidRDefault="00DB312A">
            <w:pPr>
              <w:rPr>
                <w:rFonts w:cs="Times New Roman"/>
                <w:sz w:val="22"/>
              </w:rPr>
            </w:pPr>
          </w:p>
        </w:tc>
      </w:tr>
      <w:tr w:rsidR="00DB312A" w:rsidRPr="00797CEC">
        <w:trPr>
          <w:jc w:val="center"/>
        </w:trPr>
        <w:tc>
          <w:tcPr>
            <w:tcW w:w="3330" w:type="dxa"/>
            <w:tcBorders>
              <w:top w:val="single" w:sz="6" w:space="0" w:color="auto"/>
              <w:left w:val="double" w:sz="6" w:space="0" w:color="auto"/>
            </w:tcBorders>
          </w:tcPr>
          <w:p w:rsidR="00DB312A" w:rsidRPr="00D051A7" w:rsidRDefault="00DB312A">
            <w:pPr>
              <w:jc w:val="right"/>
              <w:rPr>
                <w:rFonts w:cs="Times New Roman"/>
                <w:sz w:val="20"/>
              </w:rPr>
            </w:pPr>
            <w:r w:rsidRPr="00D051A7">
              <w:rPr>
                <w:rFonts w:cs="Times New Roman"/>
                <w:sz w:val="20"/>
              </w:rPr>
              <w:t>Final Reading</w:t>
            </w:r>
          </w:p>
        </w:tc>
        <w:tc>
          <w:tcPr>
            <w:tcW w:w="3060" w:type="dxa"/>
            <w:tcBorders>
              <w:top w:val="single" w:sz="6" w:space="0" w:color="auto"/>
              <w:left w:val="single" w:sz="6" w:space="0" w:color="auto"/>
            </w:tcBorders>
          </w:tcPr>
          <w:p w:rsidR="00DB312A" w:rsidRPr="00797CEC" w:rsidRDefault="00DB312A">
            <w:pPr>
              <w:rPr>
                <w:rFonts w:cs="Times New Roman"/>
                <w:sz w:val="22"/>
              </w:rPr>
            </w:pPr>
          </w:p>
        </w:tc>
        <w:tc>
          <w:tcPr>
            <w:tcW w:w="2970" w:type="dxa"/>
            <w:tcBorders>
              <w:top w:val="single" w:sz="6" w:space="0" w:color="auto"/>
              <w:left w:val="single" w:sz="6" w:space="0" w:color="auto"/>
              <w:right w:val="double" w:sz="6" w:space="0" w:color="auto"/>
            </w:tcBorders>
          </w:tcPr>
          <w:p w:rsidR="00DB312A" w:rsidRPr="00797CEC" w:rsidRDefault="00DB312A">
            <w:pPr>
              <w:rPr>
                <w:rFonts w:cs="Times New Roman"/>
                <w:sz w:val="22"/>
              </w:rPr>
            </w:pPr>
          </w:p>
        </w:tc>
      </w:tr>
      <w:tr w:rsidR="00DB312A" w:rsidRPr="00797CEC">
        <w:trPr>
          <w:jc w:val="center"/>
        </w:trPr>
        <w:tc>
          <w:tcPr>
            <w:tcW w:w="3330" w:type="dxa"/>
            <w:tcBorders>
              <w:top w:val="single" w:sz="6" w:space="0" w:color="auto"/>
              <w:left w:val="double" w:sz="6" w:space="0" w:color="auto"/>
            </w:tcBorders>
          </w:tcPr>
          <w:p w:rsidR="00DB312A" w:rsidRPr="00D051A7" w:rsidRDefault="00DB312A">
            <w:pPr>
              <w:jc w:val="right"/>
              <w:rPr>
                <w:rFonts w:cs="Times New Roman"/>
                <w:sz w:val="20"/>
              </w:rPr>
            </w:pPr>
            <w:r w:rsidRPr="00D051A7">
              <w:rPr>
                <w:rFonts w:cs="Times New Roman"/>
                <w:sz w:val="20"/>
              </w:rPr>
              <w:t>Initial Reading</w:t>
            </w:r>
          </w:p>
        </w:tc>
        <w:tc>
          <w:tcPr>
            <w:tcW w:w="3060" w:type="dxa"/>
            <w:tcBorders>
              <w:top w:val="single" w:sz="6" w:space="0" w:color="auto"/>
              <w:left w:val="single" w:sz="6" w:space="0" w:color="auto"/>
            </w:tcBorders>
          </w:tcPr>
          <w:p w:rsidR="00DB312A" w:rsidRPr="00797CEC" w:rsidRDefault="00DB312A">
            <w:pPr>
              <w:rPr>
                <w:rFonts w:cs="Times New Roman"/>
                <w:sz w:val="22"/>
              </w:rPr>
            </w:pPr>
          </w:p>
        </w:tc>
        <w:tc>
          <w:tcPr>
            <w:tcW w:w="2970" w:type="dxa"/>
            <w:tcBorders>
              <w:top w:val="single" w:sz="6" w:space="0" w:color="auto"/>
              <w:left w:val="single" w:sz="6" w:space="0" w:color="auto"/>
              <w:right w:val="double" w:sz="6" w:space="0" w:color="auto"/>
            </w:tcBorders>
          </w:tcPr>
          <w:p w:rsidR="00DB312A" w:rsidRPr="00797CEC" w:rsidRDefault="00DB312A">
            <w:pPr>
              <w:rPr>
                <w:rFonts w:cs="Times New Roman"/>
                <w:sz w:val="22"/>
              </w:rPr>
            </w:pPr>
          </w:p>
        </w:tc>
      </w:tr>
      <w:tr w:rsidR="00DB312A" w:rsidRPr="00797CEC">
        <w:trPr>
          <w:jc w:val="center"/>
        </w:trPr>
        <w:tc>
          <w:tcPr>
            <w:tcW w:w="3330" w:type="dxa"/>
            <w:tcBorders>
              <w:top w:val="single" w:sz="6" w:space="0" w:color="auto"/>
              <w:left w:val="double" w:sz="6" w:space="0" w:color="auto"/>
            </w:tcBorders>
          </w:tcPr>
          <w:p w:rsidR="00DB312A" w:rsidRPr="00D051A7" w:rsidRDefault="00DB312A">
            <w:pPr>
              <w:jc w:val="right"/>
              <w:rPr>
                <w:rFonts w:cs="Times New Roman"/>
                <w:sz w:val="20"/>
              </w:rPr>
            </w:pPr>
            <w:r w:rsidRPr="00D051A7">
              <w:rPr>
                <w:rFonts w:cs="Times New Roman"/>
                <w:sz w:val="20"/>
              </w:rPr>
              <w:t>Difference</w:t>
            </w:r>
          </w:p>
        </w:tc>
        <w:tc>
          <w:tcPr>
            <w:tcW w:w="3060" w:type="dxa"/>
            <w:tcBorders>
              <w:top w:val="single" w:sz="6" w:space="0" w:color="auto"/>
              <w:left w:val="single" w:sz="6" w:space="0" w:color="auto"/>
            </w:tcBorders>
          </w:tcPr>
          <w:p w:rsidR="00DB312A" w:rsidRPr="00797CEC" w:rsidRDefault="00DB312A">
            <w:pPr>
              <w:rPr>
                <w:rFonts w:cs="Times New Roman"/>
                <w:sz w:val="22"/>
              </w:rPr>
            </w:pPr>
          </w:p>
        </w:tc>
        <w:tc>
          <w:tcPr>
            <w:tcW w:w="2970" w:type="dxa"/>
            <w:tcBorders>
              <w:top w:val="single" w:sz="6" w:space="0" w:color="auto"/>
              <w:left w:val="single" w:sz="6" w:space="0" w:color="auto"/>
              <w:right w:val="double" w:sz="6" w:space="0" w:color="auto"/>
            </w:tcBorders>
          </w:tcPr>
          <w:p w:rsidR="00DB312A" w:rsidRPr="00797CEC" w:rsidRDefault="00DB312A">
            <w:pPr>
              <w:rPr>
                <w:rFonts w:cs="Times New Roman"/>
                <w:sz w:val="22"/>
              </w:rPr>
            </w:pPr>
          </w:p>
        </w:tc>
      </w:tr>
      <w:tr w:rsidR="00DB312A" w:rsidRPr="00797CEC">
        <w:trPr>
          <w:jc w:val="center"/>
        </w:trPr>
        <w:tc>
          <w:tcPr>
            <w:tcW w:w="3330" w:type="dxa"/>
            <w:tcBorders>
              <w:top w:val="single" w:sz="6" w:space="0" w:color="auto"/>
              <w:left w:val="double" w:sz="6" w:space="0" w:color="auto"/>
            </w:tcBorders>
          </w:tcPr>
          <w:p w:rsidR="00DB312A" w:rsidRPr="00D051A7" w:rsidRDefault="00561984">
            <w:pPr>
              <w:jc w:val="right"/>
              <w:rPr>
                <w:rFonts w:cs="Times New Roman"/>
                <w:sz w:val="20"/>
              </w:rPr>
            </w:pPr>
            <w:r w:rsidRPr="00D051A7">
              <w:rPr>
                <w:rFonts w:cs="Times New Roman"/>
                <w:sz w:val="20"/>
              </w:rPr>
              <w:t xml:space="preserve">Calibration </w:t>
            </w:r>
            <w:r w:rsidR="00DB312A" w:rsidRPr="00D051A7">
              <w:rPr>
                <w:rFonts w:cs="Times New Roman"/>
                <w:sz w:val="20"/>
              </w:rPr>
              <w:t xml:space="preserve">Correction </w:t>
            </w:r>
            <w:r w:rsidRPr="00D051A7">
              <w:rPr>
                <w:rFonts w:cs="Times New Roman"/>
                <w:sz w:val="20"/>
              </w:rPr>
              <w:t>(if r</w:t>
            </w:r>
            <w:r w:rsidR="00DB312A" w:rsidRPr="00D051A7">
              <w:rPr>
                <w:rFonts w:cs="Times New Roman"/>
                <w:sz w:val="20"/>
              </w:rPr>
              <w:t>equired</w:t>
            </w:r>
            <w:r w:rsidRPr="00D051A7">
              <w:rPr>
                <w:rFonts w:cs="Times New Roman"/>
                <w:sz w:val="20"/>
              </w:rPr>
              <w:t xml:space="preserve">) </w:t>
            </w:r>
          </w:p>
        </w:tc>
        <w:tc>
          <w:tcPr>
            <w:tcW w:w="3060" w:type="dxa"/>
            <w:tcBorders>
              <w:top w:val="single" w:sz="6" w:space="0" w:color="auto"/>
              <w:left w:val="single" w:sz="6" w:space="0" w:color="auto"/>
            </w:tcBorders>
          </w:tcPr>
          <w:p w:rsidR="00DB312A" w:rsidRPr="00797CEC" w:rsidRDefault="00DB312A">
            <w:pPr>
              <w:rPr>
                <w:rFonts w:cs="Times New Roman"/>
                <w:sz w:val="22"/>
              </w:rPr>
            </w:pPr>
          </w:p>
        </w:tc>
        <w:tc>
          <w:tcPr>
            <w:tcW w:w="2970" w:type="dxa"/>
            <w:tcBorders>
              <w:top w:val="single" w:sz="6" w:space="0" w:color="auto"/>
              <w:left w:val="single" w:sz="6" w:space="0" w:color="auto"/>
              <w:right w:val="double" w:sz="6" w:space="0" w:color="auto"/>
            </w:tcBorders>
          </w:tcPr>
          <w:p w:rsidR="00DB312A" w:rsidRPr="00797CEC" w:rsidRDefault="00DB312A">
            <w:pPr>
              <w:rPr>
                <w:rFonts w:cs="Times New Roman"/>
                <w:sz w:val="22"/>
              </w:rPr>
            </w:pPr>
          </w:p>
        </w:tc>
      </w:tr>
      <w:tr w:rsidR="00DB312A" w:rsidRPr="00797CEC">
        <w:trPr>
          <w:jc w:val="center"/>
        </w:trPr>
        <w:tc>
          <w:tcPr>
            <w:tcW w:w="3330" w:type="dxa"/>
            <w:tcBorders>
              <w:top w:val="single" w:sz="6" w:space="0" w:color="auto"/>
              <w:left w:val="double" w:sz="6" w:space="0" w:color="auto"/>
            </w:tcBorders>
          </w:tcPr>
          <w:p w:rsidR="00DB312A" w:rsidRPr="00D051A7" w:rsidRDefault="00DB312A">
            <w:pPr>
              <w:rPr>
                <w:rFonts w:cs="Times New Roman"/>
                <w:sz w:val="20"/>
              </w:rPr>
            </w:pPr>
            <w:r w:rsidRPr="00D051A7">
              <w:rPr>
                <w:rFonts w:cs="Times New Roman"/>
                <w:sz w:val="20"/>
              </w:rPr>
              <w:t xml:space="preserve">Corrected </w:t>
            </w:r>
            <w:proofErr w:type="spellStart"/>
            <w:r w:rsidR="00561984" w:rsidRPr="00D051A7">
              <w:rPr>
                <w:rFonts w:cs="Times New Roman"/>
                <w:sz w:val="20"/>
              </w:rPr>
              <w:t>Buret</w:t>
            </w:r>
            <w:proofErr w:type="spellEnd"/>
            <w:r w:rsidR="00561984" w:rsidRPr="00D051A7">
              <w:rPr>
                <w:rFonts w:cs="Times New Roman"/>
                <w:sz w:val="20"/>
              </w:rPr>
              <w:t xml:space="preserve"> </w:t>
            </w:r>
            <w:r w:rsidRPr="00D051A7">
              <w:rPr>
                <w:rFonts w:cs="Times New Roman"/>
                <w:sz w:val="20"/>
              </w:rPr>
              <w:t>Volume</w:t>
            </w:r>
            <w:r w:rsidR="00561984" w:rsidRPr="00D051A7">
              <w:rPr>
                <w:rFonts w:cs="Times New Roman"/>
                <w:sz w:val="20"/>
              </w:rPr>
              <w:t>,</w:t>
            </w:r>
            <w:r w:rsidRPr="00D051A7">
              <w:rPr>
                <w:rFonts w:cs="Times New Roman"/>
                <w:sz w:val="20"/>
              </w:rPr>
              <w:t xml:space="preserve"> </w:t>
            </w:r>
            <w:r w:rsidRPr="00D051A7">
              <w:rPr>
                <w:rFonts w:cs="Times New Roman"/>
                <w:i/>
                <w:sz w:val="20"/>
              </w:rPr>
              <w:t>V</w:t>
            </w:r>
            <w:r w:rsidRPr="00D051A7">
              <w:rPr>
                <w:rFonts w:cs="Times New Roman"/>
                <w:i/>
                <w:sz w:val="20"/>
                <w:vertAlign w:val="subscript"/>
              </w:rPr>
              <w:t>B</w:t>
            </w:r>
            <w:r w:rsidRPr="00D051A7">
              <w:rPr>
                <w:rFonts w:cs="Times New Roman"/>
                <w:sz w:val="20"/>
              </w:rPr>
              <w:t xml:space="preserve">  </w:t>
            </w:r>
          </w:p>
        </w:tc>
        <w:tc>
          <w:tcPr>
            <w:tcW w:w="3060" w:type="dxa"/>
            <w:tcBorders>
              <w:top w:val="single" w:sz="6" w:space="0" w:color="auto"/>
              <w:left w:val="single" w:sz="6" w:space="0" w:color="auto"/>
            </w:tcBorders>
          </w:tcPr>
          <w:p w:rsidR="00DB312A" w:rsidRPr="00797CEC" w:rsidRDefault="00DB312A">
            <w:pPr>
              <w:rPr>
                <w:rFonts w:cs="Times New Roman"/>
                <w:sz w:val="22"/>
              </w:rPr>
            </w:pPr>
          </w:p>
        </w:tc>
        <w:tc>
          <w:tcPr>
            <w:tcW w:w="2970" w:type="dxa"/>
            <w:tcBorders>
              <w:top w:val="single" w:sz="6" w:space="0" w:color="auto"/>
              <w:left w:val="single" w:sz="6" w:space="0" w:color="auto"/>
              <w:right w:val="double" w:sz="6" w:space="0" w:color="auto"/>
            </w:tcBorders>
          </w:tcPr>
          <w:p w:rsidR="00DB312A" w:rsidRPr="00797CEC" w:rsidRDefault="00DB312A">
            <w:pPr>
              <w:rPr>
                <w:rFonts w:cs="Times New Roman"/>
                <w:sz w:val="22"/>
              </w:rPr>
            </w:pPr>
          </w:p>
        </w:tc>
      </w:tr>
      <w:tr w:rsidR="00DB312A" w:rsidRPr="00797CEC">
        <w:trPr>
          <w:jc w:val="center"/>
        </w:trPr>
        <w:tc>
          <w:tcPr>
            <w:tcW w:w="3330" w:type="dxa"/>
            <w:tcBorders>
              <w:top w:val="single" w:sz="6" w:space="0" w:color="auto"/>
              <w:left w:val="double" w:sz="6" w:space="0" w:color="auto"/>
            </w:tcBorders>
          </w:tcPr>
          <w:p w:rsidR="00DB312A" w:rsidRPr="00D051A7" w:rsidRDefault="00DB312A">
            <w:pPr>
              <w:rPr>
                <w:rFonts w:cs="Times New Roman"/>
                <w:sz w:val="20"/>
              </w:rPr>
            </w:pPr>
            <w:r w:rsidRPr="00D051A7">
              <w:rPr>
                <w:rFonts w:cs="Times New Roman"/>
                <w:i/>
                <w:sz w:val="20"/>
              </w:rPr>
              <w:t>V</w:t>
            </w:r>
            <w:r w:rsidRPr="00D051A7">
              <w:rPr>
                <w:rFonts w:cs="Times New Roman"/>
                <w:i/>
                <w:sz w:val="20"/>
                <w:vertAlign w:val="subscript"/>
              </w:rPr>
              <w:t>TD</w:t>
            </w:r>
            <w:r w:rsidRPr="00D051A7">
              <w:rPr>
                <w:rFonts w:cs="Times New Roman"/>
                <w:sz w:val="20"/>
              </w:rPr>
              <w:t xml:space="preserve"> = </w:t>
            </w:r>
            <w:r w:rsidRPr="00D051A7">
              <w:rPr>
                <w:rFonts w:cs="Times New Roman"/>
                <w:i/>
                <w:sz w:val="20"/>
              </w:rPr>
              <w:t>V</w:t>
            </w:r>
            <w:r w:rsidRPr="00D051A7">
              <w:rPr>
                <w:rFonts w:cs="Times New Roman"/>
                <w:i/>
                <w:sz w:val="20"/>
                <w:vertAlign w:val="subscript"/>
              </w:rPr>
              <w:t>P</w:t>
            </w:r>
            <w:r w:rsidRPr="00D051A7">
              <w:rPr>
                <w:rFonts w:cs="Times New Roman"/>
                <w:sz w:val="20"/>
              </w:rPr>
              <w:t xml:space="preserve"> + </w:t>
            </w:r>
            <w:r w:rsidRPr="00D051A7">
              <w:rPr>
                <w:rFonts w:cs="Times New Roman"/>
                <w:i/>
                <w:sz w:val="20"/>
              </w:rPr>
              <w:t>V</w:t>
            </w:r>
            <w:r w:rsidRPr="00D051A7">
              <w:rPr>
                <w:rFonts w:cs="Times New Roman"/>
                <w:i/>
                <w:sz w:val="20"/>
                <w:vertAlign w:val="subscript"/>
              </w:rPr>
              <w:t>B</w:t>
            </w:r>
          </w:p>
        </w:tc>
        <w:tc>
          <w:tcPr>
            <w:tcW w:w="3060" w:type="dxa"/>
            <w:tcBorders>
              <w:top w:val="single" w:sz="6" w:space="0" w:color="auto"/>
              <w:left w:val="single" w:sz="6" w:space="0" w:color="auto"/>
            </w:tcBorders>
          </w:tcPr>
          <w:p w:rsidR="00DB312A" w:rsidRPr="00797CEC" w:rsidRDefault="00DB312A">
            <w:pPr>
              <w:rPr>
                <w:rFonts w:cs="Times New Roman"/>
                <w:sz w:val="22"/>
              </w:rPr>
            </w:pPr>
          </w:p>
        </w:tc>
        <w:tc>
          <w:tcPr>
            <w:tcW w:w="2970" w:type="dxa"/>
            <w:tcBorders>
              <w:top w:val="single" w:sz="6" w:space="0" w:color="auto"/>
              <w:left w:val="single" w:sz="6" w:space="0" w:color="auto"/>
              <w:right w:val="double" w:sz="6" w:space="0" w:color="auto"/>
            </w:tcBorders>
          </w:tcPr>
          <w:p w:rsidR="00DB312A" w:rsidRPr="00797CEC" w:rsidRDefault="00DB312A">
            <w:pPr>
              <w:rPr>
                <w:rFonts w:cs="Times New Roman"/>
                <w:sz w:val="22"/>
              </w:rPr>
            </w:pPr>
          </w:p>
        </w:tc>
      </w:tr>
      <w:tr w:rsidR="00DB312A" w:rsidRPr="00797CEC">
        <w:trPr>
          <w:jc w:val="center"/>
        </w:trPr>
        <w:tc>
          <w:tcPr>
            <w:tcW w:w="3330" w:type="dxa"/>
            <w:tcBorders>
              <w:top w:val="single" w:sz="6" w:space="0" w:color="auto"/>
              <w:left w:val="double" w:sz="6" w:space="0" w:color="auto"/>
            </w:tcBorders>
          </w:tcPr>
          <w:p w:rsidR="00DB312A" w:rsidRPr="00D051A7" w:rsidRDefault="00DB312A" w:rsidP="00323563">
            <w:pPr>
              <w:rPr>
                <w:rFonts w:cs="Times New Roman"/>
                <w:sz w:val="20"/>
              </w:rPr>
            </w:pPr>
            <w:r w:rsidRPr="00D051A7">
              <w:rPr>
                <w:rFonts w:cs="Times New Roman"/>
                <w:sz w:val="20"/>
              </w:rPr>
              <w:t xml:space="preserve">Water </w:t>
            </w:r>
            <w:r w:rsidR="00323563" w:rsidRPr="00D051A7">
              <w:rPr>
                <w:rFonts w:cs="Times New Roman"/>
                <w:sz w:val="20"/>
              </w:rPr>
              <w:t>t</w:t>
            </w:r>
            <w:r w:rsidRPr="00D051A7">
              <w:rPr>
                <w:rFonts w:cs="Times New Roman"/>
                <w:sz w:val="20"/>
              </w:rPr>
              <w:t>emperature</w:t>
            </w:r>
            <w:r w:rsidR="00323563" w:rsidRPr="00D051A7">
              <w:rPr>
                <w:rFonts w:cs="Times New Roman"/>
                <w:sz w:val="20"/>
              </w:rPr>
              <w:t xml:space="preserve"> at time of test (t)</w:t>
            </w:r>
          </w:p>
        </w:tc>
        <w:tc>
          <w:tcPr>
            <w:tcW w:w="3060" w:type="dxa"/>
            <w:tcBorders>
              <w:top w:val="single" w:sz="6" w:space="0" w:color="auto"/>
              <w:left w:val="single" w:sz="6" w:space="0" w:color="auto"/>
            </w:tcBorders>
          </w:tcPr>
          <w:p w:rsidR="00DB312A" w:rsidRPr="00797CEC" w:rsidRDefault="00DB312A">
            <w:pPr>
              <w:rPr>
                <w:rFonts w:cs="Times New Roman"/>
                <w:sz w:val="22"/>
              </w:rPr>
            </w:pPr>
          </w:p>
        </w:tc>
        <w:tc>
          <w:tcPr>
            <w:tcW w:w="2970" w:type="dxa"/>
            <w:tcBorders>
              <w:top w:val="single" w:sz="6" w:space="0" w:color="auto"/>
              <w:left w:val="single" w:sz="6" w:space="0" w:color="auto"/>
              <w:right w:val="double" w:sz="6" w:space="0" w:color="auto"/>
            </w:tcBorders>
          </w:tcPr>
          <w:p w:rsidR="00DB312A" w:rsidRPr="00797CEC" w:rsidRDefault="00DB312A">
            <w:pPr>
              <w:rPr>
                <w:rFonts w:cs="Times New Roman"/>
                <w:sz w:val="22"/>
              </w:rPr>
            </w:pPr>
          </w:p>
        </w:tc>
      </w:tr>
      <w:tr w:rsidR="00DB312A" w:rsidRPr="00797CEC">
        <w:trPr>
          <w:jc w:val="center"/>
        </w:trPr>
        <w:tc>
          <w:tcPr>
            <w:tcW w:w="3330" w:type="dxa"/>
            <w:tcBorders>
              <w:top w:val="single" w:sz="6" w:space="0" w:color="auto"/>
              <w:left w:val="double" w:sz="6" w:space="0" w:color="auto"/>
            </w:tcBorders>
          </w:tcPr>
          <w:p w:rsidR="00DB312A" w:rsidRPr="00972C8B" w:rsidRDefault="00972C8B" w:rsidP="00972C8B">
            <w:pPr>
              <w:pStyle w:val="BodyText"/>
              <w:keepNext/>
              <w:tabs>
                <w:tab w:val="center" w:pos="1660"/>
                <w:tab w:val="right" w:pos="3320"/>
              </w:tabs>
              <w:spacing w:after="0"/>
              <w:rPr>
                <w:sz w:val="22"/>
                <w:szCs w:val="22"/>
              </w:rPr>
            </w:pPr>
            <w:r w:rsidRPr="00972C8B">
              <w:rPr>
                <w:i/>
                <w:sz w:val="20"/>
                <w:szCs w:val="22"/>
              </w:rPr>
              <w:t>V</w:t>
            </w:r>
            <w:r w:rsidRPr="00972C8B">
              <w:rPr>
                <w:i/>
                <w:sz w:val="20"/>
                <w:szCs w:val="22"/>
                <w:vertAlign w:val="subscript"/>
              </w:rPr>
              <w:t>TD20</w:t>
            </w:r>
            <w:r w:rsidRPr="00972C8B">
              <w:rPr>
                <w:sz w:val="20"/>
                <w:szCs w:val="22"/>
              </w:rPr>
              <w:t xml:space="preserve"> (</w:t>
            </w:r>
            <w:r w:rsidR="00B65975">
              <w:rPr>
                <w:sz w:val="20"/>
                <w:szCs w:val="22"/>
              </w:rPr>
              <w:t xml:space="preserve">Use </w:t>
            </w:r>
            <w:r w:rsidRPr="00972C8B">
              <w:rPr>
                <w:sz w:val="20"/>
                <w:szCs w:val="22"/>
              </w:rPr>
              <w:t>Eqn. 2</w:t>
            </w:r>
            <w:r>
              <w:rPr>
                <w:sz w:val="20"/>
                <w:szCs w:val="22"/>
              </w:rPr>
              <w:t xml:space="preserve"> for temp. correction</w:t>
            </w:r>
            <w:r w:rsidR="009A0F17">
              <w:rPr>
                <w:sz w:val="20"/>
                <w:szCs w:val="22"/>
              </w:rPr>
              <w:t>).</w:t>
            </w:r>
          </w:p>
        </w:tc>
        <w:tc>
          <w:tcPr>
            <w:tcW w:w="3060" w:type="dxa"/>
            <w:tcBorders>
              <w:top w:val="single" w:sz="6" w:space="0" w:color="auto"/>
              <w:left w:val="single" w:sz="6" w:space="0" w:color="auto"/>
            </w:tcBorders>
          </w:tcPr>
          <w:p w:rsidR="00DB312A" w:rsidRPr="00797CEC" w:rsidRDefault="00DB312A">
            <w:pPr>
              <w:rPr>
                <w:rFonts w:cs="Times New Roman"/>
                <w:sz w:val="22"/>
              </w:rPr>
            </w:pPr>
          </w:p>
        </w:tc>
        <w:tc>
          <w:tcPr>
            <w:tcW w:w="2970" w:type="dxa"/>
            <w:tcBorders>
              <w:top w:val="single" w:sz="6" w:space="0" w:color="auto"/>
              <w:left w:val="single" w:sz="6" w:space="0" w:color="auto"/>
              <w:right w:val="double" w:sz="6" w:space="0" w:color="auto"/>
            </w:tcBorders>
          </w:tcPr>
          <w:p w:rsidR="00DB312A" w:rsidRPr="00797CEC" w:rsidRDefault="00DB312A">
            <w:pPr>
              <w:rPr>
                <w:rFonts w:cs="Times New Roman"/>
                <w:sz w:val="22"/>
              </w:rPr>
            </w:pPr>
          </w:p>
        </w:tc>
      </w:tr>
      <w:tr w:rsidR="00DB312A" w:rsidRPr="00797CEC">
        <w:trPr>
          <w:jc w:val="center"/>
        </w:trPr>
        <w:tc>
          <w:tcPr>
            <w:tcW w:w="3330" w:type="dxa"/>
            <w:tcBorders>
              <w:top w:val="single" w:sz="6" w:space="0" w:color="auto"/>
              <w:left w:val="double" w:sz="6" w:space="0" w:color="auto"/>
              <w:bottom w:val="double" w:sz="6" w:space="0" w:color="auto"/>
            </w:tcBorders>
          </w:tcPr>
          <w:p w:rsidR="00DB312A" w:rsidRPr="00D051A7" w:rsidRDefault="00DB312A">
            <w:pPr>
              <w:rPr>
                <w:rFonts w:cs="Times New Roman"/>
                <w:sz w:val="20"/>
              </w:rPr>
            </w:pPr>
            <w:r w:rsidRPr="00D051A7">
              <w:rPr>
                <w:rFonts w:cs="Times New Roman"/>
                <w:sz w:val="20"/>
              </w:rPr>
              <w:tab/>
              <w:t xml:space="preserve">Average </w:t>
            </w:r>
            <w:r w:rsidRPr="00D051A7">
              <w:rPr>
                <w:rFonts w:cs="Times New Roman"/>
                <w:i/>
                <w:sz w:val="20"/>
              </w:rPr>
              <w:t>V</w:t>
            </w:r>
            <w:r w:rsidRPr="00D051A7">
              <w:rPr>
                <w:rFonts w:cs="Times New Roman"/>
                <w:i/>
                <w:sz w:val="20"/>
                <w:vertAlign w:val="subscript"/>
              </w:rPr>
              <w:t>TD</w:t>
            </w:r>
            <w:r w:rsidRPr="00D051A7">
              <w:rPr>
                <w:rFonts w:cs="Times New Roman"/>
                <w:sz w:val="20"/>
                <w:vertAlign w:val="subscript"/>
              </w:rPr>
              <w:t>20</w:t>
            </w:r>
          </w:p>
        </w:tc>
        <w:tc>
          <w:tcPr>
            <w:tcW w:w="6030" w:type="dxa"/>
            <w:gridSpan w:val="2"/>
            <w:tcBorders>
              <w:top w:val="single" w:sz="6" w:space="0" w:color="auto"/>
              <w:left w:val="single" w:sz="6" w:space="0" w:color="auto"/>
              <w:bottom w:val="double" w:sz="6" w:space="0" w:color="auto"/>
              <w:right w:val="double" w:sz="6" w:space="0" w:color="auto"/>
            </w:tcBorders>
          </w:tcPr>
          <w:p w:rsidR="00DB312A" w:rsidRPr="00797CEC" w:rsidRDefault="00DB312A">
            <w:pPr>
              <w:rPr>
                <w:rFonts w:cs="Times New Roman"/>
                <w:sz w:val="22"/>
              </w:rPr>
            </w:pPr>
          </w:p>
        </w:tc>
      </w:tr>
    </w:tbl>
    <w:p w:rsidR="00DB312A" w:rsidRPr="00797CEC" w:rsidRDefault="00DB312A" w:rsidP="008F1441">
      <w:pPr>
        <w:jc w:val="both"/>
        <w:rPr>
          <w:rFonts w:cs="Times New Roman"/>
          <w:sz w:val="22"/>
        </w:rPr>
      </w:pPr>
    </w:p>
    <w:sectPr w:rsidR="00DB312A" w:rsidRPr="00797CEC">
      <w:headerReference w:type="default" r:id="rId14"/>
      <w:footerReference w:type="even" r:id="rId15"/>
      <w:footerReference w:type="default" r:id="rId16"/>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15D" w:rsidRDefault="000C515D">
      <w:r>
        <w:separator/>
      </w:r>
    </w:p>
  </w:endnote>
  <w:endnote w:type="continuationSeparator" w:id="0">
    <w:p w:rsidR="000C515D" w:rsidRDefault="000C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msRmn 10p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96E" w:rsidRDefault="003629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0CAB">
      <w:rPr>
        <w:rStyle w:val="PageNumber"/>
        <w:noProof/>
      </w:rPr>
      <w:t>1</w:t>
    </w:r>
    <w:r>
      <w:rPr>
        <w:rStyle w:val="PageNumber"/>
      </w:rPr>
      <w:fldChar w:fldCharType="end"/>
    </w:r>
  </w:p>
  <w:p w:rsidR="0036296E" w:rsidRDefault="00362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96E" w:rsidRPr="00CA7215" w:rsidRDefault="0036296E">
    <w:pPr>
      <w:jc w:val="both"/>
      <w:rPr>
        <w:sz w:val="22"/>
      </w:rPr>
    </w:pPr>
    <w:r w:rsidRPr="00CA7215">
      <w:rPr>
        <w:sz w:val="22"/>
      </w:rPr>
      <w:t>SOP 16</w:t>
    </w:r>
    <w:r w:rsidR="00BE7DB6" w:rsidRPr="00CA7215">
      <w:rPr>
        <w:sz w:val="22"/>
      </w:rPr>
      <w:t xml:space="preserve"> – 2019 </w:t>
    </w:r>
    <w:r w:rsidRPr="00CA7215">
      <w:rPr>
        <w:sz w:val="22"/>
      </w:rPr>
      <w:tab/>
    </w:r>
    <w:r w:rsidRPr="00CA7215">
      <w:rPr>
        <w:sz w:val="22"/>
      </w:rPr>
      <w:tab/>
    </w:r>
    <w:r w:rsidRPr="00CA7215">
      <w:rPr>
        <w:sz w:val="22"/>
      </w:rPr>
      <w:tab/>
    </w:r>
    <w:r w:rsidRPr="00CA7215">
      <w:rPr>
        <w:sz w:val="22"/>
      </w:rPr>
      <w:tab/>
    </w:r>
    <w:r w:rsidRPr="00CA7215">
      <w:rPr>
        <w:sz w:val="22"/>
      </w:rPr>
      <w:tab/>
      <w:t xml:space="preserve">Page </w:t>
    </w:r>
    <w:r w:rsidRPr="00CA7215">
      <w:rPr>
        <w:sz w:val="22"/>
      </w:rPr>
      <w:fldChar w:fldCharType="begin"/>
    </w:r>
    <w:r w:rsidRPr="00CA7215">
      <w:rPr>
        <w:sz w:val="22"/>
      </w:rPr>
      <w:instrText xml:space="preserve"> PAGE </w:instrText>
    </w:r>
    <w:r w:rsidRPr="00CA7215">
      <w:rPr>
        <w:sz w:val="22"/>
      </w:rPr>
      <w:fldChar w:fldCharType="separate"/>
    </w:r>
    <w:r w:rsidR="00155201" w:rsidRPr="00CA7215">
      <w:rPr>
        <w:noProof/>
        <w:sz w:val="22"/>
      </w:rPr>
      <w:t>8</w:t>
    </w:r>
    <w:r w:rsidRPr="00CA7215">
      <w:rPr>
        <w:sz w:val="22"/>
      </w:rPr>
      <w:fldChar w:fldCharType="end"/>
    </w:r>
    <w:r w:rsidRPr="00CA7215">
      <w:rPr>
        <w:sz w:val="22"/>
      </w:rPr>
      <w:t xml:space="preserve"> of </w:t>
    </w:r>
    <w:r w:rsidR="00A74E18" w:rsidRPr="00CA7215">
      <w:rPr>
        <w:sz w:val="22"/>
      </w:rPr>
      <w:t xml:space="preserve"> </w:t>
    </w:r>
    <w:r w:rsidR="00EA3649" w:rsidRPr="00CA7215">
      <w:rPr>
        <w:noProof/>
        <w:sz w:val="22"/>
      </w:rPr>
      <w:fldChar w:fldCharType="begin"/>
    </w:r>
    <w:r w:rsidR="00EA3649" w:rsidRPr="00CA7215">
      <w:rPr>
        <w:noProof/>
        <w:sz w:val="22"/>
      </w:rPr>
      <w:instrText xml:space="preserve"> NUMPAGES </w:instrText>
    </w:r>
    <w:r w:rsidR="00EA3649" w:rsidRPr="00CA7215">
      <w:rPr>
        <w:noProof/>
        <w:sz w:val="22"/>
      </w:rPr>
      <w:fldChar w:fldCharType="separate"/>
    </w:r>
    <w:r w:rsidR="00155201" w:rsidRPr="00CA7215">
      <w:rPr>
        <w:noProof/>
        <w:sz w:val="22"/>
      </w:rPr>
      <w:t>8</w:t>
    </w:r>
    <w:r w:rsidR="00EA3649" w:rsidRPr="00CA7215">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15D" w:rsidRDefault="000C515D">
      <w:r>
        <w:separator/>
      </w:r>
    </w:p>
  </w:footnote>
  <w:footnote w:type="continuationSeparator" w:id="0">
    <w:p w:rsidR="000C515D" w:rsidRDefault="000C515D">
      <w:r>
        <w:continuationSeparator/>
      </w:r>
    </w:p>
  </w:footnote>
  <w:footnote w:id="1">
    <w:p w:rsidR="00BD68DB" w:rsidRDefault="00BD68DB">
      <w:pPr>
        <w:pStyle w:val="FootnoteText"/>
      </w:pPr>
      <w:r>
        <w:rPr>
          <w:rStyle w:val="FootnoteReference"/>
        </w:rPr>
        <w:footnoteRef/>
      </w:r>
      <w:r>
        <w:t xml:space="preserve"> </w:t>
      </w:r>
      <w:r w:rsidRPr="00A67752">
        <w:rPr>
          <w:sz w:val="20"/>
        </w:rPr>
        <w:t>1 [</w:t>
      </w:r>
      <w:smartTag w:uri="urn:schemas-microsoft-com:office:smarttags" w:element="country-region">
        <w:smartTag w:uri="urn:schemas-microsoft-com:office:smarttags" w:element="place">
          <w:r w:rsidRPr="00A67752">
            <w:rPr>
              <w:sz w:val="20"/>
            </w:rPr>
            <w:t>US</w:t>
          </w:r>
        </w:smartTag>
      </w:smartTag>
      <w:r w:rsidRPr="00A67752">
        <w:rPr>
          <w:sz w:val="20"/>
        </w:rPr>
        <w:t>] minim = 0.061615496 milliliter (mL)</w:t>
      </w:r>
      <w:r w:rsidR="00A74E18" w:rsidRPr="00A67752">
        <w:rPr>
          <w:sz w:val="20"/>
        </w:rPr>
        <w:t xml:space="preserve">. </w:t>
      </w:r>
      <w:r w:rsidRPr="00A67752">
        <w:rPr>
          <w:sz w:val="20"/>
        </w:rPr>
        <w:t>120 minim standards were provided to the States as reference standards for use in volume transfer calibrations</w:t>
      </w:r>
      <w:r w:rsidR="00A74E18" w:rsidRPr="00A67752">
        <w:rPr>
          <w:sz w:val="20"/>
        </w:rPr>
        <w:t xml:space="preserve">. </w:t>
      </w:r>
      <w:r w:rsidRPr="00A67752">
        <w:rPr>
          <w:sz w:val="20"/>
        </w:rPr>
        <w:t>These standards have higher resolution than metric standards provided at the same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96E" w:rsidRPr="00BE7DB6" w:rsidRDefault="00C85414" w:rsidP="00BE7DB6">
    <w:pPr>
      <w:pStyle w:val="Header"/>
    </w:pPr>
    <w:r>
      <w:rPr>
        <w:noProof/>
      </w:rPr>
      <mc:AlternateContent>
        <mc:Choice Requires="wps">
          <w:drawing>
            <wp:anchor distT="0" distB="0" distL="114299" distR="114299" simplePos="0" relativeHeight="251658240" behindDoc="0" locked="0" layoutInCell="1" allowOverlap="1">
              <wp:simplePos x="0" y="0"/>
              <wp:positionH relativeFrom="column">
                <wp:posOffset>-353061</wp:posOffset>
              </wp:positionH>
              <wp:positionV relativeFrom="paragraph">
                <wp:posOffset>434975</wp:posOffset>
              </wp:positionV>
              <wp:extent cx="0" cy="8229600"/>
              <wp:effectExtent l="0" t="0" r="19050" b="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229600"/>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743D379" id="Straight Connector 6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8pt,34.25pt" to="-27.8pt,6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" strokecolor="#a6a6a6" strokeweight=".5pt">
              <v:stroke joinstyle="miter"/>
              <o:lock v:ext="edit" shapetype="f"/>
            </v:line>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column">
                <wp:posOffset>-857250</wp:posOffset>
              </wp:positionH>
              <wp:positionV relativeFrom="page">
                <wp:posOffset>635</wp:posOffset>
              </wp:positionV>
              <wp:extent cx="428625" cy="10020300"/>
              <wp:effectExtent l="0" t="0" r="0" b="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0020300"/>
                      </a:xfrm>
                      <a:prstGeom prst="rect">
                        <a:avLst/>
                      </a:prstGeom>
                      <a:solidFill>
                        <a:sysClr val="window" lastClr="FFFFFF"/>
                      </a:solidFill>
                      <a:ln w="6350">
                        <a:noFill/>
                      </a:ln>
                      <a:effectLst/>
                    </wps:spPr>
                    <wps:txbx>
                      <w:txbxContent>
                        <w:p w:rsidR="00BE7DB6" w:rsidRPr="00A67752" w:rsidRDefault="00BE7DB6" w:rsidP="00BE7DB6">
                          <w:pPr>
                            <w:jc w:val="center"/>
                            <w:rPr>
                              <w:rFonts w:ascii="Arial" w:hAnsi="Arial" w:cs="Arial"/>
                              <w:color w:val="A6A6A6"/>
                              <w:sz w:val="20"/>
                            </w:rPr>
                          </w:pPr>
                          <w:r w:rsidRPr="00A67752">
                            <w:rPr>
                              <w:rFonts w:ascii="Arial" w:hAnsi="Arial" w:cs="Arial"/>
                              <w:color w:val="A6A6A6"/>
                              <w:sz w:val="20"/>
                            </w:rPr>
                            <w:t>This publication is available free of charge from: https://doi.org/10.6028/NIST.IR.7383 -2019</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67.5pt;margin-top:.05pt;width:33.75pt;height:7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" fillcolor="window" stroked="f" strokeweight=".5pt">
              <v:textbox style="layout-flow:vertical">
                <w:txbxContent>
                  <w:p w:rsidR="00BE7DB6" w:rsidRPr="00A67752" w:rsidRDefault="00BE7DB6" w:rsidP="00BE7DB6">
                    <w:pPr>
                      <w:jc w:val="center"/>
                      <w:rPr>
                        <w:rFonts w:ascii="Arial" w:hAnsi="Arial" w:cs="Arial"/>
                        <w:color w:val="A6A6A6"/>
                        <w:sz w:val="20"/>
                      </w:rPr>
                    </w:pPr>
                    <w:r w:rsidRPr="00A67752">
                      <w:rPr>
                        <w:rFonts w:ascii="Arial" w:hAnsi="Arial" w:cs="Arial"/>
                        <w:color w:val="A6A6A6"/>
                        <w:sz w:val="20"/>
                      </w:rPr>
                      <w:t>This publication is available free of charge from: https://doi.org/10.6028/NIST.IR.7383 -2019</w:t>
                    </w: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649"/>
    <w:multiLevelType w:val="multilevel"/>
    <w:tmpl w:val="BB70419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2AA6048"/>
    <w:multiLevelType w:val="multilevel"/>
    <w:tmpl w:val="1DF0C43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30171D7"/>
    <w:multiLevelType w:val="multilevel"/>
    <w:tmpl w:val="1CB2411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4A313ED"/>
    <w:multiLevelType w:val="multilevel"/>
    <w:tmpl w:val="DBF270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C34BA3"/>
    <w:multiLevelType w:val="hybridMultilevel"/>
    <w:tmpl w:val="F0C6A54E"/>
    <w:lvl w:ilvl="0" w:tplc="CA9443E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99030C"/>
    <w:multiLevelType w:val="multilevel"/>
    <w:tmpl w:val="2B6E6BB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0CBF27E8"/>
    <w:multiLevelType w:val="multilevel"/>
    <w:tmpl w:val="3BCC8094"/>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380"/>
        </w:tabs>
        <w:ind w:left="1380" w:hanging="660"/>
      </w:pPr>
      <w:rPr>
        <w:rFonts w:hint="default"/>
      </w:rPr>
    </w:lvl>
    <w:lvl w:ilvl="2">
      <w:start w:val="5"/>
      <w:numFmt w:val="decimal"/>
      <w:lvlText w:val="%1.%2.%3"/>
      <w:lvlJc w:val="left"/>
      <w:pPr>
        <w:tabs>
          <w:tab w:val="num" w:pos="2160"/>
        </w:tabs>
        <w:ind w:left="2160" w:hanging="720"/>
      </w:pPr>
      <w:rPr>
        <w:rFonts w:hint="default"/>
      </w:rPr>
    </w:lvl>
    <w:lvl w:ilvl="3">
      <w:start w:val="2"/>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EE93A1D"/>
    <w:multiLevelType w:val="multilevel"/>
    <w:tmpl w:val="1DF0C43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11A47DE6"/>
    <w:multiLevelType w:val="multilevel"/>
    <w:tmpl w:val="3C92161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1D8392B"/>
    <w:multiLevelType w:val="multilevel"/>
    <w:tmpl w:val="152A6BFC"/>
    <w:lvl w:ilvl="0">
      <w:start w:val="2"/>
      <w:numFmt w:val="decimal"/>
      <w:lvlText w:val="%1"/>
      <w:lvlJc w:val="left"/>
      <w:pPr>
        <w:tabs>
          <w:tab w:val="num" w:pos="720"/>
        </w:tabs>
        <w:ind w:left="720" w:hanging="720"/>
      </w:pPr>
      <w:rPr>
        <w:rFonts w:hint="default"/>
      </w:rPr>
    </w:lvl>
    <w:lvl w:ilvl="1">
      <w:start w:val="1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12DE0C82"/>
    <w:multiLevelType w:val="multilevel"/>
    <w:tmpl w:val="F9467A0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BA46E2"/>
    <w:multiLevelType w:val="multilevel"/>
    <w:tmpl w:val="DFFA22A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173C08FA"/>
    <w:multiLevelType w:val="multilevel"/>
    <w:tmpl w:val="A9104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4E075F"/>
    <w:multiLevelType w:val="multilevel"/>
    <w:tmpl w:val="08E0D1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F02520D"/>
    <w:multiLevelType w:val="multilevel"/>
    <w:tmpl w:val="1F7C42EA"/>
    <w:lvl w:ilvl="0">
      <w:start w:val="26"/>
      <w:numFmt w:val="decimal"/>
      <w:lvlText w:val="%1"/>
      <w:lvlJc w:val="left"/>
      <w:pPr>
        <w:ind w:left="540" w:hanging="540"/>
      </w:pPr>
      <w:rPr>
        <w:rFonts w:hint="default"/>
      </w:rPr>
    </w:lvl>
    <w:lvl w:ilvl="1">
      <w:start w:val="6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CC1B21"/>
    <w:multiLevelType w:val="multilevel"/>
    <w:tmpl w:val="4BB24F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28EA43DB"/>
    <w:multiLevelType w:val="multilevel"/>
    <w:tmpl w:val="E36E7DE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15:restartNumberingAfterBreak="0">
    <w:nsid w:val="299F76BB"/>
    <w:multiLevelType w:val="multilevel"/>
    <w:tmpl w:val="4AE2231E"/>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380"/>
        </w:tabs>
        <w:ind w:left="1380" w:hanging="660"/>
      </w:pPr>
      <w:rPr>
        <w:rFonts w:hint="default"/>
      </w:rPr>
    </w:lvl>
    <w:lvl w:ilvl="2">
      <w:start w:val="5"/>
      <w:numFmt w:val="decimal"/>
      <w:lvlText w:val="%1.%2.%3"/>
      <w:lvlJc w:val="left"/>
      <w:pPr>
        <w:tabs>
          <w:tab w:val="num" w:pos="2160"/>
        </w:tabs>
        <w:ind w:left="2160" w:hanging="720"/>
      </w:pPr>
      <w:rPr>
        <w:rFonts w:hint="default"/>
      </w:rPr>
    </w:lvl>
    <w:lvl w:ilvl="3">
      <w:start w:val="4"/>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2D2221E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386A0ACC"/>
    <w:multiLevelType w:val="hybridMultilevel"/>
    <w:tmpl w:val="AB160698"/>
    <w:lvl w:ilvl="0" w:tplc="0AD25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91337A"/>
    <w:multiLevelType w:val="multilevel"/>
    <w:tmpl w:val="0409001F"/>
    <w:lvl w:ilvl="0">
      <w:start w:val="1"/>
      <w:numFmt w:val="decimal"/>
      <w:lvlText w:val="%1."/>
      <w:lvlJc w:val="left"/>
      <w:pPr>
        <w:ind w:left="1080" w:hanging="360"/>
      </w:pPr>
      <w:rPr>
        <w:rFonts w:hint="default"/>
        <w:b w:val="0"/>
        <w:i w:val="0"/>
        <w:caps w:val="0"/>
        <w:strike w:val="0"/>
        <w:dstrike w:val="0"/>
        <w:vanish w:val="0"/>
        <w:sz w:val="24"/>
        <w:vertAlign w:val="baseline"/>
      </w:rPr>
    </w:lvl>
    <w:lvl w:ilvl="1">
      <w:start w:val="1"/>
      <w:numFmt w:val="decimal"/>
      <w:lvlText w:val="%1.%2."/>
      <w:lvlJc w:val="left"/>
      <w:pPr>
        <w:ind w:left="151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44" w:hanging="504"/>
      </w:pPr>
      <w:rPr>
        <w:rFonts w:hint="default"/>
        <w:b w:val="0"/>
        <w:i w:val="0"/>
        <w:caps w:val="0"/>
        <w:strike w:val="0"/>
        <w:dstrike w:val="0"/>
        <w:vanish w:val="0"/>
        <w:sz w:val="24"/>
        <w:vertAlign w:val="baseline"/>
      </w:rPr>
    </w:lvl>
    <w:lvl w:ilvl="3">
      <w:start w:val="1"/>
      <w:numFmt w:val="decimal"/>
      <w:lvlText w:val="%1.%2.%3.%4."/>
      <w:lvlJc w:val="left"/>
      <w:pPr>
        <w:ind w:left="2448" w:hanging="648"/>
      </w:pPr>
      <w:rPr>
        <w:rFonts w:hint="default"/>
        <w:b w:val="0"/>
        <w:i w:val="0"/>
        <w:caps w:val="0"/>
        <w:strike w:val="0"/>
        <w:dstrike w:val="0"/>
        <w:vanish w:val="0"/>
        <w:sz w:val="24"/>
        <w:vertAlign w:val="baseline"/>
      </w:rPr>
    </w:lvl>
    <w:lvl w:ilvl="4">
      <w:start w:val="1"/>
      <w:numFmt w:val="decimal"/>
      <w:lvlText w:val="%1.%2.%3.%4.%5."/>
      <w:lvlJc w:val="left"/>
      <w:pPr>
        <w:ind w:left="2952" w:hanging="792"/>
      </w:pPr>
      <w:rPr>
        <w:rFonts w:hint="default"/>
        <w:b w:val="0"/>
        <w:i w:val="0"/>
        <w:caps w:val="0"/>
        <w:strike w:val="0"/>
        <w:dstrike w:val="0"/>
        <w:vanish w:val="0"/>
        <w:sz w:val="24"/>
        <w:vertAlign w:val="baseline"/>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1" w15:restartNumberingAfterBreak="0">
    <w:nsid w:val="413F3F94"/>
    <w:multiLevelType w:val="multilevel"/>
    <w:tmpl w:val="C42EBC4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6795BFC"/>
    <w:multiLevelType w:val="multilevel"/>
    <w:tmpl w:val="1996035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15:restartNumberingAfterBreak="0">
    <w:nsid w:val="48971169"/>
    <w:multiLevelType w:val="multilevel"/>
    <w:tmpl w:val="65561CA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hint="default"/>
        <w:b w:val="0"/>
        <w:i w:val="0"/>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15:restartNumberingAfterBreak="0">
    <w:nsid w:val="4951708C"/>
    <w:multiLevelType w:val="multilevel"/>
    <w:tmpl w:val="E272D2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D0562C"/>
    <w:multiLevelType w:val="multilevel"/>
    <w:tmpl w:val="621092F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B482B81"/>
    <w:multiLevelType w:val="multilevel"/>
    <w:tmpl w:val="81CE20A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15:restartNumberingAfterBreak="0">
    <w:nsid w:val="5E203851"/>
    <w:multiLevelType w:val="multilevel"/>
    <w:tmpl w:val="1E027EBA"/>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07F3B22"/>
    <w:multiLevelType w:val="hybridMultilevel"/>
    <w:tmpl w:val="B5E0CD72"/>
    <w:lvl w:ilvl="0" w:tplc="128C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65014"/>
    <w:multiLevelType w:val="multilevel"/>
    <w:tmpl w:val="3990CBC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562E5D"/>
    <w:multiLevelType w:val="multilevel"/>
    <w:tmpl w:val="CAD833F6"/>
    <w:lvl w:ilvl="0">
      <w:start w:val="3"/>
      <w:numFmt w:val="decimal"/>
      <w:lvlText w:val="%1"/>
      <w:lvlJc w:val="left"/>
      <w:pPr>
        <w:tabs>
          <w:tab w:val="num" w:pos="675"/>
        </w:tabs>
        <w:ind w:left="675" w:hanging="675"/>
      </w:pPr>
      <w:rPr>
        <w:rFonts w:hint="default"/>
      </w:rPr>
    </w:lvl>
    <w:lvl w:ilvl="1">
      <w:start w:val="4"/>
      <w:numFmt w:val="decimal"/>
      <w:lvlText w:val="%1.%2"/>
      <w:lvlJc w:val="left"/>
      <w:pPr>
        <w:tabs>
          <w:tab w:val="num" w:pos="1395"/>
        </w:tabs>
        <w:ind w:left="1395" w:hanging="6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65A83958"/>
    <w:multiLevelType w:val="multilevel"/>
    <w:tmpl w:val="6B18E5D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6B1A2161"/>
    <w:multiLevelType w:val="multilevel"/>
    <w:tmpl w:val="85742A2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717E521D"/>
    <w:multiLevelType w:val="multilevel"/>
    <w:tmpl w:val="E092D248"/>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4" w15:restartNumberingAfterBreak="0">
    <w:nsid w:val="7307259B"/>
    <w:multiLevelType w:val="hybridMultilevel"/>
    <w:tmpl w:val="D35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DB25D0C"/>
    <w:multiLevelType w:val="multilevel"/>
    <w:tmpl w:val="AD567162"/>
    <w:lvl w:ilvl="0">
      <w:start w:val="1"/>
      <w:numFmt w:val="decimal"/>
      <w:lvlText w:val="%1"/>
      <w:lvlJc w:val="left"/>
      <w:pPr>
        <w:tabs>
          <w:tab w:val="num" w:pos="720"/>
        </w:tabs>
        <w:ind w:left="720" w:hanging="720"/>
      </w:pPr>
      <w:rPr>
        <w:rFonts w:hint="default"/>
      </w:rPr>
    </w:lvl>
    <w:lvl w:ilvl="1">
      <w:start w:val="4"/>
      <w:numFmt w:val="decimal"/>
      <w:isLgl/>
      <w:lvlText w:val="%1.%2"/>
      <w:lvlJc w:val="left"/>
      <w:pPr>
        <w:tabs>
          <w:tab w:val="num" w:pos="1380"/>
        </w:tabs>
        <w:ind w:left="1380" w:hanging="660"/>
      </w:pPr>
      <w:rPr>
        <w:rFonts w:hint="default"/>
      </w:rPr>
    </w:lvl>
    <w:lvl w:ilvl="2">
      <w:start w:val="5"/>
      <w:numFmt w:val="decimal"/>
      <w:isLgl/>
      <w:lvlText w:val="%1.%2.%3"/>
      <w:lvlJc w:val="left"/>
      <w:pPr>
        <w:tabs>
          <w:tab w:val="num" w:pos="2160"/>
        </w:tabs>
        <w:ind w:left="2160" w:hanging="720"/>
      </w:pPr>
      <w:rPr>
        <w:rFonts w:hint="default"/>
      </w:rPr>
    </w:lvl>
    <w:lvl w:ilvl="3">
      <w:start w:val="2"/>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6" w15:restartNumberingAfterBreak="0">
    <w:nsid w:val="7EC93317"/>
    <w:multiLevelType w:val="multilevel"/>
    <w:tmpl w:val="1084E0A6"/>
    <w:lvl w:ilvl="0">
      <w:start w:val="4"/>
      <w:numFmt w:val="decimal"/>
      <w:lvlText w:val="%1"/>
      <w:lvlJc w:val="left"/>
      <w:pPr>
        <w:tabs>
          <w:tab w:val="num" w:pos="1272"/>
        </w:tabs>
        <w:ind w:left="1272" w:hanging="720"/>
      </w:pPr>
      <w:rPr>
        <w:rFonts w:hint="default"/>
      </w:rPr>
    </w:lvl>
    <w:lvl w:ilvl="1">
      <w:start w:val="1"/>
      <w:numFmt w:val="decimal"/>
      <w:lvlText w:val="%1.%2"/>
      <w:lvlJc w:val="left"/>
      <w:pPr>
        <w:tabs>
          <w:tab w:val="num" w:pos="1992"/>
        </w:tabs>
        <w:ind w:left="1992" w:hanging="720"/>
      </w:pPr>
      <w:rPr>
        <w:rFonts w:hint="default"/>
      </w:rPr>
    </w:lvl>
    <w:lvl w:ilvl="2">
      <w:start w:val="1"/>
      <w:numFmt w:val="decimal"/>
      <w:lvlText w:val="%1.%2.%3"/>
      <w:lvlJc w:val="left"/>
      <w:pPr>
        <w:tabs>
          <w:tab w:val="num" w:pos="2712"/>
        </w:tabs>
        <w:ind w:left="2712" w:hanging="720"/>
      </w:pPr>
      <w:rPr>
        <w:rFonts w:hint="default"/>
      </w:rPr>
    </w:lvl>
    <w:lvl w:ilvl="3">
      <w:start w:val="1"/>
      <w:numFmt w:val="decimal"/>
      <w:lvlText w:val="%1.%2.%3.%4"/>
      <w:lvlJc w:val="left"/>
      <w:pPr>
        <w:tabs>
          <w:tab w:val="num" w:pos="3432"/>
        </w:tabs>
        <w:ind w:left="3432" w:hanging="720"/>
      </w:pPr>
      <w:rPr>
        <w:rFonts w:hint="default"/>
      </w:rPr>
    </w:lvl>
    <w:lvl w:ilvl="4">
      <w:start w:val="1"/>
      <w:numFmt w:val="decimal"/>
      <w:lvlText w:val="%1.%2.%3.%4.%5"/>
      <w:lvlJc w:val="left"/>
      <w:pPr>
        <w:tabs>
          <w:tab w:val="num" w:pos="4512"/>
        </w:tabs>
        <w:ind w:left="4512" w:hanging="1080"/>
      </w:pPr>
      <w:rPr>
        <w:rFonts w:hint="default"/>
      </w:rPr>
    </w:lvl>
    <w:lvl w:ilvl="5">
      <w:start w:val="1"/>
      <w:numFmt w:val="decimal"/>
      <w:lvlText w:val="%1.%2.%3.%4.%5.%6"/>
      <w:lvlJc w:val="left"/>
      <w:pPr>
        <w:tabs>
          <w:tab w:val="num" w:pos="5232"/>
        </w:tabs>
        <w:ind w:left="5232" w:hanging="1080"/>
      </w:pPr>
      <w:rPr>
        <w:rFonts w:hint="default"/>
      </w:rPr>
    </w:lvl>
    <w:lvl w:ilvl="6">
      <w:start w:val="1"/>
      <w:numFmt w:val="decimal"/>
      <w:lvlText w:val="%1.%2.%3.%4.%5.%6.%7"/>
      <w:lvlJc w:val="left"/>
      <w:pPr>
        <w:tabs>
          <w:tab w:val="num" w:pos="6312"/>
        </w:tabs>
        <w:ind w:left="6312" w:hanging="1440"/>
      </w:pPr>
      <w:rPr>
        <w:rFonts w:hint="default"/>
      </w:rPr>
    </w:lvl>
    <w:lvl w:ilvl="7">
      <w:start w:val="1"/>
      <w:numFmt w:val="decimal"/>
      <w:lvlText w:val="%1.%2.%3.%4.%5.%6.%7.%8"/>
      <w:lvlJc w:val="left"/>
      <w:pPr>
        <w:tabs>
          <w:tab w:val="num" w:pos="7032"/>
        </w:tabs>
        <w:ind w:left="7032" w:hanging="1440"/>
      </w:pPr>
      <w:rPr>
        <w:rFonts w:hint="default"/>
      </w:rPr>
    </w:lvl>
    <w:lvl w:ilvl="8">
      <w:start w:val="1"/>
      <w:numFmt w:val="decimal"/>
      <w:lvlText w:val="%1.%2.%3.%4.%5.%6.%7.%8.%9"/>
      <w:lvlJc w:val="left"/>
      <w:pPr>
        <w:tabs>
          <w:tab w:val="num" w:pos="8112"/>
        </w:tabs>
        <w:ind w:left="8112" w:hanging="1800"/>
      </w:pPr>
      <w:rPr>
        <w:rFonts w:hint="default"/>
      </w:rPr>
    </w:lvl>
  </w:abstractNum>
  <w:num w:numId="1">
    <w:abstractNumId w:val="11"/>
  </w:num>
  <w:num w:numId="2">
    <w:abstractNumId w:val="21"/>
  </w:num>
  <w:num w:numId="3">
    <w:abstractNumId w:val="2"/>
  </w:num>
  <w:num w:numId="4">
    <w:abstractNumId w:val="19"/>
  </w:num>
  <w:num w:numId="5">
    <w:abstractNumId w:val="31"/>
  </w:num>
  <w:num w:numId="6">
    <w:abstractNumId w:val="35"/>
  </w:num>
  <w:num w:numId="7">
    <w:abstractNumId w:val="33"/>
  </w:num>
  <w:num w:numId="8">
    <w:abstractNumId w:val="22"/>
  </w:num>
  <w:num w:numId="9">
    <w:abstractNumId w:val="36"/>
  </w:num>
  <w:num w:numId="10">
    <w:abstractNumId w:val="25"/>
  </w:num>
  <w:num w:numId="11">
    <w:abstractNumId w:val="5"/>
  </w:num>
  <w:num w:numId="12">
    <w:abstractNumId w:val="6"/>
  </w:num>
  <w:num w:numId="13">
    <w:abstractNumId w:val="17"/>
  </w:num>
  <w:num w:numId="14">
    <w:abstractNumId w:val="23"/>
  </w:num>
  <w:num w:numId="15">
    <w:abstractNumId w:val="30"/>
  </w:num>
  <w:num w:numId="16">
    <w:abstractNumId w:val="9"/>
  </w:num>
  <w:num w:numId="17">
    <w:abstractNumId w:val="8"/>
  </w:num>
  <w:num w:numId="18">
    <w:abstractNumId w:val="26"/>
  </w:num>
  <w:num w:numId="19">
    <w:abstractNumId w:val="16"/>
  </w:num>
  <w:num w:numId="20">
    <w:abstractNumId w:val="15"/>
  </w:num>
  <w:num w:numId="21">
    <w:abstractNumId w:val="7"/>
  </w:num>
  <w:num w:numId="22">
    <w:abstractNumId w:val="1"/>
  </w:num>
  <w:num w:numId="23">
    <w:abstractNumId w:val="14"/>
  </w:num>
  <w:num w:numId="24">
    <w:abstractNumId w:val="29"/>
  </w:num>
  <w:num w:numId="25">
    <w:abstractNumId w:val="34"/>
  </w:num>
  <w:num w:numId="26">
    <w:abstractNumId w:val="28"/>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2"/>
  </w:num>
  <w:num w:numId="30">
    <w:abstractNumId w:val="12"/>
  </w:num>
  <w:num w:numId="31">
    <w:abstractNumId w:val="4"/>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0"/>
  </w:num>
  <w:num w:numId="35">
    <w:abstractNumId w:val="13"/>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7"/>
  </w:num>
  <w:num w:numId="39">
    <w:abstractNumId w:val="10"/>
  </w:num>
  <w:num w:numId="40">
    <w:abstractNumId w:val="0"/>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BA"/>
    <w:rsid w:val="00022A22"/>
    <w:rsid w:val="00064C59"/>
    <w:rsid w:val="00076EA4"/>
    <w:rsid w:val="000C515D"/>
    <w:rsid w:val="000F2999"/>
    <w:rsid w:val="001065AF"/>
    <w:rsid w:val="0011257A"/>
    <w:rsid w:val="00127E1F"/>
    <w:rsid w:val="00132307"/>
    <w:rsid w:val="00155201"/>
    <w:rsid w:val="00161C3E"/>
    <w:rsid w:val="00175092"/>
    <w:rsid w:val="00175F7F"/>
    <w:rsid w:val="001B6642"/>
    <w:rsid w:val="002044B3"/>
    <w:rsid w:val="002176F9"/>
    <w:rsid w:val="00236EAE"/>
    <w:rsid w:val="0025437D"/>
    <w:rsid w:val="0027217E"/>
    <w:rsid w:val="00276113"/>
    <w:rsid w:val="002D393B"/>
    <w:rsid w:val="002E6831"/>
    <w:rsid w:val="002F6D50"/>
    <w:rsid w:val="003169F0"/>
    <w:rsid w:val="00323563"/>
    <w:rsid w:val="003327A7"/>
    <w:rsid w:val="00345003"/>
    <w:rsid w:val="0036296E"/>
    <w:rsid w:val="00385EBD"/>
    <w:rsid w:val="00391790"/>
    <w:rsid w:val="00396B5E"/>
    <w:rsid w:val="003A64C7"/>
    <w:rsid w:val="003C73DD"/>
    <w:rsid w:val="00412D41"/>
    <w:rsid w:val="00420D21"/>
    <w:rsid w:val="004713C6"/>
    <w:rsid w:val="00481A2C"/>
    <w:rsid w:val="00496CAC"/>
    <w:rsid w:val="004C40B9"/>
    <w:rsid w:val="004F3AF6"/>
    <w:rsid w:val="00516F6F"/>
    <w:rsid w:val="00517743"/>
    <w:rsid w:val="00534473"/>
    <w:rsid w:val="005549AF"/>
    <w:rsid w:val="00561984"/>
    <w:rsid w:val="00565AA2"/>
    <w:rsid w:val="005A59C2"/>
    <w:rsid w:val="005B2B00"/>
    <w:rsid w:val="005D07B8"/>
    <w:rsid w:val="005E13C4"/>
    <w:rsid w:val="005E69F7"/>
    <w:rsid w:val="00612069"/>
    <w:rsid w:val="00621EF2"/>
    <w:rsid w:val="00655629"/>
    <w:rsid w:val="00661FFC"/>
    <w:rsid w:val="006934F7"/>
    <w:rsid w:val="00694F88"/>
    <w:rsid w:val="006B56AA"/>
    <w:rsid w:val="00717389"/>
    <w:rsid w:val="00751EF0"/>
    <w:rsid w:val="00765C6F"/>
    <w:rsid w:val="00771B0E"/>
    <w:rsid w:val="00773977"/>
    <w:rsid w:val="007851C7"/>
    <w:rsid w:val="00797CEC"/>
    <w:rsid w:val="007A35EA"/>
    <w:rsid w:val="007A6F07"/>
    <w:rsid w:val="007C0D26"/>
    <w:rsid w:val="007D71B8"/>
    <w:rsid w:val="00853288"/>
    <w:rsid w:val="00854B82"/>
    <w:rsid w:val="0087705A"/>
    <w:rsid w:val="008A0B31"/>
    <w:rsid w:val="008A4CA8"/>
    <w:rsid w:val="008A7B3C"/>
    <w:rsid w:val="008B5725"/>
    <w:rsid w:val="008C31A1"/>
    <w:rsid w:val="008C364C"/>
    <w:rsid w:val="008F1441"/>
    <w:rsid w:val="008F41D9"/>
    <w:rsid w:val="009121AA"/>
    <w:rsid w:val="00923A76"/>
    <w:rsid w:val="00926663"/>
    <w:rsid w:val="00944EC1"/>
    <w:rsid w:val="00972C8B"/>
    <w:rsid w:val="00977513"/>
    <w:rsid w:val="0098462E"/>
    <w:rsid w:val="009971AA"/>
    <w:rsid w:val="009A0F17"/>
    <w:rsid w:val="009B4360"/>
    <w:rsid w:val="009B7B3F"/>
    <w:rsid w:val="009C5916"/>
    <w:rsid w:val="009E0227"/>
    <w:rsid w:val="009E41B1"/>
    <w:rsid w:val="009F20D6"/>
    <w:rsid w:val="009F7A4D"/>
    <w:rsid w:val="00A35C09"/>
    <w:rsid w:val="00A67752"/>
    <w:rsid w:val="00A74E18"/>
    <w:rsid w:val="00A97EAC"/>
    <w:rsid w:val="00AB1043"/>
    <w:rsid w:val="00AC0BF4"/>
    <w:rsid w:val="00AE2211"/>
    <w:rsid w:val="00AF446F"/>
    <w:rsid w:val="00B0279A"/>
    <w:rsid w:val="00B276EF"/>
    <w:rsid w:val="00B4552C"/>
    <w:rsid w:val="00B65975"/>
    <w:rsid w:val="00B70422"/>
    <w:rsid w:val="00BC5861"/>
    <w:rsid w:val="00BD68DB"/>
    <w:rsid w:val="00BE7DB6"/>
    <w:rsid w:val="00BF2012"/>
    <w:rsid w:val="00BF2302"/>
    <w:rsid w:val="00C14446"/>
    <w:rsid w:val="00C343C2"/>
    <w:rsid w:val="00C41F84"/>
    <w:rsid w:val="00C659BA"/>
    <w:rsid w:val="00C81DC4"/>
    <w:rsid w:val="00C85414"/>
    <w:rsid w:val="00C9796E"/>
    <w:rsid w:val="00CA7215"/>
    <w:rsid w:val="00CE3B54"/>
    <w:rsid w:val="00CE7A35"/>
    <w:rsid w:val="00CF2916"/>
    <w:rsid w:val="00CF698E"/>
    <w:rsid w:val="00D051A7"/>
    <w:rsid w:val="00D10E50"/>
    <w:rsid w:val="00D25447"/>
    <w:rsid w:val="00D306FF"/>
    <w:rsid w:val="00D34C89"/>
    <w:rsid w:val="00D44455"/>
    <w:rsid w:val="00D86A41"/>
    <w:rsid w:val="00D877FB"/>
    <w:rsid w:val="00D878C5"/>
    <w:rsid w:val="00D93985"/>
    <w:rsid w:val="00DB312A"/>
    <w:rsid w:val="00DC7662"/>
    <w:rsid w:val="00DF4B3B"/>
    <w:rsid w:val="00E04E74"/>
    <w:rsid w:val="00E15634"/>
    <w:rsid w:val="00E27D3D"/>
    <w:rsid w:val="00E6494E"/>
    <w:rsid w:val="00E85F75"/>
    <w:rsid w:val="00EA3649"/>
    <w:rsid w:val="00ED193C"/>
    <w:rsid w:val="00ED37A7"/>
    <w:rsid w:val="00F30CAB"/>
    <w:rsid w:val="00F35B15"/>
    <w:rsid w:val="00F40B66"/>
    <w:rsid w:val="00F52003"/>
    <w:rsid w:val="00F7168B"/>
    <w:rsid w:val="00F77DE6"/>
    <w:rsid w:val="00FC1129"/>
    <w:rsid w:val="00FF1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4337"/>
    <o:shapelayout v:ext="edit">
      <o:idmap v:ext="edit" data="1"/>
    </o:shapelayout>
  </w:shapeDefaults>
  <w:decimalSymbol w:val="."/>
  <w:listSeparator w:val=","/>
  <w14:docId w14:val="7E5FF50F"/>
  <w15:chartTrackingRefBased/>
  <w15:docId w15:val="{06773C2B-0893-477B-93D6-B1A8838E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uiPriority="35" w:qFormat="1"/>
    <w:lsdException w:name="table of figures" w:uiPriority="99"/>
    <w:lsdException w:name="annotation reference" w:uiPriority="99"/>
    <w:lsdException w:name="Title" w:uiPriority="10" w:qFormat="1"/>
    <w:lsdException w:name="Default Paragraph Font" w:uiPriority="1"/>
    <w:lsdException w:name="Body Text" w:uiPriority="1" w:qFormat="1"/>
    <w:lsdException w:name="Hyperlink" w:uiPriority="99"/>
    <w:lsdException w:name="FollowedHyperlink" w:uiPriority="99"/>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B4360"/>
    <w:rPr>
      <w:rFonts w:eastAsiaTheme="minorHAnsi" w:cstheme="minorBidi"/>
      <w:sz w:val="24"/>
      <w:szCs w:val="22"/>
    </w:rPr>
  </w:style>
  <w:style w:type="paragraph" w:styleId="Heading1">
    <w:name w:val="heading 1"/>
    <w:basedOn w:val="Normal"/>
    <w:next w:val="Normal"/>
    <w:link w:val="Heading1Char"/>
    <w:uiPriority w:val="9"/>
    <w:qFormat/>
    <w:rsid w:val="009B4360"/>
    <w:pPr>
      <w:keepNext/>
      <w:keepLines/>
      <w:numPr>
        <w:numId w:val="40"/>
      </w:numPr>
      <w:spacing w:after="240"/>
      <w:ind w:left="720" w:hanging="720"/>
      <w:outlineLvl w:val="0"/>
    </w:pPr>
    <w:rPr>
      <w:rFonts w:eastAsiaTheme="majorEastAsia" w:cs="Times New Roman"/>
      <w:szCs w:val="24"/>
    </w:rPr>
  </w:style>
  <w:style w:type="paragraph" w:styleId="Heading2">
    <w:name w:val="heading 2"/>
    <w:basedOn w:val="Normal"/>
    <w:next w:val="Normal"/>
    <w:link w:val="Heading2Char"/>
    <w:uiPriority w:val="9"/>
    <w:unhideWhenUsed/>
    <w:qFormat/>
    <w:rsid w:val="009B4360"/>
    <w:pPr>
      <w:keepNext/>
      <w:keepLines/>
      <w:numPr>
        <w:ilvl w:val="1"/>
        <w:numId w:val="40"/>
      </w:numPr>
      <w:spacing w:after="240"/>
      <w:ind w:left="1440" w:hanging="720"/>
      <w:jc w:val="both"/>
      <w:outlineLvl w:val="1"/>
    </w:pPr>
    <w:rPr>
      <w:rFonts w:eastAsiaTheme="majorEastAsia" w:cs="Times New Roman"/>
      <w:szCs w:val="24"/>
    </w:rPr>
  </w:style>
  <w:style w:type="paragraph" w:styleId="Heading3">
    <w:name w:val="heading 3"/>
    <w:basedOn w:val="Normal"/>
    <w:next w:val="Normal"/>
    <w:link w:val="Heading3Char"/>
    <w:uiPriority w:val="9"/>
    <w:unhideWhenUsed/>
    <w:qFormat/>
    <w:rsid w:val="009B4360"/>
    <w:pPr>
      <w:keepNext/>
      <w:keepLines/>
      <w:numPr>
        <w:ilvl w:val="2"/>
        <w:numId w:val="40"/>
      </w:numPr>
      <w:spacing w:after="240"/>
      <w:ind w:left="2160"/>
      <w:jc w:val="both"/>
      <w:outlineLvl w:val="2"/>
    </w:pPr>
    <w:rPr>
      <w:rFonts w:eastAsiaTheme="majorEastAsia" w:cs="Times New Roman"/>
      <w:szCs w:val="24"/>
    </w:rPr>
  </w:style>
  <w:style w:type="paragraph" w:styleId="Heading4">
    <w:name w:val="heading 4"/>
    <w:basedOn w:val="Normal"/>
    <w:next w:val="Normal"/>
    <w:link w:val="Heading4Char"/>
    <w:uiPriority w:val="9"/>
    <w:unhideWhenUsed/>
    <w:qFormat/>
    <w:rsid w:val="009B4360"/>
    <w:pPr>
      <w:keepNext/>
      <w:keepLines/>
      <w:numPr>
        <w:ilvl w:val="3"/>
        <w:numId w:val="40"/>
      </w:numPr>
      <w:spacing w:after="240"/>
      <w:ind w:left="2880" w:hanging="720"/>
      <w:jc w:val="both"/>
      <w:outlineLvl w:val="3"/>
    </w:pPr>
    <w:rPr>
      <w:rFonts w:eastAsiaTheme="majorEastAsia" w:cs="Times New Roman"/>
      <w:iCs/>
      <w:szCs w:val="24"/>
    </w:rPr>
  </w:style>
  <w:style w:type="paragraph" w:styleId="Heading5">
    <w:name w:val="heading 5"/>
    <w:basedOn w:val="Normal"/>
    <w:next w:val="Normal"/>
    <w:link w:val="Heading5Char"/>
    <w:unhideWhenUsed/>
    <w:qFormat/>
    <w:rsid w:val="009B4360"/>
    <w:pPr>
      <w:keepNext/>
      <w:keepLines/>
      <w:numPr>
        <w:ilvl w:val="4"/>
        <w:numId w:val="40"/>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9B4360"/>
    <w:pPr>
      <w:keepNext/>
      <w:keepLines/>
      <w:numPr>
        <w:ilvl w:val="5"/>
        <w:numId w:val="40"/>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9B4360"/>
    <w:pPr>
      <w:keepNext/>
      <w:keepLines/>
      <w:numPr>
        <w:ilvl w:val="6"/>
        <w:numId w:val="4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9B4360"/>
    <w:pPr>
      <w:keepNext/>
      <w:keepLines/>
      <w:numPr>
        <w:ilvl w:val="7"/>
        <w:numId w:val="4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9B4360"/>
    <w:pPr>
      <w:keepNext/>
      <w:keepLines/>
      <w:numPr>
        <w:ilvl w:val="8"/>
        <w:numId w:val="4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9B43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4360"/>
  </w:style>
  <w:style w:type="paragraph" w:styleId="Footer">
    <w:name w:val="footer"/>
    <w:basedOn w:val="Normal"/>
    <w:link w:val="FooterChar"/>
    <w:uiPriority w:val="99"/>
    <w:unhideWhenUsed/>
    <w:rsid w:val="009B4360"/>
    <w:pPr>
      <w:tabs>
        <w:tab w:val="center" w:pos="4680"/>
        <w:tab w:val="right" w:pos="9360"/>
      </w:tabs>
    </w:pPr>
  </w:style>
  <w:style w:type="paragraph" w:customStyle="1" w:styleId="a1Technical">
    <w:name w:val="a1Technical"/>
    <w:basedOn w:val="Normal"/>
    <w:rsid w:val="00127E1F"/>
    <w:rPr>
      <w:rFonts w:ascii="TmsRmn 10pt" w:hAnsi="TmsRmn 10pt"/>
    </w:rPr>
  </w:style>
  <w:style w:type="paragraph" w:customStyle="1" w:styleId="a2Technical">
    <w:name w:val="a2Technical"/>
    <w:basedOn w:val="Normal"/>
    <w:rsid w:val="00127E1F"/>
    <w:pPr>
      <w:ind w:left="720"/>
    </w:pPr>
    <w:rPr>
      <w:rFonts w:ascii="TmsRmn 10pt" w:hAnsi="TmsRmn 10pt"/>
    </w:rPr>
  </w:style>
  <w:style w:type="paragraph" w:customStyle="1" w:styleId="a3Technical">
    <w:name w:val="a3Technical"/>
    <w:basedOn w:val="Normal"/>
    <w:pPr>
      <w:ind w:left="1440"/>
    </w:pPr>
    <w:rPr>
      <w:rFonts w:ascii="TmsRmn 10pt" w:hAnsi="TmsRmn 10pt"/>
    </w:rPr>
  </w:style>
  <w:style w:type="paragraph" w:customStyle="1" w:styleId="a4Technical">
    <w:name w:val="a4Technical"/>
    <w:basedOn w:val="Normal"/>
    <w:pPr>
      <w:ind w:left="2160"/>
    </w:pPr>
    <w:rPr>
      <w:rFonts w:ascii="TmsRmn 10pt" w:hAnsi="TmsRmn 10pt"/>
    </w:rPr>
  </w:style>
  <w:style w:type="paragraph" w:customStyle="1" w:styleId="a5Technical">
    <w:name w:val="a5Technical"/>
    <w:basedOn w:val="Normal"/>
    <w:rPr>
      <w:rFonts w:ascii="TmsRmn 10pt" w:hAnsi="TmsRmn 10pt"/>
    </w:rPr>
  </w:style>
  <w:style w:type="paragraph" w:customStyle="1" w:styleId="a6Technical">
    <w:name w:val="a6Technical"/>
    <w:basedOn w:val="Normal"/>
    <w:rPr>
      <w:rFonts w:ascii="TmsRmn 10pt" w:hAnsi="TmsRmn 10pt"/>
    </w:rPr>
  </w:style>
  <w:style w:type="paragraph" w:customStyle="1" w:styleId="a7Technical">
    <w:name w:val="a7Technical"/>
    <w:basedOn w:val="Normal"/>
    <w:rPr>
      <w:rFonts w:ascii="TmsRmn 10pt" w:hAnsi="TmsRmn 10pt"/>
    </w:rPr>
  </w:style>
  <w:style w:type="paragraph" w:customStyle="1" w:styleId="a8Technical">
    <w:name w:val="a8Technical"/>
    <w:basedOn w:val="Normal"/>
    <w:rPr>
      <w:rFonts w:ascii="TmsRmn 10pt" w:hAnsi="TmsRmn 10pt"/>
    </w:rPr>
  </w:style>
  <w:style w:type="character" w:styleId="PageNumber">
    <w:name w:val="page number"/>
    <w:basedOn w:val="DefaultParagraphFont"/>
  </w:style>
  <w:style w:type="paragraph" w:styleId="Header">
    <w:name w:val="header"/>
    <w:basedOn w:val="Normal"/>
    <w:link w:val="HeaderChar"/>
    <w:unhideWhenUsed/>
    <w:rsid w:val="009B4360"/>
    <w:pPr>
      <w:tabs>
        <w:tab w:val="center" w:pos="4680"/>
        <w:tab w:val="right" w:pos="9360"/>
      </w:tabs>
    </w:pPr>
  </w:style>
  <w:style w:type="table" w:styleId="TableGrid">
    <w:name w:val="Table Grid"/>
    <w:basedOn w:val="TableNormal"/>
    <w:rsid w:val="009B4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9B4360"/>
    <w:rPr>
      <w:rFonts w:ascii="Tahoma" w:hAnsi="Tahoma" w:cs="Tahoma"/>
      <w:sz w:val="16"/>
      <w:szCs w:val="16"/>
    </w:rPr>
  </w:style>
  <w:style w:type="character" w:styleId="CommentReference">
    <w:name w:val="annotation reference"/>
    <w:basedOn w:val="DefaultParagraphFont"/>
    <w:uiPriority w:val="99"/>
    <w:semiHidden/>
    <w:unhideWhenUsed/>
    <w:rsid w:val="009B4360"/>
    <w:rPr>
      <w:sz w:val="16"/>
      <w:szCs w:val="16"/>
    </w:rPr>
  </w:style>
  <w:style w:type="paragraph" w:styleId="CommentText">
    <w:name w:val="annotation text"/>
    <w:basedOn w:val="Normal"/>
    <w:link w:val="CommentTextChar"/>
    <w:uiPriority w:val="99"/>
    <w:semiHidden/>
    <w:unhideWhenUsed/>
    <w:rsid w:val="009B4360"/>
    <w:rPr>
      <w:sz w:val="20"/>
      <w:szCs w:val="20"/>
    </w:rPr>
  </w:style>
  <w:style w:type="paragraph" w:styleId="CommentSubject">
    <w:name w:val="annotation subject"/>
    <w:basedOn w:val="CommentText"/>
    <w:next w:val="CommentText"/>
    <w:link w:val="CommentSubjectChar"/>
    <w:uiPriority w:val="99"/>
    <w:semiHidden/>
    <w:unhideWhenUsed/>
    <w:rsid w:val="009B4360"/>
    <w:rPr>
      <w:b/>
      <w:bCs/>
    </w:rPr>
  </w:style>
  <w:style w:type="paragraph" w:styleId="Caption">
    <w:name w:val="caption"/>
    <w:aliases w:val="Caption (Figure and Table Titles)"/>
    <w:basedOn w:val="BodyText"/>
    <w:next w:val="Normal"/>
    <w:uiPriority w:val="35"/>
    <w:unhideWhenUsed/>
    <w:qFormat/>
    <w:rsid w:val="009B4360"/>
    <w:pPr>
      <w:spacing w:after="0"/>
      <w:ind w:left="1872"/>
    </w:pPr>
    <w:rPr>
      <w:b/>
      <w:sz w:val="22"/>
    </w:rPr>
  </w:style>
  <w:style w:type="paragraph" w:styleId="FootnoteText">
    <w:name w:val="footnote text"/>
    <w:basedOn w:val="Normal"/>
    <w:link w:val="FootnoteTextChar"/>
    <w:semiHidden/>
    <w:unhideWhenUsed/>
    <w:rsid w:val="009B4360"/>
    <w:rPr>
      <w:sz w:val="16"/>
      <w:szCs w:val="20"/>
    </w:rPr>
  </w:style>
  <w:style w:type="character" w:styleId="FootnoteReference">
    <w:name w:val="footnote reference"/>
    <w:basedOn w:val="DefaultParagraphFont"/>
    <w:semiHidden/>
    <w:unhideWhenUsed/>
    <w:rsid w:val="009B4360"/>
    <w:rPr>
      <w:vertAlign w:val="superscript"/>
    </w:rPr>
  </w:style>
  <w:style w:type="paragraph" w:styleId="ListParagraph">
    <w:name w:val="List Paragraph"/>
    <w:basedOn w:val="Normal"/>
    <w:uiPriority w:val="34"/>
    <w:qFormat/>
    <w:rsid w:val="009B4360"/>
    <w:pPr>
      <w:ind w:left="720"/>
      <w:contextualSpacing/>
    </w:pPr>
  </w:style>
  <w:style w:type="character" w:customStyle="1" w:styleId="Heading4Char">
    <w:name w:val="Heading 4 Char"/>
    <w:basedOn w:val="DefaultParagraphFont"/>
    <w:link w:val="Heading4"/>
    <w:uiPriority w:val="9"/>
    <w:rsid w:val="009B4360"/>
    <w:rPr>
      <w:rFonts w:eastAsiaTheme="majorEastAsia"/>
      <w:iCs/>
      <w:sz w:val="24"/>
      <w:szCs w:val="24"/>
    </w:rPr>
  </w:style>
  <w:style w:type="character" w:customStyle="1" w:styleId="Heading5Char">
    <w:name w:val="Heading 5 Char"/>
    <w:basedOn w:val="DefaultParagraphFont"/>
    <w:link w:val="Heading5"/>
    <w:rsid w:val="009B4360"/>
    <w:rPr>
      <w:rFonts w:asciiTheme="majorHAnsi" w:eastAsiaTheme="majorEastAsia" w:hAnsiTheme="majorHAnsi" w:cstheme="majorBidi"/>
      <w:color w:val="2F5496" w:themeColor="accent1" w:themeShade="BF"/>
      <w:sz w:val="24"/>
      <w:szCs w:val="22"/>
    </w:rPr>
  </w:style>
  <w:style w:type="character" w:customStyle="1" w:styleId="Heading6Char">
    <w:name w:val="Heading 6 Char"/>
    <w:basedOn w:val="DefaultParagraphFont"/>
    <w:link w:val="Heading6"/>
    <w:rsid w:val="009B4360"/>
    <w:rPr>
      <w:rFonts w:asciiTheme="majorHAnsi" w:eastAsiaTheme="majorEastAsia" w:hAnsiTheme="majorHAnsi" w:cstheme="majorBidi"/>
      <w:color w:val="1F3763" w:themeColor="accent1" w:themeShade="7F"/>
      <w:sz w:val="24"/>
      <w:szCs w:val="22"/>
    </w:rPr>
  </w:style>
  <w:style w:type="character" w:customStyle="1" w:styleId="Heading7Char">
    <w:name w:val="Heading 7 Char"/>
    <w:basedOn w:val="DefaultParagraphFont"/>
    <w:link w:val="Heading7"/>
    <w:rsid w:val="009B4360"/>
    <w:rPr>
      <w:rFonts w:asciiTheme="majorHAnsi" w:eastAsiaTheme="majorEastAsia" w:hAnsiTheme="majorHAnsi" w:cstheme="majorBidi"/>
      <w:i/>
      <w:iCs/>
      <w:color w:val="1F3763" w:themeColor="accent1" w:themeShade="7F"/>
      <w:sz w:val="24"/>
      <w:szCs w:val="22"/>
    </w:rPr>
  </w:style>
  <w:style w:type="character" w:customStyle="1" w:styleId="Heading8Char">
    <w:name w:val="Heading 8 Char"/>
    <w:basedOn w:val="DefaultParagraphFont"/>
    <w:link w:val="Heading8"/>
    <w:rsid w:val="009B43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9B4360"/>
    <w:rPr>
      <w:rFonts w:asciiTheme="majorHAnsi" w:eastAsiaTheme="majorEastAsia" w:hAnsiTheme="majorHAnsi" w:cstheme="majorBidi"/>
      <w:i/>
      <w:iCs/>
      <w:color w:val="272727" w:themeColor="text1" w:themeTint="D8"/>
      <w:sz w:val="21"/>
      <w:szCs w:val="21"/>
    </w:rPr>
  </w:style>
  <w:style w:type="character" w:styleId="EndnoteReference">
    <w:name w:val="endnote reference"/>
    <w:rsid w:val="00127E1F"/>
    <w:rPr>
      <w:vertAlign w:val="superscript"/>
    </w:rPr>
  </w:style>
  <w:style w:type="paragraph" w:styleId="Title">
    <w:name w:val="Title"/>
    <w:aliases w:val="Title-Lab"/>
    <w:basedOn w:val="Normal"/>
    <w:next w:val="Normal"/>
    <w:link w:val="TitleChar"/>
    <w:uiPriority w:val="10"/>
    <w:qFormat/>
    <w:rsid w:val="009B4360"/>
    <w:pPr>
      <w:widowControl w:val="0"/>
      <w:autoSpaceDE w:val="0"/>
      <w:autoSpaceDN w:val="0"/>
      <w:adjustRightInd w:val="0"/>
      <w:spacing w:after="120"/>
      <w:jc w:val="center"/>
    </w:pPr>
    <w:rPr>
      <w:rFonts w:eastAsia="Times New Roman" w:cs="Times New Roman"/>
      <w:b/>
      <w:szCs w:val="24"/>
    </w:rPr>
  </w:style>
  <w:style w:type="character" w:customStyle="1" w:styleId="TitleChar">
    <w:name w:val="Title Char"/>
    <w:aliases w:val="Title-Lab Char"/>
    <w:link w:val="Title"/>
    <w:uiPriority w:val="10"/>
    <w:rsid w:val="009B4360"/>
    <w:rPr>
      <w:b/>
      <w:sz w:val="24"/>
      <w:szCs w:val="24"/>
    </w:rPr>
  </w:style>
  <w:style w:type="paragraph" w:styleId="BodyTextIndent">
    <w:name w:val="Body Text Indent"/>
    <w:basedOn w:val="Normal"/>
    <w:link w:val="BodyTextIndentChar"/>
    <w:rsid w:val="00127E1F"/>
    <w:pPr>
      <w:tabs>
        <w:tab w:val="left" w:pos="-1104"/>
        <w:tab w:val="left" w:pos="-552"/>
        <w:tab w:val="left" w:pos="1"/>
        <w:tab w:val="left" w:pos="552"/>
        <w:tab w:val="left" w:pos="1440"/>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1440"/>
      <w:jc w:val="both"/>
    </w:pPr>
  </w:style>
  <w:style w:type="character" w:customStyle="1" w:styleId="BodyTextIndentChar">
    <w:name w:val="Body Text Indent Char"/>
    <w:basedOn w:val="DefaultParagraphFont"/>
    <w:link w:val="BodyTextIndent"/>
    <w:rsid w:val="008C31A1"/>
    <w:rPr>
      <w:rFonts w:eastAsiaTheme="minorHAnsi" w:cstheme="minorBidi"/>
      <w:sz w:val="24"/>
      <w:szCs w:val="22"/>
    </w:rPr>
  </w:style>
  <w:style w:type="paragraph" w:styleId="BodyTextIndent2">
    <w:name w:val="Body Text Indent 2"/>
    <w:basedOn w:val="Normal"/>
    <w:link w:val="BodyTextIndent2Char"/>
    <w:rsid w:val="00127E1F"/>
    <w:pPr>
      <w:tabs>
        <w:tab w:val="left" w:pos="-1104"/>
        <w:tab w:val="left" w:pos="-552"/>
        <w:tab w:val="left" w:pos="1"/>
        <w:tab w:val="left" w:pos="552"/>
        <w:tab w:val="left" w:pos="1104"/>
        <w:tab w:val="left" w:pos="1656"/>
        <w:tab w:val="left" w:pos="2160"/>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2160"/>
      <w:jc w:val="both"/>
    </w:pPr>
  </w:style>
  <w:style w:type="character" w:customStyle="1" w:styleId="BodyTextIndent2Char">
    <w:name w:val="Body Text Indent 2 Char"/>
    <w:basedOn w:val="DefaultParagraphFont"/>
    <w:link w:val="BodyTextIndent2"/>
    <w:rsid w:val="008C31A1"/>
    <w:rPr>
      <w:rFonts w:eastAsiaTheme="minorHAnsi" w:cstheme="minorBidi"/>
      <w:sz w:val="24"/>
      <w:szCs w:val="22"/>
    </w:rPr>
  </w:style>
  <w:style w:type="paragraph" w:styleId="BodyTextIndent3">
    <w:name w:val="Body Text Indent 3"/>
    <w:basedOn w:val="Normal"/>
    <w:link w:val="BodyTextIndent3Char"/>
    <w:rsid w:val="00127E1F"/>
    <w:pPr>
      <w:tabs>
        <w:tab w:val="left" w:pos="-1104"/>
        <w:tab w:val="left" w:pos="-552"/>
        <w:tab w:val="left" w:pos="1"/>
        <w:tab w:val="left" w:pos="552"/>
        <w:tab w:val="left" w:pos="144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1440" w:hanging="336"/>
      <w:jc w:val="both"/>
    </w:pPr>
  </w:style>
  <w:style w:type="character" w:customStyle="1" w:styleId="BodyTextIndent3Char">
    <w:name w:val="Body Text Indent 3 Char"/>
    <w:basedOn w:val="DefaultParagraphFont"/>
    <w:link w:val="BodyTextIndent3"/>
    <w:rsid w:val="008C31A1"/>
    <w:rPr>
      <w:rFonts w:eastAsiaTheme="minorHAnsi" w:cstheme="minorBidi"/>
      <w:sz w:val="24"/>
      <w:szCs w:val="22"/>
    </w:rPr>
  </w:style>
  <w:style w:type="paragraph" w:styleId="BodyText">
    <w:name w:val="Body Text"/>
    <w:basedOn w:val="Normal"/>
    <w:link w:val="BodyTextChar"/>
    <w:uiPriority w:val="1"/>
    <w:unhideWhenUsed/>
    <w:qFormat/>
    <w:rsid w:val="009B4360"/>
    <w:pPr>
      <w:spacing w:after="180"/>
      <w:jc w:val="both"/>
    </w:pPr>
    <w:rPr>
      <w:rFonts w:cs="Times New Roman"/>
      <w:szCs w:val="24"/>
    </w:rPr>
  </w:style>
  <w:style w:type="character" w:customStyle="1" w:styleId="BodyTextChar">
    <w:name w:val="Body Text Char"/>
    <w:basedOn w:val="DefaultParagraphFont"/>
    <w:link w:val="BodyText"/>
    <w:uiPriority w:val="1"/>
    <w:rsid w:val="009B4360"/>
    <w:rPr>
      <w:rFonts w:eastAsiaTheme="minorHAnsi"/>
      <w:sz w:val="24"/>
      <w:szCs w:val="24"/>
    </w:rPr>
  </w:style>
  <w:style w:type="paragraph" w:customStyle="1" w:styleId="1Technical">
    <w:name w:val="1Technical"/>
    <w:rsid w:val="00127E1F"/>
    <w:pPr>
      <w:tabs>
        <w:tab w:val="left" w:pos="720"/>
      </w:tabs>
      <w:ind w:left="720" w:hanging="720"/>
    </w:pPr>
    <w:rPr>
      <w:rFonts w:ascii="TmsRmn 10pt" w:hAnsi="TmsRmn 10pt"/>
      <w:snapToGrid w:val="0"/>
      <w:sz w:val="24"/>
    </w:rPr>
  </w:style>
  <w:style w:type="paragraph" w:customStyle="1" w:styleId="2Technical">
    <w:name w:val="2Technical"/>
    <w:rsid w:val="00127E1F"/>
    <w:pPr>
      <w:tabs>
        <w:tab w:val="left" w:pos="720"/>
        <w:tab w:val="left" w:pos="1440"/>
      </w:tabs>
      <w:ind w:left="1440" w:hanging="720"/>
    </w:pPr>
    <w:rPr>
      <w:rFonts w:ascii="TmsRmn 10pt" w:hAnsi="TmsRmn 10pt"/>
      <w:snapToGrid w:val="0"/>
      <w:sz w:val="24"/>
    </w:rPr>
  </w:style>
  <w:style w:type="character" w:styleId="Hyperlink">
    <w:name w:val="Hyperlink"/>
    <w:basedOn w:val="DefaultParagraphFont"/>
    <w:uiPriority w:val="99"/>
    <w:unhideWhenUsed/>
    <w:rsid w:val="009B4360"/>
    <w:rPr>
      <w:color w:val="0563C1" w:themeColor="hyperlink"/>
      <w:u w:val="single"/>
    </w:rPr>
  </w:style>
  <w:style w:type="character" w:customStyle="1" w:styleId="BalloonTextChar">
    <w:name w:val="Balloon Text Char"/>
    <w:basedOn w:val="DefaultParagraphFont"/>
    <w:link w:val="BalloonText"/>
    <w:uiPriority w:val="99"/>
    <w:rsid w:val="009B4360"/>
    <w:rPr>
      <w:rFonts w:ascii="Tahoma" w:eastAsiaTheme="minorHAnsi" w:hAnsi="Tahoma" w:cs="Tahoma"/>
      <w:sz w:val="16"/>
      <w:szCs w:val="16"/>
    </w:rPr>
  </w:style>
  <w:style w:type="character" w:customStyle="1" w:styleId="CommentTextChar">
    <w:name w:val="Comment Text Char"/>
    <w:basedOn w:val="DefaultParagraphFont"/>
    <w:link w:val="CommentText"/>
    <w:uiPriority w:val="99"/>
    <w:semiHidden/>
    <w:rsid w:val="009B4360"/>
    <w:rPr>
      <w:rFonts w:eastAsiaTheme="minorHAnsi" w:cstheme="minorBidi"/>
    </w:rPr>
  </w:style>
  <w:style w:type="character" w:customStyle="1" w:styleId="CommentSubjectChar">
    <w:name w:val="Comment Subject Char"/>
    <w:basedOn w:val="CommentTextChar"/>
    <w:link w:val="CommentSubject"/>
    <w:uiPriority w:val="99"/>
    <w:semiHidden/>
    <w:rsid w:val="009B4360"/>
    <w:rPr>
      <w:rFonts w:eastAsiaTheme="minorHAnsi" w:cstheme="minorBidi"/>
      <w:b/>
      <w:bCs/>
    </w:rPr>
  </w:style>
  <w:style w:type="paragraph" w:customStyle="1" w:styleId="Default">
    <w:name w:val="Default"/>
    <w:rsid w:val="009B4360"/>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unhideWhenUsed/>
    <w:rsid w:val="009B4360"/>
    <w:rPr>
      <w:color w:val="954F72" w:themeColor="followedHyperlink"/>
      <w:u w:val="single"/>
    </w:rPr>
  </w:style>
  <w:style w:type="character" w:customStyle="1" w:styleId="FooterChar">
    <w:name w:val="Footer Char"/>
    <w:basedOn w:val="DefaultParagraphFont"/>
    <w:link w:val="Footer"/>
    <w:uiPriority w:val="99"/>
    <w:rsid w:val="009B4360"/>
    <w:rPr>
      <w:rFonts w:eastAsiaTheme="minorHAnsi" w:cstheme="minorBidi"/>
      <w:sz w:val="24"/>
      <w:szCs w:val="22"/>
    </w:rPr>
  </w:style>
  <w:style w:type="paragraph" w:customStyle="1" w:styleId="FrontMatterTOC">
    <w:name w:val="Front Matter (TOC"/>
    <w:aliases w:val="foreword,preface,etc.)"/>
    <w:basedOn w:val="BodyText"/>
    <w:qFormat/>
    <w:rsid w:val="009B4360"/>
    <w:rPr>
      <w:b/>
    </w:rPr>
  </w:style>
  <w:style w:type="character" w:customStyle="1" w:styleId="HeaderChar">
    <w:name w:val="Header Char"/>
    <w:basedOn w:val="DefaultParagraphFont"/>
    <w:link w:val="Header"/>
    <w:rsid w:val="009B4360"/>
    <w:rPr>
      <w:rFonts w:eastAsiaTheme="minorHAnsi" w:cstheme="minorBidi"/>
      <w:sz w:val="24"/>
      <w:szCs w:val="22"/>
    </w:rPr>
  </w:style>
  <w:style w:type="character" w:customStyle="1" w:styleId="Heading1Char">
    <w:name w:val="Heading 1 Char"/>
    <w:basedOn w:val="DefaultParagraphFont"/>
    <w:link w:val="Heading1"/>
    <w:uiPriority w:val="9"/>
    <w:rsid w:val="009B4360"/>
    <w:rPr>
      <w:rFonts w:eastAsiaTheme="majorEastAsia"/>
      <w:sz w:val="24"/>
      <w:szCs w:val="24"/>
    </w:rPr>
  </w:style>
  <w:style w:type="character" w:customStyle="1" w:styleId="Heading2Char">
    <w:name w:val="Heading 2 Char"/>
    <w:basedOn w:val="DefaultParagraphFont"/>
    <w:link w:val="Heading2"/>
    <w:uiPriority w:val="9"/>
    <w:rsid w:val="009B4360"/>
    <w:rPr>
      <w:rFonts w:eastAsiaTheme="majorEastAsia"/>
      <w:sz w:val="24"/>
      <w:szCs w:val="24"/>
    </w:rPr>
  </w:style>
  <w:style w:type="character" w:customStyle="1" w:styleId="Heading3Char">
    <w:name w:val="Heading 3 Char"/>
    <w:basedOn w:val="DefaultParagraphFont"/>
    <w:link w:val="Heading3"/>
    <w:uiPriority w:val="9"/>
    <w:rsid w:val="009B4360"/>
    <w:rPr>
      <w:rFonts w:eastAsiaTheme="majorEastAsia"/>
      <w:sz w:val="24"/>
      <w:szCs w:val="24"/>
    </w:rPr>
  </w:style>
  <w:style w:type="paragraph" w:styleId="NormalWeb">
    <w:name w:val="Normal (Web)"/>
    <w:basedOn w:val="Normal"/>
    <w:uiPriority w:val="99"/>
    <w:unhideWhenUsed/>
    <w:rsid w:val="009B4360"/>
    <w:pPr>
      <w:spacing w:before="100" w:beforeAutospacing="1" w:after="100" w:afterAutospacing="1"/>
    </w:pPr>
    <w:rPr>
      <w:rFonts w:eastAsiaTheme="minorEastAsia" w:cs="Times New Roman"/>
      <w:szCs w:val="24"/>
    </w:rPr>
  </w:style>
  <w:style w:type="paragraph" w:customStyle="1" w:styleId="ReferenceList">
    <w:name w:val="Reference List"/>
    <w:basedOn w:val="FootnoteText"/>
    <w:link w:val="ReferenceListChar"/>
    <w:autoRedefine/>
    <w:qFormat/>
    <w:rsid w:val="009B4360"/>
    <w:rPr>
      <w:sz w:val="20"/>
    </w:rPr>
  </w:style>
  <w:style w:type="paragraph" w:customStyle="1" w:styleId="TableandFigureFootnotes">
    <w:name w:val="Table and Figure Footnotes"/>
    <w:basedOn w:val="Normal"/>
    <w:qFormat/>
    <w:rsid w:val="009B4360"/>
    <w:rPr>
      <w:sz w:val="20"/>
      <w:szCs w:val="20"/>
    </w:rPr>
  </w:style>
  <w:style w:type="paragraph" w:styleId="TOC1">
    <w:name w:val="toc 1"/>
    <w:basedOn w:val="Normal"/>
    <w:next w:val="Normal"/>
    <w:autoRedefine/>
    <w:uiPriority w:val="39"/>
    <w:unhideWhenUsed/>
    <w:rsid w:val="009B4360"/>
    <w:pPr>
      <w:tabs>
        <w:tab w:val="left" w:pos="440"/>
        <w:tab w:val="right" w:leader="dot" w:pos="8990"/>
      </w:tabs>
      <w:spacing w:after="100"/>
    </w:pPr>
    <w:rPr>
      <w:b/>
    </w:rPr>
  </w:style>
  <w:style w:type="paragraph" w:styleId="TOC2">
    <w:name w:val="toc 2"/>
    <w:basedOn w:val="Normal"/>
    <w:next w:val="Normal"/>
    <w:autoRedefine/>
    <w:uiPriority w:val="39"/>
    <w:unhideWhenUsed/>
    <w:rsid w:val="009B4360"/>
    <w:pPr>
      <w:tabs>
        <w:tab w:val="left" w:pos="810"/>
        <w:tab w:val="right" w:leader="dot" w:pos="8990"/>
      </w:tabs>
      <w:spacing w:after="100"/>
      <w:ind w:left="220"/>
    </w:pPr>
    <w:rPr>
      <w:noProof/>
    </w:rPr>
  </w:style>
  <w:style w:type="paragraph" w:styleId="TOC3">
    <w:name w:val="toc 3"/>
    <w:basedOn w:val="Normal"/>
    <w:next w:val="Normal"/>
    <w:autoRedefine/>
    <w:uiPriority w:val="39"/>
    <w:unhideWhenUsed/>
    <w:rsid w:val="009B4360"/>
    <w:pPr>
      <w:tabs>
        <w:tab w:val="left" w:pos="1170"/>
        <w:tab w:val="right" w:leader="dot" w:pos="8990"/>
      </w:tabs>
      <w:spacing w:after="100"/>
      <w:ind w:left="440"/>
    </w:pPr>
  </w:style>
  <w:style w:type="paragraph" w:styleId="TOC4">
    <w:name w:val="toc 4"/>
    <w:basedOn w:val="Normal"/>
    <w:next w:val="Normal"/>
    <w:autoRedefine/>
    <w:uiPriority w:val="39"/>
    <w:unhideWhenUsed/>
    <w:rsid w:val="009B4360"/>
    <w:pPr>
      <w:tabs>
        <w:tab w:val="left" w:pos="1530"/>
        <w:tab w:val="right" w:leader="dot" w:pos="8990"/>
      </w:tabs>
      <w:spacing w:after="100"/>
      <w:ind w:left="660"/>
    </w:pPr>
    <w:rPr>
      <w:noProof/>
    </w:rPr>
  </w:style>
  <w:style w:type="character" w:customStyle="1" w:styleId="FootnoteTextChar">
    <w:name w:val="Footnote Text Char"/>
    <w:basedOn w:val="DefaultParagraphFont"/>
    <w:link w:val="FootnoteText"/>
    <w:semiHidden/>
    <w:rsid w:val="009B4360"/>
    <w:rPr>
      <w:rFonts w:eastAsiaTheme="minorHAnsi" w:cstheme="minorBidi"/>
      <w:sz w:val="16"/>
    </w:rPr>
  </w:style>
  <w:style w:type="character" w:customStyle="1" w:styleId="ReferenceListChar">
    <w:name w:val="Reference List Char"/>
    <w:basedOn w:val="DefaultParagraphFont"/>
    <w:link w:val="ReferenceList"/>
    <w:rsid w:val="009B4360"/>
    <w:rPr>
      <w:rFonts w:eastAsiaTheme="minorHAnsi" w:cstheme="minorBidi"/>
    </w:rPr>
  </w:style>
  <w:style w:type="paragraph" w:customStyle="1" w:styleId="ReferenceList0">
    <w:name w:val="ReferenceList"/>
    <w:basedOn w:val="BodyText"/>
    <w:link w:val="ReferenceListChar0"/>
    <w:rsid w:val="009B4360"/>
    <w:pPr>
      <w:spacing w:after="0"/>
      <w:ind w:left="360" w:hanging="360"/>
    </w:pPr>
  </w:style>
  <w:style w:type="character" w:customStyle="1" w:styleId="ReferenceListChar0">
    <w:name w:val="ReferenceList Char"/>
    <w:basedOn w:val="BodyTextChar"/>
    <w:link w:val="ReferenceList0"/>
    <w:rsid w:val="009B4360"/>
    <w:rPr>
      <w:rFonts w:eastAsiaTheme="minorHAnsi"/>
      <w:sz w:val="24"/>
      <w:szCs w:val="24"/>
    </w:rPr>
  </w:style>
  <w:style w:type="paragraph" w:styleId="TableofFigures">
    <w:name w:val="table of figures"/>
    <w:basedOn w:val="Normal"/>
    <w:next w:val="Normal"/>
    <w:uiPriority w:val="99"/>
    <w:unhideWhenUsed/>
    <w:rsid w:val="009B4360"/>
  </w:style>
  <w:style w:type="paragraph" w:customStyle="1" w:styleId="MTDisplayEquation">
    <w:name w:val="MTDisplayEquation"/>
    <w:basedOn w:val="BodyText"/>
    <w:next w:val="Normal"/>
    <w:link w:val="MTDisplayEquationChar"/>
    <w:rsid w:val="009B4360"/>
    <w:pPr>
      <w:tabs>
        <w:tab w:val="center" w:pos="4320"/>
        <w:tab w:val="right" w:pos="8640"/>
      </w:tabs>
      <w:spacing w:after="0"/>
      <w:ind w:firstLine="360"/>
      <w:contextualSpacing/>
    </w:pPr>
    <w:rPr>
      <w:bCs/>
    </w:rPr>
  </w:style>
  <w:style w:type="character" w:customStyle="1" w:styleId="MTDisplayEquationChar">
    <w:name w:val="MTDisplayEquation Char"/>
    <w:basedOn w:val="BodyTextChar"/>
    <w:link w:val="MTDisplayEquation"/>
    <w:rsid w:val="009B4360"/>
    <w:rPr>
      <w:rFonts w:eastAsiaTheme="minorHAnsi"/>
      <w:bCs/>
      <w:sz w:val="24"/>
      <w:szCs w:val="24"/>
    </w:rPr>
  </w:style>
  <w:style w:type="paragraph" w:customStyle="1" w:styleId="Table">
    <w:name w:val="Table"/>
    <w:basedOn w:val="Caption"/>
    <w:qFormat/>
    <w:rsid w:val="009B4360"/>
    <w:pPr>
      <w:ind w:left="0"/>
    </w:pPr>
  </w:style>
  <w:style w:type="paragraph" w:customStyle="1" w:styleId="TitleAppendix">
    <w:name w:val="Title &amp; Appendix"/>
    <w:basedOn w:val="Title"/>
    <w:link w:val="TitleAppendixChar"/>
    <w:qFormat/>
    <w:rsid w:val="00127E1F"/>
  </w:style>
  <w:style w:type="paragraph" w:styleId="TOCHeading">
    <w:name w:val="TOC Heading"/>
    <w:basedOn w:val="Heading1"/>
    <w:next w:val="Normal"/>
    <w:uiPriority w:val="39"/>
    <w:semiHidden/>
    <w:unhideWhenUsed/>
    <w:qFormat/>
    <w:rsid w:val="00127E1F"/>
    <w:pPr>
      <w:numPr>
        <w:numId w:val="0"/>
      </w:numPr>
      <w:spacing w:before="240" w:after="0"/>
      <w:outlineLvl w:val="9"/>
    </w:pPr>
    <w:rPr>
      <w:rFonts w:asciiTheme="majorHAnsi" w:hAnsiTheme="majorHAnsi" w:cstheme="majorBidi"/>
      <w:b/>
      <w:color w:val="2F5496" w:themeColor="accent1" w:themeShade="BF"/>
      <w:sz w:val="32"/>
      <w:szCs w:val="32"/>
    </w:rPr>
  </w:style>
  <w:style w:type="paragraph" w:customStyle="1" w:styleId="HeadingG">
    <w:name w:val="Heading G"/>
    <w:basedOn w:val="TitleAppendix"/>
    <w:link w:val="HeadingGChar"/>
    <w:rsid w:val="00127E1F"/>
  </w:style>
  <w:style w:type="character" w:customStyle="1" w:styleId="TitleAppendixChar">
    <w:name w:val="Title &amp; Appendix Char"/>
    <w:basedOn w:val="TitleChar"/>
    <w:link w:val="TitleAppendix"/>
    <w:rsid w:val="00127E1F"/>
    <w:rPr>
      <w:b/>
      <w:sz w:val="24"/>
      <w:szCs w:val="24"/>
    </w:rPr>
  </w:style>
  <w:style w:type="paragraph" w:customStyle="1" w:styleId="Title-NISTIR">
    <w:name w:val="Title-NISTIR"/>
    <w:basedOn w:val="HeadingG"/>
    <w:link w:val="Title-NISTIRChar"/>
    <w:qFormat/>
    <w:rsid w:val="00127E1F"/>
  </w:style>
  <w:style w:type="character" w:customStyle="1" w:styleId="HeadingGChar">
    <w:name w:val="Heading G Char"/>
    <w:basedOn w:val="TitleAppendixChar"/>
    <w:link w:val="HeadingG"/>
    <w:rsid w:val="00127E1F"/>
    <w:rPr>
      <w:b/>
      <w:sz w:val="24"/>
      <w:szCs w:val="24"/>
    </w:rPr>
  </w:style>
  <w:style w:type="character" w:customStyle="1" w:styleId="Title-NISTIRChar">
    <w:name w:val="Title-NISTIR Char"/>
    <w:basedOn w:val="HeadingGChar"/>
    <w:link w:val="Title-NISTIR"/>
    <w:rsid w:val="00127E1F"/>
    <w:rPr>
      <w:b/>
      <w:sz w:val="24"/>
      <w:szCs w:val="24"/>
    </w:rPr>
  </w:style>
  <w:style w:type="character" w:styleId="PlaceholderText">
    <w:name w:val="Placeholder Text"/>
    <w:basedOn w:val="DefaultParagraphFont"/>
    <w:uiPriority w:val="99"/>
    <w:semiHidden/>
    <w:rsid w:val="008F1441"/>
    <w:rPr>
      <w:color w:val="808080"/>
    </w:rPr>
  </w:style>
  <w:style w:type="character" w:customStyle="1" w:styleId="MTEquationSection">
    <w:name w:val="MTEquationSection"/>
    <w:basedOn w:val="DefaultParagraphFont"/>
    <w:rsid w:val="009B4360"/>
    <w:rPr>
      <w:vanish/>
      <w:color w:val="FF0000"/>
    </w:rPr>
  </w:style>
  <w:style w:type="paragraph" w:customStyle="1" w:styleId="Eqn">
    <w:name w:val="Eqn"/>
    <w:basedOn w:val="MTDisplayEquation"/>
    <w:link w:val="EqnChar"/>
    <w:qFormat/>
    <w:rsid w:val="009B4360"/>
    <w:pPr>
      <w:spacing w:before="240" w:after="240"/>
      <w:jc w:val="right"/>
    </w:pPr>
  </w:style>
  <w:style w:type="character" w:customStyle="1" w:styleId="EqnChar">
    <w:name w:val="Eqn Char"/>
    <w:basedOn w:val="MTDisplayEquationChar"/>
    <w:link w:val="Eqn"/>
    <w:rsid w:val="009B4360"/>
    <w:rPr>
      <w:rFonts w:eastAsiaTheme="minorHAns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92741">
      <w:bodyDiv w:val="1"/>
      <w:marLeft w:val="0"/>
      <w:marRight w:val="0"/>
      <w:marTop w:val="0"/>
      <w:marBottom w:val="0"/>
      <w:divBdr>
        <w:top w:val="none" w:sz="0" w:space="0" w:color="auto"/>
        <w:left w:val="none" w:sz="0" w:space="0" w:color="auto"/>
        <w:bottom w:val="none" w:sz="0" w:space="0" w:color="auto"/>
        <w:right w:val="none" w:sz="0" w:space="0" w:color="auto"/>
      </w:divBdr>
    </w:div>
    <w:div w:id="119387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h\AppData\Roaming\Microsoft\Templates\SOP-Template-201812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ECBED-B053-458A-9CEB-610F428F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SOP-Template-20181220.dotx</Template>
  <TotalTime>129</TotalTime>
  <Pages>9</Pages>
  <Words>2675</Words>
  <Characters>14802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SOP No 16 Calibration of Flasks by Volume Transfer Method</vt:lpstr>
    </vt:vector>
  </TitlesOfParts>
  <Company>NIST</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No 16 Calibration of Flasks by Volume Transfer Method</dc:title>
  <dc:subject>volume calibration of flasks</dc:subject>
  <dc:creator>g.harris@nist.gov</dc:creator>
  <cp:keywords>volume calibration, flask calibration, volume transfer</cp:keywords>
  <cp:lastModifiedBy>Harris, Georgia L. (Fed)</cp:lastModifiedBy>
  <cp:revision>12</cp:revision>
  <cp:lastPrinted>2015-07-13T13:02:00Z</cp:lastPrinted>
  <dcterms:created xsi:type="dcterms:W3CDTF">2019-03-22T14:47:00Z</dcterms:created>
  <dcterms:modified xsi:type="dcterms:W3CDTF">2019-05-08T20:36:00Z</dcterms:modified>
  <cp:category>volume calibration, flask calibration, volume transfer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Eqn. (#E1)</vt:lpwstr>
  </property>
  <property fmtid="{D5CDD505-2E9C-101B-9397-08002B2CF9AE}" pid="4" name="MTCustomEquationNumber">
    <vt:lpwstr>1</vt:lpwstr>
  </property>
  <property fmtid="{D5CDD505-2E9C-101B-9397-08002B2CF9AE}" pid="5" name="MTEquationSection">
    <vt:lpwstr>1</vt:lpwstr>
  </property>
</Properties>
</file>