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BF107" w14:textId="6DAB9564" w:rsidR="00B44F42" w:rsidRPr="00892764" w:rsidRDefault="008E3033" w:rsidP="00892764">
      <w:pPr>
        <w:pStyle w:val="Title"/>
      </w:pPr>
      <w:r>
        <w:fldChar w:fldCharType="begin"/>
      </w:r>
      <w:r>
        <w:instrText xml:space="preserve"> MACROBUTTON MTEditEquationSection2 </w:instrText>
      </w:r>
      <w:r w:rsidRPr="008E3033">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C64ACE" w:rsidRPr="00892764">
        <w:t>SOP 22</w:t>
      </w:r>
    </w:p>
    <w:p w14:paraId="102E5774" w14:textId="77777777" w:rsidR="00FF3491" w:rsidRDefault="00892764" w:rsidP="00892764">
      <w:pPr>
        <w:pStyle w:val="Title"/>
      </w:pPr>
      <w:r w:rsidRPr="00892764">
        <w:t xml:space="preserve">Standard Operating Procedure </w:t>
      </w:r>
    </w:p>
    <w:p w14:paraId="3496702D" w14:textId="09294AFC" w:rsidR="00892764" w:rsidRPr="00892764" w:rsidRDefault="00892764" w:rsidP="00892764">
      <w:pPr>
        <w:pStyle w:val="Title"/>
      </w:pPr>
      <w:r w:rsidRPr="00892764">
        <w:t xml:space="preserve">for </w:t>
      </w:r>
    </w:p>
    <w:p w14:paraId="0A5A3F93" w14:textId="77777777" w:rsidR="00892764" w:rsidRPr="00892764" w:rsidRDefault="00892764" w:rsidP="00892764">
      <w:pPr>
        <w:pStyle w:val="Title"/>
      </w:pPr>
      <w:r w:rsidRPr="00892764">
        <w:t xml:space="preserve">Calibration of Traffic Speed Gun Tuning Forks and </w:t>
      </w:r>
    </w:p>
    <w:p w14:paraId="434599FB" w14:textId="77777777" w:rsidR="00892764" w:rsidRPr="00892764" w:rsidRDefault="00892764" w:rsidP="00892764">
      <w:pPr>
        <w:pStyle w:val="Title"/>
      </w:pPr>
      <w:r w:rsidRPr="00892764">
        <w:t>other Acoustic Frequency Emitting Devices</w:t>
      </w:r>
    </w:p>
    <w:p w14:paraId="569E1D38" w14:textId="342DA81A" w:rsidR="00892764" w:rsidRPr="00892764" w:rsidRDefault="00892764" w:rsidP="00892764">
      <w:pPr>
        <w:pStyle w:val="Heading1"/>
      </w:pPr>
      <w:r w:rsidRPr="00892764">
        <w:t>Introduction</w:t>
      </w:r>
    </w:p>
    <w:p w14:paraId="06A6F93B" w14:textId="4E863DD1" w:rsidR="00FF3491" w:rsidRDefault="00FF3491" w:rsidP="008248A7">
      <w:pPr>
        <w:pStyle w:val="Heading2"/>
      </w:pPr>
      <w:r>
        <w:t xml:space="preserve">Purpose </w:t>
      </w:r>
    </w:p>
    <w:p w14:paraId="3E75190F" w14:textId="15CA70B9" w:rsidR="00463626" w:rsidRDefault="00892764" w:rsidP="00463626">
      <w:pPr>
        <w:ind w:left="792"/>
        <w:jc w:val="both"/>
      </w:pPr>
      <w:r w:rsidRPr="00892764">
        <w:t xml:space="preserve">This Standard Operating Procedure (SOP) describes the procedure to be followed for the calibration of tuning forks which are used to certify traffic control speed guns, and </w:t>
      </w:r>
      <w:r w:rsidR="005143C7">
        <w:t xml:space="preserve">for calibration of </w:t>
      </w:r>
      <w:r w:rsidRPr="00892764">
        <w:t>other acoustic frequency emitting devices.</w:t>
      </w:r>
      <w:r w:rsidR="005143C7">
        <w:t xml:space="preserve"> The procedure may also be used to calibrate tuning forks for applications such as musical tuning</w:t>
      </w:r>
      <w:r w:rsidR="00197149">
        <w:t xml:space="preserve">. </w:t>
      </w:r>
      <w:r w:rsidRPr="00892764">
        <w:t xml:space="preserve">This procedure utilizes </w:t>
      </w:r>
      <w:r w:rsidR="00473D06">
        <w:t xml:space="preserve">either 1) </w:t>
      </w:r>
      <w:r w:rsidRPr="00892764">
        <w:t xml:space="preserve">a Global Positioning System Disciplined Oscillator (GPSDO) </w:t>
      </w:r>
      <w:r w:rsidR="00473D06">
        <w:t xml:space="preserve">or 2) an electronic frequency counter that is directly compared to the NIST transmitted frequency standards </w:t>
      </w:r>
      <w:r w:rsidRPr="00892764">
        <w:t xml:space="preserve">to reference the </w:t>
      </w:r>
      <w:r w:rsidR="00DC50DD">
        <w:t xml:space="preserve">Coordinated Universal Time </w:t>
      </w:r>
      <w:r w:rsidRPr="00892764">
        <w:t xml:space="preserve">(UTC) standard maintained by the </w:t>
      </w:r>
      <w:r w:rsidR="00473D06">
        <w:t xml:space="preserve">NIST and the </w:t>
      </w:r>
      <w:r w:rsidRPr="00892764">
        <w:t>United States Naval Observatory (USNO)</w:t>
      </w:r>
      <w:r w:rsidR="00197149">
        <w:t xml:space="preserve">. </w:t>
      </w:r>
      <w:r w:rsidRPr="00892764">
        <w:t>The accuracy of the calibration is limited by the mechanical instability of the device being tested.</w:t>
      </w:r>
      <w:r w:rsidR="00463626">
        <w:t xml:space="preserve"> Detailed measurement ranges, standards, equipment, and uncertainties for this SOP are generally compiled in a separate document in the laboratory.</w:t>
      </w:r>
    </w:p>
    <w:p w14:paraId="6D853E82" w14:textId="77777777" w:rsidR="00A6378C" w:rsidRDefault="00A6378C" w:rsidP="00463626">
      <w:pPr>
        <w:ind w:left="792"/>
        <w:jc w:val="both"/>
      </w:pPr>
    </w:p>
    <w:p w14:paraId="5FCAF12E" w14:textId="77777777" w:rsidR="00853F43" w:rsidRDefault="00853F43" w:rsidP="005143C7">
      <w:pPr>
        <w:pStyle w:val="Heading2"/>
        <w:keepNext w:val="0"/>
        <w:keepLines w:val="0"/>
      </w:pPr>
      <w:r>
        <w:t>Applicable References</w:t>
      </w:r>
    </w:p>
    <w:p w14:paraId="7BD9408C" w14:textId="47CE0EBB" w:rsidR="00853F43" w:rsidRDefault="00853F43" w:rsidP="00197149">
      <w:pPr>
        <w:pStyle w:val="Heading3"/>
        <w:keepNext w:val="0"/>
        <w:keepLines w:val="0"/>
      </w:pPr>
      <w:r w:rsidRPr="00853F43">
        <w:t>Speed-Measuring</w:t>
      </w:r>
      <w:r>
        <w:t xml:space="preserve"> </w:t>
      </w:r>
      <w:r w:rsidRPr="00853F43">
        <w:t>Device</w:t>
      </w:r>
      <w:r>
        <w:t xml:space="preserve"> </w:t>
      </w:r>
      <w:r w:rsidRPr="00853F43">
        <w:t>Performance</w:t>
      </w:r>
      <w:r>
        <w:t xml:space="preserve"> </w:t>
      </w:r>
      <w:r w:rsidRPr="00853F43">
        <w:t>Specifications:</w:t>
      </w:r>
      <w:r>
        <w:t xml:space="preserve"> </w:t>
      </w:r>
      <w:r w:rsidRPr="00853F43">
        <w:t>Across-the-Road Radar Module</w:t>
      </w:r>
      <w:r>
        <w:t xml:space="preserve">, </w:t>
      </w:r>
      <w:r w:rsidRPr="00853F43">
        <w:t>DOT HS 81</w:t>
      </w:r>
      <w:r w:rsidR="002252EB">
        <w:t>2</w:t>
      </w:r>
      <w:r w:rsidRPr="00853F43">
        <w:t xml:space="preserve"> </w:t>
      </w:r>
      <w:r w:rsidR="002252EB">
        <w:t>266</w:t>
      </w:r>
      <w:r>
        <w:t xml:space="preserve">, Department of Transportation, </w:t>
      </w:r>
      <w:r w:rsidRPr="00853F43">
        <w:t>National Highway Traffic Safety Administration (NHTSA)</w:t>
      </w:r>
      <w:r>
        <w:t>.</w:t>
      </w:r>
    </w:p>
    <w:p w14:paraId="369D5118" w14:textId="4717E810" w:rsidR="003155FE" w:rsidRDefault="003155FE" w:rsidP="00197149">
      <w:pPr>
        <w:pStyle w:val="Heading3"/>
        <w:keepNext w:val="0"/>
        <w:keepLines w:val="0"/>
      </w:pPr>
      <w:r>
        <w:t>NIST SP 432: NIST Time and Frequency Service</w:t>
      </w:r>
      <w:r w:rsidR="00DC50DD">
        <w:t>s</w:t>
      </w:r>
      <w:r>
        <w:t>.</w:t>
      </w:r>
    </w:p>
    <w:p w14:paraId="7F405230" w14:textId="006D9F1E" w:rsidR="005A4EDD" w:rsidRPr="005A4EDD" w:rsidRDefault="005A4EDD" w:rsidP="00197149">
      <w:pPr>
        <w:pStyle w:val="Heading3"/>
        <w:keepNext w:val="0"/>
        <w:keepLines w:val="0"/>
      </w:pPr>
      <w:r w:rsidRPr="005A4EDD">
        <w:t>The Use of GPS Disciplined Oscillators as Primary Frequency Standards for Calibration and Metrology Laboratories</w:t>
      </w:r>
      <w:r>
        <w:t>, M. Lombardi,</w:t>
      </w:r>
      <w:r w:rsidRPr="005A4EDD">
        <w:t xml:space="preserve"> NCSLI Measure J. Meas. Sci., vol. 3, no. 3, pp. 56-65, September 2008.</w:t>
      </w:r>
    </w:p>
    <w:p w14:paraId="560026A1" w14:textId="7B2E7644" w:rsidR="003155FE" w:rsidRDefault="00DC50DD" w:rsidP="00197149">
      <w:pPr>
        <w:pStyle w:val="Heading3"/>
        <w:keepNext w:val="0"/>
        <w:keepLines w:val="0"/>
      </w:pPr>
      <w:r>
        <w:t>Evaluating the Frequency and Time Uncertainty of GPS Disciplined Oscillators and Clocks, M. Lombardi, NCSLI Measure J. Meas. Sci., vol. 11, no. 3-4, pp. 30-44, December 2016.</w:t>
      </w:r>
    </w:p>
    <w:p w14:paraId="595155D5" w14:textId="27694779" w:rsidR="005A4EDD" w:rsidRDefault="005A4EDD" w:rsidP="00197149">
      <w:pPr>
        <w:pStyle w:val="Heading3"/>
        <w:keepNext w:val="0"/>
        <w:keepLines w:val="0"/>
      </w:pPr>
      <w:r>
        <w:t>Time and Frequency Measurements Using the Global Positioning System, Michael A. Lombardi, Lisa M. Nelson, Andrew N. Novick, Victor S. Zhang, Cal Lab Magazine, July, August, September 2001.</w:t>
      </w:r>
    </w:p>
    <w:p w14:paraId="6519FB85" w14:textId="77777777" w:rsidR="00A6378C" w:rsidRDefault="005A4EDD" w:rsidP="00197149">
      <w:pPr>
        <w:pStyle w:val="Heading3"/>
        <w:keepNext w:val="0"/>
        <w:keepLines w:val="0"/>
      </w:pPr>
      <w:r w:rsidRPr="005A4EDD">
        <w:t>NIST Time and Frequency Broadcasts from Radio Stations WWVB, WWV, and WWVH</w:t>
      </w:r>
      <w:r>
        <w:t xml:space="preserve">, </w:t>
      </w:r>
      <w:r w:rsidRPr="005A4EDD">
        <w:t xml:space="preserve">Matthew </w:t>
      </w:r>
      <w:proofErr w:type="spellStart"/>
      <w:r w:rsidRPr="005A4EDD">
        <w:t>Deutch</w:t>
      </w:r>
      <w:proofErr w:type="spellEnd"/>
      <w:r w:rsidRPr="005A4EDD">
        <w:t xml:space="preserve">, Ernie Farrow, John Lowe, Glenn Nelson, Dean Okayama, Don Patterson, Douglas Sutton, and William </w:t>
      </w:r>
      <w:bookmarkStart w:id="0" w:name="_GoBack"/>
      <w:r w:rsidRPr="005A4EDD">
        <w:t>Yates</w:t>
      </w:r>
      <w:r>
        <w:t>, 2001 NCSLI Workshop and Symposium.</w:t>
      </w:r>
    </w:p>
    <w:bookmarkEnd w:id="0"/>
    <w:p w14:paraId="0CE7A994" w14:textId="05C2BA91" w:rsidR="005A4EDD" w:rsidRDefault="00A6378C" w:rsidP="00197149">
      <w:pPr>
        <w:pStyle w:val="Heading3"/>
        <w:keepNext w:val="0"/>
        <w:keepLines w:val="0"/>
      </w:pPr>
      <w:r>
        <w:lastRenderedPageBreak/>
        <w:t xml:space="preserve">Calibration of Police Radar Instruments, D. W. Allan (NBS), F. H. </w:t>
      </w:r>
      <w:proofErr w:type="spellStart"/>
      <w:r>
        <w:t>Brzoticky</w:t>
      </w:r>
      <w:proofErr w:type="spellEnd"/>
      <w:r>
        <w:t xml:space="preserve"> (CO Dept. of Agriculture), NBS Special Publication 442, Report of the National Conference on Weights and Measures, 1976.</w:t>
      </w:r>
      <w:r w:rsidR="005A4EDD">
        <w:t xml:space="preserve"> </w:t>
      </w:r>
    </w:p>
    <w:p w14:paraId="1F943B57" w14:textId="557FC8F3" w:rsidR="00892764" w:rsidRPr="00892764" w:rsidRDefault="00892764" w:rsidP="008248A7">
      <w:pPr>
        <w:pStyle w:val="Heading2"/>
      </w:pPr>
      <w:r w:rsidRPr="00892764">
        <w:t>Prerequisites</w:t>
      </w:r>
    </w:p>
    <w:p w14:paraId="05F2ED19" w14:textId="18AE46AE" w:rsidR="00892764" w:rsidRPr="00892764" w:rsidRDefault="00892764" w:rsidP="008248A7">
      <w:pPr>
        <w:pStyle w:val="Heading3"/>
      </w:pPr>
      <w:r w:rsidRPr="00892764">
        <w:t>Verify that the metrologist is experienced in making frequency measurements.</w:t>
      </w:r>
    </w:p>
    <w:p w14:paraId="37C589BE" w14:textId="60B99D68" w:rsidR="00892764" w:rsidRPr="00892764" w:rsidRDefault="00892764" w:rsidP="008248A7">
      <w:pPr>
        <w:pStyle w:val="Heading3"/>
      </w:pPr>
      <w:r w:rsidRPr="00892764">
        <w:t>Verify that suitable check standards are present and used in an active measurement assurance program.</w:t>
      </w:r>
    </w:p>
    <w:p w14:paraId="73E7BBF4" w14:textId="19D6735E" w:rsidR="00892764" w:rsidRPr="00892764" w:rsidRDefault="00892764" w:rsidP="008248A7">
      <w:pPr>
        <w:pStyle w:val="Heading3"/>
      </w:pPr>
      <w:r w:rsidRPr="00892764">
        <w:t>Verify the laboratory environment is within an acceptable temperature and humidity range</w:t>
      </w:r>
      <w:r w:rsidR="00197149">
        <w:t xml:space="preserve">. </w:t>
      </w:r>
    </w:p>
    <w:p w14:paraId="79037B2C" w14:textId="1FCF8B90" w:rsidR="00FF3491" w:rsidRPr="00463626" w:rsidRDefault="00FF3491" w:rsidP="00463626">
      <w:pPr>
        <w:pStyle w:val="Caption"/>
        <w:ind w:firstLine="288"/>
      </w:pPr>
      <w:r w:rsidRPr="00463626">
        <w:t xml:space="preserve">Table </w:t>
      </w:r>
      <w:r w:rsidR="003F6E04">
        <w:rPr>
          <w:noProof/>
        </w:rPr>
        <w:fldChar w:fldCharType="begin"/>
      </w:r>
      <w:r w:rsidR="003F6E04">
        <w:rPr>
          <w:noProof/>
        </w:rPr>
        <w:instrText xml:space="preserve"> SEQ Table \* ARABIC </w:instrText>
      </w:r>
      <w:r w:rsidR="003F6E04">
        <w:rPr>
          <w:noProof/>
        </w:rPr>
        <w:fldChar w:fldCharType="separate"/>
      </w:r>
      <w:r w:rsidR="008E3033">
        <w:rPr>
          <w:noProof/>
        </w:rPr>
        <w:t>1</w:t>
      </w:r>
      <w:r w:rsidR="003F6E04">
        <w:rPr>
          <w:noProof/>
        </w:rPr>
        <w:fldChar w:fldCharType="end"/>
      </w:r>
      <w:r w:rsidRPr="00463626">
        <w:t>. Environmental limits for calibrations.</w:t>
      </w:r>
    </w:p>
    <w:tbl>
      <w:tblPr>
        <w:tblStyle w:val="TableGrid"/>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Table 1. Environmental Requirements "/>
        <w:tblDescription w:val="The temperature needs to be between 18 degrees Celcius and 25 degrees Celcius.  The humidity needs to be between 40 percent and 60 percent."/>
      </w:tblPr>
      <w:tblGrid>
        <w:gridCol w:w="3254"/>
        <w:gridCol w:w="3510"/>
      </w:tblGrid>
      <w:tr w:rsidR="00892764" w:rsidRPr="00463626" w14:paraId="0637FFEC" w14:textId="77777777" w:rsidTr="00463626">
        <w:trPr>
          <w:trHeight w:val="355"/>
          <w:jc w:val="right"/>
        </w:trPr>
        <w:tc>
          <w:tcPr>
            <w:tcW w:w="3254" w:type="dxa"/>
            <w:vAlign w:val="center"/>
          </w:tcPr>
          <w:p w14:paraId="2148EBDA" w14:textId="4A2237CC" w:rsidR="00892764" w:rsidRPr="00463626" w:rsidRDefault="00892764" w:rsidP="00463626">
            <w:pPr>
              <w:pStyle w:val="TableandFigureFootnotes"/>
              <w:jc w:val="center"/>
              <w:rPr>
                <w:b/>
                <w:sz w:val="22"/>
              </w:rPr>
            </w:pPr>
            <w:r w:rsidRPr="00463626">
              <w:rPr>
                <w:b/>
                <w:sz w:val="22"/>
              </w:rPr>
              <w:t>Temperature</w:t>
            </w:r>
          </w:p>
        </w:tc>
        <w:tc>
          <w:tcPr>
            <w:tcW w:w="3510" w:type="dxa"/>
            <w:vAlign w:val="center"/>
          </w:tcPr>
          <w:p w14:paraId="058CD0EE" w14:textId="130D072A" w:rsidR="00892764" w:rsidRPr="00463626" w:rsidRDefault="00892764" w:rsidP="00463626">
            <w:pPr>
              <w:pStyle w:val="TableandFigureFootnotes"/>
              <w:jc w:val="center"/>
              <w:rPr>
                <w:b/>
                <w:sz w:val="22"/>
              </w:rPr>
            </w:pPr>
            <w:r w:rsidRPr="00463626">
              <w:rPr>
                <w:b/>
                <w:sz w:val="22"/>
              </w:rPr>
              <w:t>Relative Humidity</w:t>
            </w:r>
          </w:p>
        </w:tc>
      </w:tr>
      <w:tr w:rsidR="00892764" w:rsidRPr="00463626" w14:paraId="1B8391F4" w14:textId="77777777" w:rsidTr="00197149">
        <w:trPr>
          <w:trHeight w:val="355"/>
          <w:jc w:val="right"/>
        </w:trPr>
        <w:tc>
          <w:tcPr>
            <w:tcW w:w="3254" w:type="dxa"/>
            <w:tcBorders>
              <w:bottom w:val="double" w:sz="4" w:space="0" w:color="auto"/>
            </w:tcBorders>
            <w:vAlign w:val="center"/>
          </w:tcPr>
          <w:p w14:paraId="2D61C2D3" w14:textId="583FF7FF" w:rsidR="00892764" w:rsidRPr="008B454A" w:rsidRDefault="00892764" w:rsidP="00463626">
            <w:pPr>
              <w:pStyle w:val="TableandFigureFootnotes"/>
              <w:jc w:val="center"/>
              <w:rPr>
                <w:sz w:val="22"/>
              </w:rPr>
            </w:pPr>
            <w:r w:rsidRPr="008B454A">
              <w:rPr>
                <w:sz w:val="22"/>
              </w:rPr>
              <w:t xml:space="preserve">18 </w:t>
            </w:r>
            <w:r w:rsidR="008B454A" w:rsidRPr="008B454A">
              <w:rPr>
                <w:sz w:val="22"/>
              </w:rPr>
              <w:t xml:space="preserve">̊C </w:t>
            </w:r>
            <w:r w:rsidRPr="008B454A">
              <w:rPr>
                <w:sz w:val="22"/>
              </w:rPr>
              <w:t>to 25</w:t>
            </w:r>
            <w:r w:rsidR="008B454A" w:rsidRPr="008B454A">
              <w:rPr>
                <w:sz w:val="22"/>
              </w:rPr>
              <w:t xml:space="preserve"> ̊C</w:t>
            </w:r>
          </w:p>
        </w:tc>
        <w:tc>
          <w:tcPr>
            <w:tcW w:w="3510" w:type="dxa"/>
            <w:vAlign w:val="center"/>
          </w:tcPr>
          <w:p w14:paraId="1A7BD413" w14:textId="2296ECF4" w:rsidR="00892764" w:rsidRPr="00463626" w:rsidRDefault="00892764" w:rsidP="00463626">
            <w:pPr>
              <w:pStyle w:val="TableandFigureFootnotes"/>
              <w:jc w:val="center"/>
              <w:rPr>
                <w:b/>
                <w:sz w:val="22"/>
              </w:rPr>
            </w:pPr>
            <w:r w:rsidRPr="00463626">
              <w:rPr>
                <w:sz w:val="22"/>
              </w:rPr>
              <w:t>40</w:t>
            </w:r>
            <w:r w:rsidR="008B454A">
              <w:rPr>
                <w:sz w:val="22"/>
              </w:rPr>
              <w:t> %</w:t>
            </w:r>
            <w:r w:rsidRPr="00463626">
              <w:rPr>
                <w:sz w:val="22"/>
              </w:rPr>
              <w:t xml:space="preserve"> to 60</w:t>
            </w:r>
            <w:r w:rsidR="008B454A">
              <w:rPr>
                <w:sz w:val="22"/>
              </w:rPr>
              <w:t> %</w:t>
            </w:r>
          </w:p>
        </w:tc>
      </w:tr>
    </w:tbl>
    <w:p w14:paraId="11F487FD" w14:textId="270FBD0A" w:rsidR="00892764" w:rsidRPr="00892764" w:rsidRDefault="00892764" w:rsidP="00BC4BCD">
      <w:pPr>
        <w:pStyle w:val="Heading1"/>
        <w:spacing w:before="240"/>
      </w:pPr>
      <w:r w:rsidRPr="00892764">
        <w:t>Methodology</w:t>
      </w:r>
    </w:p>
    <w:p w14:paraId="587B9AE3" w14:textId="3405CB36" w:rsidR="00892764" w:rsidRPr="00892764" w:rsidRDefault="00892764" w:rsidP="00892764">
      <w:pPr>
        <w:pStyle w:val="Heading2"/>
      </w:pPr>
      <w:r w:rsidRPr="00892764">
        <w:t>Summary</w:t>
      </w:r>
    </w:p>
    <w:p w14:paraId="11BF7BC4" w14:textId="14451F53" w:rsidR="00892764" w:rsidRPr="00892764" w:rsidRDefault="00892764" w:rsidP="008248A7">
      <w:pPr>
        <w:pStyle w:val="BodyText"/>
        <w:ind w:left="1440"/>
      </w:pPr>
      <w:r w:rsidRPr="00892764">
        <w:t xml:space="preserve">A tuning fork, or other acoustic frequency emitting device, is calibrated by measuring its </w:t>
      </w:r>
      <w:r w:rsidR="004F141C">
        <w:t xml:space="preserve">acoustic </w:t>
      </w:r>
      <w:r w:rsidRPr="00892764">
        <w:t>frequency with an electronic frequency counter that is calibrated, and has metrological traceability through the L</w:t>
      </w:r>
      <w:r w:rsidR="008B454A">
        <w:t>1</w:t>
      </w:r>
      <w:r w:rsidRPr="00892764">
        <w:t xml:space="preserve"> 1</w:t>
      </w:r>
      <w:r w:rsidR="008B454A">
        <w:t> </w:t>
      </w:r>
      <w:r w:rsidRPr="00892764">
        <w:t xml:space="preserve">575.42 MHz GPS signal broadcast by the United States Air Force from Colorado Springs, Colorado, referencing the U.S. Naval Observatory (USNO) </w:t>
      </w:r>
      <w:r w:rsidR="00DC50DD">
        <w:t xml:space="preserve">Coordinated Universal Time </w:t>
      </w:r>
      <w:r w:rsidRPr="00892764">
        <w:t>(UTC) standard</w:t>
      </w:r>
      <w:r w:rsidR="00473D06">
        <w:t xml:space="preserve"> or through comparison with the NIST transmitted radio frequency signal (WWV, WWVH)</w:t>
      </w:r>
      <w:r w:rsidR="004F141C">
        <w:t>, or telephone frequency signal</w:t>
      </w:r>
      <w:r w:rsidR="00197149">
        <w:t xml:space="preserve">. </w:t>
      </w:r>
      <w:r w:rsidRPr="00892764">
        <w:t xml:space="preserve">No adjustments </w:t>
      </w:r>
      <w:r w:rsidR="00725029">
        <w:t xml:space="preserve">are </w:t>
      </w:r>
      <w:r w:rsidRPr="00892764">
        <w:t xml:space="preserve">made to tuning forks; they </w:t>
      </w:r>
      <w:r w:rsidR="00725029">
        <w:t xml:space="preserve">are </w:t>
      </w:r>
      <w:r w:rsidRPr="00892764">
        <w:t>either approved or rejected</w:t>
      </w:r>
      <w:r w:rsidR="00197149">
        <w:t xml:space="preserve">. </w:t>
      </w:r>
      <w:r w:rsidRPr="00892764">
        <w:t xml:space="preserve">Because </w:t>
      </w:r>
      <w:r w:rsidR="00725029">
        <w:t xml:space="preserve">U.S. </w:t>
      </w:r>
      <w:r w:rsidRPr="00892764">
        <w:t>law enforcement personnel traditionally use U</w:t>
      </w:r>
      <w:r w:rsidR="00725029">
        <w:t>.</w:t>
      </w:r>
      <w:r w:rsidRPr="00892764">
        <w:t>S</w:t>
      </w:r>
      <w:r w:rsidR="00725029">
        <w:t>.</w:t>
      </w:r>
      <w:r w:rsidRPr="00892764">
        <w:t xml:space="preserve"> Customary units, units </w:t>
      </w:r>
      <w:r w:rsidR="00725029">
        <w:t xml:space="preserve">of miles per hour (mph) </w:t>
      </w:r>
      <w:r w:rsidRPr="00892764">
        <w:t>are referenced throughout this SOP.</w:t>
      </w:r>
    </w:p>
    <w:p w14:paraId="2726DA6E" w14:textId="0060A48D" w:rsidR="00892764" w:rsidRPr="00892764" w:rsidRDefault="00892764" w:rsidP="005A4EDD">
      <w:pPr>
        <w:pStyle w:val="Heading2"/>
        <w:keepNext w:val="0"/>
        <w:keepLines w:val="0"/>
      </w:pPr>
      <w:r w:rsidRPr="00892764">
        <w:t>Equipment / Apparatus</w:t>
      </w:r>
    </w:p>
    <w:p w14:paraId="1366BC89" w14:textId="42B213E0" w:rsidR="00892764" w:rsidRPr="008248A7" w:rsidRDefault="00892764" w:rsidP="005A4EDD">
      <w:pPr>
        <w:pStyle w:val="Heading3"/>
        <w:keepNext w:val="0"/>
        <w:keepLines w:val="0"/>
      </w:pPr>
      <w:r w:rsidRPr="00892764">
        <w:t xml:space="preserve">An electronic frequency counter capable of 0.1 hertz (Hz) resolution throughout the </w:t>
      </w:r>
      <w:r w:rsidR="00DC50DD">
        <w:t xml:space="preserve">range from </w:t>
      </w:r>
      <w:r w:rsidRPr="00892764">
        <w:t>direct current (DC) to 10</w:t>
      </w:r>
      <w:r w:rsidR="008B454A">
        <w:t> </w:t>
      </w:r>
      <w:r w:rsidRPr="00892764">
        <w:t>000 Hz</w:t>
      </w:r>
      <w:r w:rsidR="00197149">
        <w:t xml:space="preserve">. </w:t>
      </w:r>
    </w:p>
    <w:p w14:paraId="3EF87B32" w14:textId="2C790D2A" w:rsidR="00892764" w:rsidRPr="008248A7" w:rsidRDefault="00892764" w:rsidP="005A4EDD">
      <w:pPr>
        <w:pStyle w:val="Heading3"/>
        <w:keepNext w:val="0"/>
        <w:keepLines w:val="0"/>
      </w:pPr>
      <w:r w:rsidRPr="00892764">
        <w:t>A transducer to convert sound energy to electrical (DC) energy</w:t>
      </w:r>
      <w:r w:rsidR="00197149">
        <w:t xml:space="preserve">. </w:t>
      </w:r>
      <w:r w:rsidRPr="00892764">
        <w:t>The output must be strong enough for counter input sensitivity requirements</w:t>
      </w:r>
      <w:r w:rsidR="00197149">
        <w:t xml:space="preserve">. </w:t>
      </w:r>
    </w:p>
    <w:p w14:paraId="1DE194A0" w14:textId="41B1DE96" w:rsidR="00892764" w:rsidRPr="008248A7" w:rsidRDefault="00892764" w:rsidP="005A4EDD">
      <w:pPr>
        <w:pStyle w:val="Heading4"/>
        <w:keepNext w:val="0"/>
        <w:keepLines w:val="0"/>
      </w:pPr>
      <w:r w:rsidRPr="00892764">
        <w:t>A clamping type contact microphone, e.g., Signal Flex SF-30 Universal Tuner Pickup, or similar, is preferable for tuning forks</w:t>
      </w:r>
      <w:r w:rsidR="00197149">
        <w:t xml:space="preserve">. </w:t>
      </w:r>
      <w:r w:rsidRPr="008248A7">
        <w:t xml:space="preserve"> </w:t>
      </w:r>
    </w:p>
    <w:p w14:paraId="720F8887" w14:textId="30F8BC67" w:rsidR="00892764" w:rsidRPr="00892764" w:rsidRDefault="00892764" w:rsidP="005A4EDD">
      <w:pPr>
        <w:pStyle w:val="Heading4"/>
        <w:keepNext w:val="0"/>
        <w:keepLines w:val="0"/>
      </w:pPr>
      <w:r w:rsidRPr="00892764">
        <w:lastRenderedPageBreak/>
        <w:t>A microphone, e.g., Shure SM57, Cardioid, Dynamic, or similar, is preferred for other acoustic frequency emitting devices.</w:t>
      </w:r>
    </w:p>
    <w:p w14:paraId="5EE40354" w14:textId="08AE1567" w:rsidR="00892764" w:rsidRPr="00892764" w:rsidRDefault="00892764" w:rsidP="008248A7">
      <w:pPr>
        <w:pStyle w:val="Heading3"/>
      </w:pPr>
      <w:r w:rsidRPr="00892764">
        <w:t>A GPS time and frequency reference receiver</w:t>
      </w:r>
      <w:r w:rsidR="00DC50DD">
        <w:t xml:space="preserve"> with antenna</w:t>
      </w:r>
      <w:r w:rsidRPr="00892764">
        <w:t>.</w:t>
      </w:r>
    </w:p>
    <w:p w14:paraId="52267256" w14:textId="1781EC77" w:rsidR="00892764" w:rsidRPr="00892764" w:rsidRDefault="00892764" w:rsidP="008248A7">
      <w:pPr>
        <w:pStyle w:val="Heading3"/>
      </w:pPr>
      <w:r w:rsidRPr="00892764">
        <w:t xml:space="preserve">A </w:t>
      </w:r>
      <w:r w:rsidR="00473D06">
        <w:t xml:space="preserve">short-wave receiver </w:t>
      </w:r>
      <w:r w:rsidR="00DC50DD">
        <w:t xml:space="preserve">and </w:t>
      </w:r>
      <w:r w:rsidRPr="00892764">
        <w:t>antenna.</w:t>
      </w:r>
    </w:p>
    <w:p w14:paraId="3774CF6C" w14:textId="7246DA2B" w:rsidR="00892764" w:rsidRPr="00892764" w:rsidRDefault="00892764" w:rsidP="008248A7">
      <w:pPr>
        <w:pStyle w:val="Heading3"/>
      </w:pPr>
      <w:r w:rsidRPr="00892764">
        <w:t>A calculator if converting frequency (Hz) to miles per hour (mph).</w:t>
      </w:r>
    </w:p>
    <w:p w14:paraId="787C249C" w14:textId="29DACEDC" w:rsidR="00892764" w:rsidRDefault="00892764" w:rsidP="008248A7">
      <w:pPr>
        <w:pStyle w:val="Heading3"/>
      </w:pPr>
      <w:r w:rsidRPr="00892764">
        <w:t>A thermometer to measure ambient temperature.</w:t>
      </w:r>
    </w:p>
    <w:p w14:paraId="0B2EBA21" w14:textId="1F534DED" w:rsidR="008F2F15" w:rsidRPr="00892764" w:rsidRDefault="00086319" w:rsidP="00632E01">
      <w:pPr>
        <w:pStyle w:val="Heading2"/>
        <w:keepNext w:val="0"/>
        <w:keepLines w:val="0"/>
      </w:pPr>
      <w:r>
        <w:t>Reference</w:t>
      </w:r>
      <w:r w:rsidR="008F2F15">
        <w:t>, Option A</w:t>
      </w:r>
      <w:r w:rsidR="0013469E">
        <w:t xml:space="preserve">, Use of </w:t>
      </w:r>
      <w:r w:rsidR="0013469E" w:rsidRPr="0013469E">
        <w:t>GPSDO</w:t>
      </w:r>
    </w:p>
    <w:p w14:paraId="657AE5CA" w14:textId="3D619BA3" w:rsidR="00892764" w:rsidRPr="00892764" w:rsidRDefault="00892764" w:rsidP="00632E01">
      <w:pPr>
        <w:pStyle w:val="Heading3"/>
        <w:keepNext w:val="0"/>
        <w:keepLines w:val="0"/>
      </w:pPr>
      <w:r w:rsidRPr="00892764">
        <w:t>The tuning fork, or other acoustic frequency emitting device, must be in temperature equilibrium with the laboratory environment, typical equilibration time is not less than 2 hours</w:t>
      </w:r>
      <w:r w:rsidR="00197149">
        <w:t xml:space="preserve">. </w:t>
      </w:r>
      <w:r w:rsidRPr="00892764">
        <w:t>Read and record the ambient temperature.</w:t>
      </w:r>
    </w:p>
    <w:p w14:paraId="58FEB124" w14:textId="59B21024" w:rsidR="00892764" w:rsidRPr="008248A7" w:rsidRDefault="00892764" w:rsidP="00632E01">
      <w:pPr>
        <w:pStyle w:val="Heading3"/>
        <w:keepNext w:val="0"/>
        <w:keepLines w:val="0"/>
      </w:pPr>
      <w:r w:rsidRPr="00892764">
        <w:t xml:space="preserve">Verify that the </w:t>
      </w:r>
      <w:r w:rsidR="008F2F15">
        <w:t xml:space="preserve">GPS </w:t>
      </w:r>
      <w:r w:rsidRPr="00892764">
        <w:t>frequency counter displays “</w:t>
      </w:r>
      <w:proofErr w:type="spellStart"/>
      <w:r w:rsidRPr="00892764">
        <w:t>ExtRef</w:t>
      </w:r>
      <w:proofErr w:type="spellEnd"/>
      <w:r w:rsidRPr="00892764">
        <w:t>” on the display prior to use</w:t>
      </w:r>
      <w:r w:rsidR="00197149">
        <w:t xml:space="preserve">. </w:t>
      </w:r>
      <w:r w:rsidRPr="00892764">
        <w:t>This indicates the unit is utilizing the GPS reference receiver output as its reference</w:t>
      </w:r>
      <w:r w:rsidR="00197149">
        <w:t xml:space="preserve">. </w:t>
      </w:r>
      <w:r w:rsidRPr="008248A7">
        <w:t xml:space="preserve"> </w:t>
      </w:r>
    </w:p>
    <w:p w14:paraId="3DDEA911" w14:textId="6D01996B" w:rsidR="00892764" w:rsidRPr="00892764" w:rsidRDefault="00892764" w:rsidP="00632E01">
      <w:pPr>
        <w:pStyle w:val="Heading3"/>
        <w:keepNext w:val="0"/>
        <w:keepLines w:val="0"/>
      </w:pPr>
      <w:r w:rsidRPr="00892764">
        <w:t>Confirm that the GPS reference receiver signal light is illuminated indicating a locked signal.</w:t>
      </w:r>
    </w:p>
    <w:p w14:paraId="4330CEDB" w14:textId="7AB7B8B8" w:rsidR="00892764" w:rsidRPr="00892764" w:rsidRDefault="00892764" w:rsidP="00632E01">
      <w:pPr>
        <w:pStyle w:val="Heading3"/>
        <w:keepNext w:val="0"/>
        <w:keepLines w:val="0"/>
      </w:pPr>
      <w:r w:rsidRPr="00892764">
        <w:t>Adjust the frequency counter to a gate setting interval of 0.2</w:t>
      </w:r>
      <w:r w:rsidR="00725029">
        <w:t> s</w:t>
      </w:r>
      <w:r w:rsidRPr="00892764">
        <w:t xml:space="preserve"> to 0.5</w:t>
      </w:r>
      <w:r w:rsidR="00725029">
        <w:t> s</w:t>
      </w:r>
      <w:r w:rsidRPr="00892764">
        <w:t>.</w:t>
      </w:r>
    </w:p>
    <w:p w14:paraId="1AA74627" w14:textId="028C5F95" w:rsidR="008F2F15" w:rsidRDefault="00086319" w:rsidP="00632E01">
      <w:pPr>
        <w:pStyle w:val="Heading2"/>
        <w:keepNext w:val="0"/>
        <w:keepLines w:val="0"/>
      </w:pPr>
      <w:r>
        <w:t>Reference</w:t>
      </w:r>
      <w:r w:rsidR="008F2F15">
        <w:t>, Option B</w:t>
      </w:r>
      <w:r w:rsidR="0013469E">
        <w:t>, Use of Short-wave Receiver and NIST-transmitted Radio Signal</w:t>
      </w:r>
      <w:r w:rsidR="008F2F15">
        <w:t>.</w:t>
      </w:r>
    </w:p>
    <w:p w14:paraId="207FFEA4" w14:textId="78DC9C74" w:rsidR="008F2F15" w:rsidRDefault="008F2F15" w:rsidP="00632E01">
      <w:pPr>
        <w:pStyle w:val="Heading3"/>
        <w:keepNext w:val="0"/>
        <w:keepLines w:val="0"/>
      </w:pPr>
      <w:r w:rsidRPr="00892764">
        <w:t>The tuning fork, or other acoustic frequency emitting device, must be in temperature equilibrium with the laboratory environment, typical equilibration time is not less than 2 hours</w:t>
      </w:r>
      <w:r w:rsidR="00197149">
        <w:t xml:space="preserve">. </w:t>
      </w:r>
      <w:r w:rsidRPr="00892764">
        <w:t>Read and record the ambient temper</w:t>
      </w:r>
      <w:r>
        <w:t>a</w:t>
      </w:r>
      <w:r w:rsidRPr="00892764">
        <w:t>ture.</w:t>
      </w:r>
    </w:p>
    <w:p w14:paraId="07D724DA" w14:textId="59B0FE32" w:rsidR="008F2F15" w:rsidRDefault="008F2F15" w:rsidP="00632E01">
      <w:pPr>
        <w:pStyle w:val="Heading3"/>
      </w:pPr>
      <w:r>
        <w:lastRenderedPageBreak/>
        <w:t xml:space="preserve">Assemble the system as shown in Figure 1. </w:t>
      </w:r>
    </w:p>
    <w:p w14:paraId="5FBCB8E7" w14:textId="77777777" w:rsidR="0013469E" w:rsidRDefault="0013469E" w:rsidP="00632E01">
      <w:pPr>
        <w:keepNext/>
        <w:jc w:val="right"/>
      </w:pPr>
      <w:r>
        <w:rPr>
          <w:noProof/>
        </w:rPr>
        <w:drawing>
          <wp:inline distT="0" distB="0" distL="0" distR="0" wp14:anchorId="6632427E" wp14:editId="55E3B1AD">
            <wp:extent cx="4709160" cy="1739068"/>
            <wp:effectExtent l="19050" t="19050" r="15240" b="13970"/>
            <wp:docPr id="1" name="Picture 1" descr="Linear configuration of: 1) Antenna to short-wave receiver, 2) Receiver to frequency counter, and 3) frequency counter to magnetic pick-up. " title="System C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 Tuning Fork Set Up.jpg"/>
                    <pic:cNvPicPr/>
                  </pic:nvPicPr>
                  <pic:blipFill>
                    <a:blip r:embed="rId8">
                      <a:extLst>
                        <a:ext uri="{28A0092B-C50C-407E-A947-70E740481C1C}">
                          <a14:useLocalDpi xmlns:a14="http://schemas.microsoft.com/office/drawing/2010/main" val="0"/>
                        </a:ext>
                      </a:extLst>
                    </a:blip>
                    <a:stretch>
                      <a:fillRect/>
                    </a:stretch>
                  </pic:blipFill>
                  <pic:spPr>
                    <a:xfrm>
                      <a:off x="0" y="0"/>
                      <a:ext cx="4747464" cy="1753214"/>
                    </a:xfrm>
                    <a:prstGeom prst="rect">
                      <a:avLst/>
                    </a:prstGeom>
                    <a:ln>
                      <a:solidFill>
                        <a:schemeClr val="tx1"/>
                      </a:solidFill>
                    </a:ln>
                  </pic:spPr>
                </pic:pic>
              </a:graphicData>
            </a:graphic>
          </wp:inline>
        </w:drawing>
      </w:r>
    </w:p>
    <w:p w14:paraId="5F0892A0" w14:textId="50028718" w:rsidR="0013469E" w:rsidRPr="0013469E" w:rsidRDefault="0013469E" w:rsidP="00632E01">
      <w:pPr>
        <w:pStyle w:val="Caption"/>
        <w:keepNext/>
        <w:jc w:val="left"/>
      </w:pPr>
      <w:r>
        <w:t xml:space="preserve">Figure </w:t>
      </w:r>
      <w:r w:rsidR="003F6E04">
        <w:rPr>
          <w:noProof/>
        </w:rPr>
        <w:fldChar w:fldCharType="begin"/>
      </w:r>
      <w:r w:rsidR="003F6E04">
        <w:rPr>
          <w:noProof/>
        </w:rPr>
        <w:instrText xml:space="preserve"> SEQ Figure \* ARABIC </w:instrText>
      </w:r>
      <w:r w:rsidR="003F6E04">
        <w:rPr>
          <w:noProof/>
        </w:rPr>
        <w:fldChar w:fldCharType="separate"/>
      </w:r>
      <w:r w:rsidR="008E3033">
        <w:rPr>
          <w:noProof/>
        </w:rPr>
        <w:t>1</w:t>
      </w:r>
      <w:r w:rsidR="003F6E04">
        <w:rPr>
          <w:noProof/>
        </w:rPr>
        <w:fldChar w:fldCharType="end"/>
      </w:r>
      <w:r>
        <w:t>. System Configuration.</w:t>
      </w:r>
    </w:p>
    <w:p w14:paraId="7E5931B1" w14:textId="77777777" w:rsidR="0013469E" w:rsidRPr="0013469E" w:rsidRDefault="0013469E" w:rsidP="0013469E"/>
    <w:p w14:paraId="62F451DA" w14:textId="1484821B" w:rsidR="0013469E" w:rsidRDefault="0013469E" w:rsidP="0013469E">
      <w:pPr>
        <w:pStyle w:val="Heading3"/>
      </w:pPr>
      <w:r>
        <w:t xml:space="preserve">Tune the short-wave receiver to the best usable standard frequency of 2.5 MHz, 5 MHz, 10 MHz, 15 MHz, or 20 </w:t>
      </w:r>
      <w:proofErr w:type="spellStart"/>
      <w:r>
        <w:t>MHz.</w:t>
      </w:r>
      <w:proofErr w:type="spellEnd"/>
    </w:p>
    <w:p w14:paraId="51F4F75A" w14:textId="1F266253" w:rsidR="0013469E" w:rsidRDefault="0013469E" w:rsidP="0013469E">
      <w:pPr>
        <w:pStyle w:val="Heading4"/>
      </w:pPr>
      <w:r>
        <w:t>If the 10 MHz signal is not usable, a frequency divider / multiplier must be inserted at the frequency counter standard frequency output</w:t>
      </w:r>
      <w:r w:rsidR="00197149">
        <w:t xml:space="preserve">. </w:t>
      </w:r>
      <w:r>
        <w:t>Set the divider / multiplier to convert the 10 MHz standard frequency output to the best usable WWV(H) frequency.</w:t>
      </w:r>
    </w:p>
    <w:p w14:paraId="3DC22BC2" w14:textId="17D5FC96" w:rsidR="0013469E" w:rsidRDefault="0013469E" w:rsidP="0013469E">
      <w:pPr>
        <w:pStyle w:val="Heading4"/>
        <w:rPr>
          <w:spacing w:val="-3"/>
        </w:rPr>
      </w:pPr>
      <w:r>
        <w:t>Because of heterodyning, the received WWV signal and the counter standard frequency output will cause the short-wave receiver field strength meter to oscillate</w:t>
      </w:r>
      <w:r w:rsidR="00197149">
        <w:t xml:space="preserve">. </w:t>
      </w:r>
      <w:r>
        <w:t>The oscillation rate is directly proportional to the frequency difference between the two signals.</w:t>
      </w:r>
    </w:p>
    <w:p w14:paraId="5D15992D" w14:textId="6E59563D" w:rsidR="0013469E" w:rsidRDefault="0013469E" w:rsidP="00632E01">
      <w:pPr>
        <w:pStyle w:val="Legal5"/>
        <w:numPr>
          <w:ilvl w:val="0"/>
          <w:numId w:val="0"/>
        </w:numPr>
        <w:ind w:left="2880"/>
        <w:jc w:val="both"/>
        <w:rPr>
          <w:rFonts w:ascii="Times New Roman" w:hAnsi="Times New Roman"/>
          <w:spacing w:val="-3"/>
          <w:sz w:val="24"/>
        </w:rPr>
      </w:pPr>
      <w:r>
        <w:rPr>
          <w:rFonts w:ascii="Times New Roman" w:hAnsi="Times New Roman"/>
          <w:sz w:val="24"/>
        </w:rPr>
        <w:t xml:space="preserve">If the meter oscillates </w:t>
      </w:r>
      <w:r w:rsidR="00DC50DD">
        <w:rPr>
          <w:rFonts w:ascii="Times New Roman" w:hAnsi="Times New Roman"/>
          <w:sz w:val="24"/>
        </w:rPr>
        <w:t>three</w:t>
      </w:r>
      <w:r>
        <w:rPr>
          <w:rFonts w:ascii="Times New Roman" w:hAnsi="Times New Roman"/>
          <w:sz w:val="24"/>
        </w:rPr>
        <w:t xml:space="preserve"> complete cycles or less in 1 second, the frequency counter is accurate enough for tuning fork certification.</w:t>
      </w:r>
    </w:p>
    <w:p w14:paraId="57C61A1D" w14:textId="77777777" w:rsidR="0013469E" w:rsidRDefault="0013469E" w:rsidP="00632E01">
      <w:pPr>
        <w:pStyle w:val="Legal5"/>
        <w:numPr>
          <w:ilvl w:val="0"/>
          <w:numId w:val="0"/>
        </w:numPr>
        <w:ind w:left="2880"/>
        <w:jc w:val="both"/>
        <w:rPr>
          <w:rFonts w:ascii="Times New Roman" w:hAnsi="Times New Roman"/>
          <w:sz w:val="24"/>
        </w:rPr>
      </w:pPr>
    </w:p>
    <w:p w14:paraId="20A23C2D" w14:textId="744E4729" w:rsidR="0013469E" w:rsidRDefault="0013469E" w:rsidP="00632E01">
      <w:pPr>
        <w:pStyle w:val="Legal5"/>
        <w:numPr>
          <w:ilvl w:val="0"/>
          <w:numId w:val="0"/>
        </w:numPr>
        <w:ind w:left="2880"/>
        <w:jc w:val="both"/>
        <w:rPr>
          <w:rFonts w:ascii="Times New Roman" w:hAnsi="Times New Roman"/>
          <w:spacing w:val="-3"/>
          <w:sz w:val="24"/>
        </w:rPr>
      </w:pPr>
      <w:r>
        <w:rPr>
          <w:rFonts w:ascii="Times New Roman" w:hAnsi="Times New Roman"/>
          <w:sz w:val="24"/>
        </w:rPr>
        <w:t xml:space="preserve">If the meter oscillates more than </w:t>
      </w:r>
      <w:r w:rsidR="00DC50DD">
        <w:rPr>
          <w:rFonts w:ascii="Times New Roman" w:hAnsi="Times New Roman"/>
          <w:sz w:val="24"/>
        </w:rPr>
        <w:t>three</w:t>
      </w:r>
      <w:r>
        <w:rPr>
          <w:rFonts w:ascii="Times New Roman" w:hAnsi="Times New Roman"/>
          <w:sz w:val="24"/>
        </w:rPr>
        <w:t xml:space="preserve"> cycles in 1 second or does not oscillate at all, consult the maintenance manual for "time base oscillator adjustment procedures" or refer the counter to a manufacturer's authorized repair facility.</w:t>
      </w:r>
    </w:p>
    <w:p w14:paraId="5040D9E7" w14:textId="77777777" w:rsidR="0013469E" w:rsidRPr="0013469E" w:rsidRDefault="0013469E" w:rsidP="00632E01">
      <w:pPr>
        <w:ind w:left="2880"/>
        <w:jc w:val="both"/>
      </w:pPr>
    </w:p>
    <w:p w14:paraId="571574F8" w14:textId="2BD6FE48" w:rsidR="00E93A04" w:rsidRDefault="00086319" w:rsidP="00E93A04">
      <w:pPr>
        <w:pStyle w:val="Heading2"/>
      </w:pPr>
      <w:r>
        <w:lastRenderedPageBreak/>
        <w:t>Reference</w:t>
      </w:r>
      <w:r w:rsidR="00E93A04">
        <w:t>, Option C, Use of Tuning Fork Gauge and NIST-transmitted Radio Signal.</w:t>
      </w:r>
    </w:p>
    <w:p w14:paraId="56DA79A5" w14:textId="66B04583" w:rsidR="00E93A04" w:rsidRDefault="00E93A04" w:rsidP="00E93A04">
      <w:pPr>
        <w:pStyle w:val="Heading3"/>
      </w:pPr>
      <w:r w:rsidRPr="00892764">
        <w:t>The tuning fork, or other acoustic frequency emitting device, must be in temperature equilibrium with the laboratory environment, typical equilibration time is not less than 2 hours</w:t>
      </w:r>
      <w:r w:rsidR="00197149">
        <w:t xml:space="preserve">. </w:t>
      </w:r>
      <w:r w:rsidRPr="00892764">
        <w:t>Read and record the ambient temper</w:t>
      </w:r>
      <w:r>
        <w:t>a</w:t>
      </w:r>
      <w:r w:rsidRPr="00892764">
        <w:t>ture.</w:t>
      </w:r>
    </w:p>
    <w:p w14:paraId="0389C794" w14:textId="51683F7A" w:rsidR="00BA1545" w:rsidRDefault="00E93A04" w:rsidP="00E93A04">
      <w:pPr>
        <w:pStyle w:val="Heading3"/>
      </w:pPr>
      <w:r>
        <w:t>Verify accuracy of the Tuning Fork Gauge via the NIST telephone signal broadcast via a telephone connection pick-up coil.</w:t>
      </w:r>
    </w:p>
    <w:p w14:paraId="57BA310A" w14:textId="16F71F57" w:rsidR="00BA1545" w:rsidRPr="00C34AC5" w:rsidRDefault="00BA1545" w:rsidP="00BC4BCD">
      <w:pPr>
        <w:pStyle w:val="Heading3"/>
        <w:keepLines w:val="0"/>
        <w:numPr>
          <w:ilvl w:val="0"/>
          <w:numId w:val="0"/>
        </w:numPr>
        <w:spacing w:after="0"/>
        <w:rPr>
          <w:b/>
          <w:sz w:val="22"/>
        </w:rPr>
      </w:pPr>
      <w:r w:rsidRPr="00C34AC5">
        <w:rPr>
          <w:b/>
          <w:sz w:val="22"/>
        </w:rPr>
        <w:t xml:space="preserve">Table </w:t>
      </w:r>
      <w:r w:rsidRPr="00C34AC5">
        <w:rPr>
          <w:b/>
          <w:sz w:val="22"/>
        </w:rPr>
        <w:fldChar w:fldCharType="begin"/>
      </w:r>
      <w:r w:rsidRPr="00C34AC5">
        <w:rPr>
          <w:b/>
          <w:sz w:val="22"/>
        </w:rPr>
        <w:instrText xml:space="preserve"> SEQ Table \* ARABIC </w:instrText>
      </w:r>
      <w:r w:rsidRPr="00C34AC5">
        <w:rPr>
          <w:b/>
          <w:sz w:val="22"/>
        </w:rPr>
        <w:fldChar w:fldCharType="separate"/>
      </w:r>
      <w:r w:rsidR="008E3033">
        <w:rPr>
          <w:b/>
          <w:noProof/>
          <w:sz w:val="22"/>
        </w:rPr>
        <w:t>2</w:t>
      </w:r>
      <w:r w:rsidRPr="00C34AC5">
        <w:rPr>
          <w:b/>
          <w:sz w:val="22"/>
        </w:rPr>
        <w:fldChar w:fldCharType="end"/>
      </w:r>
      <w:r w:rsidRPr="00C34AC5">
        <w:rPr>
          <w:b/>
          <w:sz w:val="22"/>
        </w:rPr>
        <w:t>. Reference calibration sources.</w:t>
      </w:r>
    </w:p>
    <w:tbl>
      <w:tblPr>
        <w:tblStyle w:val="TableGrid"/>
        <w:tblW w:w="90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Reference calibration services"/>
        <w:tblDescription w:val="Service Location Telephone Number Radio Call Letters Broadcast Frequencies&#10;NIST Ft. Collins, CO (303) 499-7111 WWV 2.5 MHz 5 MHz 10 MHz 15 MHz 20 MHz&#10;NIST Kauai, HI (808) 335-4363 WWVH 2.5 MHz 5 MHz 10 MHz 15 MHz&#10;U.S. Naval Observatory (USNO) District of Columbia (202) 662-1401 (202) 762-1069 ----- -----&#10;USNO Colorado Springs, CO (719) 567-6742 ----- -----&#10;National&#10;Research Council&#10;(NRC) Ottawa, Ontario, Canada&#10; (613) 745-1576 &#10;(English) &#10;(613) 745-9426 &#10;(French) CHU 3.33 MHz&#10;7.850 MHz&#10;14.67 MHz&#10;"/>
      </w:tblPr>
      <w:tblGrid>
        <w:gridCol w:w="2084"/>
        <w:gridCol w:w="2421"/>
        <w:gridCol w:w="1731"/>
        <w:gridCol w:w="1328"/>
        <w:gridCol w:w="1466"/>
      </w:tblGrid>
      <w:tr w:rsidR="00BA1545" w:rsidRPr="00C34AC5" w14:paraId="1FB9513B" w14:textId="77777777" w:rsidTr="00BA1545">
        <w:trPr>
          <w:cantSplit/>
          <w:trHeight w:val="530"/>
          <w:tblHeader/>
        </w:trPr>
        <w:tc>
          <w:tcPr>
            <w:tcW w:w="2084" w:type="dxa"/>
            <w:tcBorders>
              <w:top w:val="double" w:sz="4" w:space="0" w:color="auto"/>
              <w:bottom w:val="double" w:sz="4" w:space="0" w:color="auto"/>
            </w:tcBorders>
            <w:vAlign w:val="center"/>
          </w:tcPr>
          <w:p w14:paraId="1CF826EA" w14:textId="77777777" w:rsidR="00BA1545" w:rsidRPr="00C34AC5" w:rsidRDefault="00BA1545" w:rsidP="00545496">
            <w:pPr>
              <w:jc w:val="center"/>
              <w:rPr>
                <w:b/>
                <w:sz w:val="22"/>
              </w:rPr>
            </w:pPr>
            <w:r w:rsidRPr="00C34AC5">
              <w:rPr>
                <w:b/>
                <w:sz w:val="22"/>
              </w:rPr>
              <w:t>Service</w:t>
            </w:r>
          </w:p>
        </w:tc>
        <w:tc>
          <w:tcPr>
            <w:tcW w:w="2421" w:type="dxa"/>
            <w:tcBorders>
              <w:top w:val="double" w:sz="4" w:space="0" w:color="auto"/>
              <w:bottom w:val="double" w:sz="4" w:space="0" w:color="auto"/>
            </w:tcBorders>
            <w:vAlign w:val="center"/>
          </w:tcPr>
          <w:p w14:paraId="76F9A4D7" w14:textId="77777777" w:rsidR="00BA1545" w:rsidRPr="00C34AC5" w:rsidRDefault="00BA1545" w:rsidP="00545496">
            <w:pPr>
              <w:jc w:val="center"/>
              <w:rPr>
                <w:b/>
                <w:sz w:val="22"/>
              </w:rPr>
            </w:pPr>
            <w:r w:rsidRPr="00C34AC5">
              <w:rPr>
                <w:b/>
                <w:sz w:val="22"/>
              </w:rPr>
              <w:t>Location</w:t>
            </w:r>
          </w:p>
        </w:tc>
        <w:tc>
          <w:tcPr>
            <w:tcW w:w="1731" w:type="dxa"/>
            <w:tcBorders>
              <w:top w:val="double" w:sz="4" w:space="0" w:color="auto"/>
              <w:bottom w:val="double" w:sz="4" w:space="0" w:color="auto"/>
            </w:tcBorders>
            <w:vAlign w:val="center"/>
          </w:tcPr>
          <w:p w14:paraId="6235B108" w14:textId="77777777" w:rsidR="00BA1545" w:rsidRPr="00C34AC5" w:rsidRDefault="00BA1545" w:rsidP="00545496">
            <w:pPr>
              <w:jc w:val="center"/>
              <w:rPr>
                <w:b/>
                <w:sz w:val="22"/>
              </w:rPr>
            </w:pPr>
            <w:r w:rsidRPr="00C34AC5">
              <w:rPr>
                <w:b/>
                <w:sz w:val="22"/>
              </w:rPr>
              <w:t>Telephone Number</w:t>
            </w:r>
          </w:p>
        </w:tc>
        <w:tc>
          <w:tcPr>
            <w:tcW w:w="1328" w:type="dxa"/>
            <w:tcBorders>
              <w:top w:val="double" w:sz="4" w:space="0" w:color="auto"/>
              <w:bottom w:val="double" w:sz="4" w:space="0" w:color="auto"/>
            </w:tcBorders>
            <w:vAlign w:val="center"/>
          </w:tcPr>
          <w:p w14:paraId="40D57385" w14:textId="77777777" w:rsidR="00BA1545" w:rsidRPr="00C34AC5" w:rsidRDefault="00BA1545" w:rsidP="00545496">
            <w:pPr>
              <w:jc w:val="center"/>
              <w:rPr>
                <w:b/>
                <w:sz w:val="22"/>
              </w:rPr>
            </w:pPr>
            <w:r w:rsidRPr="00C34AC5">
              <w:rPr>
                <w:b/>
                <w:sz w:val="22"/>
              </w:rPr>
              <w:t>Radio Call Letters</w:t>
            </w:r>
          </w:p>
        </w:tc>
        <w:tc>
          <w:tcPr>
            <w:tcW w:w="1466" w:type="dxa"/>
            <w:tcBorders>
              <w:top w:val="double" w:sz="4" w:space="0" w:color="auto"/>
              <w:bottom w:val="double" w:sz="4" w:space="0" w:color="auto"/>
            </w:tcBorders>
            <w:vAlign w:val="center"/>
          </w:tcPr>
          <w:p w14:paraId="57BD9992" w14:textId="77777777" w:rsidR="00BA1545" w:rsidRPr="00C34AC5" w:rsidRDefault="00BA1545" w:rsidP="00545496">
            <w:pPr>
              <w:jc w:val="center"/>
              <w:rPr>
                <w:b/>
                <w:sz w:val="22"/>
              </w:rPr>
            </w:pPr>
            <w:r w:rsidRPr="00C34AC5">
              <w:rPr>
                <w:b/>
                <w:sz w:val="22"/>
              </w:rPr>
              <w:t>Broadcast Frequencies</w:t>
            </w:r>
          </w:p>
        </w:tc>
      </w:tr>
      <w:tr w:rsidR="00BA1545" w:rsidRPr="00C34AC5" w14:paraId="492D2800" w14:textId="77777777" w:rsidTr="00BA1545">
        <w:trPr>
          <w:cantSplit/>
          <w:trHeight w:val="1309"/>
        </w:trPr>
        <w:tc>
          <w:tcPr>
            <w:tcW w:w="2084" w:type="dxa"/>
            <w:tcBorders>
              <w:top w:val="double" w:sz="4" w:space="0" w:color="auto"/>
            </w:tcBorders>
          </w:tcPr>
          <w:p w14:paraId="236DFA16" w14:textId="77777777" w:rsidR="00BA1545" w:rsidRPr="00C34AC5" w:rsidRDefault="00BA1545" w:rsidP="00545496">
            <w:pPr>
              <w:rPr>
                <w:sz w:val="22"/>
              </w:rPr>
            </w:pPr>
            <w:r w:rsidRPr="00C34AC5">
              <w:rPr>
                <w:sz w:val="22"/>
              </w:rPr>
              <w:t>NIST</w:t>
            </w:r>
          </w:p>
        </w:tc>
        <w:tc>
          <w:tcPr>
            <w:tcW w:w="2421" w:type="dxa"/>
            <w:tcBorders>
              <w:top w:val="double" w:sz="4" w:space="0" w:color="auto"/>
            </w:tcBorders>
          </w:tcPr>
          <w:p w14:paraId="4D1FD391" w14:textId="77777777" w:rsidR="00BA1545" w:rsidRPr="00C34AC5" w:rsidRDefault="00BA1545" w:rsidP="00545496">
            <w:pPr>
              <w:rPr>
                <w:sz w:val="22"/>
              </w:rPr>
            </w:pPr>
            <w:r w:rsidRPr="00C34AC5">
              <w:rPr>
                <w:sz w:val="22"/>
              </w:rPr>
              <w:t>Ft. Collins, CO</w:t>
            </w:r>
          </w:p>
        </w:tc>
        <w:tc>
          <w:tcPr>
            <w:tcW w:w="1731" w:type="dxa"/>
            <w:tcBorders>
              <w:top w:val="double" w:sz="4" w:space="0" w:color="auto"/>
            </w:tcBorders>
          </w:tcPr>
          <w:p w14:paraId="590436A5" w14:textId="77777777" w:rsidR="00BA1545" w:rsidRPr="00C34AC5" w:rsidRDefault="00BA1545" w:rsidP="00545496">
            <w:pPr>
              <w:rPr>
                <w:sz w:val="22"/>
              </w:rPr>
            </w:pPr>
            <w:r w:rsidRPr="00C34AC5">
              <w:rPr>
                <w:sz w:val="22"/>
              </w:rPr>
              <w:t>(303) 499-7111</w:t>
            </w:r>
          </w:p>
        </w:tc>
        <w:tc>
          <w:tcPr>
            <w:tcW w:w="1328" w:type="dxa"/>
            <w:tcBorders>
              <w:top w:val="double" w:sz="4" w:space="0" w:color="auto"/>
            </w:tcBorders>
          </w:tcPr>
          <w:p w14:paraId="11B13109" w14:textId="77777777" w:rsidR="00BA1545" w:rsidRPr="00C34AC5" w:rsidRDefault="00BA1545" w:rsidP="00545496">
            <w:pPr>
              <w:jc w:val="center"/>
              <w:rPr>
                <w:sz w:val="22"/>
              </w:rPr>
            </w:pPr>
            <w:r w:rsidRPr="00C34AC5">
              <w:rPr>
                <w:sz w:val="22"/>
              </w:rPr>
              <w:t>WWV</w:t>
            </w:r>
          </w:p>
        </w:tc>
        <w:tc>
          <w:tcPr>
            <w:tcW w:w="1466" w:type="dxa"/>
            <w:tcBorders>
              <w:top w:val="double" w:sz="4" w:space="0" w:color="auto"/>
            </w:tcBorders>
          </w:tcPr>
          <w:p w14:paraId="55B2D89F" w14:textId="77777777" w:rsidR="00BA1545" w:rsidRPr="00C34AC5" w:rsidRDefault="00BA1545" w:rsidP="00545496">
            <w:pPr>
              <w:rPr>
                <w:sz w:val="22"/>
              </w:rPr>
            </w:pPr>
            <w:r w:rsidRPr="00C34AC5">
              <w:rPr>
                <w:sz w:val="22"/>
              </w:rPr>
              <w:t>2.5 MHz 5 MHz 10 MHz 15 MHz 20 MHz</w:t>
            </w:r>
          </w:p>
        </w:tc>
      </w:tr>
      <w:tr w:rsidR="00BA1545" w:rsidRPr="00C34AC5" w14:paraId="2362D93B" w14:textId="77777777" w:rsidTr="00BA1545">
        <w:trPr>
          <w:cantSplit/>
          <w:trHeight w:val="1049"/>
        </w:trPr>
        <w:tc>
          <w:tcPr>
            <w:tcW w:w="2084" w:type="dxa"/>
          </w:tcPr>
          <w:p w14:paraId="6464527A" w14:textId="77777777" w:rsidR="00BA1545" w:rsidRPr="00C34AC5" w:rsidRDefault="00BA1545" w:rsidP="00545496">
            <w:pPr>
              <w:rPr>
                <w:sz w:val="22"/>
              </w:rPr>
            </w:pPr>
            <w:r w:rsidRPr="00C34AC5">
              <w:rPr>
                <w:sz w:val="22"/>
              </w:rPr>
              <w:t>NIST</w:t>
            </w:r>
          </w:p>
        </w:tc>
        <w:tc>
          <w:tcPr>
            <w:tcW w:w="2421" w:type="dxa"/>
          </w:tcPr>
          <w:p w14:paraId="77BD0149" w14:textId="77777777" w:rsidR="00BA1545" w:rsidRPr="00C34AC5" w:rsidRDefault="00BA1545" w:rsidP="00545496">
            <w:pPr>
              <w:rPr>
                <w:sz w:val="22"/>
              </w:rPr>
            </w:pPr>
            <w:r w:rsidRPr="00C34AC5">
              <w:rPr>
                <w:sz w:val="22"/>
              </w:rPr>
              <w:t>Kauai, HI</w:t>
            </w:r>
          </w:p>
        </w:tc>
        <w:tc>
          <w:tcPr>
            <w:tcW w:w="1731" w:type="dxa"/>
          </w:tcPr>
          <w:p w14:paraId="28E74E19" w14:textId="77777777" w:rsidR="00BA1545" w:rsidRPr="00C34AC5" w:rsidRDefault="00BA1545" w:rsidP="00545496">
            <w:pPr>
              <w:rPr>
                <w:sz w:val="22"/>
              </w:rPr>
            </w:pPr>
            <w:r w:rsidRPr="00C34AC5">
              <w:rPr>
                <w:sz w:val="22"/>
              </w:rPr>
              <w:t>(808) 335-4363</w:t>
            </w:r>
          </w:p>
        </w:tc>
        <w:tc>
          <w:tcPr>
            <w:tcW w:w="1328" w:type="dxa"/>
          </w:tcPr>
          <w:p w14:paraId="4CABE33B" w14:textId="77777777" w:rsidR="00BA1545" w:rsidRPr="00C34AC5" w:rsidRDefault="00BA1545" w:rsidP="00545496">
            <w:pPr>
              <w:jc w:val="center"/>
              <w:rPr>
                <w:sz w:val="22"/>
              </w:rPr>
            </w:pPr>
            <w:r w:rsidRPr="00C34AC5">
              <w:rPr>
                <w:sz w:val="22"/>
              </w:rPr>
              <w:t>WWVH</w:t>
            </w:r>
          </w:p>
        </w:tc>
        <w:tc>
          <w:tcPr>
            <w:tcW w:w="1466" w:type="dxa"/>
          </w:tcPr>
          <w:p w14:paraId="79393994" w14:textId="77777777" w:rsidR="00BA1545" w:rsidRPr="00C34AC5" w:rsidRDefault="00BA1545" w:rsidP="00545496">
            <w:pPr>
              <w:rPr>
                <w:sz w:val="22"/>
              </w:rPr>
            </w:pPr>
            <w:r w:rsidRPr="00C34AC5">
              <w:rPr>
                <w:sz w:val="22"/>
              </w:rPr>
              <w:t>2.5 MHz 5 MHz 10 MHz 15 MHz</w:t>
            </w:r>
          </w:p>
        </w:tc>
      </w:tr>
      <w:tr w:rsidR="00BA1545" w:rsidRPr="00C34AC5" w14:paraId="4B99614A" w14:textId="77777777" w:rsidTr="00BA1545">
        <w:trPr>
          <w:cantSplit/>
          <w:trHeight w:val="790"/>
        </w:trPr>
        <w:tc>
          <w:tcPr>
            <w:tcW w:w="2084" w:type="dxa"/>
          </w:tcPr>
          <w:p w14:paraId="223466A8" w14:textId="77777777" w:rsidR="00BA1545" w:rsidRPr="00C34AC5" w:rsidRDefault="00BA1545" w:rsidP="00545496">
            <w:pPr>
              <w:rPr>
                <w:sz w:val="22"/>
              </w:rPr>
            </w:pPr>
            <w:r w:rsidRPr="00C34AC5">
              <w:rPr>
                <w:sz w:val="22"/>
              </w:rPr>
              <w:t>U.S. Naval Observatory (USNO)</w:t>
            </w:r>
          </w:p>
        </w:tc>
        <w:tc>
          <w:tcPr>
            <w:tcW w:w="2421" w:type="dxa"/>
          </w:tcPr>
          <w:p w14:paraId="4F52F3AD" w14:textId="77777777" w:rsidR="00BA1545" w:rsidRPr="00C34AC5" w:rsidRDefault="00BA1545" w:rsidP="00545496">
            <w:pPr>
              <w:rPr>
                <w:sz w:val="22"/>
              </w:rPr>
            </w:pPr>
            <w:r w:rsidRPr="00C34AC5">
              <w:rPr>
                <w:sz w:val="22"/>
              </w:rPr>
              <w:t>District of Columbia</w:t>
            </w:r>
          </w:p>
        </w:tc>
        <w:tc>
          <w:tcPr>
            <w:tcW w:w="1731" w:type="dxa"/>
          </w:tcPr>
          <w:p w14:paraId="3C5B19FA" w14:textId="77777777" w:rsidR="00BA1545" w:rsidRPr="00C34AC5" w:rsidRDefault="00BA1545" w:rsidP="00545496">
            <w:pPr>
              <w:rPr>
                <w:sz w:val="22"/>
              </w:rPr>
            </w:pPr>
            <w:r w:rsidRPr="00C34AC5">
              <w:rPr>
                <w:sz w:val="22"/>
              </w:rPr>
              <w:t>(202) 662-1401 (202) 762-1069</w:t>
            </w:r>
          </w:p>
        </w:tc>
        <w:tc>
          <w:tcPr>
            <w:tcW w:w="1328" w:type="dxa"/>
          </w:tcPr>
          <w:p w14:paraId="0E005567" w14:textId="77777777" w:rsidR="00BA1545" w:rsidRPr="00C34AC5" w:rsidRDefault="00BA1545" w:rsidP="00545496">
            <w:pPr>
              <w:jc w:val="center"/>
              <w:rPr>
                <w:sz w:val="22"/>
              </w:rPr>
            </w:pPr>
            <w:r w:rsidRPr="00C34AC5">
              <w:rPr>
                <w:sz w:val="22"/>
                <w:szCs w:val="24"/>
              </w:rPr>
              <w:t>-----</w:t>
            </w:r>
          </w:p>
        </w:tc>
        <w:tc>
          <w:tcPr>
            <w:tcW w:w="1466" w:type="dxa"/>
          </w:tcPr>
          <w:p w14:paraId="3DD91221" w14:textId="77777777" w:rsidR="00BA1545" w:rsidRPr="00C34AC5" w:rsidRDefault="00BA1545" w:rsidP="00545496">
            <w:pPr>
              <w:jc w:val="center"/>
              <w:rPr>
                <w:sz w:val="22"/>
              </w:rPr>
            </w:pPr>
            <w:r w:rsidRPr="00C34AC5">
              <w:rPr>
                <w:sz w:val="22"/>
                <w:szCs w:val="24"/>
              </w:rPr>
              <w:t>-----</w:t>
            </w:r>
          </w:p>
        </w:tc>
      </w:tr>
      <w:tr w:rsidR="00BA1545" w:rsidRPr="00C34AC5" w14:paraId="2859EB79" w14:textId="77777777" w:rsidTr="00BA1545">
        <w:trPr>
          <w:cantSplit/>
          <w:trHeight w:val="272"/>
        </w:trPr>
        <w:tc>
          <w:tcPr>
            <w:tcW w:w="2084" w:type="dxa"/>
          </w:tcPr>
          <w:p w14:paraId="563643E6" w14:textId="77777777" w:rsidR="00BA1545" w:rsidRPr="00C34AC5" w:rsidRDefault="00BA1545" w:rsidP="00545496">
            <w:pPr>
              <w:rPr>
                <w:sz w:val="22"/>
              </w:rPr>
            </w:pPr>
            <w:r w:rsidRPr="00C34AC5">
              <w:rPr>
                <w:sz w:val="22"/>
              </w:rPr>
              <w:t>USNO</w:t>
            </w:r>
          </w:p>
        </w:tc>
        <w:tc>
          <w:tcPr>
            <w:tcW w:w="2421" w:type="dxa"/>
          </w:tcPr>
          <w:p w14:paraId="7AD7BD98" w14:textId="77777777" w:rsidR="00BA1545" w:rsidRPr="00C34AC5" w:rsidRDefault="00BA1545" w:rsidP="00545496">
            <w:pPr>
              <w:rPr>
                <w:sz w:val="22"/>
              </w:rPr>
            </w:pPr>
            <w:r w:rsidRPr="00C34AC5">
              <w:rPr>
                <w:sz w:val="22"/>
              </w:rPr>
              <w:t>Colorado Springs, CO</w:t>
            </w:r>
          </w:p>
        </w:tc>
        <w:tc>
          <w:tcPr>
            <w:tcW w:w="1731" w:type="dxa"/>
          </w:tcPr>
          <w:p w14:paraId="419177C4" w14:textId="77777777" w:rsidR="00BA1545" w:rsidRPr="00C34AC5" w:rsidRDefault="00BA1545" w:rsidP="00545496">
            <w:pPr>
              <w:rPr>
                <w:sz w:val="22"/>
              </w:rPr>
            </w:pPr>
            <w:r w:rsidRPr="00C34AC5">
              <w:rPr>
                <w:sz w:val="22"/>
              </w:rPr>
              <w:t>(719) 567-6742</w:t>
            </w:r>
          </w:p>
        </w:tc>
        <w:tc>
          <w:tcPr>
            <w:tcW w:w="1328" w:type="dxa"/>
          </w:tcPr>
          <w:p w14:paraId="04AC6450" w14:textId="77777777" w:rsidR="00BA1545" w:rsidRPr="00C34AC5" w:rsidRDefault="00BA1545" w:rsidP="00545496">
            <w:pPr>
              <w:jc w:val="center"/>
              <w:rPr>
                <w:sz w:val="22"/>
              </w:rPr>
            </w:pPr>
            <w:r w:rsidRPr="00C34AC5">
              <w:rPr>
                <w:sz w:val="22"/>
                <w:szCs w:val="24"/>
              </w:rPr>
              <w:t>-----</w:t>
            </w:r>
          </w:p>
        </w:tc>
        <w:tc>
          <w:tcPr>
            <w:tcW w:w="1466" w:type="dxa"/>
          </w:tcPr>
          <w:p w14:paraId="6490F6D3" w14:textId="77777777" w:rsidR="00BA1545" w:rsidRPr="00C34AC5" w:rsidRDefault="00BA1545" w:rsidP="00545496">
            <w:pPr>
              <w:jc w:val="center"/>
              <w:rPr>
                <w:sz w:val="22"/>
              </w:rPr>
            </w:pPr>
            <w:r w:rsidRPr="00C34AC5">
              <w:rPr>
                <w:sz w:val="22"/>
                <w:szCs w:val="24"/>
              </w:rPr>
              <w:t>-----</w:t>
            </w:r>
          </w:p>
        </w:tc>
      </w:tr>
      <w:tr w:rsidR="00BA1545" w:rsidRPr="00C34AC5" w14:paraId="101939BB" w14:textId="77777777" w:rsidTr="00BA1545">
        <w:trPr>
          <w:cantSplit/>
          <w:trHeight w:val="272"/>
        </w:trPr>
        <w:tc>
          <w:tcPr>
            <w:tcW w:w="2084" w:type="dxa"/>
          </w:tcPr>
          <w:p w14:paraId="1CAB4D3D" w14:textId="77777777" w:rsidR="00BA1545" w:rsidRPr="00E8150D" w:rsidRDefault="00BA1545" w:rsidP="00545496">
            <w:pPr>
              <w:rPr>
                <w:sz w:val="22"/>
              </w:rPr>
            </w:pPr>
            <w:r w:rsidRPr="00E8150D">
              <w:rPr>
                <w:sz w:val="22"/>
              </w:rPr>
              <w:t>National</w:t>
            </w:r>
          </w:p>
          <w:p w14:paraId="72BECD30" w14:textId="77777777" w:rsidR="00BA1545" w:rsidRPr="00E8150D" w:rsidRDefault="00BA1545" w:rsidP="00545496">
            <w:pPr>
              <w:rPr>
                <w:sz w:val="22"/>
              </w:rPr>
            </w:pPr>
            <w:r w:rsidRPr="00E8150D">
              <w:rPr>
                <w:sz w:val="22"/>
              </w:rPr>
              <w:t>Research Council</w:t>
            </w:r>
          </w:p>
          <w:p w14:paraId="1CD294D7" w14:textId="77777777" w:rsidR="00BA1545" w:rsidRPr="00C34AC5" w:rsidRDefault="00BA1545" w:rsidP="00545496">
            <w:pPr>
              <w:rPr>
                <w:sz w:val="22"/>
              </w:rPr>
            </w:pPr>
            <w:r w:rsidRPr="00E8150D">
              <w:rPr>
                <w:sz w:val="22"/>
              </w:rPr>
              <w:t>(NRC)</w:t>
            </w:r>
          </w:p>
        </w:tc>
        <w:tc>
          <w:tcPr>
            <w:tcW w:w="2421" w:type="dxa"/>
          </w:tcPr>
          <w:p w14:paraId="55A4ACE2" w14:textId="77777777" w:rsidR="00BA1545" w:rsidRPr="00E8150D" w:rsidRDefault="00BA1545" w:rsidP="00545496">
            <w:pPr>
              <w:rPr>
                <w:sz w:val="22"/>
              </w:rPr>
            </w:pPr>
            <w:r w:rsidRPr="00E8150D">
              <w:rPr>
                <w:sz w:val="22"/>
              </w:rPr>
              <w:t>Ottawa,</w:t>
            </w:r>
            <w:r>
              <w:rPr>
                <w:sz w:val="22"/>
              </w:rPr>
              <w:t xml:space="preserve"> </w:t>
            </w:r>
            <w:r w:rsidRPr="00E8150D">
              <w:rPr>
                <w:sz w:val="22"/>
              </w:rPr>
              <w:t>Ontario,</w:t>
            </w:r>
            <w:r>
              <w:rPr>
                <w:sz w:val="22"/>
              </w:rPr>
              <w:t xml:space="preserve"> </w:t>
            </w:r>
            <w:r w:rsidRPr="00E8150D">
              <w:rPr>
                <w:sz w:val="22"/>
              </w:rPr>
              <w:t>Canada</w:t>
            </w:r>
          </w:p>
          <w:p w14:paraId="29893D75" w14:textId="77777777" w:rsidR="00BA1545" w:rsidRPr="00C34AC5" w:rsidRDefault="00BA1545" w:rsidP="00545496">
            <w:pPr>
              <w:rPr>
                <w:sz w:val="22"/>
              </w:rPr>
            </w:pPr>
          </w:p>
        </w:tc>
        <w:tc>
          <w:tcPr>
            <w:tcW w:w="1731" w:type="dxa"/>
          </w:tcPr>
          <w:p w14:paraId="110785CD" w14:textId="77777777" w:rsidR="00BA1545" w:rsidRPr="00E8150D" w:rsidRDefault="00BA1545" w:rsidP="00545496">
            <w:pPr>
              <w:rPr>
                <w:sz w:val="22"/>
              </w:rPr>
            </w:pPr>
            <w:r w:rsidRPr="00E8150D">
              <w:rPr>
                <w:sz w:val="22"/>
              </w:rPr>
              <w:t xml:space="preserve">(613) 745-1576 </w:t>
            </w:r>
          </w:p>
          <w:p w14:paraId="68A4CA35" w14:textId="77777777" w:rsidR="00BA1545" w:rsidRPr="00E8150D" w:rsidRDefault="00BA1545" w:rsidP="00545496">
            <w:pPr>
              <w:rPr>
                <w:sz w:val="22"/>
              </w:rPr>
            </w:pPr>
            <w:r w:rsidRPr="00E8150D">
              <w:rPr>
                <w:sz w:val="22"/>
              </w:rPr>
              <w:t>(English</w:t>
            </w:r>
            <w:r>
              <w:rPr>
                <w:sz w:val="22"/>
              </w:rPr>
              <w:t>)</w:t>
            </w:r>
            <w:r w:rsidRPr="00E8150D">
              <w:rPr>
                <w:sz w:val="22"/>
              </w:rPr>
              <w:t xml:space="preserve"> </w:t>
            </w:r>
          </w:p>
          <w:p w14:paraId="14EE5110" w14:textId="77777777" w:rsidR="00BA1545" w:rsidRPr="00E8150D" w:rsidRDefault="00BA1545" w:rsidP="00545496">
            <w:pPr>
              <w:rPr>
                <w:sz w:val="22"/>
              </w:rPr>
            </w:pPr>
            <w:r w:rsidRPr="00E8150D">
              <w:rPr>
                <w:sz w:val="22"/>
              </w:rPr>
              <w:t xml:space="preserve">(613) 745-9426 </w:t>
            </w:r>
          </w:p>
          <w:p w14:paraId="15A88551" w14:textId="77777777" w:rsidR="00BA1545" w:rsidRPr="00C34AC5" w:rsidRDefault="00BA1545" w:rsidP="00545496">
            <w:pPr>
              <w:rPr>
                <w:sz w:val="22"/>
              </w:rPr>
            </w:pPr>
            <w:r w:rsidRPr="00E8150D">
              <w:rPr>
                <w:sz w:val="22"/>
              </w:rPr>
              <w:t>(French</w:t>
            </w:r>
            <w:r>
              <w:rPr>
                <w:sz w:val="22"/>
              </w:rPr>
              <w:t>)</w:t>
            </w:r>
          </w:p>
        </w:tc>
        <w:tc>
          <w:tcPr>
            <w:tcW w:w="1328" w:type="dxa"/>
          </w:tcPr>
          <w:p w14:paraId="7D0F383C" w14:textId="77777777" w:rsidR="00BA1545" w:rsidRPr="00C34AC5" w:rsidRDefault="00BA1545" w:rsidP="00545496">
            <w:pPr>
              <w:jc w:val="center"/>
              <w:rPr>
                <w:sz w:val="22"/>
                <w:szCs w:val="24"/>
              </w:rPr>
            </w:pPr>
            <w:r>
              <w:rPr>
                <w:sz w:val="22"/>
                <w:szCs w:val="24"/>
              </w:rPr>
              <w:t>CHU</w:t>
            </w:r>
          </w:p>
        </w:tc>
        <w:tc>
          <w:tcPr>
            <w:tcW w:w="1466" w:type="dxa"/>
          </w:tcPr>
          <w:p w14:paraId="4BED3E65" w14:textId="77777777" w:rsidR="00BA1545" w:rsidRDefault="00BA1545" w:rsidP="00545496">
            <w:pPr>
              <w:rPr>
                <w:sz w:val="22"/>
              </w:rPr>
            </w:pPr>
            <w:r w:rsidRPr="00E8150D">
              <w:rPr>
                <w:sz w:val="22"/>
              </w:rPr>
              <w:t>3.33</w:t>
            </w:r>
            <w:r>
              <w:rPr>
                <w:sz w:val="22"/>
              </w:rPr>
              <w:t xml:space="preserve"> MHz</w:t>
            </w:r>
          </w:p>
          <w:p w14:paraId="677F9868" w14:textId="77777777" w:rsidR="00BA1545" w:rsidRDefault="00BA1545" w:rsidP="00545496">
            <w:pPr>
              <w:rPr>
                <w:sz w:val="22"/>
              </w:rPr>
            </w:pPr>
            <w:r w:rsidRPr="00E8150D">
              <w:rPr>
                <w:sz w:val="22"/>
              </w:rPr>
              <w:t>7.850</w:t>
            </w:r>
            <w:r>
              <w:rPr>
                <w:sz w:val="22"/>
              </w:rPr>
              <w:t xml:space="preserve"> MHz</w:t>
            </w:r>
          </w:p>
          <w:p w14:paraId="2506C751" w14:textId="77777777" w:rsidR="00BA1545" w:rsidRPr="00C34AC5" w:rsidRDefault="00BA1545" w:rsidP="00545496">
            <w:pPr>
              <w:rPr>
                <w:sz w:val="22"/>
                <w:szCs w:val="24"/>
              </w:rPr>
            </w:pPr>
            <w:r w:rsidRPr="00E8150D">
              <w:rPr>
                <w:sz w:val="22"/>
              </w:rPr>
              <w:t>14.67 MHz</w:t>
            </w:r>
          </w:p>
        </w:tc>
      </w:tr>
    </w:tbl>
    <w:p w14:paraId="0F5D0352" w14:textId="0A34DF17" w:rsidR="00E93A04" w:rsidRDefault="00E93A04" w:rsidP="00102CCE">
      <w:pPr>
        <w:pStyle w:val="Heading3"/>
        <w:spacing w:before="240"/>
      </w:pPr>
      <w:r>
        <w:t>If the gauge meets accuracy requirements, continue with measurements of the tuning forks</w:t>
      </w:r>
      <w:r w:rsidR="00197149">
        <w:t xml:space="preserve">. </w:t>
      </w:r>
      <w:r>
        <w:t xml:space="preserve">If the gauge does not meet accuracy requirements, it is removed from service and submitted for calibration and adjustment to the manufacturer. </w:t>
      </w:r>
    </w:p>
    <w:p w14:paraId="5B41BC2B" w14:textId="1772D806" w:rsidR="00892764" w:rsidRPr="00892764" w:rsidRDefault="00086319" w:rsidP="0013469E">
      <w:pPr>
        <w:pStyle w:val="Heading2"/>
        <w:keepNext w:val="0"/>
        <w:keepLines w:val="0"/>
      </w:pPr>
      <w:r>
        <w:t>Procedure, M</w:t>
      </w:r>
      <w:r w:rsidR="008248A7">
        <w:t>easure</w:t>
      </w:r>
      <w:r>
        <w:t xml:space="preserve"> </w:t>
      </w:r>
      <w:r w:rsidR="008248A7">
        <w:t xml:space="preserve">the </w:t>
      </w:r>
      <w:r>
        <w:t>T</w:t>
      </w:r>
      <w:r w:rsidR="00892764" w:rsidRPr="00892764">
        <w:t xml:space="preserve">uning </w:t>
      </w:r>
      <w:r>
        <w:t>F</w:t>
      </w:r>
      <w:r w:rsidR="00892764" w:rsidRPr="00892764">
        <w:t>ork</w:t>
      </w:r>
      <w:r>
        <w:t xml:space="preserve"> Frequency</w:t>
      </w:r>
      <w:r w:rsidR="00892764" w:rsidRPr="00892764">
        <w:t>.</w:t>
      </w:r>
    </w:p>
    <w:p w14:paraId="41B0EFC5" w14:textId="4B89BB0F" w:rsidR="00892764" w:rsidRPr="008248A7" w:rsidRDefault="00892764" w:rsidP="0013469E">
      <w:pPr>
        <w:pStyle w:val="Heading3"/>
        <w:keepNext w:val="0"/>
        <w:keepLines w:val="0"/>
      </w:pPr>
      <w:r w:rsidRPr="008248A7">
        <w:t>Grasp the tuning fork with the clamping type contact microphone near the serial numbered end of the fork. Avoid touching the tuning fork as much as possible to minimize warming the tuning fork thus changing its frequency. Strike the tuning fork</w:t>
      </w:r>
      <w:r w:rsidR="00197149">
        <w:t xml:space="preserve"> </w:t>
      </w:r>
      <w:r w:rsidR="003F4D02" w:rsidRPr="002252EB">
        <w:t>with</w:t>
      </w:r>
      <w:r w:rsidR="0086601B">
        <w:t xml:space="preserve"> </w:t>
      </w:r>
      <w:r w:rsidRPr="008248A7">
        <w:t xml:space="preserve">a semi-hard </w:t>
      </w:r>
      <w:r w:rsidR="00D57708" w:rsidRPr="002252EB">
        <w:t>object</w:t>
      </w:r>
      <w:r w:rsidRPr="008248A7">
        <w:t xml:space="preserve">, e.g., a wood block or a plastic mallet, etc. </w:t>
      </w:r>
      <w:r w:rsidR="004F141C">
        <w:t>and immediately place the tuning fork 2.5 cm to 10 cm away from the receiver</w:t>
      </w:r>
      <w:r w:rsidR="0086601B">
        <w:t xml:space="preserve"> (</w:t>
      </w:r>
      <w:r w:rsidR="00470404">
        <w:t>a</w:t>
      </w:r>
      <w:r w:rsidR="0086601B">
        <w:t>lternatively, strike the tuning fork with the material while it is placed near the receiver)</w:t>
      </w:r>
      <w:r w:rsidR="00197149">
        <w:t xml:space="preserve">. </w:t>
      </w:r>
      <w:r w:rsidRPr="008248A7">
        <w:t>Never use a metallic or stone object</w:t>
      </w:r>
      <w:r w:rsidR="0086601B">
        <w:t xml:space="preserve"> to strike the tuning fork</w:t>
      </w:r>
      <w:r w:rsidR="00197149">
        <w:t xml:space="preserve">. </w:t>
      </w:r>
      <w:r w:rsidR="00AD0FE8">
        <w:t xml:space="preserve">Observe the frequency </w:t>
      </w:r>
      <w:r w:rsidR="00AD0FE8">
        <w:lastRenderedPageBreak/>
        <w:t>immediately and r</w:t>
      </w:r>
      <w:r w:rsidRPr="008248A7">
        <w:t>ecord the frequency</w:t>
      </w:r>
      <w:r w:rsidR="00E93A04">
        <w:t xml:space="preserve"> and temperature at the time of the measurement</w:t>
      </w:r>
      <w:r w:rsidRPr="008248A7">
        <w:t>.</w:t>
      </w:r>
    </w:p>
    <w:p w14:paraId="4A32E35B" w14:textId="13E04714" w:rsidR="00892764" w:rsidRPr="008248A7" w:rsidRDefault="00892764" w:rsidP="0013469E">
      <w:pPr>
        <w:pStyle w:val="Heading3"/>
        <w:keepNext w:val="0"/>
        <w:keepLines w:val="0"/>
      </w:pPr>
      <w:r w:rsidRPr="008248A7">
        <w:t>Repeat previous step with the tuning fork grasped 180 degrees from the first reading (flip the tuning fork over) and striking the alternate tine.</w:t>
      </w:r>
    </w:p>
    <w:p w14:paraId="145C9DBC" w14:textId="4CE5B164" w:rsidR="00892764" w:rsidRPr="008248A7" w:rsidRDefault="00892764" w:rsidP="0013469E">
      <w:pPr>
        <w:pStyle w:val="Heading3"/>
        <w:keepNext w:val="0"/>
        <w:keepLines w:val="0"/>
      </w:pPr>
      <w:r w:rsidRPr="008248A7">
        <w:t>Repeat previous step again with the tuning fork grasped 180 degrees from the second reading (flip the tuning fork over again) and strike the original tine.</w:t>
      </w:r>
    </w:p>
    <w:p w14:paraId="401C00D3" w14:textId="6C94AC4D" w:rsidR="00892764" w:rsidRDefault="00725029" w:rsidP="0013469E">
      <w:pPr>
        <w:pStyle w:val="Heading3"/>
        <w:keepNext w:val="0"/>
        <w:keepLines w:val="0"/>
      </w:pPr>
      <w:r>
        <w:t xml:space="preserve">Record the </w:t>
      </w:r>
      <w:r w:rsidRPr="00377A35">
        <w:t>a</w:t>
      </w:r>
      <w:r w:rsidR="00892764" w:rsidRPr="00377A35">
        <w:t>verage</w:t>
      </w:r>
      <w:r w:rsidR="00377A35">
        <w:t xml:space="preserve"> </w:t>
      </w:r>
      <w:r w:rsidR="00713585" w:rsidRPr="00377A35">
        <w:t>of the</w:t>
      </w:r>
      <w:r w:rsidR="00713585">
        <w:t xml:space="preserve"> </w:t>
      </w:r>
      <w:r w:rsidR="00892764" w:rsidRPr="008248A7">
        <w:t xml:space="preserve">three </w:t>
      </w:r>
      <w:r>
        <w:t xml:space="preserve">recorded </w:t>
      </w:r>
      <w:r w:rsidR="00892764" w:rsidRPr="008248A7">
        <w:t>readings</w:t>
      </w:r>
      <w:r>
        <w:t xml:space="preserve"> </w:t>
      </w:r>
      <w:r w:rsidR="00892764" w:rsidRPr="008248A7">
        <w:t>as the oscillation frequency of the tuning fork.</w:t>
      </w:r>
    </w:p>
    <w:p w14:paraId="2A76088F" w14:textId="43023918" w:rsidR="00892764" w:rsidRPr="00892764" w:rsidRDefault="00892764" w:rsidP="00B82BBE">
      <w:pPr>
        <w:pStyle w:val="Heading2"/>
        <w:keepNext w:val="0"/>
        <w:keepLines w:val="0"/>
      </w:pPr>
      <w:r w:rsidRPr="00892764">
        <w:t>Take readings of an acoustic frequency emitting device.</w:t>
      </w:r>
      <w:r w:rsidR="008248A7">
        <w:rPr>
          <w:b/>
        </w:rPr>
        <w:tab/>
      </w:r>
    </w:p>
    <w:p w14:paraId="0D330FCC" w14:textId="31E9E022" w:rsidR="00892764" w:rsidRPr="00892764" w:rsidRDefault="00892764" w:rsidP="00B82BBE">
      <w:pPr>
        <w:pStyle w:val="Heading3"/>
        <w:keepNext w:val="0"/>
        <w:keepLines w:val="0"/>
      </w:pPr>
      <w:r w:rsidRPr="00892764">
        <w:t>Utilize a microphone for this process</w:t>
      </w:r>
      <w:r w:rsidR="00197149">
        <w:t xml:space="preserve">. </w:t>
      </w:r>
    </w:p>
    <w:p w14:paraId="2790952A" w14:textId="589F7AD5" w:rsidR="00892764" w:rsidRPr="00892764" w:rsidRDefault="00892764" w:rsidP="00B82BBE">
      <w:pPr>
        <w:pStyle w:val="Heading3"/>
        <w:keepNext w:val="0"/>
        <w:keepLines w:val="0"/>
      </w:pPr>
      <w:r w:rsidRPr="00892764">
        <w:t>Strike the acoustic frequency emitting device with a semi-hard instrument, e.g., a wood block or a plastic mallet, etc</w:t>
      </w:r>
      <w:r w:rsidR="004F141C">
        <w:t>. while the system is placed 2.5 cm to 10 cm away from the receiver</w:t>
      </w:r>
      <w:r w:rsidR="00197149">
        <w:t xml:space="preserve">. </w:t>
      </w:r>
      <w:r w:rsidRPr="00892764">
        <w:t>Never use a metallic or stone object</w:t>
      </w:r>
      <w:r w:rsidR="00197149">
        <w:t xml:space="preserve">. </w:t>
      </w:r>
      <w:r w:rsidR="004F141C">
        <w:t xml:space="preserve">Observe </w:t>
      </w:r>
      <w:r w:rsidRPr="00892764">
        <w:t>the frequency</w:t>
      </w:r>
      <w:r w:rsidR="00AD0FE8">
        <w:t xml:space="preserve"> immediately</w:t>
      </w:r>
      <w:r w:rsidR="004F141C">
        <w:t xml:space="preserve"> and record the frequency and temperature</w:t>
      </w:r>
      <w:r w:rsidRPr="00892764">
        <w:t>.</w:t>
      </w:r>
    </w:p>
    <w:p w14:paraId="3F571DCB" w14:textId="79947D5B" w:rsidR="00892764" w:rsidRPr="00892764" w:rsidRDefault="00892764" w:rsidP="00B82BBE">
      <w:pPr>
        <w:pStyle w:val="Heading3"/>
        <w:keepNext w:val="0"/>
        <w:keepLines w:val="0"/>
      </w:pPr>
      <w:r w:rsidRPr="00892764">
        <w:t>Repeat the process until a minimum of three stable observations are achieved</w:t>
      </w:r>
      <w:r w:rsidR="00197149">
        <w:t xml:space="preserve">. </w:t>
      </w:r>
      <w:r w:rsidRPr="00892764">
        <w:t>This may involve adjusting the proximity of the microphone to the device being tested.</w:t>
      </w:r>
    </w:p>
    <w:p w14:paraId="139AB12B" w14:textId="38FC8429" w:rsidR="00892764" w:rsidRDefault="00892764" w:rsidP="00B82BBE">
      <w:pPr>
        <w:pStyle w:val="Heading3"/>
        <w:keepNext w:val="0"/>
        <w:keepLines w:val="0"/>
      </w:pPr>
      <w:r w:rsidRPr="00892764">
        <w:t xml:space="preserve">Average the stable </w:t>
      </w:r>
      <w:r w:rsidR="00725029">
        <w:t xml:space="preserve">frequency </w:t>
      </w:r>
      <w:r w:rsidRPr="00892764">
        <w:t>observations and record this as the frequency</w:t>
      </w:r>
      <w:r w:rsidR="00725029">
        <w:t xml:space="preserve"> for the item being calibrated</w:t>
      </w:r>
      <w:r w:rsidRPr="00892764">
        <w:t xml:space="preserve">. </w:t>
      </w:r>
    </w:p>
    <w:p w14:paraId="6EA1B40C" w14:textId="2582423B" w:rsidR="00892764" w:rsidRPr="00892764" w:rsidRDefault="00892764" w:rsidP="008248A7">
      <w:pPr>
        <w:pStyle w:val="Heading1"/>
      </w:pPr>
      <w:r w:rsidRPr="00892764">
        <w:t xml:space="preserve">Calculations for </w:t>
      </w:r>
      <w:r w:rsidR="00B82BBE">
        <w:t>T</w:t>
      </w:r>
      <w:r w:rsidRPr="00892764">
        <w:t xml:space="preserve">uning </w:t>
      </w:r>
      <w:r w:rsidR="00B82BBE">
        <w:t>F</w:t>
      </w:r>
      <w:r w:rsidRPr="00892764">
        <w:t>ork</w:t>
      </w:r>
      <w:r w:rsidR="00B82BBE">
        <w:t>s</w:t>
      </w:r>
      <w:r w:rsidRPr="00892764">
        <w:t>.</w:t>
      </w:r>
    </w:p>
    <w:p w14:paraId="7F58A7F7" w14:textId="2A6CDB0A" w:rsidR="001C7DA3" w:rsidRDefault="00892764" w:rsidP="001C7DA3">
      <w:pPr>
        <w:pStyle w:val="Heading2"/>
      </w:pPr>
      <w:r w:rsidRPr="00892764">
        <w:t xml:space="preserve">Multiply the </w:t>
      </w:r>
      <w:r w:rsidR="00463626">
        <w:t xml:space="preserve">average </w:t>
      </w:r>
      <w:r w:rsidR="002252EB">
        <w:t xml:space="preserve">recorded </w:t>
      </w:r>
      <w:r w:rsidR="00463626">
        <w:t xml:space="preserve">measurement result </w:t>
      </w:r>
      <w:r w:rsidRPr="00892764">
        <w:t xml:space="preserve">(tuning fork oscillation frequency) by the appropriate </w:t>
      </w:r>
      <w:r w:rsidR="00A97D4D">
        <w:t xml:space="preserve">conversion </w:t>
      </w:r>
      <w:r w:rsidRPr="00892764">
        <w:t>factor shown</w:t>
      </w:r>
      <w:r w:rsidR="00713000">
        <w:t xml:space="preserve"> </w:t>
      </w:r>
      <w:r w:rsidR="00713000" w:rsidRPr="00377A35">
        <w:t xml:space="preserve">in </w:t>
      </w:r>
      <w:r w:rsidR="002252EB" w:rsidRPr="002252EB">
        <w:fldChar w:fldCharType="begin"/>
      </w:r>
      <w:r w:rsidR="002252EB" w:rsidRPr="002252EB">
        <w:instrText xml:space="preserve"> REF _Ref510521345 \h </w:instrText>
      </w:r>
      <w:r w:rsidR="002252EB">
        <w:instrText xml:space="preserve"> \* MERGEFORMAT </w:instrText>
      </w:r>
      <w:r w:rsidR="002252EB" w:rsidRPr="002252EB">
        <w:fldChar w:fldCharType="separate"/>
      </w:r>
      <w:r w:rsidR="008E3033">
        <w:t xml:space="preserve">Table </w:t>
      </w:r>
      <w:r w:rsidR="008E3033">
        <w:rPr>
          <w:noProof/>
        </w:rPr>
        <w:t>4</w:t>
      </w:r>
      <w:r w:rsidR="002252EB" w:rsidRPr="002252EB">
        <w:fldChar w:fldCharType="end"/>
      </w:r>
      <w:r w:rsidR="0086601B">
        <w:t xml:space="preserve"> or use Equation 2 as shown in section </w:t>
      </w:r>
      <w:r w:rsidR="0086601B">
        <w:fldChar w:fldCharType="begin"/>
      </w:r>
      <w:r w:rsidR="0086601B">
        <w:instrText xml:space="preserve"> REF _Ref510437023 \r \h </w:instrText>
      </w:r>
      <w:r w:rsidR="0086601B">
        <w:fldChar w:fldCharType="separate"/>
      </w:r>
      <w:r w:rsidR="008E3033">
        <w:t>3.2</w:t>
      </w:r>
      <w:r w:rsidR="0086601B">
        <w:fldChar w:fldCharType="end"/>
      </w:r>
      <w:r w:rsidR="00713000" w:rsidRPr="00377A35">
        <w:t>.</w:t>
      </w:r>
      <w:r w:rsidR="00A97D4D">
        <w:t xml:space="preserve"> The </w:t>
      </w:r>
      <w:r w:rsidR="0023614A">
        <w:t xml:space="preserve">calculation of the tuning fork </w:t>
      </w:r>
      <w:r w:rsidR="001C7DA3">
        <w:t>speed</w:t>
      </w:r>
      <w:r w:rsidR="006803B4">
        <w:t>, in miles per hour,</w:t>
      </w:r>
      <w:r w:rsidR="001C7DA3">
        <w:t xml:space="preserve"> </w:t>
      </w:r>
      <w:r w:rsidR="00A97D4D">
        <w:t>is determined from Eqn</w:t>
      </w:r>
      <w:r w:rsidR="006803B4">
        <w:t>.</w:t>
      </w:r>
      <w:r w:rsidRPr="00892764">
        <w:t xml:space="preserve"> </w:t>
      </w:r>
      <w:r w:rsidR="00A97D4D">
        <w:t>1</w:t>
      </w:r>
      <w:r w:rsidR="000D52D6">
        <w:t>.</w:t>
      </w:r>
      <w:r w:rsidR="00A97D4D">
        <w:t xml:space="preserve"> </w:t>
      </w:r>
      <w:r w:rsidR="001C7DA3" w:rsidRPr="001C7DA3">
        <w:t xml:space="preserve">The speed of light is slower in air than the defined vacuum speed. </w:t>
      </w:r>
    </w:p>
    <w:p w14:paraId="6930CAB9" w14:textId="6DCAF809" w:rsidR="008E3033" w:rsidRPr="008E3033" w:rsidRDefault="008E3033" w:rsidP="008E3033">
      <w:pPr>
        <w:pStyle w:val="MTDisplayEquation"/>
      </w:pPr>
      <w:r>
        <w:tab/>
      </w:r>
      <w:r w:rsidRPr="008E3033">
        <w:rPr>
          <w:position w:val="-30"/>
        </w:rPr>
        <w:object w:dxaOrig="1080" w:dyaOrig="680" w14:anchorId="4CA96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3.75pt" o:ole="">
            <v:imagedata r:id="rId9" o:title=""/>
          </v:shape>
          <o:OLEObject Type="Embed" ProgID="Equation.DSMT4" ShapeID="_x0000_i1025" DrawAspect="Content" ObjectID="_1619610974" r:id="rId10"/>
        </w:object>
      </w:r>
      <w:r>
        <w:t xml:space="preserve"> </w:t>
      </w:r>
      <w:r>
        <w:tab/>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3F6E04">
        <w:rPr>
          <w:noProof/>
        </w:rPr>
        <w:fldChar w:fldCharType="begin"/>
      </w:r>
      <w:r w:rsidR="003F6E04">
        <w:rPr>
          <w:noProof/>
        </w:rPr>
        <w:instrText xml:space="preserve"> SEQ MTEqn \c \* Arabic \* MERGEFORMAT </w:instrText>
      </w:r>
      <w:r w:rsidR="003F6E04">
        <w:rPr>
          <w:noProof/>
        </w:rPr>
        <w:fldChar w:fldCharType="separate"/>
      </w:r>
      <w:r>
        <w:rPr>
          <w:noProof/>
        </w:rPr>
        <w:instrText>1</w:instrText>
      </w:r>
      <w:r w:rsidR="003F6E04">
        <w:rPr>
          <w:noProof/>
        </w:rPr>
        <w:fldChar w:fldCharType="end"/>
      </w:r>
      <w:r>
        <w:instrText>)</w:instrText>
      </w:r>
      <w:r>
        <w:fldChar w:fldCharType="end"/>
      </w:r>
    </w:p>
    <w:p w14:paraId="5B4BA04A" w14:textId="64679072" w:rsidR="000D52D6" w:rsidRDefault="000D52D6" w:rsidP="006803B4">
      <w:pPr>
        <w:pStyle w:val="Heading3"/>
      </w:pPr>
      <w:r>
        <w:lastRenderedPageBreak/>
        <w:t>Symbols Used in this Procedure</w:t>
      </w:r>
    </w:p>
    <w:p w14:paraId="7F5129BF" w14:textId="0F5F0359" w:rsidR="000D52D6" w:rsidRPr="00F97902" w:rsidRDefault="000D52D6" w:rsidP="006803B4">
      <w:pPr>
        <w:pStyle w:val="Heading3"/>
        <w:numPr>
          <w:ilvl w:val="0"/>
          <w:numId w:val="0"/>
        </w:numPr>
        <w:spacing w:after="0"/>
        <w:ind w:left="2160"/>
        <w:rPr>
          <w:b/>
          <w:sz w:val="22"/>
        </w:rPr>
      </w:pPr>
      <w:r w:rsidRPr="00F97902">
        <w:rPr>
          <w:b/>
          <w:sz w:val="22"/>
        </w:rPr>
        <w:t xml:space="preserve">Table </w:t>
      </w:r>
      <w:r w:rsidRPr="00F97902">
        <w:rPr>
          <w:b/>
          <w:sz w:val="22"/>
        </w:rPr>
        <w:fldChar w:fldCharType="begin"/>
      </w:r>
      <w:r w:rsidRPr="00F97902">
        <w:rPr>
          <w:b/>
          <w:sz w:val="22"/>
        </w:rPr>
        <w:instrText xml:space="preserve"> SEQ Table \* ARABIC </w:instrText>
      </w:r>
      <w:r w:rsidRPr="00F97902">
        <w:rPr>
          <w:b/>
          <w:sz w:val="22"/>
        </w:rPr>
        <w:fldChar w:fldCharType="separate"/>
      </w:r>
      <w:r w:rsidR="008E3033">
        <w:rPr>
          <w:b/>
          <w:noProof/>
          <w:sz w:val="22"/>
        </w:rPr>
        <w:t>3</w:t>
      </w:r>
      <w:r w:rsidRPr="00F97902">
        <w:rPr>
          <w:b/>
          <w:sz w:val="22"/>
        </w:rPr>
        <w:fldChar w:fldCharType="end"/>
      </w:r>
      <w:r w:rsidRPr="00F97902">
        <w:rPr>
          <w:b/>
          <w:sz w:val="22"/>
        </w:rPr>
        <w:t>. Symbols used in the procedure.</w:t>
      </w:r>
    </w:p>
    <w:tbl>
      <w:tblPr>
        <w:tblStyle w:val="TableGrid"/>
        <w:tblW w:w="0" w:type="auto"/>
        <w:tblInd w:w="20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symbols used in this procedure"/>
        <w:tblDescription w:val="Symbol Description&#10;v calculated speed for the tuning fork in miles per hour (mph)&#10;fd measured tuning fork frequency&#10;c speed of light in miles per hour; The speed of light is an internationally accepted constant defined to be exactly 299 792 458 m/s (approximately 670 616 629.384 395 1 mph). The offset amount, considered insignificant here, is determined by air pressure, humidity, temperature, pollution amount and type, etc.&#10;f0 designated radar band frequency&#10;"/>
      </w:tblPr>
      <w:tblGrid>
        <w:gridCol w:w="1620"/>
        <w:gridCol w:w="5295"/>
      </w:tblGrid>
      <w:tr w:rsidR="000D52D6" w14:paraId="69DEBAEF" w14:textId="77777777" w:rsidTr="006803B4">
        <w:trPr>
          <w:tblHeader/>
        </w:trPr>
        <w:tc>
          <w:tcPr>
            <w:tcW w:w="1620" w:type="dxa"/>
            <w:tcBorders>
              <w:top w:val="double" w:sz="4" w:space="0" w:color="auto"/>
              <w:bottom w:val="double" w:sz="4" w:space="0" w:color="auto"/>
            </w:tcBorders>
            <w:vAlign w:val="center"/>
          </w:tcPr>
          <w:p w14:paraId="67BB6FAF" w14:textId="77777777" w:rsidR="000D52D6" w:rsidRPr="000B6E18" w:rsidRDefault="000D52D6" w:rsidP="006803B4">
            <w:pPr>
              <w:keepNext/>
              <w:jc w:val="center"/>
              <w:rPr>
                <w:b/>
                <w:sz w:val="22"/>
              </w:rPr>
            </w:pPr>
            <w:r w:rsidRPr="000B6E18">
              <w:rPr>
                <w:b/>
                <w:color w:val="000000"/>
                <w:sz w:val="22"/>
              </w:rPr>
              <w:t>Symbol</w:t>
            </w:r>
          </w:p>
        </w:tc>
        <w:tc>
          <w:tcPr>
            <w:tcW w:w="5295" w:type="dxa"/>
            <w:tcBorders>
              <w:top w:val="double" w:sz="4" w:space="0" w:color="auto"/>
              <w:bottom w:val="double" w:sz="4" w:space="0" w:color="auto"/>
            </w:tcBorders>
            <w:vAlign w:val="center"/>
          </w:tcPr>
          <w:p w14:paraId="1CB86A9D" w14:textId="77777777" w:rsidR="000D52D6" w:rsidRPr="000B6E18" w:rsidRDefault="000D52D6" w:rsidP="006803B4">
            <w:pPr>
              <w:keepNext/>
              <w:jc w:val="center"/>
              <w:rPr>
                <w:b/>
                <w:sz w:val="22"/>
              </w:rPr>
            </w:pPr>
            <w:r w:rsidRPr="000B6E18">
              <w:rPr>
                <w:b/>
                <w:color w:val="000000"/>
                <w:sz w:val="22"/>
              </w:rPr>
              <w:t>Description</w:t>
            </w:r>
          </w:p>
        </w:tc>
      </w:tr>
      <w:tr w:rsidR="000D52D6" w14:paraId="2983ADE7" w14:textId="77777777" w:rsidTr="006803B4">
        <w:tc>
          <w:tcPr>
            <w:tcW w:w="1620" w:type="dxa"/>
            <w:tcBorders>
              <w:top w:val="double" w:sz="4" w:space="0" w:color="auto"/>
            </w:tcBorders>
          </w:tcPr>
          <w:p w14:paraId="20B661FB" w14:textId="75665DD7" w:rsidR="000D52D6" w:rsidRPr="000B6E18" w:rsidRDefault="000D52D6" w:rsidP="006803B4">
            <w:pPr>
              <w:keepNext/>
              <w:jc w:val="center"/>
              <w:rPr>
                <w:i/>
                <w:sz w:val="22"/>
              </w:rPr>
            </w:pPr>
            <w:r w:rsidRPr="00A97D4D">
              <w:rPr>
                <w:i/>
              </w:rPr>
              <w:t>v</w:t>
            </w:r>
          </w:p>
        </w:tc>
        <w:tc>
          <w:tcPr>
            <w:tcW w:w="5295" w:type="dxa"/>
            <w:tcBorders>
              <w:top w:val="double" w:sz="4" w:space="0" w:color="auto"/>
            </w:tcBorders>
          </w:tcPr>
          <w:p w14:paraId="0FD99707" w14:textId="3CAC7DFC" w:rsidR="000D52D6" w:rsidRPr="000B6E18" w:rsidRDefault="000D52D6" w:rsidP="006803B4">
            <w:pPr>
              <w:keepNext/>
              <w:rPr>
                <w:sz w:val="22"/>
              </w:rPr>
            </w:pPr>
            <w:r>
              <w:t>calculated speed for the tuning fork in miles per hour</w:t>
            </w:r>
            <w:r w:rsidR="008B454A">
              <w:t xml:space="preserve"> (mph)</w:t>
            </w:r>
          </w:p>
        </w:tc>
      </w:tr>
      <w:tr w:rsidR="000D52D6" w14:paraId="37191DCC" w14:textId="77777777" w:rsidTr="006803B4">
        <w:tc>
          <w:tcPr>
            <w:tcW w:w="1620" w:type="dxa"/>
          </w:tcPr>
          <w:p w14:paraId="3BB33FE6" w14:textId="7FAF26C8" w:rsidR="000D52D6" w:rsidRPr="000B6E18" w:rsidRDefault="000D52D6" w:rsidP="006803B4">
            <w:pPr>
              <w:keepNext/>
              <w:jc w:val="center"/>
              <w:rPr>
                <w:i/>
                <w:sz w:val="22"/>
              </w:rPr>
            </w:pPr>
            <w:r w:rsidRPr="00A97D4D">
              <w:rPr>
                <w:i/>
              </w:rPr>
              <w:t>f</w:t>
            </w:r>
            <w:r w:rsidRPr="00A97D4D">
              <w:rPr>
                <w:i/>
                <w:vertAlign w:val="subscript"/>
              </w:rPr>
              <w:t>d</w:t>
            </w:r>
          </w:p>
        </w:tc>
        <w:tc>
          <w:tcPr>
            <w:tcW w:w="5295" w:type="dxa"/>
          </w:tcPr>
          <w:p w14:paraId="66A7313F" w14:textId="790C873B" w:rsidR="000D52D6" w:rsidRPr="000B6E18" w:rsidRDefault="000D52D6" w:rsidP="006803B4">
            <w:pPr>
              <w:keepNext/>
              <w:rPr>
                <w:sz w:val="22"/>
              </w:rPr>
            </w:pPr>
            <w:r>
              <w:t>measured tuning fork frequency</w:t>
            </w:r>
          </w:p>
        </w:tc>
      </w:tr>
      <w:tr w:rsidR="000D52D6" w14:paraId="55A762A8" w14:textId="77777777" w:rsidTr="006803B4">
        <w:tc>
          <w:tcPr>
            <w:tcW w:w="1620" w:type="dxa"/>
          </w:tcPr>
          <w:p w14:paraId="5998E1C4" w14:textId="3B747AE8" w:rsidR="000D52D6" w:rsidRPr="000B6E18" w:rsidRDefault="000D52D6" w:rsidP="006803B4">
            <w:pPr>
              <w:keepNext/>
              <w:jc w:val="center"/>
              <w:rPr>
                <w:i/>
                <w:sz w:val="22"/>
              </w:rPr>
            </w:pPr>
            <w:r w:rsidRPr="00A97D4D">
              <w:rPr>
                <w:i/>
              </w:rPr>
              <w:t>c</w:t>
            </w:r>
          </w:p>
        </w:tc>
        <w:tc>
          <w:tcPr>
            <w:tcW w:w="5295" w:type="dxa"/>
          </w:tcPr>
          <w:p w14:paraId="591A010E" w14:textId="1538DA59" w:rsidR="000D52D6" w:rsidRPr="000B6E18" w:rsidRDefault="000D52D6" w:rsidP="006803B4">
            <w:pPr>
              <w:keepNext/>
              <w:rPr>
                <w:sz w:val="22"/>
              </w:rPr>
            </w:pPr>
            <w:r>
              <w:t xml:space="preserve">speed of light in miles per hour; </w:t>
            </w:r>
            <w:r w:rsidRPr="001C7DA3">
              <w:t xml:space="preserve">The speed of light is an internationally </w:t>
            </w:r>
            <w:r>
              <w:t xml:space="preserve">accepted </w:t>
            </w:r>
            <w:r w:rsidRPr="001C7DA3">
              <w:t>constant defined to be exactly 299</w:t>
            </w:r>
            <w:r w:rsidR="008B454A">
              <w:t> </w:t>
            </w:r>
            <w:r w:rsidRPr="001C7DA3">
              <w:t>792</w:t>
            </w:r>
            <w:r w:rsidR="008B454A">
              <w:t> </w:t>
            </w:r>
            <w:r w:rsidRPr="001C7DA3">
              <w:t>458 m/</w:t>
            </w:r>
            <w:r>
              <w:t xml:space="preserve">s </w:t>
            </w:r>
            <w:r w:rsidRPr="001C7DA3">
              <w:t>(approximately 670</w:t>
            </w:r>
            <w:r w:rsidR="008B454A">
              <w:t> </w:t>
            </w:r>
            <w:r w:rsidRPr="001C7DA3">
              <w:t>616</w:t>
            </w:r>
            <w:r w:rsidR="008B454A">
              <w:t> </w:t>
            </w:r>
            <w:r w:rsidRPr="001C7DA3">
              <w:t>629.384</w:t>
            </w:r>
            <w:r w:rsidR="008B454A">
              <w:t> </w:t>
            </w:r>
            <w:r w:rsidRPr="001C7DA3">
              <w:t>395</w:t>
            </w:r>
            <w:r w:rsidR="008B454A">
              <w:t> </w:t>
            </w:r>
            <w:r w:rsidRPr="001C7DA3">
              <w:t>1</w:t>
            </w:r>
            <w:r>
              <w:t> mph</w:t>
            </w:r>
            <w:r w:rsidRPr="001C7DA3">
              <w:t>)</w:t>
            </w:r>
            <w:r>
              <w:t xml:space="preserve">. </w:t>
            </w:r>
            <w:r w:rsidRPr="001C7DA3">
              <w:t>The offset amount, considered insignificant here, is determined by air pressure, humidity, temperature, pollution amount and type, etc.</w:t>
            </w:r>
          </w:p>
        </w:tc>
      </w:tr>
      <w:tr w:rsidR="000D52D6" w14:paraId="6247E580" w14:textId="77777777" w:rsidTr="006803B4">
        <w:tc>
          <w:tcPr>
            <w:tcW w:w="1620" w:type="dxa"/>
          </w:tcPr>
          <w:p w14:paraId="46DA8D3D" w14:textId="678CD3C2" w:rsidR="000D52D6" w:rsidRPr="000B6E18" w:rsidRDefault="000D52D6" w:rsidP="006803B4">
            <w:pPr>
              <w:keepNext/>
              <w:jc w:val="center"/>
              <w:rPr>
                <w:i/>
                <w:sz w:val="22"/>
              </w:rPr>
            </w:pPr>
            <w:r w:rsidRPr="00A97D4D">
              <w:rPr>
                <w:i/>
              </w:rPr>
              <w:t>f</w:t>
            </w:r>
            <w:r w:rsidRPr="00A97D4D">
              <w:rPr>
                <w:i/>
                <w:vertAlign w:val="subscript"/>
              </w:rPr>
              <w:t>0</w:t>
            </w:r>
          </w:p>
        </w:tc>
        <w:tc>
          <w:tcPr>
            <w:tcW w:w="5295" w:type="dxa"/>
          </w:tcPr>
          <w:p w14:paraId="4969289D" w14:textId="20A4AC45" w:rsidR="000D52D6" w:rsidRPr="000B6E18" w:rsidRDefault="000D52D6" w:rsidP="006803B4">
            <w:pPr>
              <w:keepNext/>
              <w:rPr>
                <w:sz w:val="22"/>
              </w:rPr>
            </w:pPr>
            <w:r>
              <w:t>designated radar band frequency</w:t>
            </w:r>
          </w:p>
        </w:tc>
      </w:tr>
    </w:tbl>
    <w:bookmarkStart w:id="1" w:name="_Ref510437023"/>
    <w:p w14:paraId="29439D10" w14:textId="68BC7F97" w:rsidR="00892764" w:rsidRDefault="002252EB" w:rsidP="006803B4">
      <w:pPr>
        <w:pStyle w:val="Heading2"/>
        <w:spacing w:before="240"/>
      </w:pPr>
      <w:r>
        <w:fldChar w:fldCharType="begin"/>
      </w:r>
      <w:r>
        <w:instrText xml:space="preserve"> REF _Ref510521345 \h </w:instrText>
      </w:r>
      <w:r>
        <w:fldChar w:fldCharType="separate"/>
      </w:r>
      <w:r w:rsidR="008E3033">
        <w:t xml:space="preserve">Table </w:t>
      </w:r>
      <w:r w:rsidR="008E3033">
        <w:rPr>
          <w:noProof/>
        </w:rPr>
        <w:t>4</w:t>
      </w:r>
      <w:r>
        <w:fldChar w:fldCharType="end"/>
      </w:r>
      <w:r w:rsidR="00197149">
        <w:t xml:space="preserve"> </w:t>
      </w:r>
      <w:r w:rsidR="00A97D4D">
        <w:t xml:space="preserve">has calculated </w:t>
      </w:r>
      <w:r w:rsidR="001C7DA3">
        <w:t xml:space="preserve">values for </w:t>
      </w:r>
      <w:r w:rsidR="00E22A89">
        <w:t xml:space="preserve">conversion </w:t>
      </w:r>
      <w:r w:rsidR="001C7DA3">
        <w:t xml:space="preserve">factors </w:t>
      </w:r>
      <w:r w:rsidR="006803B4">
        <w:t xml:space="preserve">from Hz to mph </w:t>
      </w:r>
      <w:r w:rsidR="00A97D4D">
        <w:t xml:space="preserve">for simplicity and is </w:t>
      </w:r>
      <w:r w:rsidR="00892764" w:rsidRPr="00892764">
        <w:t>determined by the band</w:t>
      </w:r>
      <w:r w:rsidR="006803B4">
        <w:t xml:space="preserve"> and</w:t>
      </w:r>
      <w:r w:rsidR="00892764" w:rsidRPr="00892764">
        <w:t xml:space="preserve"> </w:t>
      </w:r>
      <w:r w:rsidR="00E77320">
        <w:t xml:space="preserve">frequency </w:t>
      </w:r>
      <w:r w:rsidR="001C7DA3">
        <w:t>but may be calculated using Eqn</w:t>
      </w:r>
      <w:r w:rsidR="006803B4">
        <w:t>.</w:t>
      </w:r>
      <w:r w:rsidR="001C7DA3">
        <w:t xml:space="preserve"> 2.</w:t>
      </w:r>
      <w:r w:rsidR="00E22A89">
        <w:t xml:space="preserve"> Unique factors for Kustom Signals, Inc. forks may be required</w:t>
      </w:r>
      <w:bookmarkEnd w:id="1"/>
      <w:r w:rsidR="00197149">
        <w:t xml:space="preserve">. </w:t>
      </w:r>
    </w:p>
    <w:p w14:paraId="2277B4A0" w14:textId="289B6167" w:rsidR="0029021F" w:rsidRPr="0029021F" w:rsidRDefault="0029021F" w:rsidP="0029021F">
      <w:pPr>
        <w:pStyle w:val="MTDisplayEquation"/>
      </w:pPr>
      <w:r>
        <w:tab/>
      </w:r>
      <w:r w:rsidRPr="0029021F">
        <w:rPr>
          <w:position w:val="-30"/>
        </w:rPr>
        <w:object w:dxaOrig="2360" w:dyaOrig="680" w14:anchorId="457352B9">
          <v:shape id="_x0000_i1026" type="#_x0000_t75" style="width:117.75pt;height:33.75pt" o:ole="">
            <v:imagedata r:id="rId11" o:title=""/>
          </v:shape>
          <o:OLEObject Type="Embed" ProgID="Equation.DSMT4" ShapeID="_x0000_i1026" DrawAspect="Content" ObjectID="_1619610975" r:id="rId12"/>
        </w:object>
      </w:r>
      <w:r>
        <w:t xml:space="preserve"> </w:t>
      </w:r>
      <w:r>
        <w:tab/>
        <w:t xml:space="preserve"> </w:t>
      </w:r>
      <w:bookmarkStart w:id="2" w:name="MTUpdateHome"/>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256A12">
        <w:rPr>
          <w:noProof/>
        </w:rPr>
        <w:fldChar w:fldCharType="begin"/>
      </w:r>
      <w:r w:rsidR="00256A12">
        <w:rPr>
          <w:noProof/>
        </w:rPr>
        <w:instrText xml:space="preserve"> SEQ MTEqn \c \* Arabic \* MERGEFORMAT </w:instrText>
      </w:r>
      <w:r w:rsidR="00256A12">
        <w:rPr>
          <w:noProof/>
        </w:rPr>
        <w:fldChar w:fldCharType="separate"/>
      </w:r>
      <w:r>
        <w:rPr>
          <w:noProof/>
        </w:rPr>
        <w:instrText>2</w:instrText>
      </w:r>
      <w:r w:rsidR="00256A12">
        <w:rPr>
          <w:noProof/>
        </w:rPr>
        <w:fldChar w:fldCharType="end"/>
      </w:r>
      <w:r>
        <w:instrText>)</w:instrText>
      </w:r>
      <w:r>
        <w:fldChar w:fldCharType="end"/>
      </w:r>
      <w:bookmarkEnd w:id="2"/>
    </w:p>
    <w:p w14:paraId="387D06F3" w14:textId="79B2ACFC" w:rsidR="00463626" w:rsidRDefault="00463626" w:rsidP="007A52F5">
      <w:pPr>
        <w:pStyle w:val="Caption"/>
        <w:keepNext/>
        <w:spacing w:before="240"/>
      </w:pPr>
      <w:bookmarkStart w:id="3" w:name="_Ref510521345"/>
      <w:bookmarkStart w:id="4" w:name="_Ref510521464"/>
      <w:r>
        <w:t xml:space="preserve">Table </w:t>
      </w:r>
      <w:r w:rsidR="003F6E04">
        <w:rPr>
          <w:noProof/>
        </w:rPr>
        <w:fldChar w:fldCharType="begin"/>
      </w:r>
      <w:r w:rsidR="003F6E04">
        <w:rPr>
          <w:noProof/>
        </w:rPr>
        <w:instrText xml:space="preserve"> SEQ Table \* ARABIC </w:instrText>
      </w:r>
      <w:r w:rsidR="003F6E04">
        <w:rPr>
          <w:noProof/>
        </w:rPr>
        <w:fldChar w:fldCharType="separate"/>
      </w:r>
      <w:r w:rsidR="008E3033">
        <w:rPr>
          <w:noProof/>
        </w:rPr>
        <w:t>4</w:t>
      </w:r>
      <w:r w:rsidR="003F6E04">
        <w:rPr>
          <w:noProof/>
        </w:rPr>
        <w:fldChar w:fldCharType="end"/>
      </w:r>
      <w:bookmarkEnd w:id="3"/>
      <w:r>
        <w:t xml:space="preserve">. Tuning fork </w:t>
      </w:r>
      <w:r w:rsidR="00A97D4D">
        <w:t xml:space="preserve">conversion </w:t>
      </w:r>
      <w:r>
        <w:t>factors.</w:t>
      </w:r>
      <w:bookmarkEnd w:id="4"/>
    </w:p>
    <w:tbl>
      <w:tblPr>
        <w:tblStyle w:val="TableGrid"/>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Table 2. Tuning fork correction factors. "/>
        <w:tblDescription w:val="Correction factors for Kustom and Non-Kustom tuning forks are provided for X-band, K-band, Ka1-band, and Ka-band type forks. Band  Frequency (GHz) Conversion Factor Conversion Factor (Kustom Signals )&#10;X-band  10.525 0.031 858 3 0.031 867 4&#10;K-band  24.150 0.013 884 4 0.013 884 4&#10;Ka1-band  33.800 0.009 920 4 NA&#10;Ka-band 34.700 0.009 663 1 0.009 445 28&#10;Ka-band  35.500 0.009 445 3 &#10;"/>
      </w:tblPr>
      <w:tblGrid>
        <w:gridCol w:w="1530"/>
        <w:gridCol w:w="1581"/>
        <w:gridCol w:w="2028"/>
        <w:gridCol w:w="1971"/>
      </w:tblGrid>
      <w:tr w:rsidR="000D03B2" w14:paraId="51E33AA2" w14:textId="39ED9669" w:rsidTr="00C95D53">
        <w:trPr>
          <w:cantSplit/>
          <w:trHeight w:val="408"/>
          <w:tblHeader/>
          <w:jc w:val="right"/>
        </w:trPr>
        <w:tc>
          <w:tcPr>
            <w:tcW w:w="1530" w:type="dxa"/>
            <w:tcBorders>
              <w:top w:val="double" w:sz="4" w:space="0" w:color="auto"/>
              <w:bottom w:val="double" w:sz="4" w:space="0" w:color="auto"/>
            </w:tcBorders>
            <w:vAlign w:val="center"/>
          </w:tcPr>
          <w:p w14:paraId="2881E5A0" w14:textId="77777777" w:rsidR="000D03B2" w:rsidRDefault="000D03B2" w:rsidP="000D03B2">
            <w:pPr>
              <w:keepNext/>
              <w:jc w:val="center"/>
              <w:rPr>
                <w:b/>
                <w:sz w:val="22"/>
              </w:rPr>
            </w:pPr>
            <w:r w:rsidRPr="00463626">
              <w:rPr>
                <w:b/>
                <w:sz w:val="22"/>
              </w:rPr>
              <w:t>Band</w:t>
            </w:r>
            <w:r>
              <w:rPr>
                <w:b/>
                <w:sz w:val="22"/>
              </w:rPr>
              <w:t xml:space="preserve"> </w:t>
            </w:r>
          </w:p>
          <w:p w14:paraId="457B5108" w14:textId="0C86C00A" w:rsidR="006803B4" w:rsidRPr="00463626" w:rsidRDefault="006803B4" w:rsidP="000D03B2">
            <w:pPr>
              <w:keepNext/>
              <w:jc w:val="center"/>
              <w:rPr>
                <w:b/>
                <w:sz w:val="22"/>
              </w:rPr>
            </w:pPr>
          </w:p>
        </w:tc>
        <w:tc>
          <w:tcPr>
            <w:tcW w:w="1581" w:type="dxa"/>
            <w:tcBorders>
              <w:top w:val="double" w:sz="4" w:space="0" w:color="auto"/>
              <w:bottom w:val="double" w:sz="4" w:space="0" w:color="auto"/>
            </w:tcBorders>
            <w:vAlign w:val="center"/>
          </w:tcPr>
          <w:p w14:paraId="26E075C7" w14:textId="620E8C4E" w:rsidR="000D03B2" w:rsidRPr="00463626" w:rsidRDefault="000D03B2" w:rsidP="000D03B2">
            <w:pPr>
              <w:keepNext/>
              <w:jc w:val="center"/>
              <w:rPr>
                <w:b/>
                <w:sz w:val="22"/>
              </w:rPr>
            </w:pPr>
            <w:r>
              <w:rPr>
                <w:b/>
                <w:sz w:val="22"/>
              </w:rPr>
              <w:t>Frequency (GHz)</w:t>
            </w:r>
          </w:p>
        </w:tc>
        <w:tc>
          <w:tcPr>
            <w:tcW w:w="2028" w:type="dxa"/>
            <w:tcBorders>
              <w:top w:val="double" w:sz="4" w:space="0" w:color="auto"/>
              <w:bottom w:val="double" w:sz="4" w:space="0" w:color="auto"/>
            </w:tcBorders>
            <w:vAlign w:val="center"/>
          </w:tcPr>
          <w:p w14:paraId="0C130CEB" w14:textId="2092F824" w:rsidR="000D03B2" w:rsidRPr="00463626" w:rsidRDefault="000D03B2" w:rsidP="000D03B2">
            <w:pPr>
              <w:keepNext/>
              <w:jc w:val="center"/>
              <w:rPr>
                <w:b/>
                <w:sz w:val="22"/>
              </w:rPr>
            </w:pPr>
            <w:r>
              <w:rPr>
                <w:b/>
                <w:sz w:val="22"/>
              </w:rPr>
              <w:t>Conversion Factor</w:t>
            </w:r>
          </w:p>
        </w:tc>
        <w:tc>
          <w:tcPr>
            <w:tcW w:w="1971" w:type="dxa"/>
            <w:tcBorders>
              <w:top w:val="double" w:sz="4" w:space="0" w:color="auto"/>
              <w:bottom w:val="double" w:sz="4" w:space="0" w:color="auto"/>
            </w:tcBorders>
            <w:vAlign w:val="center"/>
          </w:tcPr>
          <w:p w14:paraId="6AB010FC" w14:textId="0A754F1B" w:rsidR="000D03B2" w:rsidRDefault="000D03B2" w:rsidP="000D03B2">
            <w:pPr>
              <w:keepNext/>
              <w:jc w:val="center"/>
              <w:rPr>
                <w:b/>
                <w:sz w:val="22"/>
              </w:rPr>
            </w:pPr>
            <w:r>
              <w:rPr>
                <w:b/>
                <w:sz w:val="22"/>
              </w:rPr>
              <w:t>Conversion Factor (Kustom Signals</w:t>
            </w:r>
            <w:r>
              <w:rPr>
                <w:rStyle w:val="FootnoteReference"/>
                <w:b/>
                <w:sz w:val="22"/>
              </w:rPr>
              <w:footnoteReference w:id="2"/>
            </w:r>
            <w:r>
              <w:rPr>
                <w:b/>
                <w:sz w:val="22"/>
              </w:rPr>
              <w:t>)</w:t>
            </w:r>
          </w:p>
        </w:tc>
      </w:tr>
      <w:tr w:rsidR="000D03B2" w14:paraId="539953B6" w14:textId="7F888163" w:rsidTr="00C95D53">
        <w:trPr>
          <w:cantSplit/>
          <w:trHeight w:val="408"/>
          <w:jc w:val="right"/>
        </w:trPr>
        <w:tc>
          <w:tcPr>
            <w:tcW w:w="1530" w:type="dxa"/>
            <w:tcBorders>
              <w:top w:val="double" w:sz="4" w:space="0" w:color="auto"/>
            </w:tcBorders>
            <w:vAlign w:val="center"/>
          </w:tcPr>
          <w:p w14:paraId="154D3996" w14:textId="323F225E" w:rsidR="000D03B2" w:rsidRPr="00725029" w:rsidRDefault="000D03B2" w:rsidP="000D03B2">
            <w:pPr>
              <w:keepNext/>
              <w:jc w:val="center"/>
              <w:rPr>
                <w:sz w:val="22"/>
              </w:rPr>
            </w:pPr>
            <w:r w:rsidRPr="00725029">
              <w:rPr>
                <w:sz w:val="22"/>
              </w:rPr>
              <w:t>X-band</w:t>
            </w:r>
            <w:r>
              <w:rPr>
                <w:sz w:val="22"/>
              </w:rPr>
              <w:t xml:space="preserve"> </w:t>
            </w:r>
          </w:p>
        </w:tc>
        <w:tc>
          <w:tcPr>
            <w:tcW w:w="1581" w:type="dxa"/>
            <w:tcBorders>
              <w:top w:val="double" w:sz="4" w:space="0" w:color="auto"/>
            </w:tcBorders>
            <w:vAlign w:val="center"/>
          </w:tcPr>
          <w:p w14:paraId="4EA6F613" w14:textId="2AD704BD" w:rsidR="000D03B2" w:rsidRPr="00463626" w:rsidRDefault="000D03B2" w:rsidP="00C95D53">
            <w:pPr>
              <w:keepNext/>
              <w:tabs>
                <w:tab w:val="decimal" w:pos="616"/>
              </w:tabs>
              <w:rPr>
                <w:sz w:val="22"/>
              </w:rPr>
            </w:pPr>
            <w:r>
              <w:rPr>
                <w:sz w:val="22"/>
              </w:rPr>
              <w:t>10.525</w:t>
            </w:r>
          </w:p>
        </w:tc>
        <w:tc>
          <w:tcPr>
            <w:tcW w:w="2028" w:type="dxa"/>
            <w:tcBorders>
              <w:top w:val="double" w:sz="4" w:space="0" w:color="auto"/>
            </w:tcBorders>
            <w:vAlign w:val="center"/>
          </w:tcPr>
          <w:p w14:paraId="763B14C9" w14:textId="1B1BD3E6" w:rsidR="000D03B2" w:rsidRPr="00463626" w:rsidRDefault="000D03B2" w:rsidP="000D03B2">
            <w:pPr>
              <w:keepNext/>
              <w:tabs>
                <w:tab w:val="decimal" w:pos="136"/>
              </w:tabs>
              <w:jc w:val="center"/>
              <w:rPr>
                <w:sz w:val="22"/>
              </w:rPr>
            </w:pPr>
            <w:r w:rsidRPr="00463626">
              <w:rPr>
                <w:sz w:val="22"/>
              </w:rPr>
              <w:t>0.031</w:t>
            </w:r>
            <w:r w:rsidR="008B454A">
              <w:rPr>
                <w:sz w:val="22"/>
              </w:rPr>
              <w:t> </w:t>
            </w:r>
            <w:r w:rsidRPr="00463626">
              <w:rPr>
                <w:sz w:val="22"/>
              </w:rPr>
              <w:t>858</w:t>
            </w:r>
            <w:r w:rsidR="008B454A">
              <w:rPr>
                <w:sz w:val="22"/>
              </w:rPr>
              <w:t> </w:t>
            </w:r>
            <w:r w:rsidRPr="00463626">
              <w:rPr>
                <w:sz w:val="22"/>
              </w:rPr>
              <w:t>3</w:t>
            </w:r>
          </w:p>
        </w:tc>
        <w:tc>
          <w:tcPr>
            <w:tcW w:w="1971" w:type="dxa"/>
            <w:tcBorders>
              <w:top w:val="double" w:sz="4" w:space="0" w:color="auto"/>
            </w:tcBorders>
            <w:vAlign w:val="center"/>
          </w:tcPr>
          <w:p w14:paraId="32D8BE1C" w14:textId="3C85AAD4" w:rsidR="000D03B2" w:rsidRPr="00463626" w:rsidRDefault="00664BD5" w:rsidP="000D03B2">
            <w:pPr>
              <w:keepNext/>
              <w:tabs>
                <w:tab w:val="decimal" w:pos="136"/>
              </w:tabs>
              <w:jc w:val="center"/>
              <w:rPr>
                <w:sz w:val="22"/>
              </w:rPr>
            </w:pPr>
            <w:r w:rsidRPr="00664BD5">
              <w:rPr>
                <w:sz w:val="22"/>
              </w:rPr>
              <w:t>0.031</w:t>
            </w:r>
            <w:r w:rsidR="008B454A">
              <w:rPr>
                <w:sz w:val="22"/>
              </w:rPr>
              <w:t> </w:t>
            </w:r>
            <w:r w:rsidRPr="00664BD5">
              <w:rPr>
                <w:sz w:val="22"/>
              </w:rPr>
              <w:t>867</w:t>
            </w:r>
            <w:r w:rsidR="008B454A">
              <w:rPr>
                <w:sz w:val="22"/>
              </w:rPr>
              <w:t> </w:t>
            </w:r>
            <w:r w:rsidRPr="00664BD5">
              <w:rPr>
                <w:sz w:val="22"/>
              </w:rPr>
              <w:t>4</w:t>
            </w:r>
          </w:p>
        </w:tc>
      </w:tr>
      <w:tr w:rsidR="000D03B2" w14:paraId="170C19DB" w14:textId="4001F77D" w:rsidTr="00C95D53">
        <w:trPr>
          <w:cantSplit/>
          <w:trHeight w:val="408"/>
          <w:jc w:val="right"/>
        </w:trPr>
        <w:tc>
          <w:tcPr>
            <w:tcW w:w="1530" w:type="dxa"/>
            <w:vAlign w:val="center"/>
          </w:tcPr>
          <w:p w14:paraId="3C2D4E26" w14:textId="3B163502" w:rsidR="000D03B2" w:rsidRPr="00725029" w:rsidRDefault="000D03B2" w:rsidP="000D03B2">
            <w:pPr>
              <w:keepNext/>
              <w:jc w:val="center"/>
              <w:rPr>
                <w:sz w:val="22"/>
              </w:rPr>
            </w:pPr>
            <w:r w:rsidRPr="00725029">
              <w:rPr>
                <w:sz w:val="22"/>
              </w:rPr>
              <w:t>K-band</w:t>
            </w:r>
            <w:r>
              <w:rPr>
                <w:sz w:val="22"/>
              </w:rPr>
              <w:t xml:space="preserve"> </w:t>
            </w:r>
          </w:p>
        </w:tc>
        <w:tc>
          <w:tcPr>
            <w:tcW w:w="1581" w:type="dxa"/>
            <w:vAlign w:val="center"/>
          </w:tcPr>
          <w:p w14:paraId="311BEA43" w14:textId="45CFE4D2" w:rsidR="000D03B2" w:rsidRPr="00463626" w:rsidRDefault="000D03B2" w:rsidP="00C95D53">
            <w:pPr>
              <w:keepNext/>
              <w:tabs>
                <w:tab w:val="decimal" w:pos="616"/>
              </w:tabs>
              <w:rPr>
                <w:sz w:val="22"/>
              </w:rPr>
            </w:pPr>
            <w:r>
              <w:rPr>
                <w:sz w:val="22"/>
              </w:rPr>
              <w:t>24.150</w:t>
            </w:r>
          </w:p>
        </w:tc>
        <w:tc>
          <w:tcPr>
            <w:tcW w:w="2028" w:type="dxa"/>
            <w:vAlign w:val="center"/>
          </w:tcPr>
          <w:p w14:paraId="16F6D9BE" w14:textId="54B0C709" w:rsidR="000D03B2" w:rsidRPr="00463626" w:rsidRDefault="000D03B2" w:rsidP="000D03B2">
            <w:pPr>
              <w:keepNext/>
              <w:tabs>
                <w:tab w:val="decimal" w:pos="586"/>
                <w:tab w:val="decimal" w:pos="676"/>
              </w:tabs>
              <w:jc w:val="center"/>
              <w:rPr>
                <w:sz w:val="22"/>
              </w:rPr>
            </w:pPr>
            <w:r w:rsidRPr="00463626">
              <w:rPr>
                <w:sz w:val="22"/>
              </w:rPr>
              <w:t>0.013</w:t>
            </w:r>
            <w:r w:rsidR="008B454A">
              <w:rPr>
                <w:sz w:val="22"/>
              </w:rPr>
              <w:t> </w:t>
            </w:r>
            <w:r w:rsidRPr="00463626">
              <w:rPr>
                <w:sz w:val="22"/>
              </w:rPr>
              <w:t>884</w:t>
            </w:r>
            <w:r w:rsidR="008B454A">
              <w:rPr>
                <w:sz w:val="22"/>
              </w:rPr>
              <w:t> </w:t>
            </w:r>
            <w:r w:rsidRPr="00463626">
              <w:rPr>
                <w:sz w:val="22"/>
              </w:rPr>
              <w:t>4</w:t>
            </w:r>
          </w:p>
        </w:tc>
        <w:tc>
          <w:tcPr>
            <w:tcW w:w="1971" w:type="dxa"/>
            <w:vAlign w:val="center"/>
          </w:tcPr>
          <w:p w14:paraId="26803C8B" w14:textId="2290ABA4" w:rsidR="000D03B2" w:rsidRPr="00463626" w:rsidRDefault="00664BD5" w:rsidP="000D03B2">
            <w:pPr>
              <w:keepNext/>
              <w:tabs>
                <w:tab w:val="decimal" w:pos="586"/>
                <w:tab w:val="decimal" w:pos="676"/>
              </w:tabs>
              <w:jc w:val="center"/>
              <w:rPr>
                <w:sz w:val="22"/>
              </w:rPr>
            </w:pPr>
            <w:r w:rsidRPr="00664BD5">
              <w:rPr>
                <w:sz w:val="22"/>
              </w:rPr>
              <w:t>0.013</w:t>
            </w:r>
            <w:r w:rsidR="008B454A">
              <w:rPr>
                <w:sz w:val="22"/>
              </w:rPr>
              <w:t> </w:t>
            </w:r>
            <w:r w:rsidRPr="00664BD5">
              <w:rPr>
                <w:sz w:val="22"/>
              </w:rPr>
              <w:t>884</w:t>
            </w:r>
            <w:r w:rsidR="008B454A">
              <w:rPr>
                <w:sz w:val="22"/>
              </w:rPr>
              <w:t> </w:t>
            </w:r>
            <w:r w:rsidRPr="00664BD5">
              <w:rPr>
                <w:sz w:val="22"/>
              </w:rPr>
              <w:t>4</w:t>
            </w:r>
          </w:p>
        </w:tc>
      </w:tr>
      <w:tr w:rsidR="000D03B2" w14:paraId="1FED7320" w14:textId="209F7AF0" w:rsidTr="00C95D53">
        <w:trPr>
          <w:cantSplit/>
          <w:trHeight w:val="383"/>
          <w:jc w:val="right"/>
        </w:trPr>
        <w:tc>
          <w:tcPr>
            <w:tcW w:w="1530" w:type="dxa"/>
            <w:vAlign w:val="center"/>
          </w:tcPr>
          <w:p w14:paraId="46489324" w14:textId="5DFC64CB" w:rsidR="000D03B2" w:rsidRPr="00725029" w:rsidRDefault="000D03B2" w:rsidP="000D03B2">
            <w:pPr>
              <w:keepNext/>
              <w:jc w:val="center"/>
              <w:rPr>
                <w:sz w:val="22"/>
              </w:rPr>
            </w:pPr>
            <w:r w:rsidRPr="00725029">
              <w:rPr>
                <w:sz w:val="22"/>
              </w:rPr>
              <w:t>Ka1-band</w:t>
            </w:r>
            <w:r>
              <w:rPr>
                <w:sz w:val="22"/>
              </w:rPr>
              <w:t xml:space="preserve"> </w:t>
            </w:r>
          </w:p>
        </w:tc>
        <w:tc>
          <w:tcPr>
            <w:tcW w:w="1581" w:type="dxa"/>
            <w:vAlign w:val="center"/>
          </w:tcPr>
          <w:p w14:paraId="6941A8D6" w14:textId="59A63454" w:rsidR="000D03B2" w:rsidRPr="00463626" w:rsidRDefault="000D03B2" w:rsidP="00C95D53">
            <w:pPr>
              <w:keepNext/>
              <w:tabs>
                <w:tab w:val="decimal" w:pos="616"/>
              </w:tabs>
              <w:rPr>
                <w:sz w:val="22"/>
              </w:rPr>
            </w:pPr>
            <w:r>
              <w:rPr>
                <w:sz w:val="22"/>
              </w:rPr>
              <w:t>33.800</w:t>
            </w:r>
          </w:p>
        </w:tc>
        <w:tc>
          <w:tcPr>
            <w:tcW w:w="2028" w:type="dxa"/>
            <w:vAlign w:val="center"/>
          </w:tcPr>
          <w:p w14:paraId="16F71501" w14:textId="050A0F48" w:rsidR="000D03B2" w:rsidRPr="00463626" w:rsidRDefault="000D03B2" w:rsidP="000D03B2">
            <w:pPr>
              <w:keepNext/>
              <w:tabs>
                <w:tab w:val="decimal" w:pos="586"/>
                <w:tab w:val="decimal" w:pos="676"/>
              </w:tabs>
              <w:jc w:val="center"/>
              <w:rPr>
                <w:sz w:val="22"/>
              </w:rPr>
            </w:pPr>
            <w:r w:rsidRPr="00463626">
              <w:rPr>
                <w:sz w:val="22"/>
              </w:rPr>
              <w:t>0.009</w:t>
            </w:r>
            <w:r w:rsidR="008B454A">
              <w:rPr>
                <w:sz w:val="22"/>
              </w:rPr>
              <w:t> </w:t>
            </w:r>
            <w:r w:rsidRPr="00463626">
              <w:rPr>
                <w:sz w:val="22"/>
              </w:rPr>
              <w:t>920</w:t>
            </w:r>
            <w:r w:rsidR="008B454A">
              <w:rPr>
                <w:sz w:val="22"/>
              </w:rPr>
              <w:t> </w:t>
            </w:r>
            <w:r>
              <w:rPr>
                <w:sz w:val="22"/>
              </w:rPr>
              <w:t>4</w:t>
            </w:r>
          </w:p>
        </w:tc>
        <w:tc>
          <w:tcPr>
            <w:tcW w:w="1971" w:type="dxa"/>
            <w:vAlign w:val="center"/>
          </w:tcPr>
          <w:p w14:paraId="213C05E2" w14:textId="32128B4E" w:rsidR="000D03B2" w:rsidRPr="00463626" w:rsidRDefault="00664BD5" w:rsidP="000D03B2">
            <w:pPr>
              <w:keepNext/>
              <w:tabs>
                <w:tab w:val="decimal" w:pos="586"/>
                <w:tab w:val="decimal" w:pos="676"/>
              </w:tabs>
              <w:jc w:val="center"/>
              <w:rPr>
                <w:sz w:val="22"/>
              </w:rPr>
            </w:pPr>
            <w:r>
              <w:rPr>
                <w:sz w:val="22"/>
              </w:rPr>
              <w:t>NA</w:t>
            </w:r>
          </w:p>
        </w:tc>
      </w:tr>
      <w:tr w:rsidR="000D03B2" w14:paraId="015131F7" w14:textId="16BA6787" w:rsidTr="00C95D53">
        <w:trPr>
          <w:cantSplit/>
          <w:trHeight w:val="408"/>
          <w:jc w:val="right"/>
        </w:trPr>
        <w:tc>
          <w:tcPr>
            <w:tcW w:w="1530" w:type="dxa"/>
            <w:vAlign w:val="center"/>
          </w:tcPr>
          <w:p w14:paraId="73664918" w14:textId="36B39C22" w:rsidR="000D03B2" w:rsidRPr="00725029" w:rsidRDefault="000D03B2" w:rsidP="000D03B2">
            <w:pPr>
              <w:keepNext/>
              <w:jc w:val="center"/>
              <w:rPr>
                <w:sz w:val="22"/>
              </w:rPr>
            </w:pPr>
            <w:r w:rsidRPr="00725029">
              <w:rPr>
                <w:sz w:val="22"/>
              </w:rPr>
              <w:t>Ka-band</w:t>
            </w:r>
          </w:p>
        </w:tc>
        <w:tc>
          <w:tcPr>
            <w:tcW w:w="1581" w:type="dxa"/>
            <w:vAlign w:val="center"/>
          </w:tcPr>
          <w:p w14:paraId="360F1FF2" w14:textId="3C46AFBF" w:rsidR="000D03B2" w:rsidRPr="00463626" w:rsidRDefault="000D03B2" w:rsidP="00C95D53">
            <w:pPr>
              <w:keepNext/>
              <w:tabs>
                <w:tab w:val="decimal" w:pos="616"/>
              </w:tabs>
              <w:rPr>
                <w:sz w:val="22"/>
              </w:rPr>
            </w:pPr>
            <w:r>
              <w:rPr>
                <w:sz w:val="22"/>
              </w:rPr>
              <w:t>34.700</w:t>
            </w:r>
          </w:p>
        </w:tc>
        <w:tc>
          <w:tcPr>
            <w:tcW w:w="2028" w:type="dxa"/>
            <w:vAlign w:val="center"/>
          </w:tcPr>
          <w:p w14:paraId="7D495510" w14:textId="7F5469A1" w:rsidR="000D03B2" w:rsidRPr="00463626" w:rsidRDefault="000D03B2" w:rsidP="000D03B2">
            <w:pPr>
              <w:keepNext/>
              <w:tabs>
                <w:tab w:val="decimal" w:pos="586"/>
                <w:tab w:val="decimal" w:pos="676"/>
              </w:tabs>
              <w:jc w:val="center"/>
              <w:rPr>
                <w:sz w:val="22"/>
              </w:rPr>
            </w:pPr>
            <w:r w:rsidRPr="00463626">
              <w:rPr>
                <w:sz w:val="22"/>
              </w:rPr>
              <w:t>0.009</w:t>
            </w:r>
            <w:r w:rsidR="008B454A">
              <w:rPr>
                <w:sz w:val="22"/>
              </w:rPr>
              <w:t> </w:t>
            </w:r>
            <w:r w:rsidRPr="00463626">
              <w:rPr>
                <w:sz w:val="22"/>
              </w:rPr>
              <w:t>663</w:t>
            </w:r>
            <w:r w:rsidR="008B454A">
              <w:rPr>
                <w:sz w:val="22"/>
              </w:rPr>
              <w:t> </w:t>
            </w:r>
            <w:r>
              <w:rPr>
                <w:sz w:val="22"/>
              </w:rPr>
              <w:t>1</w:t>
            </w:r>
          </w:p>
        </w:tc>
        <w:tc>
          <w:tcPr>
            <w:tcW w:w="1971" w:type="dxa"/>
            <w:vAlign w:val="center"/>
          </w:tcPr>
          <w:p w14:paraId="082250E8" w14:textId="06D0BA92" w:rsidR="000D03B2" w:rsidRPr="00463626" w:rsidRDefault="00664BD5" w:rsidP="000D03B2">
            <w:pPr>
              <w:keepNext/>
              <w:tabs>
                <w:tab w:val="decimal" w:pos="586"/>
                <w:tab w:val="decimal" w:pos="676"/>
              </w:tabs>
              <w:jc w:val="center"/>
              <w:rPr>
                <w:sz w:val="22"/>
              </w:rPr>
            </w:pPr>
            <w:r w:rsidRPr="00664BD5">
              <w:rPr>
                <w:sz w:val="22"/>
              </w:rPr>
              <w:t>0.009</w:t>
            </w:r>
            <w:r w:rsidR="008B454A">
              <w:rPr>
                <w:sz w:val="22"/>
              </w:rPr>
              <w:t> </w:t>
            </w:r>
            <w:r w:rsidRPr="00664BD5">
              <w:rPr>
                <w:sz w:val="22"/>
              </w:rPr>
              <w:t>445</w:t>
            </w:r>
            <w:r w:rsidR="008B454A">
              <w:rPr>
                <w:sz w:val="22"/>
              </w:rPr>
              <w:t> </w:t>
            </w:r>
            <w:r w:rsidRPr="00664BD5">
              <w:rPr>
                <w:sz w:val="22"/>
              </w:rPr>
              <w:t>2</w:t>
            </w:r>
            <w:r>
              <w:rPr>
                <w:sz w:val="22"/>
              </w:rPr>
              <w:t>8</w:t>
            </w:r>
          </w:p>
        </w:tc>
      </w:tr>
      <w:tr w:rsidR="000D03B2" w14:paraId="654C9D8F" w14:textId="278683DD" w:rsidTr="00C95D53">
        <w:trPr>
          <w:cantSplit/>
          <w:trHeight w:val="408"/>
          <w:jc w:val="right"/>
        </w:trPr>
        <w:tc>
          <w:tcPr>
            <w:tcW w:w="1530" w:type="dxa"/>
            <w:vAlign w:val="center"/>
          </w:tcPr>
          <w:p w14:paraId="3D62A69E" w14:textId="23799CC5" w:rsidR="000D03B2" w:rsidRPr="00725029" w:rsidRDefault="000D03B2" w:rsidP="000D03B2">
            <w:pPr>
              <w:keepNext/>
              <w:jc w:val="center"/>
              <w:rPr>
                <w:sz w:val="22"/>
              </w:rPr>
            </w:pPr>
            <w:r w:rsidRPr="00725029">
              <w:rPr>
                <w:sz w:val="22"/>
              </w:rPr>
              <w:t>Ka-band</w:t>
            </w:r>
            <w:r>
              <w:rPr>
                <w:sz w:val="22"/>
              </w:rPr>
              <w:t xml:space="preserve"> </w:t>
            </w:r>
          </w:p>
        </w:tc>
        <w:tc>
          <w:tcPr>
            <w:tcW w:w="1581" w:type="dxa"/>
            <w:vAlign w:val="center"/>
          </w:tcPr>
          <w:p w14:paraId="0C9ECC79" w14:textId="1090F1B3" w:rsidR="000D03B2" w:rsidRPr="00463626" w:rsidRDefault="000D03B2" w:rsidP="00C95D53">
            <w:pPr>
              <w:keepNext/>
              <w:tabs>
                <w:tab w:val="decimal" w:pos="616"/>
              </w:tabs>
              <w:rPr>
                <w:sz w:val="22"/>
              </w:rPr>
            </w:pPr>
            <w:r>
              <w:rPr>
                <w:sz w:val="22"/>
              </w:rPr>
              <w:t>35.500</w:t>
            </w:r>
          </w:p>
        </w:tc>
        <w:tc>
          <w:tcPr>
            <w:tcW w:w="2028" w:type="dxa"/>
            <w:vAlign w:val="center"/>
          </w:tcPr>
          <w:p w14:paraId="431705F7" w14:textId="19440AAD" w:rsidR="000D03B2" w:rsidRPr="00463626" w:rsidRDefault="000D03B2" w:rsidP="000D03B2">
            <w:pPr>
              <w:keepNext/>
              <w:tabs>
                <w:tab w:val="decimal" w:pos="586"/>
                <w:tab w:val="decimal" w:pos="676"/>
              </w:tabs>
              <w:jc w:val="center"/>
              <w:rPr>
                <w:sz w:val="22"/>
              </w:rPr>
            </w:pPr>
            <w:r w:rsidRPr="000D03B2">
              <w:rPr>
                <w:sz w:val="22"/>
              </w:rPr>
              <w:t>0.009</w:t>
            </w:r>
            <w:r w:rsidR="008B454A">
              <w:rPr>
                <w:sz w:val="22"/>
              </w:rPr>
              <w:t> </w:t>
            </w:r>
            <w:r w:rsidRPr="000D03B2">
              <w:rPr>
                <w:sz w:val="22"/>
              </w:rPr>
              <w:t>445</w:t>
            </w:r>
            <w:r w:rsidR="008B454A">
              <w:rPr>
                <w:sz w:val="22"/>
              </w:rPr>
              <w:t> </w:t>
            </w:r>
            <w:r w:rsidRPr="000D03B2">
              <w:rPr>
                <w:sz w:val="22"/>
              </w:rPr>
              <w:t>3</w:t>
            </w:r>
          </w:p>
        </w:tc>
        <w:tc>
          <w:tcPr>
            <w:tcW w:w="1971" w:type="dxa"/>
            <w:vAlign w:val="center"/>
          </w:tcPr>
          <w:p w14:paraId="6E7D75DF" w14:textId="77777777" w:rsidR="000D03B2" w:rsidRPr="000D03B2" w:rsidRDefault="000D03B2" w:rsidP="000D03B2">
            <w:pPr>
              <w:keepNext/>
              <w:tabs>
                <w:tab w:val="decimal" w:pos="586"/>
                <w:tab w:val="decimal" w:pos="676"/>
              </w:tabs>
              <w:jc w:val="center"/>
              <w:rPr>
                <w:sz w:val="22"/>
              </w:rPr>
            </w:pPr>
          </w:p>
        </w:tc>
      </w:tr>
    </w:tbl>
    <w:p w14:paraId="7C972F78" w14:textId="77777777" w:rsidR="00F847D2" w:rsidRPr="00F847D2" w:rsidRDefault="00F847D2" w:rsidP="00F847D2"/>
    <w:p w14:paraId="791A1F85" w14:textId="625A4625" w:rsidR="00463626" w:rsidRDefault="00892764" w:rsidP="00F847D2">
      <w:pPr>
        <w:pStyle w:val="FrontMatterTOC"/>
        <w:ind w:left="1440"/>
        <w:rPr>
          <w:b w:val="0"/>
        </w:rPr>
      </w:pPr>
      <w:r w:rsidRPr="00892764">
        <w:rPr>
          <w:b w:val="0"/>
        </w:rPr>
        <w:t>Example:</w:t>
      </w:r>
      <w:r w:rsidR="00975976">
        <w:rPr>
          <w:b w:val="0"/>
        </w:rPr>
        <w:t xml:space="preserve">  </w:t>
      </w:r>
      <w:r w:rsidRPr="00892764">
        <w:rPr>
          <w:b w:val="0"/>
        </w:rPr>
        <w:t>A typical 50 mph K-band fork may have an oscillation frequency of 3</w:t>
      </w:r>
      <w:r w:rsidR="008B454A">
        <w:rPr>
          <w:b w:val="0"/>
        </w:rPr>
        <w:t> </w:t>
      </w:r>
      <w:r w:rsidRPr="00892764">
        <w:rPr>
          <w:b w:val="0"/>
        </w:rPr>
        <w:t xml:space="preserve">652.4 Hz. Its speed is calculated as follows: </w:t>
      </w:r>
    </w:p>
    <w:p w14:paraId="280820B0" w14:textId="7C5E598F" w:rsidR="00892764" w:rsidRPr="00892764" w:rsidRDefault="00892764" w:rsidP="00664BD5">
      <w:pPr>
        <w:pStyle w:val="FrontMatterTOC"/>
        <w:ind w:left="1440"/>
        <w:jc w:val="center"/>
        <w:rPr>
          <w:b w:val="0"/>
        </w:rPr>
      </w:pPr>
      <w:r w:rsidRPr="00892764">
        <w:rPr>
          <w:b w:val="0"/>
        </w:rPr>
        <w:t>3</w:t>
      </w:r>
      <w:r w:rsidR="008B454A">
        <w:rPr>
          <w:b w:val="0"/>
        </w:rPr>
        <w:t> </w:t>
      </w:r>
      <w:r w:rsidRPr="00892764">
        <w:rPr>
          <w:b w:val="0"/>
        </w:rPr>
        <w:t xml:space="preserve">652.4 Hz </w:t>
      </w:r>
      <w:r w:rsidR="004A0666">
        <w:rPr>
          <w:b w:val="0"/>
        </w:rPr>
        <w:t>×</w:t>
      </w:r>
      <w:r w:rsidRPr="00892764">
        <w:rPr>
          <w:b w:val="0"/>
        </w:rPr>
        <w:t xml:space="preserve"> (0.013</w:t>
      </w:r>
      <w:r w:rsidR="008B454A">
        <w:rPr>
          <w:b w:val="0"/>
        </w:rPr>
        <w:t> </w:t>
      </w:r>
      <w:r w:rsidRPr="00892764">
        <w:rPr>
          <w:b w:val="0"/>
        </w:rPr>
        <w:t>884</w:t>
      </w:r>
      <w:r w:rsidR="008B454A">
        <w:rPr>
          <w:b w:val="0"/>
        </w:rPr>
        <w:t> </w:t>
      </w:r>
      <w:r w:rsidRPr="00892764">
        <w:rPr>
          <w:b w:val="0"/>
        </w:rPr>
        <w:t>4</w:t>
      </w:r>
      <w:r w:rsidR="00463626">
        <w:rPr>
          <w:b w:val="0"/>
        </w:rPr>
        <w:t> </w:t>
      </w:r>
      <w:r w:rsidRPr="00892764">
        <w:rPr>
          <w:b w:val="0"/>
        </w:rPr>
        <w:t>mph/Hz) = 50.7 mph</w:t>
      </w:r>
    </w:p>
    <w:p w14:paraId="1474EBEC" w14:textId="619CB404" w:rsidR="00892764" w:rsidRPr="00892764" w:rsidRDefault="00892764" w:rsidP="008248A7">
      <w:pPr>
        <w:pStyle w:val="Heading2"/>
      </w:pPr>
      <w:r w:rsidRPr="00892764">
        <w:lastRenderedPageBreak/>
        <w:t xml:space="preserve">Record </w:t>
      </w:r>
      <w:r w:rsidR="00463626">
        <w:t xml:space="preserve">and report </w:t>
      </w:r>
      <w:r w:rsidRPr="00892764">
        <w:t>this product as the "speed" of the tuning fork</w:t>
      </w:r>
      <w:r w:rsidR="00086319">
        <w:t xml:space="preserve"> to the nearest 0.01 mph</w:t>
      </w:r>
      <w:r w:rsidR="002252EB">
        <w:t xml:space="preserve"> or 0.1 mph as requested</w:t>
      </w:r>
      <w:r w:rsidRPr="00892764">
        <w:t>.</w:t>
      </w:r>
    </w:p>
    <w:p w14:paraId="56288499" w14:textId="20004730" w:rsidR="00892764" w:rsidRPr="00892764" w:rsidRDefault="00892764" w:rsidP="008248A7">
      <w:pPr>
        <w:pStyle w:val="Heading2"/>
      </w:pPr>
      <w:r w:rsidRPr="00892764">
        <w:t>The tolerance of a tuning fork is determined by the manufacturer.</w:t>
      </w:r>
    </w:p>
    <w:p w14:paraId="50C4BD19" w14:textId="686DBF07" w:rsidR="00892764" w:rsidRPr="00892764" w:rsidRDefault="00892764" w:rsidP="00975976">
      <w:pPr>
        <w:pStyle w:val="Heading3"/>
      </w:pPr>
      <w:r w:rsidRPr="00892764">
        <w:t>A few manufacturers (i.e.</w:t>
      </w:r>
      <w:r w:rsidR="00725029">
        <w:t xml:space="preserve">, </w:t>
      </w:r>
      <w:r w:rsidRPr="00892764">
        <w:t>Kustom Signals</w:t>
      </w:r>
      <w:r w:rsidR="000D03B2">
        <w:t>, Inc</w:t>
      </w:r>
      <w:r w:rsidR="0070085D">
        <w:t>.</w:t>
      </w:r>
      <w:r w:rsidRPr="00892764">
        <w:t>) have designed their speed guns to truncate (round-down) to the first whole m</w:t>
      </w:r>
      <w:r w:rsidR="00FF3491">
        <w:t>ile per hour</w:t>
      </w:r>
      <w:r w:rsidRPr="00892764">
        <w:t>. This is done to give the benefit of fractional speeds to the motorist</w:t>
      </w:r>
      <w:r w:rsidR="00197149">
        <w:t xml:space="preserve">. </w:t>
      </w:r>
      <w:r w:rsidRPr="00892764">
        <w:t>Therefore, the tolerance of these tuning forks is:</w:t>
      </w:r>
    </w:p>
    <w:p w14:paraId="13785008" w14:textId="7240B6DC" w:rsidR="00892764" w:rsidRPr="00892764" w:rsidRDefault="00892764" w:rsidP="00725029">
      <w:pPr>
        <w:pStyle w:val="FrontMatterTOC"/>
        <w:spacing w:after="240"/>
        <w:jc w:val="center"/>
        <w:rPr>
          <w:b w:val="0"/>
        </w:rPr>
      </w:pPr>
      <w:r w:rsidRPr="00892764">
        <w:rPr>
          <w:b w:val="0"/>
        </w:rPr>
        <w:t>- 0.00 mph to +</w:t>
      </w:r>
      <w:r w:rsidR="00FF3491">
        <w:rPr>
          <w:b w:val="0"/>
        </w:rPr>
        <w:t xml:space="preserve"> </w:t>
      </w:r>
      <w:r w:rsidRPr="00892764">
        <w:rPr>
          <w:b w:val="0"/>
        </w:rPr>
        <w:t>0.99 mph</w:t>
      </w:r>
    </w:p>
    <w:p w14:paraId="4BCD1F88" w14:textId="08CCB47D" w:rsidR="00892764" w:rsidRPr="00892764" w:rsidRDefault="00892764" w:rsidP="00975976">
      <w:pPr>
        <w:pStyle w:val="FrontMatterTOC"/>
        <w:spacing w:after="240"/>
        <w:ind w:left="1800"/>
        <w:rPr>
          <w:b w:val="0"/>
        </w:rPr>
      </w:pPr>
      <w:r w:rsidRPr="00892764">
        <w:rPr>
          <w:b w:val="0"/>
        </w:rPr>
        <w:t>CAUTION:</w:t>
      </w:r>
      <w:r w:rsidR="008248A7">
        <w:rPr>
          <w:b w:val="0"/>
        </w:rPr>
        <w:t xml:space="preserve">  </w:t>
      </w:r>
      <w:r w:rsidRPr="00892764">
        <w:rPr>
          <w:b w:val="0"/>
        </w:rPr>
        <w:t>These speed guns must be mated to their associated tuning forks. These tuning forks cannot be used interchangeably with other speed gun manufacturers</w:t>
      </w:r>
      <w:r w:rsidR="00197149">
        <w:rPr>
          <w:b w:val="0"/>
        </w:rPr>
        <w:t xml:space="preserve">. </w:t>
      </w:r>
      <w:r w:rsidRPr="00892764">
        <w:rPr>
          <w:b w:val="0"/>
        </w:rPr>
        <w:t>It is recommended that all tuning forks be mated to their respective manufacturer speed guns.</w:t>
      </w:r>
    </w:p>
    <w:p w14:paraId="7B05FB1B" w14:textId="736BD894" w:rsidR="00892764" w:rsidRPr="00892764" w:rsidRDefault="00892764" w:rsidP="00975976">
      <w:pPr>
        <w:pStyle w:val="Heading3"/>
        <w:keepLines w:val="0"/>
      </w:pPr>
      <w:r w:rsidRPr="00892764">
        <w:t>Other manufacturers have designed their speed guns to round</w:t>
      </w:r>
      <w:r w:rsidR="00FF3491">
        <w:t xml:space="preserve"> </w:t>
      </w:r>
      <w:r w:rsidRPr="00892764">
        <w:t>to nearest whole mph</w:t>
      </w:r>
      <w:r w:rsidR="00197149">
        <w:t xml:space="preserve">. </w:t>
      </w:r>
      <w:r w:rsidRPr="00892764">
        <w:t>These tuning forks have a tolerance of:</w:t>
      </w:r>
    </w:p>
    <w:p w14:paraId="3DF97FFE" w14:textId="690F7214" w:rsidR="00892764" w:rsidRPr="00892764" w:rsidRDefault="00892764" w:rsidP="00725029">
      <w:pPr>
        <w:pStyle w:val="FrontMatterTOC"/>
        <w:keepNext/>
        <w:spacing w:after="240"/>
        <w:jc w:val="center"/>
        <w:rPr>
          <w:b w:val="0"/>
        </w:rPr>
      </w:pPr>
      <w:r w:rsidRPr="00892764">
        <w:rPr>
          <w:b w:val="0"/>
        </w:rPr>
        <w:t xml:space="preserve">- 0.50 mph </w:t>
      </w:r>
      <w:r w:rsidR="00FF3491">
        <w:rPr>
          <w:b w:val="0"/>
        </w:rPr>
        <w:t xml:space="preserve">to </w:t>
      </w:r>
      <w:r w:rsidRPr="00892764">
        <w:rPr>
          <w:b w:val="0"/>
        </w:rPr>
        <w:t>+ 0.49 mph</w:t>
      </w:r>
    </w:p>
    <w:p w14:paraId="6EA21108" w14:textId="77777777" w:rsidR="009A69DF" w:rsidRPr="00892764" w:rsidRDefault="009A69DF" w:rsidP="009A69DF">
      <w:pPr>
        <w:pStyle w:val="Heading1"/>
        <w:keepNext w:val="0"/>
        <w:keepLines w:val="0"/>
      </w:pPr>
      <w:r w:rsidRPr="00892764">
        <w:t>Measurement Assurance</w:t>
      </w:r>
    </w:p>
    <w:p w14:paraId="5A745A7D" w14:textId="6C9D5615" w:rsidR="009A69DF" w:rsidRPr="00892764" w:rsidRDefault="009A69DF" w:rsidP="009A69DF">
      <w:pPr>
        <w:pStyle w:val="Heading2"/>
        <w:keepNext w:val="0"/>
        <w:keepLines w:val="0"/>
      </w:pPr>
      <w:r w:rsidRPr="00892764">
        <w:t>Duplicate the process with suitable check standards using the same transducer used to take the observations of the device under test, either the clamping type contact pickup, or the microphone</w:t>
      </w:r>
      <w:r w:rsidR="00882D79">
        <w:t xml:space="preserve"> and create a control chart</w:t>
      </w:r>
      <w:r w:rsidRPr="00892764">
        <w:t>.</w:t>
      </w:r>
    </w:p>
    <w:p w14:paraId="3CC04D8B" w14:textId="7D49BC6D" w:rsidR="009A69DF" w:rsidRPr="008248A7" w:rsidRDefault="009A69DF" w:rsidP="009A69DF">
      <w:pPr>
        <w:pStyle w:val="Heading2"/>
        <w:keepNext w:val="0"/>
        <w:keepLines w:val="0"/>
      </w:pPr>
      <w:r w:rsidRPr="00892764">
        <w:t>Evaluate the values against the expected limits of the control charts</w:t>
      </w:r>
      <w:r w:rsidR="00197149">
        <w:t xml:space="preserve">. </w:t>
      </w:r>
      <w:r w:rsidRPr="00892764">
        <w:t>Plot the values to monitor changes over time</w:t>
      </w:r>
      <w:r w:rsidR="00197149">
        <w:t xml:space="preserve">. </w:t>
      </w:r>
      <w:r w:rsidRPr="00892764">
        <w:t>A t-test may be used to check the observed value against the accepted value</w:t>
      </w:r>
      <w:r w:rsidR="00197149">
        <w:t xml:space="preserve">. </w:t>
      </w:r>
    </w:p>
    <w:p w14:paraId="386BA90F" w14:textId="64276FF0" w:rsidR="009A69DF" w:rsidRDefault="009A69DF" w:rsidP="009A69DF">
      <w:pPr>
        <w:pStyle w:val="Heading2"/>
        <w:keepNext w:val="0"/>
        <w:keepLines w:val="0"/>
      </w:pPr>
      <w:r w:rsidRPr="00892764">
        <w:t xml:space="preserve">Check standard observations are used to calculate the standard deviation of the measurement process, </w:t>
      </w:r>
      <w:r w:rsidRPr="008248A7">
        <w:rPr>
          <w:i/>
        </w:rPr>
        <w:t>s</w:t>
      </w:r>
      <w:r w:rsidRPr="008248A7">
        <w:rPr>
          <w:i/>
          <w:vertAlign w:val="subscript"/>
        </w:rPr>
        <w:t>p</w:t>
      </w:r>
      <w:r w:rsidR="00197149">
        <w:t xml:space="preserve">. </w:t>
      </w:r>
    </w:p>
    <w:p w14:paraId="560EECAA" w14:textId="3EEAD58A" w:rsidR="00892764" w:rsidRPr="00892764" w:rsidRDefault="00892764" w:rsidP="008248A7">
      <w:pPr>
        <w:pStyle w:val="Heading1"/>
      </w:pPr>
      <w:r w:rsidRPr="00892764">
        <w:t>Assignment of Uncertainty</w:t>
      </w:r>
    </w:p>
    <w:p w14:paraId="5288EFED" w14:textId="20582E52" w:rsidR="00892764" w:rsidRPr="00892764" w:rsidRDefault="00892764" w:rsidP="008248A7">
      <w:pPr>
        <w:pStyle w:val="FrontMatterTOC"/>
        <w:rPr>
          <w:b w:val="0"/>
        </w:rPr>
      </w:pPr>
      <w:r w:rsidRPr="00892764">
        <w:rPr>
          <w:b w:val="0"/>
        </w:rPr>
        <w:t>The limits of expanded uncertainty (</w:t>
      </w:r>
      <w:r w:rsidRPr="00FF3491">
        <w:rPr>
          <w:b w:val="0"/>
          <w:i/>
        </w:rPr>
        <w:t>U</w:t>
      </w:r>
      <w:r w:rsidRPr="00892764">
        <w:rPr>
          <w:b w:val="0"/>
        </w:rPr>
        <w:t>) include estimates of the standard uncertainty of the standard (</w:t>
      </w:r>
      <w:r w:rsidRPr="00197149">
        <w:rPr>
          <w:b w:val="0"/>
          <w:i/>
        </w:rPr>
        <w:t>u</w:t>
      </w:r>
      <w:r w:rsidRPr="00197149">
        <w:rPr>
          <w:b w:val="0"/>
          <w:i/>
          <w:vertAlign w:val="subscript"/>
        </w:rPr>
        <w:t>s</w:t>
      </w:r>
      <w:r w:rsidRPr="00892764">
        <w:rPr>
          <w:b w:val="0"/>
        </w:rPr>
        <w:t>), estimates of the standard deviation of the measurement process (</w:t>
      </w:r>
      <w:r w:rsidRPr="005A5BB8">
        <w:rPr>
          <w:b w:val="0"/>
          <w:i/>
        </w:rPr>
        <w:t>s</w:t>
      </w:r>
      <w:r w:rsidRPr="005A5BB8">
        <w:rPr>
          <w:b w:val="0"/>
          <w:i/>
          <w:vertAlign w:val="subscript"/>
        </w:rPr>
        <w:t>p</w:t>
      </w:r>
      <w:r w:rsidRPr="00892764">
        <w:rPr>
          <w:b w:val="0"/>
        </w:rPr>
        <w:t>), an estimate for the uncertainty for the resolution of the frequency counter (</w:t>
      </w:r>
      <w:r w:rsidRPr="008248A7">
        <w:rPr>
          <w:b w:val="0"/>
          <w:i/>
        </w:rPr>
        <w:t>u</w:t>
      </w:r>
      <w:r w:rsidRPr="008248A7">
        <w:rPr>
          <w:b w:val="0"/>
          <w:i/>
          <w:vertAlign w:val="subscript"/>
        </w:rPr>
        <w:t>counter</w:t>
      </w:r>
      <w:r w:rsidRPr="00892764">
        <w:rPr>
          <w:b w:val="0"/>
        </w:rPr>
        <w:t>), and an estimate for the uncertainty of the device used to record the ambient air temperature (</w:t>
      </w:r>
      <w:r w:rsidRPr="008248A7">
        <w:rPr>
          <w:b w:val="0"/>
          <w:i/>
        </w:rPr>
        <w:t>u</w:t>
      </w:r>
      <w:r w:rsidR="008248A7" w:rsidRPr="008248A7">
        <w:rPr>
          <w:b w:val="0"/>
          <w:i/>
          <w:vertAlign w:val="subscript"/>
        </w:rPr>
        <w:t>t</w:t>
      </w:r>
      <w:r w:rsidRPr="008248A7">
        <w:rPr>
          <w:b w:val="0"/>
          <w:i/>
          <w:vertAlign w:val="subscript"/>
        </w:rPr>
        <w:t>emp</w:t>
      </w:r>
      <w:r w:rsidRPr="00892764">
        <w:rPr>
          <w:b w:val="0"/>
        </w:rPr>
        <w:t>)</w:t>
      </w:r>
      <w:r w:rsidR="00197149">
        <w:rPr>
          <w:b w:val="0"/>
        </w:rPr>
        <w:t xml:space="preserve">. </w:t>
      </w:r>
      <w:r w:rsidRPr="00892764">
        <w:rPr>
          <w:b w:val="0"/>
        </w:rPr>
        <w:t>These estimates are combined using the root-sum-squared method and the expanded uncertainty reported with a coverage factor (</w:t>
      </w:r>
      <w:r w:rsidRPr="00975976">
        <w:rPr>
          <w:b w:val="0"/>
          <w:i/>
        </w:rPr>
        <w:t>k</w:t>
      </w:r>
      <w:r w:rsidRPr="00892764">
        <w:rPr>
          <w:b w:val="0"/>
        </w:rPr>
        <w:t>), based on degrees of freedom, to give an approximate 95</w:t>
      </w:r>
      <w:r w:rsidR="00975976">
        <w:rPr>
          <w:b w:val="0"/>
        </w:rPr>
        <w:t> </w:t>
      </w:r>
      <w:r w:rsidRPr="00892764">
        <w:rPr>
          <w:b w:val="0"/>
        </w:rPr>
        <w:t>% level of confidence</w:t>
      </w:r>
      <w:r w:rsidR="00197149">
        <w:rPr>
          <w:b w:val="0"/>
        </w:rPr>
        <w:t xml:space="preserve">. </w:t>
      </w:r>
      <w:r w:rsidRPr="00892764">
        <w:rPr>
          <w:b w:val="0"/>
        </w:rPr>
        <w:t xml:space="preserve">   </w:t>
      </w:r>
    </w:p>
    <w:p w14:paraId="60D7B53D" w14:textId="7C6C1809" w:rsidR="00892764" w:rsidRPr="00892764" w:rsidRDefault="00892764" w:rsidP="00975976">
      <w:pPr>
        <w:pStyle w:val="Heading2"/>
      </w:pPr>
      <w:r w:rsidRPr="00892764">
        <w:lastRenderedPageBreak/>
        <w:t xml:space="preserve">Mechanical instability of a tuning fork, which varies with manufacturer, age, physical condition, etc., is the greatest cause of error in a tuning fork measurement. This has been experimentally shown to </w:t>
      </w:r>
      <w:r w:rsidR="005A4EDD">
        <w:t xml:space="preserve">be less than </w:t>
      </w:r>
      <w:r w:rsidRPr="00892764">
        <w:t>±</w:t>
      </w:r>
      <w:r w:rsidR="00725029">
        <w:t> </w:t>
      </w:r>
      <w:r w:rsidRPr="00892764">
        <w:t>0.01 %</w:t>
      </w:r>
      <w:r w:rsidR="00197149">
        <w:t xml:space="preserve">. </w:t>
      </w:r>
      <w:r w:rsidRPr="00892764">
        <w:t>This portion of the uncertainty is included in the standard deviation of the process (</w:t>
      </w:r>
      <w:r w:rsidR="00975976" w:rsidRPr="00975976">
        <w:rPr>
          <w:i/>
        </w:rPr>
        <w:t>s</w:t>
      </w:r>
      <w:r w:rsidRPr="00975976">
        <w:rPr>
          <w:i/>
          <w:vertAlign w:val="subscript"/>
        </w:rPr>
        <w:t>p</w:t>
      </w:r>
      <w:r w:rsidRPr="00892764">
        <w:t>).</w:t>
      </w:r>
    </w:p>
    <w:p w14:paraId="0A9F75F8" w14:textId="73C9873D" w:rsidR="00892764" w:rsidRPr="00892764" w:rsidRDefault="00892764" w:rsidP="00975976">
      <w:pPr>
        <w:pStyle w:val="Heading2"/>
      </w:pPr>
      <w:r w:rsidRPr="00892764">
        <w:t>Temperature changes of a tuning fork will cause its frequency (and thus speed) to change</w:t>
      </w:r>
      <w:r w:rsidR="00686602">
        <w:t xml:space="preserve"> in </w:t>
      </w:r>
      <w:r w:rsidR="00B02B45">
        <w:t xml:space="preserve">a </w:t>
      </w:r>
      <w:r w:rsidR="00400788">
        <w:t xml:space="preserve">sufficiently </w:t>
      </w:r>
      <w:r w:rsidR="00B02B45">
        <w:t>linear fashion with inverse correlation</w:t>
      </w:r>
      <w:r w:rsidR="005143C7">
        <w:t xml:space="preserve"> due to the changing modulus of elasticity with temperature</w:t>
      </w:r>
      <w:r w:rsidR="00197149">
        <w:t xml:space="preserve">. </w:t>
      </w:r>
      <w:r w:rsidRPr="00892764">
        <w:t xml:space="preserve">The change is </w:t>
      </w:r>
      <w:r w:rsidR="00400788">
        <w:t>approximately</w:t>
      </w:r>
      <w:r w:rsidRPr="00892764">
        <w:t xml:space="preserve"> </w:t>
      </w:r>
      <w:r w:rsidRPr="00400788">
        <w:t>-</w:t>
      </w:r>
      <w:r w:rsidRPr="00892764">
        <w:t>0.000132 mph per each rated mph per 1</w:t>
      </w:r>
      <w:r w:rsidR="00463626">
        <w:t> </w:t>
      </w:r>
      <w:r w:rsidRPr="00892764">
        <w:t>°F.</w:t>
      </w:r>
    </w:p>
    <w:p w14:paraId="3EFDD493" w14:textId="276F286E" w:rsidR="00892764" w:rsidRPr="00892764" w:rsidRDefault="00892764" w:rsidP="00975976">
      <w:pPr>
        <w:pStyle w:val="FrontMatterTOC"/>
        <w:ind w:left="1440"/>
        <w:rPr>
          <w:b w:val="0"/>
        </w:rPr>
      </w:pPr>
      <w:r w:rsidRPr="00892764">
        <w:rPr>
          <w:b w:val="0"/>
        </w:rPr>
        <w:t>Example:</w:t>
      </w:r>
      <w:r w:rsidR="00975976">
        <w:rPr>
          <w:b w:val="0"/>
        </w:rPr>
        <w:t xml:space="preserve">  </w:t>
      </w:r>
      <w:r w:rsidRPr="00892764">
        <w:rPr>
          <w:b w:val="0"/>
        </w:rPr>
        <w:t>At 70 °F, a 50 mph fork is measured to be 50.71 mph</w:t>
      </w:r>
      <w:r w:rsidR="00197149">
        <w:rPr>
          <w:b w:val="0"/>
        </w:rPr>
        <w:t xml:space="preserve">. </w:t>
      </w:r>
      <w:r w:rsidRPr="00892764">
        <w:rPr>
          <w:b w:val="0"/>
        </w:rPr>
        <w:t>At 10 °F, the measurement will be approximately 51.11 mph:</w:t>
      </w:r>
    </w:p>
    <w:p w14:paraId="28622AF1" w14:textId="4A9EC147" w:rsidR="00892764" w:rsidRDefault="00892764" w:rsidP="00725029">
      <w:pPr>
        <w:pStyle w:val="FrontMatterTOC"/>
        <w:ind w:left="1440"/>
        <w:jc w:val="center"/>
        <w:rPr>
          <w:b w:val="0"/>
        </w:rPr>
      </w:pPr>
      <w:r w:rsidRPr="00892764">
        <w:rPr>
          <w:b w:val="0"/>
        </w:rPr>
        <w:t>50.71 mph + ((-0.000</w:t>
      </w:r>
      <w:r w:rsidR="008B454A">
        <w:rPr>
          <w:b w:val="0"/>
        </w:rPr>
        <w:t> </w:t>
      </w:r>
      <w:r w:rsidRPr="00892764">
        <w:rPr>
          <w:b w:val="0"/>
        </w:rPr>
        <w:t xml:space="preserve">132) </w:t>
      </w:r>
      <w:r w:rsidR="004A0666">
        <w:rPr>
          <w:b w:val="0"/>
        </w:rPr>
        <w:t>×</w:t>
      </w:r>
      <w:r w:rsidRPr="00892764">
        <w:rPr>
          <w:b w:val="0"/>
        </w:rPr>
        <w:t xml:space="preserve"> 50 </w:t>
      </w:r>
      <w:r w:rsidR="004A0666">
        <w:rPr>
          <w:b w:val="0"/>
        </w:rPr>
        <w:t>×</w:t>
      </w:r>
      <w:r w:rsidRPr="00892764">
        <w:rPr>
          <w:b w:val="0"/>
        </w:rPr>
        <w:t xml:space="preserve"> (10 - 70)) = 51.106 mph</w:t>
      </w:r>
    </w:p>
    <w:p w14:paraId="2189C960" w14:textId="77777777" w:rsidR="00B02B45" w:rsidRDefault="00B02B45" w:rsidP="00B02B45">
      <w:pPr>
        <w:pStyle w:val="FrontMatterTOC"/>
        <w:keepNext/>
        <w:ind w:left="1440"/>
        <w:jc w:val="center"/>
      </w:pPr>
      <w:r>
        <w:rPr>
          <w:noProof/>
        </w:rPr>
        <w:drawing>
          <wp:inline distT="0" distB="0" distL="0" distR="0" wp14:anchorId="0A05EA50" wp14:editId="57FE28CE">
            <wp:extent cx="3343275" cy="2057400"/>
            <wp:effectExtent l="0" t="0" r="9525" b="0"/>
            <wp:docPr id="2" name="Chart 2" descr="This is a graph showing the linear temperature correction. As the temperature goes up, the mph goes down.  An example is given in the text. ">
              <a:extLst xmlns:a="http://schemas.openxmlformats.org/drawingml/2006/main">
                <a:ext uri="{FF2B5EF4-FFF2-40B4-BE49-F238E27FC236}">
                  <a16:creationId xmlns:a16="http://schemas.microsoft.com/office/drawing/2014/main" id="{5A92BCD6-3AD8-4472-9216-F91CBC7A9D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AFD4C2" w14:textId="16AECB71" w:rsidR="00B02B45" w:rsidRPr="007B725E" w:rsidRDefault="00B02B45" w:rsidP="00B02B45">
      <w:pPr>
        <w:pStyle w:val="Caption"/>
        <w:jc w:val="center"/>
      </w:pPr>
      <w:r w:rsidRPr="007B725E">
        <w:t xml:space="preserve">Figure </w:t>
      </w:r>
      <w:r w:rsidR="002B6D17">
        <w:rPr>
          <w:noProof/>
        </w:rPr>
        <w:fldChar w:fldCharType="begin"/>
      </w:r>
      <w:r w:rsidR="002B6D17">
        <w:rPr>
          <w:noProof/>
        </w:rPr>
        <w:instrText xml:space="preserve"> SEQ Figure \* ARABIC </w:instrText>
      </w:r>
      <w:r w:rsidR="002B6D17">
        <w:rPr>
          <w:noProof/>
        </w:rPr>
        <w:fldChar w:fldCharType="separate"/>
      </w:r>
      <w:r w:rsidR="008E3033" w:rsidRPr="007B725E">
        <w:rPr>
          <w:noProof/>
        </w:rPr>
        <w:t>2</w:t>
      </w:r>
      <w:r w:rsidR="002B6D17">
        <w:rPr>
          <w:noProof/>
        </w:rPr>
        <w:fldChar w:fldCharType="end"/>
      </w:r>
      <w:r w:rsidRPr="007B725E">
        <w:t>. Temperature Correction Example.</w:t>
      </w:r>
    </w:p>
    <w:p w14:paraId="42E4172D" w14:textId="642D4CE7" w:rsidR="00892764" w:rsidRDefault="00892764" w:rsidP="007B725E">
      <w:pPr>
        <w:pStyle w:val="Heading2"/>
        <w:spacing w:before="240"/>
      </w:pPr>
      <w:r w:rsidRPr="00892764">
        <w:t>Errors related to the broadcast signal</w:t>
      </w:r>
      <w:r w:rsidR="00AD0FE8">
        <w:t>s</w:t>
      </w:r>
      <w:r w:rsidRPr="00892764">
        <w:t xml:space="preserve"> </w:t>
      </w:r>
      <w:r w:rsidR="005A4EDD">
        <w:t xml:space="preserve">(reference standards) </w:t>
      </w:r>
      <w:r w:rsidRPr="00892764">
        <w:t xml:space="preserve">are </w:t>
      </w:r>
      <w:r w:rsidR="00AD0FE8">
        <w:t>generally negligible</w:t>
      </w:r>
      <w:r w:rsidRPr="00892764">
        <w:t xml:space="preserve">, however </w:t>
      </w:r>
      <w:r w:rsidR="00AD0FE8">
        <w:t xml:space="preserve">may be </w:t>
      </w:r>
      <w:r w:rsidRPr="00892764">
        <w:t>included in the uncertainty budget (</w:t>
      </w:r>
      <w:r w:rsidR="00975976" w:rsidRPr="00463626">
        <w:rPr>
          <w:i/>
        </w:rPr>
        <w:t>u</w:t>
      </w:r>
      <w:r w:rsidRPr="00463626">
        <w:rPr>
          <w:i/>
          <w:vertAlign w:val="subscript"/>
        </w:rPr>
        <w:t>s</w:t>
      </w:r>
      <w:r w:rsidRPr="00892764">
        <w:t>).</w:t>
      </w:r>
    </w:p>
    <w:p w14:paraId="083689FD" w14:textId="2BE87D49" w:rsidR="000D52D6" w:rsidRDefault="000D52D6" w:rsidP="000D52D6">
      <w:pPr>
        <w:pStyle w:val="Caption"/>
        <w:keepNext/>
        <w:ind w:left="0"/>
      </w:pPr>
      <w:r>
        <w:t xml:space="preserve">Table </w:t>
      </w:r>
      <w:r w:rsidR="008654F1">
        <w:rPr>
          <w:noProof/>
        </w:rPr>
        <w:fldChar w:fldCharType="begin"/>
      </w:r>
      <w:r w:rsidR="008654F1">
        <w:rPr>
          <w:noProof/>
        </w:rPr>
        <w:instrText xml:space="preserve"> SEQ Table \* ARABIC </w:instrText>
      </w:r>
      <w:r w:rsidR="008654F1">
        <w:rPr>
          <w:noProof/>
        </w:rPr>
        <w:fldChar w:fldCharType="separate"/>
      </w:r>
      <w:r w:rsidR="008E3033">
        <w:rPr>
          <w:noProof/>
        </w:rPr>
        <w:t>5</w:t>
      </w:r>
      <w:r w:rsidR="008654F1">
        <w:rPr>
          <w:noProof/>
        </w:rPr>
        <w:fldChar w:fldCharType="end"/>
      </w:r>
      <w:r>
        <w:t>. Example Uncertainty Budget Table.</w:t>
      </w:r>
    </w:p>
    <w:tbl>
      <w:tblPr>
        <w:tblW w:w="90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Caption w:val="example uncertainty budget table"/>
        <w:tblDescription w:val="Uncertainty Component Description Symbol Source Typical Distribution&#10;Uncertainty for the reference standard us NIST traceable frequency standard (telephone, receiver, GPS clock)&#10;NIST website (SP 960-12) Rectangular&#10;Standard deviation of the process sp Laboratory assessments, pooled standard deviation Normal&#10;Uncertainty for the mechanical instability of the tuning fork ui Normally included in the standard deviation of the process  Rectangular&#10;Uncertainty of the for temperature effects ut Estimates may be calculated with equations in section 5.2 Rectangular&#10;"/>
      </w:tblPr>
      <w:tblGrid>
        <w:gridCol w:w="3007"/>
        <w:gridCol w:w="956"/>
        <w:gridCol w:w="3085"/>
        <w:gridCol w:w="2042"/>
      </w:tblGrid>
      <w:tr w:rsidR="000D52D6" w14:paraId="44499734" w14:textId="77777777" w:rsidTr="00545496">
        <w:trPr>
          <w:cantSplit/>
          <w:tblHeader/>
          <w:jc w:val="center"/>
        </w:trPr>
        <w:tc>
          <w:tcPr>
            <w:tcW w:w="3007" w:type="dxa"/>
            <w:tcBorders>
              <w:top w:val="double" w:sz="6" w:space="0" w:color="auto"/>
              <w:bottom w:val="double" w:sz="6" w:space="0" w:color="auto"/>
            </w:tcBorders>
            <w:shd w:val="clear" w:color="auto" w:fill="auto"/>
            <w:vAlign w:val="center"/>
          </w:tcPr>
          <w:p w14:paraId="2F585E7E" w14:textId="77777777" w:rsidR="000D52D6" w:rsidRPr="008B5532" w:rsidRDefault="000D52D6" w:rsidP="00545496">
            <w:pPr>
              <w:jc w:val="center"/>
              <w:rPr>
                <w:b/>
                <w:bCs/>
                <w:color w:val="000000"/>
                <w:sz w:val="22"/>
              </w:rPr>
            </w:pPr>
            <w:r w:rsidRPr="008B5532">
              <w:rPr>
                <w:b/>
                <w:bCs/>
                <w:color w:val="000000"/>
                <w:sz w:val="22"/>
              </w:rPr>
              <w:t>Uncertainty Component Description</w:t>
            </w:r>
          </w:p>
        </w:tc>
        <w:tc>
          <w:tcPr>
            <w:tcW w:w="956" w:type="dxa"/>
            <w:tcBorders>
              <w:top w:val="double" w:sz="6" w:space="0" w:color="auto"/>
              <w:bottom w:val="double" w:sz="6" w:space="0" w:color="auto"/>
            </w:tcBorders>
            <w:shd w:val="clear" w:color="auto" w:fill="auto"/>
            <w:vAlign w:val="center"/>
          </w:tcPr>
          <w:p w14:paraId="6C2DC85C" w14:textId="77777777" w:rsidR="000D52D6" w:rsidRPr="008B5532" w:rsidRDefault="000D52D6" w:rsidP="00545496">
            <w:pPr>
              <w:jc w:val="center"/>
              <w:rPr>
                <w:b/>
                <w:bCs/>
                <w:color w:val="000000"/>
                <w:sz w:val="22"/>
              </w:rPr>
            </w:pPr>
            <w:r w:rsidRPr="008B5532">
              <w:rPr>
                <w:b/>
                <w:bCs/>
                <w:color w:val="000000"/>
                <w:sz w:val="22"/>
              </w:rPr>
              <w:t>Symbol</w:t>
            </w:r>
          </w:p>
        </w:tc>
        <w:tc>
          <w:tcPr>
            <w:tcW w:w="3085" w:type="dxa"/>
            <w:tcBorders>
              <w:top w:val="double" w:sz="6" w:space="0" w:color="auto"/>
              <w:bottom w:val="double" w:sz="6" w:space="0" w:color="auto"/>
            </w:tcBorders>
            <w:shd w:val="clear" w:color="auto" w:fill="auto"/>
            <w:vAlign w:val="center"/>
          </w:tcPr>
          <w:p w14:paraId="336C614A" w14:textId="77777777" w:rsidR="000D52D6" w:rsidRPr="008B5532" w:rsidRDefault="000D52D6" w:rsidP="00545496">
            <w:pPr>
              <w:jc w:val="center"/>
              <w:rPr>
                <w:b/>
                <w:bCs/>
                <w:color w:val="000000"/>
                <w:sz w:val="22"/>
              </w:rPr>
            </w:pPr>
            <w:r w:rsidRPr="008B5532">
              <w:rPr>
                <w:b/>
                <w:bCs/>
                <w:color w:val="000000"/>
                <w:sz w:val="22"/>
              </w:rPr>
              <w:t>Source</w:t>
            </w:r>
          </w:p>
        </w:tc>
        <w:tc>
          <w:tcPr>
            <w:tcW w:w="2042" w:type="dxa"/>
            <w:tcBorders>
              <w:top w:val="double" w:sz="6" w:space="0" w:color="auto"/>
              <w:bottom w:val="double" w:sz="6" w:space="0" w:color="auto"/>
            </w:tcBorders>
            <w:vAlign w:val="center"/>
          </w:tcPr>
          <w:p w14:paraId="5FDD3510" w14:textId="77777777" w:rsidR="000D52D6" w:rsidRPr="008B5532" w:rsidRDefault="000D52D6" w:rsidP="00545496">
            <w:pPr>
              <w:jc w:val="center"/>
              <w:rPr>
                <w:b/>
                <w:bCs/>
                <w:color w:val="000000"/>
                <w:sz w:val="22"/>
              </w:rPr>
            </w:pPr>
            <w:r w:rsidRPr="008B5532">
              <w:rPr>
                <w:b/>
                <w:bCs/>
                <w:color w:val="000000"/>
                <w:sz w:val="22"/>
              </w:rPr>
              <w:t>Typical Distribution</w:t>
            </w:r>
          </w:p>
        </w:tc>
      </w:tr>
      <w:tr w:rsidR="000D52D6" w14:paraId="31B1370C" w14:textId="77777777" w:rsidTr="00545496">
        <w:trPr>
          <w:cantSplit/>
          <w:jc w:val="center"/>
        </w:trPr>
        <w:tc>
          <w:tcPr>
            <w:tcW w:w="3007" w:type="dxa"/>
            <w:tcBorders>
              <w:top w:val="double" w:sz="6" w:space="0" w:color="auto"/>
            </w:tcBorders>
            <w:shd w:val="clear" w:color="auto" w:fill="auto"/>
            <w:vAlign w:val="center"/>
          </w:tcPr>
          <w:p w14:paraId="563A9169" w14:textId="77777777" w:rsidR="000D52D6" w:rsidRPr="008B5532" w:rsidRDefault="000D52D6" w:rsidP="00545496">
            <w:pPr>
              <w:rPr>
                <w:color w:val="000000"/>
                <w:sz w:val="22"/>
              </w:rPr>
            </w:pPr>
            <w:r>
              <w:rPr>
                <w:color w:val="000000"/>
                <w:sz w:val="22"/>
              </w:rPr>
              <w:t>Uncertainty for the reference standard</w:t>
            </w:r>
          </w:p>
        </w:tc>
        <w:tc>
          <w:tcPr>
            <w:tcW w:w="956" w:type="dxa"/>
            <w:tcBorders>
              <w:top w:val="double" w:sz="6" w:space="0" w:color="auto"/>
            </w:tcBorders>
            <w:shd w:val="clear" w:color="auto" w:fill="auto"/>
            <w:vAlign w:val="center"/>
          </w:tcPr>
          <w:p w14:paraId="1FE95C16" w14:textId="77777777" w:rsidR="000D52D6" w:rsidRPr="008B5532" w:rsidRDefault="000D52D6" w:rsidP="00545496">
            <w:pPr>
              <w:jc w:val="center"/>
              <w:rPr>
                <w:i/>
                <w:color w:val="000000"/>
                <w:sz w:val="22"/>
              </w:rPr>
            </w:pPr>
            <w:r w:rsidRPr="008B5532">
              <w:rPr>
                <w:i/>
                <w:color w:val="000000"/>
                <w:sz w:val="22"/>
              </w:rPr>
              <w:t>u</w:t>
            </w:r>
            <w:r w:rsidRPr="008B5532">
              <w:rPr>
                <w:i/>
                <w:color w:val="000000"/>
                <w:sz w:val="22"/>
                <w:vertAlign w:val="subscript"/>
              </w:rPr>
              <w:t>s</w:t>
            </w:r>
          </w:p>
        </w:tc>
        <w:tc>
          <w:tcPr>
            <w:tcW w:w="3085" w:type="dxa"/>
            <w:tcBorders>
              <w:top w:val="double" w:sz="6" w:space="0" w:color="auto"/>
            </w:tcBorders>
            <w:shd w:val="clear" w:color="auto" w:fill="auto"/>
            <w:vAlign w:val="center"/>
          </w:tcPr>
          <w:p w14:paraId="567E83E5" w14:textId="0E65B9C6" w:rsidR="000D52D6" w:rsidRDefault="000D52D6" w:rsidP="00545496">
            <w:pPr>
              <w:jc w:val="center"/>
              <w:rPr>
                <w:color w:val="000000"/>
                <w:sz w:val="22"/>
              </w:rPr>
            </w:pPr>
            <w:r>
              <w:rPr>
                <w:color w:val="000000"/>
                <w:sz w:val="22"/>
              </w:rPr>
              <w:t>NIST traceable frequency standard (telephone, receiver, GPS clock)</w:t>
            </w:r>
          </w:p>
          <w:p w14:paraId="4E96C21B" w14:textId="77777777" w:rsidR="000D52D6" w:rsidRPr="008B5532" w:rsidRDefault="000D52D6" w:rsidP="00545496">
            <w:pPr>
              <w:jc w:val="center"/>
              <w:rPr>
                <w:color w:val="000000"/>
                <w:sz w:val="22"/>
              </w:rPr>
            </w:pPr>
            <w:r>
              <w:rPr>
                <w:color w:val="000000"/>
                <w:sz w:val="22"/>
              </w:rPr>
              <w:t>NIST website (SP 960-12)</w:t>
            </w:r>
          </w:p>
        </w:tc>
        <w:tc>
          <w:tcPr>
            <w:tcW w:w="2042" w:type="dxa"/>
            <w:tcBorders>
              <w:top w:val="double" w:sz="6" w:space="0" w:color="auto"/>
            </w:tcBorders>
            <w:vAlign w:val="center"/>
          </w:tcPr>
          <w:p w14:paraId="08A15E74" w14:textId="77777777" w:rsidR="000D52D6" w:rsidRPr="008B5532" w:rsidRDefault="000D52D6" w:rsidP="00545496">
            <w:pPr>
              <w:jc w:val="center"/>
              <w:rPr>
                <w:color w:val="000000"/>
                <w:sz w:val="22"/>
              </w:rPr>
            </w:pPr>
            <w:r>
              <w:rPr>
                <w:color w:val="000000"/>
                <w:sz w:val="22"/>
              </w:rPr>
              <w:t>Rectangular</w:t>
            </w:r>
          </w:p>
        </w:tc>
      </w:tr>
      <w:tr w:rsidR="000D52D6" w14:paraId="69411CDB" w14:textId="77777777" w:rsidTr="00545496">
        <w:trPr>
          <w:cantSplit/>
          <w:jc w:val="center"/>
        </w:trPr>
        <w:tc>
          <w:tcPr>
            <w:tcW w:w="3007" w:type="dxa"/>
            <w:shd w:val="clear" w:color="auto" w:fill="auto"/>
            <w:vAlign w:val="center"/>
          </w:tcPr>
          <w:p w14:paraId="769995F5" w14:textId="6F94A0FE" w:rsidR="000D52D6" w:rsidRPr="008B5532" w:rsidRDefault="000D52D6" w:rsidP="00545496">
            <w:pPr>
              <w:rPr>
                <w:color w:val="000000"/>
                <w:sz w:val="22"/>
              </w:rPr>
            </w:pPr>
            <w:r>
              <w:rPr>
                <w:color w:val="000000"/>
                <w:sz w:val="22"/>
              </w:rPr>
              <w:t>Standard deviation of the process</w:t>
            </w:r>
          </w:p>
        </w:tc>
        <w:tc>
          <w:tcPr>
            <w:tcW w:w="956" w:type="dxa"/>
            <w:shd w:val="clear" w:color="auto" w:fill="auto"/>
            <w:vAlign w:val="center"/>
          </w:tcPr>
          <w:p w14:paraId="7D1AC698" w14:textId="77777777" w:rsidR="000D52D6" w:rsidRPr="008B5532" w:rsidRDefault="000D52D6" w:rsidP="00545496">
            <w:pPr>
              <w:jc w:val="center"/>
              <w:rPr>
                <w:i/>
                <w:color w:val="000000"/>
                <w:sz w:val="22"/>
              </w:rPr>
            </w:pPr>
            <w:r w:rsidRPr="008B5532">
              <w:rPr>
                <w:i/>
                <w:color w:val="000000"/>
                <w:sz w:val="22"/>
              </w:rPr>
              <w:t>s</w:t>
            </w:r>
            <w:r w:rsidRPr="008B5532">
              <w:rPr>
                <w:i/>
                <w:color w:val="000000"/>
                <w:sz w:val="22"/>
                <w:vertAlign w:val="subscript"/>
              </w:rPr>
              <w:t>p</w:t>
            </w:r>
          </w:p>
        </w:tc>
        <w:tc>
          <w:tcPr>
            <w:tcW w:w="3085" w:type="dxa"/>
            <w:shd w:val="clear" w:color="auto" w:fill="auto"/>
            <w:vAlign w:val="center"/>
          </w:tcPr>
          <w:p w14:paraId="0741B952" w14:textId="77777777" w:rsidR="000D52D6" w:rsidRPr="008B5532" w:rsidRDefault="000D52D6" w:rsidP="00545496">
            <w:pPr>
              <w:jc w:val="center"/>
              <w:rPr>
                <w:color w:val="000000"/>
                <w:sz w:val="22"/>
              </w:rPr>
            </w:pPr>
            <w:r>
              <w:rPr>
                <w:color w:val="000000"/>
                <w:sz w:val="22"/>
              </w:rPr>
              <w:t>Laboratory assessments, pooled standard deviation</w:t>
            </w:r>
          </w:p>
        </w:tc>
        <w:tc>
          <w:tcPr>
            <w:tcW w:w="2042" w:type="dxa"/>
            <w:vAlign w:val="center"/>
          </w:tcPr>
          <w:p w14:paraId="7F6F3B41" w14:textId="77777777" w:rsidR="000D52D6" w:rsidRPr="008B5532" w:rsidRDefault="000D52D6" w:rsidP="00545496">
            <w:pPr>
              <w:jc w:val="center"/>
              <w:rPr>
                <w:color w:val="000000"/>
                <w:sz w:val="22"/>
              </w:rPr>
            </w:pPr>
            <w:r>
              <w:rPr>
                <w:color w:val="000000"/>
                <w:sz w:val="22"/>
              </w:rPr>
              <w:t>Normal</w:t>
            </w:r>
          </w:p>
        </w:tc>
      </w:tr>
      <w:tr w:rsidR="000D52D6" w14:paraId="06486A76" w14:textId="77777777" w:rsidTr="00545496">
        <w:trPr>
          <w:cantSplit/>
          <w:jc w:val="center"/>
        </w:trPr>
        <w:tc>
          <w:tcPr>
            <w:tcW w:w="3007" w:type="dxa"/>
            <w:shd w:val="clear" w:color="auto" w:fill="auto"/>
            <w:vAlign w:val="center"/>
          </w:tcPr>
          <w:p w14:paraId="01FCDB4C" w14:textId="6A2DA605" w:rsidR="000D52D6" w:rsidRPr="008B5532" w:rsidRDefault="000D52D6" w:rsidP="00545496">
            <w:pPr>
              <w:rPr>
                <w:color w:val="000000"/>
                <w:sz w:val="22"/>
              </w:rPr>
            </w:pPr>
            <w:r>
              <w:rPr>
                <w:color w:val="000000"/>
                <w:sz w:val="22"/>
              </w:rPr>
              <w:t>Uncertainty for the mechanical instability of the tuning fork</w:t>
            </w:r>
          </w:p>
        </w:tc>
        <w:tc>
          <w:tcPr>
            <w:tcW w:w="956" w:type="dxa"/>
            <w:shd w:val="clear" w:color="auto" w:fill="auto"/>
            <w:vAlign w:val="center"/>
          </w:tcPr>
          <w:p w14:paraId="5C75AF00" w14:textId="6FC9EB5B" w:rsidR="000D52D6" w:rsidRPr="008B5532" w:rsidRDefault="000D52D6" w:rsidP="00545496">
            <w:pPr>
              <w:jc w:val="center"/>
              <w:rPr>
                <w:i/>
                <w:color w:val="000000"/>
                <w:sz w:val="22"/>
              </w:rPr>
            </w:pPr>
            <w:r>
              <w:rPr>
                <w:i/>
                <w:color w:val="000000"/>
                <w:sz w:val="22"/>
              </w:rPr>
              <w:t>u</w:t>
            </w:r>
            <w:r>
              <w:rPr>
                <w:i/>
                <w:color w:val="000000"/>
                <w:sz w:val="22"/>
                <w:vertAlign w:val="subscript"/>
              </w:rPr>
              <w:t>i</w:t>
            </w:r>
          </w:p>
        </w:tc>
        <w:tc>
          <w:tcPr>
            <w:tcW w:w="3085" w:type="dxa"/>
            <w:shd w:val="clear" w:color="auto" w:fill="auto"/>
            <w:vAlign w:val="center"/>
          </w:tcPr>
          <w:p w14:paraId="29C77C47" w14:textId="7DC83275" w:rsidR="000D52D6" w:rsidRPr="008B5532" w:rsidRDefault="000D52D6" w:rsidP="00545496">
            <w:pPr>
              <w:jc w:val="center"/>
              <w:rPr>
                <w:color w:val="000000"/>
                <w:sz w:val="22"/>
              </w:rPr>
            </w:pPr>
            <w:r>
              <w:rPr>
                <w:color w:val="000000"/>
                <w:sz w:val="22"/>
              </w:rPr>
              <w:t xml:space="preserve">Normally included in the standard deviation of the process </w:t>
            </w:r>
          </w:p>
        </w:tc>
        <w:tc>
          <w:tcPr>
            <w:tcW w:w="2042" w:type="dxa"/>
            <w:vAlign w:val="center"/>
          </w:tcPr>
          <w:p w14:paraId="64F78223" w14:textId="77777777" w:rsidR="000D52D6" w:rsidRPr="008B5532" w:rsidRDefault="000D52D6" w:rsidP="00545496">
            <w:pPr>
              <w:jc w:val="center"/>
              <w:rPr>
                <w:color w:val="000000"/>
                <w:sz w:val="22"/>
              </w:rPr>
            </w:pPr>
            <w:r>
              <w:rPr>
                <w:color w:val="000000"/>
                <w:sz w:val="22"/>
              </w:rPr>
              <w:t>Rectangular</w:t>
            </w:r>
          </w:p>
        </w:tc>
      </w:tr>
      <w:tr w:rsidR="000D52D6" w14:paraId="2CE4E97E" w14:textId="77777777" w:rsidTr="00545496">
        <w:trPr>
          <w:cantSplit/>
          <w:jc w:val="center"/>
        </w:trPr>
        <w:tc>
          <w:tcPr>
            <w:tcW w:w="3007" w:type="dxa"/>
            <w:shd w:val="clear" w:color="auto" w:fill="auto"/>
            <w:vAlign w:val="center"/>
          </w:tcPr>
          <w:p w14:paraId="2328DA01" w14:textId="47DEFAE4" w:rsidR="000D52D6" w:rsidRPr="008B5532" w:rsidRDefault="000D52D6" w:rsidP="00545496">
            <w:pPr>
              <w:rPr>
                <w:color w:val="000000"/>
                <w:sz w:val="22"/>
              </w:rPr>
            </w:pPr>
            <w:r>
              <w:rPr>
                <w:color w:val="000000"/>
                <w:sz w:val="22"/>
              </w:rPr>
              <w:t>Uncertainty of the for temperature effects</w:t>
            </w:r>
          </w:p>
        </w:tc>
        <w:tc>
          <w:tcPr>
            <w:tcW w:w="956" w:type="dxa"/>
            <w:shd w:val="clear" w:color="auto" w:fill="auto"/>
            <w:vAlign w:val="center"/>
          </w:tcPr>
          <w:p w14:paraId="7140277C" w14:textId="535E6B9D" w:rsidR="000D52D6" w:rsidRDefault="000D52D6" w:rsidP="00545496">
            <w:pPr>
              <w:jc w:val="center"/>
              <w:rPr>
                <w:i/>
                <w:color w:val="000000"/>
                <w:sz w:val="22"/>
              </w:rPr>
            </w:pPr>
            <w:r>
              <w:rPr>
                <w:i/>
                <w:color w:val="000000"/>
                <w:sz w:val="22"/>
              </w:rPr>
              <w:t>u</w:t>
            </w:r>
            <w:r>
              <w:rPr>
                <w:i/>
                <w:color w:val="000000"/>
                <w:sz w:val="22"/>
                <w:vertAlign w:val="subscript"/>
              </w:rPr>
              <w:t>t</w:t>
            </w:r>
          </w:p>
        </w:tc>
        <w:tc>
          <w:tcPr>
            <w:tcW w:w="3085" w:type="dxa"/>
            <w:shd w:val="clear" w:color="auto" w:fill="auto"/>
            <w:vAlign w:val="center"/>
          </w:tcPr>
          <w:p w14:paraId="4537B90E" w14:textId="660421D3" w:rsidR="000D52D6" w:rsidRPr="008B5532" w:rsidRDefault="000D52D6" w:rsidP="00545496">
            <w:pPr>
              <w:jc w:val="center"/>
              <w:rPr>
                <w:color w:val="000000"/>
                <w:sz w:val="22"/>
              </w:rPr>
            </w:pPr>
            <w:r>
              <w:rPr>
                <w:color w:val="000000"/>
                <w:sz w:val="22"/>
              </w:rPr>
              <w:t>Estimates may be calculated with equations in section 5.2</w:t>
            </w:r>
          </w:p>
        </w:tc>
        <w:tc>
          <w:tcPr>
            <w:tcW w:w="2042" w:type="dxa"/>
            <w:vAlign w:val="center"/>
          </w:tcPr>
          <w:p w14:paraId="05C3356A" w14:textId="77777777" w:rsidR="000D52D6" w:rsidRDefault="000D52D6" w:rsidP="00545496">
            <w:pPr>
              <w:jc w:val="center"/>
              <w:rPr>
                <w:color w:val="000000"/>
                <w:sz w:val="22"/>
              </w:rPr>
            </w:pPr>
            <w:r>
              <w:rPr>
                <w:color w:val="000000"/>
                <w:sz w:val="22"/>
              </w:rPr>
              <w:t>Rectangular</w:t>
            </w:r>
          </w:p>
        </w:tc>
      </w:tr>
    </w:tbl>
    <w:p w14:paraId="76A738AF" w14:textId="77777777" w:rsidR="000D52D6" w:rsidRPr="000D52D6" w:rsidRDefault="000D52D6" w:rsidP="000D52D6"/>
    <w:p w14:paraId="24C91EB3" w14:textId="527B517C" w:rsidR="00996B57" w:rsidRDefault="00892764" w:rsidP="00975976">
      <w:pPr>
        <w:pStyle w:val="Heading2"/>
      </w:pPr>
      <w:r w:rsidRPr="00892764">
        <w:lastRenderedPageBreak/>
        <w:t>Typically</w:t>
      </w:r>
      <w:r w:rsidR="00975976">
        <w:t>,</w:t>
      </w:r>
      <w:r w:rsidRPr="00892764">
        <w:t xml:space="preserve"> the </w:t>
      </w:r>
      <w:r w:rsidR="00975976">
        <w:t xml:space="preserve">expanded </w:t>
      </w:r>
      <w:r w:rsidRPr="00892764">
        <w:t>uncertainty of the measurement process does not exceed</w:t>
      </w:r>
      <w:r w:rsidR="00975976">
        <w:t xml:space="preserve"> </w:t>
      </w:r>
      <w:r w:rsidRPr="00975976">
        <w:t>± 0.02 % plus small variations caused by laboratory temperature changes.</w:t>
      </w:r>
      <w:r w:rsidR="00975976">
        <w:t xml:space="preserve"> </w:t>
      </w:r>
      <w:r w:rsidRPr="00975976">
        <w:t xml:space="preserve">Normally this </w:t>
      </w:r>
      <w:r w:rsidR="00463626">
        <w:t xml:space="preserve">impact </w:t>
      </w:r>
      <w:r w:rsidRPr="00975976">
        <w:t>is less than 0.05 mph.</w:t>
      </w:r>
    </w:p>
    <w:p w14:paraId="66D74800" w14:textId="77777777" w:rsidR="00463626" w:rsidRDefault="00463626" w:rsidP="00463626">
      <w:pPr>
        <w:pStyle w:val="Heading1"/>
      </w:pPr>
      <w:r>
        <w:t>Certificate</w:t>
      </w:r>
    </w:p>
    <w:p w14:paraId="6BF21A43" w14:textId="193F7E95" w:rsidR="00463626" w:rsidRDefault="00463626" w:rsidP="00463626">
      <w:pPr>
        <w:pStyle w:val="BodyText"/>
      </w:pPr>
      <w:r w:rsidRPr="00463626">
        <w:t xml:space="preserve">Report results as described in SOP No. 1, Preparation of Calibration Certificates. Report the </w:t>
      </w:r>
      <w:r w:rsidR="00804E77">
        <w:t xml:space="preserve">tuning fork serial numbers, </w:t>
      </w:r>
      <w:r>
        <w:t xml:space="preserve">tuning fork </w:t>
      </w:r>
      <w:r w:rsidR="00804E77">
        <w:t xml:space="preserve">speed and/or </w:t>
      </w:r>
      <w:r w:rsidR="002252EB">
        <w:t>acoustic</w:t>
      </w:r>
      <w:r w:rsidR="00804E77">
        <w:t xml:space="preserve"> instrument </w:t>
      </w:r>
      <w:r w:rsidR="00AD0FE8">
        <w:t xml:space="preserve">oscillation </w:t>
      </w:r>
      <w:r w:rsidR="00804E77">
        <w:t>frequency (if appropriate)</w:t>
      </w:r>
      <w:r>
        <w:t xml:space="preserve">, </w:t>
      </w:r>
      <w:r w:rsidRPr="00463626">
        <w:t>environmental conditions during the calibrations</w:t>
      </w:r>
      <w:r w:rsidR="00E93A04">
        <w:t>, specifically temperature</w:t>
      </w:r>
      <w:r w:rsidRPr="00463626">
        <w:t xml:space="preserve">, and </w:t>
      </w:r>
      <w:r w:rsidR="00E93A04">
        <w:t xml:space="preserve">the </w:t>
      </w:r>
      <w:r w:rsidRPr="00463626">
        <w:t>calculated uncertainties.</w:t>
      </w:r>
    </w:p>
    <w:p w14:paraId="5FF549C3" w14:textId="70A111E5" w:rsidR="00B52116" w:rsidRDefault="00B52116" w:rsidP="00B52116">
      <w:pPr>
        <w:pStyle w:val="Heading1"/>
      </w:pPr>
      <w:r>
        <w:t>Acknowledgements and Validation</w:t>
      </w:r>
    </w:p>
    <w:p w14:paraId="6E386A29" w14:textId="0D8B94CF" w:rsidR="00B52116" w:rsidRDefault="00B52116" w:rsidP="00B52116">
      <w:r>
        <w:t xml:space="preserve">This SOP and various iterations were developed by the States of Colorado, New Jersey, Alaska, and Virginia with collaboration and input from NIST (and NBS) staff David Allan and Michael Lombardi. This version is a consolidation of the various approaches to reference standards that are successfully being used for the calibration of tuning forks for legal applications. </w:t>
      </w:r>
    </w:p>
    <w:p w14:paraId="3ED8818C" w14:textId="6AA6B299" w:rsidR="000D52D6" w:rsidRDefault="000D52D6" w:rsidP="00B52116"/>
    <w:p w14:paraId="181E7E16" w14:textId="5904879A" w:rsidR="000D52D6" w:rsidRPr="00B52116" w:rsidRDefault="000D52D6" w:rsidP="00B52116">
      <w:r>
        <w:t xml:space="preserve">Tuning fork PTs have been coordinated by Garret Brown from Alaska for laboratory Recognition and Accreditation and for validation of this procedure. </w:t>
      </w:r>
    </w:p>
    <w:sectPr w:rsidR="000D52D6" w:rsidRPr="00B52116" w:rsidSect="00A852AA">
      <w:headerReference w:type="default" r:id="rId14"/>
      <w:footerReference w:type="default" r:id="rId15"/>
      <w:footerReference w:type="first" r:id="rId16"/>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9DF76" w14:textId="77777777" w:rsidR="00545496" w:rsidRDefault="00545496" w:rsidP="009040A6">
      <w:r>
        <w:separator/>
      </w:r>
    </w:p>
  </w:endnote>
  <w:endnote w:type="continuationSeparator" w:id="0">
    <w:p w14:paraId="6FF73BA8" w14:textId="77777777" w:rsidR="00545496" w:rsidRDefault="00545496" w:rsidP="009040A6">
      <w:r>
        <w:continuationSeparator/>
      </w:r>
    </w:p>
  </w:endnote>
  <w:endnote w:type="continuationNotice" w:id="1">
    <w:p w14:paraId="183A30F1" w14:textId="77777777" w:rsidR="00545496" w:rsidRDefault="00545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667C" w14:textId="291595CD" w:rsidR="00996B57" w:rsidRDefault="005B0A7E" w:rsidP="005B0A7E">
    <w:r>
      <w:t xml:space="preserve">SOP 22 </w:t>
    </w:r>
    <w:r w:rsidR="008248A7">
      <w:t>–</w:t>
    </w:r>
    <w:r>
      <w:t xml:space="preserve"> 201</w:t>
    </w:r>
    <w:sdt>
      <w:sdtPr>
        <w:id w:val="1401714558"/>
        <w:docPartObj>
          <w:docPartGallery w:val="Page Numbers (Bottom of Page)"/>
          <w:docPartUnique/>
        </w:docPartObj>
      </w:sdtPr>
      <w:sdtEndPr>
        <w:rPr>
          <w:noProof/>
        </w:rPr>
      </w:sdtEndPr>
      <w:sdtContent>
        <w:r w:rsidR="008654F1">
          <w:t>9</w:t>
        </w:r>
        <w:r w:rsidR="008248A7">
          <w:tab/>
        </w:r>
        <w:r w:rsidR="008248A7">
          <w:tab/>
        </w:r>
        <w:r w:rsidR="008248A7">
          <w:tab/>
        </w:r>
        <w:r w:rsidR="008248A7">
          <w:tab/>
        </w:r>
        <w:r w:rsidR="008248A7">
          <w:tab/>
        </w:r>
        <w:r>
          <w:t xml:space="preserve">Page </w:t>
        </w:r>
        <w:r>
          <w:fldChar w:fldCharType="begin"/>
        </w:r>
        <w:r>
          <w:instrText xml:space="preserve"> PAGE   \* MERGEFORMAT </w:instrText>
        </w:r>
        <w:r>
          <w:fldChar w:fldCharType="separate"/>
        </w:r>
        <w:r w:rsidR="004A0666">
          <w:rPr>
            <w:noProof/>
          </w:rPr>
          <w:t>9</w:t>
        </w:r>
        <w:r>
          <w:fldChar w:fldCharType="end"/>
        </w:r>
        <w:r>
          <w:t xml:space="preserve"> of </w:t>
        </w:r>
        <w:r w:rsidR="008654F1">
          <w:rPr>
            <w:noProof/>
          </w:rPr>
          <w:fldChar w:fldCharType="begin"/>
        </w:r>
        <w:r w:rsidR="008654F1">
          <w:rPr>
            <w:noProof/>
          </w:rPr>
          <w:instrText xml:space="preserve"> NUMPAGES   \* MERGEFORMAT </w:instrText>
        </w:r>
        <w:r w:rsidR="008654F1">
          <w:rPr>
            <w:noProof/>
          </w:rPr>
          <w:fldChar w:fldCharType="separate"/>
        </w:r>
        <w:r w:rsidR="004A0666">
          <w:rPr>
            <w:noProof/>
          </w:rPr>
          <w:t>9</w:t>
        </w:r>
        <w:r w:rsidR="008654F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540192"/>
      <w:docPartObj>
        <w:docPartGallery w:val="Page Numbers (Bottom of Page)"/>
        <w:docPartUnique/>
      </w:docPartObj>
    </w:sdtPr>
    <w:sdtEndPr>
      <w:rPr>
        <w:noProof/>
      </w:rPr>
    </w:sdtEndPr>
    <w:sdtContent>
      <w:p w14:paraId="0223FBF7" w14:textId="77777777" w:rsidR="00996B57" w:rsidRDefault="00996B57" w:rsidP="00996B57">
        <w:pP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51CEF" w14:textId="77777777" w:rsidR="00545496" w:rsidRDefault="00545496" w:rsidP="009040A6">
      <w:r>
        <w:separator/>
      </w:r>
    </w:p>
  </w:footnote>
  <w:footnote w:type="continuationSeparator" w:id="0">
    <w:p w14:paraId="5993BFDC" w14:textId="77777777" w:rsidR="00545496" w:rsidRDefault="00545496" w:rsidP="009040A6">
      <w:r>
        <w:continuationSeparator/>
      </w:r>
    </w:p>
  </w:footnote>
  <w:footnote w:type="continuationNotice" w:id="1">
    <w:p w14:paraId="32126BED" w14:textId="77777777" w:rsidR="00545496" w:rsidRDefault="00545496"/>
  </w:footnote>
  <w:footnote w:id="2">
    <w:p w14:paraId="51687CEC" w14:textId="3C906257" w:rsidR="000D03B2" w:rsidRDefault="000D03B2">
      <w:pPr>
        <w:pStyle w:val="FootnoteText"/>
      </w:pPr>
      <w:r>
        <w:rPr>
          <w:rStyle w:val="FootnoteReference"/>
        </w:rPr>
        <w:footnoteRef/>
      </w:r>
      <w:r>
        <w:t xml:space="preserve"> Kustom Signals, Inc. information is provided as an example with appropriate conversion factors and is not intended as an endorsement or preference.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4AD99" w14:textId="15FDF9A1" w:rsidR="00996B57" w:rsidRDefault="00874000" w:rsidP="00996B57">
    <w:r>
      <w:rPr>
        <w:noProof/>
      </w:rPr>
      <mc:AlternateContent>
        <mc:Choice Requires="wps">
          <w:drawing>
            <wp:anchor distT="0" distB="0" distL="114300" distR="114300" simplePos="0" relativeHeight="251659264" behindDoc="1" locked="0" layoutInCell="1" allowOverlap="1" wp14:anchorId="69BFBFC3" wp14:editId="04BDC0A3">
              <wp:simplePos x="0" y="0"/>
              <wp:positionH relativeFrom="column">
                <wp:posOffset>-959126</wp:posOffset>
              </wp:positionH>
              <wp:positionV relativeFrom="page">
                <wp:posOffset>9525</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9C106" w14:textId="6D91D932" w:rsidR="00996B57" w:rsidRPr="00F161D7" w:rsidRDefault="00996B57" w:rsidP="00996B57">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sidR="0001412C">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sidR="002B6D17">
                            <w:rPr>
                              <w:rFonts w:ascii="Arial" w:hAnsi="Arial" w:cs="Arial"/>
                              <w:color w:val="A6A6A6" w:themeColor="background1" w:themeShade="A6"/>
                              <w:sz w:val="20"/>
                              <w:szCs w:val="20"/>
                            </w:rPr>
                            <w:t>8250</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FBFC3" id="_x0000_t202" coordsize="21600,21600" o:spt="202" path="m,l,21600r21600,l21600,xe">
              <v:stroke joinstyle="miter"/>
              <v:path gradientshapeok="t" o:connecttype="rect"/>
            </v:shapetype>
            <v:shape id="Text Box 33" o:spid="_x0000_s1026" type="#_x0000_t202" style="position:absolute;margin-left:-75.5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" fillcolor="white [3201]" stroked="f" strokeweight=".5pt">
              <v:textbox style="layout-flow:vertical">
                <w:txbxContent>
                  <w:p w14:paraId="65D9C106" w14:textId="6D91D932" w:rsidR="00996B57" w:rsidRPr="00F161D7" w:rsidRDefault="00996B57" w:rsidP="00996B57">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sidR="0001412C">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sidR="002B6D17">
                      <w:rPr>
                        <w:rFonts w:ascii="Arial" w:hAnsi="Arial" w:cs="Arial"/>
                        <w:color w:val="A6A6A6" w:themeColor="background1" w:themeShade="A6"/>
                        <w:sz w:val="20"/>
                        <w:szCs w:val="20"/>
                      </w:rPr>
                      <w:t>8250</w:t>
                    </w:r>
                  </w:p>
                </w:txbxContent>
              </v:textbox>
              <w10:wrap type="square" anchory="page"/>
            </v:shape>
          </w:pict>
        </mc:Fallback>
      </mc:AlternateContent>
    </w:r>
    <w:r w:rsidR="008859C2">
      <w:t xml:space="preserve"> </w:t>
    </w:r>
  </w:p>
  <w:p w14:paraId="08B485D3" w14:textId="4B5E4046" w:rsidR="00996B57" w:rsidRDefault="00874000">
    <w:r>
      <w:rPr>
        <w:noProof/>
      </w:rPr>
      <mc:AlternateContent>
        <mc:Choice Requires="wps">
          <w:drawing>
            <wp:anchor distT="0" distB="0" distL="114300" distR="114300" simplePos="0" relativeHeight="251660288" behindDoc="0" locked="0" layoutInCell="1" allowOverlap="1" wp14:anchorId="356853A5" wp14:editId="3C4C6DF8">
              <wp:simplePos x="0" y="0"/>
              <wp:positionH relativeFrom="column">
                <wp:posOffset>-458940</wp:posOffset>
              </wp:positionH>
              <wp:positionV relativeFrom="paragraph">
                <wp:posOffset>262890</wp:posOffset>
              </wp:positionV>
              <wp:extent cx="0" cy="822960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82296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0D7616" id="Straight Connector 6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15pt,20.7pt" to="-36.15pt,6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" strokecolor="#a5a5a5 [209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3B66096F"/>
    <w:multiLevelType w:val="multilevel"/>
    <w:tmpl w:val="C5AAAFCC"/>
    <w:lvl w:ilvl="0">
      <w:start w:val="1"/>
      <w:numFmt w:val="decimal"/>
      <w:pStyle w:val="Legal1"/>
      <w:lvlText w:val="%1."/>
      <w:lvlJc w:val="left"/>
      <w:pPr>
        <w:tabs>
          <w:tab w:val="num" w:pos="360"/>
        </w:tabs>
        <w:ind w:left="360" w:hanging="360"/>
      </w:pPr>
    </w:lvl>
    <w:lvl w:ilvl="1">
      <w:start w:val="1"/>
      <w:numFmt w:val="decimal"/>
      <w:pStyle w:val="Legal2"/>
      <w:lvlText w:val="%1.%2."/>
      <w:lvlJc w:val="left"/>
      <w:pPr>
        <w:tabs>
          <w:tab w:val="num" w:pos="936"/>
        </w:tabs>
        <w:ind w:left="936" w:hanging="576"/>
      </w:pPr>
    </w:lvl>
    <w:lvl w:ilvl="2">
      <w:start w:val="1"/>
      <w:numFmt w:val="decimal"/>
      <w:pStyle w:val="Legal3"/>
      <w:lvlText w:val="%1.%2.%3."/>
      <w:lvlJc w:val="left"/>
      <w:pPr>
        <w:tabs>
          <w:tab w:val="num" w:pos="1728"/>
        </w:tabs>
        <w:ind w:left="1728" w:hanging="792"/>
      </w:pPr>
    </w:lvl>
    <w:lvl w:ilvl="3">
      <w:start w:val="1"/>
      <w:numFmt w:val="decimal"/>
      <w:pStyle w:val="Legal4"/>
      <w:lvlText w:val="%1.%2.%3.%4."/>
      <w:lvlJc w:val="left"/>
      <w:pPr>
        <w:tabs>
          <w:tab w:val="num" w:pos="2736"/>
        </w:tabs>
        <w:ind w:left="2736" w:hanging="1008"/>
      </w:pPr>
    </w:lvl>
    <w:lvl w:ilvl="4">
      <w:start w:val="1"/>
      <w:numFmt w:val="decimal"/>
      <w:pStyle w:val="Legal5"/>
      <w:lvlText w:val="%1.%2.%3.%4.%5."/>
      <w:lvlJc w:val="left"/>
      <w:pPr>
        <w:tabs>
          <w:tab w:val="num" w:pos="3960"/>
        </w:tabs>
        <w:ind w:left="3960" w:hanging="122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6"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3"/>
  </w:num>
  <w:num w:numId="6">
    <w:abstractNumId w:val="9"/>
  </w:num>
  <w:num w:numId="7">
    <w:abstractNumId w:val="9"/>
  </w:num>
  <w:num w:numId="8">
    <w:abstractNumId w:val="9"/>
  </w:num>
  <w:num w:numId="9">
    <w:abstractNumId w:val="9"/>
  </w:num>
  <w:num w:numId="10">
    <w:abstractNumId w:val="3"/>
  </w:num>
  <w:num w:numId="11">
    <w:abstractNumId w:val="9"/>
  </w:num>
  <w:num w:numId="12">
    <w:abstractNumId w:val="9"/>
  </w:num>
  <w:num w:numId="13">
    <w:abstractNumId w:val="9"/>
  </w:num>
  <w:num w:numId="14">
    <w:abstractNumId w:val="9"/>
  </w:num>
  <w:num w:numId="15">
    <w:abstractNumId w:val="3"/>
  </w:num>
  <w:num w:numId="16">
    <w:abstractNumId w:val="11"/>
  </w:num>
  <w:num w:numId="17">
    <w:abstractNumId w:val="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
  </w:num>
  <w:num w:numId="21">
    <w:abstractNumId w:val="10"/>
  </w:num>
  <w:num w:numId="22">
    <w:abstractNumId w:val="4"/>
  </w:num>
  <w:num w:numId="23">
    <w:abstractNumId w:val="2"/>
  </w:num>
  <w:num w:numId="24">
    <w:abstractNumId w:val="7"/>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CC"/>
    <w:rsid w:val="00010A67"/>
    <w:rsid w:val="0001412C"/>
    <w:rsid w:val="000156C2"/>
    <w:rsid w:val="0003416D"/>
    <w:rsid w:val="0003525D"/>
    <w:rsid w:val="000533D5"/>
    <w:rsid w:val="00062FF4"/>
    <w:rsid w:val="00086319"/>
    <w:rsid w:val="000A2985"/>
    <w:rsid w:val="000A6F3A"/>
    <w:rsid w:val="000D03B2"/>
    <w:rsid w:val="000D52D6"/>
    <w:rsid w:val="000D6659"/>
    <w:rsid w:val="001024F6"/>
    <w:rsid w:val="00102CCE"/>
    <w:rsid w:val="0013469E"/>
    <w:rsid w:val="00177B8C"/>
    <w:rsid w:val="00197149"/>
    <w:rsid w:val="001C5D34"/>
    <w:rsid w:val="001C7DA3"/>
    <w:rsid w:val="001E26F0"/>
    <w:rsid w:val="001F4CB5"/>
    <w:rsid w:val="002019FE"/>
    <w:rsid w:val="00225193"/>
    <w:rsid w:val="002252EB"/>
    <w:rsid w:val="0023614A"/>
    <w:rsid w:val="00256A12"/>
    <w:rsid w:val="00265D16"/>
    <w:rsid w:val="00287F7D"/>
    <w:rsid w:val="0029021F"/>
    <w:rsid w:val="002915D6"/>
    <w:rsid w:val="002A30DE"/>
    <w:rsid w:val="002B0E67"/>
    <w:rsid w:val="002B0F27"/>
    <w:rsid w:val="002B6D17"/>
    <w:rsid w:val="002C1FC3"/>
    <w:rsid w:val="00313DCB"/>
    <w:rsid w:val="00315393"/>
    <w:rsid w:val="003155FE"/>
    <w:rsid w:val="00377A35"/>
    <w:rsid w:val="003B0B23"/>
    <w:rsid w:val="003C394B"/>
    <w:rsid w:val="003D371D"/>
    <w:rsid w:val="003F4D02"/>
    <w:rsid w:val="003F6E04"/>
    <w:rsid w:val="003F6E3D"/>
    <w:rsid w:val="00400788"/>
    <w:rsid w:val="004056DB"/>
    <w:rsid w:val="0041605D"/>
    <w:rsid w:val="00431863"/>
    <w:rsid w:val="00433C43"/>
    <w:rsid w:val="00463626"/>
    <w:rsid w:val="00470404"/>
    <w:rsid w:val="00473D06"/>
    <w:rsid w:val="00486CF6"/>
    <w:rsid w:val="004A0666"/>
    <w:rsid w:val="004E1ACC"/>
    <w:rsid w:val="004E51FC"/>
    <w:rsid w:val="004F0EB1"/>
    <w:rsid w:val="004F141C"/>
    <w:rsid w:val="00501215"/>
    <w:rsid w:val="00507914"/>
    <w:rsid w:val="0051023F"/>
    <w:rsid w:val="005143C7"/>
    <w:rsid w:val="0052791F"/>
    <w:rsid w:val="00545496"/>
    <w:rsid w:val="00547B49"/>
    <w:rsid w:val="00593CC9"/>
    <w:rsid w:val="005A4EDD"/>
    <w:rsid w:val="005A5BB8"/>
    <w:rsid w:val="005A6917"/>
    <w:rsid w:val="005B0A7E"/>
    <w:rsid w:val="0060261C"/>
    <w:rsid w:val="0063067C"/>
    <w:rsid w:val="00632E01"/>
    <w:rsid w:val="00664BD5"/>
    <w:rsid w:val="006803B4"/>
    <w:rsid w:val="00686602"/>
    <w:rsid w:val="006F2678"/>
    <w:rsid w:val="0070085D"/>
    <w:rsid w:val="00713000"/>
    <w:rsid w:val="00713585"/>
    <w:rsid w:val="00725029"/>
    <w:rsid w:val="0073279C"/>
    <w:rsid w:val="00791FE1"/>
    <w:rsid w:val="007A52F5"/>
    <w:rsid w:val="007A5D1D"/>
    <w:rsid w:val="007B725E"/>
    <w:rsid w:val="007E4C44"/>
    <w:rsid w:val="00804E77"/>
    <w:rsid w:val="008115C3"/>
    <w:rsid w:val="008248A7"/>
    <w:rsid w:val="00832A6F"/>
    <w:rsid w:val="00853F43"/>
    <w:rsid w:val="008628FA"/>
    <w:rsid w:val="008654F1"/>
    <w:rsid w:val="0086601B"/>
    <w:rsid w:val="00874000"/>
    <w:rsid w:val="00882D79"/>
    <w:rsid w:val="0088396A"/>
    <w:rsid w:val="008859C2"/>
    <w:rsid w:val="00892764"/>
    <w:rsid w:val="008A7D2A"/>
    <w:rsid w:val="008B454A"/>
    <w:rsid w:val="008E3033"/>
    <w:rsid w:val="008F2F15"/>
    <w:rsid w:val="008F3458"/>
    <w:rsid w:val="008F3B53"/>
    <w:rsid w:val="009040A6"/>
    <w:rsid w:val="009335AD"/>
    <w:rsid w:val="00957813"/>
    <w:rsid w:val="00975976"/>
    <w:rsid w:val="009937A4"/>
    <w:rsid w:val="00996B57"/>
    <w:rsid w:val="009A69DF"/>
    <w:rsid w:val="009C0F55"/>
    <w:rsid w:val="009C2733"/>
    <w:rsid w:val="00A5309B"/>
    <w:rsid w:val="00A56445"/>
    <w:rsid w:val="00A61223"/>
    <w:rsid w:val="00A6378C"/>
    <w:rsid w:val="00A803D7"/>
    <w:rsid w:val="00A852AA"/>
    <w:rsid w:val="00A97D4D"/>
    <w:rsid w:val="00AC2C2E"/>
    <w:rsid w:val="00AD0FE8"/>
    <w:rsid w:val="00AD133A"/>
    <w:rsid w:val="00AF7D0D"/>
    <w:rsid w:val="00B02B45"/>
    <w:rsid w:val="00B25BD6"/>
    <w:rsid w:val="00B33FCD"/>
    <w:rsid w:val="00B3605F"/>
    <w:rsid w:val="00B44F42"/>
    <w:rsid w:val="00B50055"/>
    <w:rsid w:val="00B52116"/>
    <w:rsid w:val="00B60090"/>
    <w:rsid w:val="00B72890"/>
    <w:rsid w:val="00B8228B"/>
    <w:rsid w:val="00B82BBE"/>
    <w:rsid w:val="00B91B53"/>
    <w:rsid w:val="00B931C8"/>
    <w:rsid w:val="00BA1545"/>
    <w:rsid w:val="00BC3389"/>
    <w:rsid w:val="00BC4BCD"/>
    <w:rsid w:val="00BE046D"/>
    <w:rsid w:val="00BE2AAC"/>
    <w:rsid w:val="00C04CAA"/>
    <w:rsid w:val="00C13791"/>
    <w:rsid w:val="00C264D1"/>
    <w:rsid w:val="00C472C4"/>
    <w:rsid w:val="00C64ACE"/>
    <w:rsid w:val="00C95D53"/>
    <w:rsid w:val="00CF60D9"/>
    <w:rsid w:val="00D07F8B"/>
    <w:rsid w:val="00D34901"/>
    <w:rsid w:val="00D4627E"/>
    <w:rsid w:val="00D57708"/>
    <w:rsid w:val="00D610B0"/>
    <w:rsid w:val="00D74D0D"/>
    <w:rsid w:val="00D96505"/>
    <w:rsid w:val="00DC50DD"/>
    <w:rsid w:val="00DD6A4F"/>
    <w:rsid w:val="00E22A89"/>
    <w:rsid w:val="00E64D01"/>
    <w:rsid w:val="00E77320"/>
    <w:rsid w:val="00E93A04"/>
    <w:rsid w:val="00EB629D"/>
    <w:rsid w:val="00F161D7"/>
    <w:rsid w:val="00F60090"/>
    <w:rsid w:val="00F736B4"/>
    <w:rsid w:val="00F8008F"/>
    <w:rsid w:val="00F847D2"/>
    <w:rsid w:val="00FA3E8D"/>
    <w:rsid w:val="00FB4C74"/>
    <w:rsid w:val="00FE43C1"/>
    <w:rsid w:val="00FF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B335DC6"/>
  <w15:docId w15:val="{25E7E053-5BC6-48BA-971D-89EED091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B6D17"/>
    <w:rPr>
      <w:rFonts w:eastAsiaTheme="minorHAnsi" w:cstheme="minorBidi"/>
      <w:sz w:val="24"/>
      <w:szCs w:val="22"/>
    </w:rPr>
  </w:style>
  <w:style w:type="paragraph" w:styleId="Heading1">
    <w:name w:val="heading 1"/>
    <w:basedOn w:val="Normal"/>
    <w:next w:val="Normal"/>
    <w:link w:val="Heading1Char"/>
    <w:uiPriority w:val="9"/>
    <w:qFormat/>
    <w:rsid w:val="002B6D17"/>
    <w:pPr>
      <w:keepNext/>
      <w:keepLines/>
      <w:numPr>
        <w:numId w:val="26"/>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2B6D17"/>
    <w:pPr>
      <w:keepNext/>
      <w:keepLines/>
      <w:numPr>
        <w:ilvl w:val="1"/>
        <w:numId w:val="26"/>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2B6D17"/>
    <w:pPr>
      <w:keepNext/>
      <w:keepLines/>
      <w:numPr>
        <w:ilvl w:val="2"/>
        <w:numId w:val="26"/>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2B6D17"/>
    <w:pPr>
      <w:keepNext/>
      <w:keepLines/>
      <w:numPr>
        <w:ilvl w:val="3"/>
        <w:numId w:val="26"/>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semiHidden/>
    <w:unhideWhenUsed/>
    <w:qFormat/>
    <w:rsid w:val="002B6D17"/>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B6D17"/>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B6D17"/>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B6D17"/>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B6D17"/>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2B6D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6D17"/>
  </w:style>
  <w:style w:type="paragraph" w:styleId="BalloonText">
    <w:name w:val="Balloon Text"/>
    <w:basedOn w:val="Normal"/>
    <w:link w:val="BalloonTextChar"/>
    <w:uiPriority w:val="99"/>
    <w:unhideWhenUsed/>
    <w:rsid w:val="002B6D17"/>
    <w:rPr>
      <w:rFonts w:ascii="Tahoma" w:hAnsi="Tahoma" w:cs="Tahoma"/>
      <w:sz w:val="16"/>
      <w:szCs w:val="16"/>
    </w:rPr>
  </w:style>
  <w:style w:type="character" w:customStyle="1" w:styleId="BalloonTextChar">
    <w:name w:val="Balloon Text Char"/>
    <w:basedOn w:val="DefaultParagraphFont"/>
    <w:link w:val="BalloonText"/>
    <w:uiPriority w:val="99"/>
    <w:rsid w:val="002B6D17"/>
    <w:rPr>
      <w:rFonts w:ascii="Tahoma" w:eastAsiaTheme="minorHAnsi" w:hAnsi="Tahoma" w:cs="Tahoma"/>
      <w:sz w:val="16"/>
      <w:szCs w:val="16"/>
    </w:rPr>
  </w:style>
  <w:style w:type="paragraph" w:styleId="BodyText">
    <w:name w:val="Body Text"/>
    <w:basedOn w:val="Normal"/>
    <w:link w:val="BodyTextChar"/>
    <w:uiPriority w:val="1"/>
    <w:unhideWhenUsed/>
    <w:qFormat/>
    <w:rsid w:val="002B6D17"/>
    <w:pPr>
      <w:spacing w:after="180"/>
      <w:jc w:val="both"/>
    </w:pPr>
    <w:rPr>
      <w:rFonts w:cs="Times New Roman"/>
      <w:szCs w:val="24"/>
    </w:rPr>
  </w:style>
  <w:style w:type="character" w:customStyle="1" w:styleId="BodyTextChar">
    <w:name w:val="Body Text Char"/>
    <w:basedOn w:val="DefaultParagraphFont"/>
    <w:link w:val="BodyText"/>
    <w:uiPriority w:val="1"/>
    <w:rsid w:val="002B6D17"/>
    <w:rPr>
      <w:rFonts w:eastAsiaTheme="minorHAnsi"/>
      <w:sz w:val="24"/>
      <w:szCs w:val="24"/>
    </w:rPr>
  </w:style>
  <w:style w:type="paragraph" w:styleId="Caption">
    <w:name w:val="caption"/>
    <w:aliases w:val="Caption (Figure and Table Titles)"/>
    <w:basedOn w:val="BodyText"/>
    <w:next w:val="Normal"/>
    <w:uiPriority w:val="35"/>
    <w:unhideWhenUsed/>
    <w:qFormat/>
    <w:rsid w:val="002B6D17"/>
    <w:pPr>
      <w:spacing w:after="0"/>
      <w:ind w:left="1872"/>
    </w:pPr>
    <w:rPr>
      <w:b/>
      <w:sz w:val="22"/>
    </w:rPr>
  </w:style>
  <w:style w:type="character" w:styleId="CommentReference">
    <w:name w:val="annotation reference"/>
    <w:basedOn w:val="DefaultParagraphFont"/>
    <w:uiPriority w:val="99"/>
    <w:semiHidden/>
    <w:unhideWhenUsed/>
    <w:rsid w:val="002B6D17"/>
    <w:rPr>
      <w:sz w:val="16"/>
      <w:szCs w:val="16"/>
    </w:rPr>
  </w:style>
  <w:style w:type="paragraph" w:styleId="CommentText">
    <w:name w:val="annotation text"/>
    <w:basedOn w:val="Normal"/>
    <w:link w:val="CommentTextChar"/>
    <w:uiPriority w:val="99"/>
    <w:semiHidden/>
    <w:unhideWhenUsed/>
    <w:rsid w:val="002B6D17"/>
    <w:rPr>
      <w:sz w:val="20"/>
      <w:szCs w:val="20"/>
    </w:rPr>
  </w:style>
  <w:style w:type="character" w:customStyle="1" w:styleId="CommentTextChar">
    <w:name w:val="Comment Text Char"/>
    <w:basedOn w:val="DefaultParagraphFont"/>
    <w:link w:val="CommentText"/>
    <w:uiPriority w:val="99"/>
    <w:semiHidden/>
    <w:rsid w:val="002B6D17"/>
    <w:rPr>
      <w:rFonts w:eastAsiaTheme="minorHAnsi" w:cstheme="minorBidi"/>
    </w:rPr>
  </w:style>
  <w:style w:type="paragraph" w:styleId="CommentSubject">
    <w:name w:val="annotation subject"/>
    <w:basedOn w:val="CommentText"/>
    <w:next w:val="CommentText"/>
    <w:link w:val="CommentSubjectChar"/>
    <w:uiPriority w:val="99"/>
    <w:semiHidden/>
    <w:unhideWhenUsed/>
    <w:rsid w:val="002B6D17"/>
    <w:rPr>
      <w:b/>
      <w:bCs/>
    </w:rPr>
  </w:style>
  <w:style w:type="character" w:customStyle="1" w:styleId="CommentSubjectChar">
    <w:name w:val="Comment Subject Char"/>
    <w:basedOn w:val="CommentTextChar"/>
    <w:link w:val="CommentSubject"/>
    <w:uiPriority w:val="99"/>
    <w:semiHidden/>
    <w:rsid w:val="002B6D17"/>
    <w:rPr>
      <w:rFonts w:eastAsiaTheme="minorHAnsi" w:cstheme="minorBidi"/>
      <w:b/>
      <w:bCs/>
    </w:rPr>
  </w:style>
  <w:style w:type="paragraph" w:customStyle="1" w:styleId="Default">
    <w:name w:val="Default"/>
    <w:rsid w:val="002B6D17"/>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2B6D17"/>
    <w:rPr>
      <w:color w:val="800080" w:themeColor="followedHyperlink"/>
      <w:u w:val="single"/>
    </w:rPr>
  </w:style>
  <w:style w:type="paragraph" w:styleId="Footer">
    <w:name w:val="footer"/>
    <w:basedOn w:val="Normal"/>
    <w:link w:val="FooterChar"/>
    <w:uiPriority w:val="99"/>
    <w:unhideWhenUsed/>
    <w:rsid w:val="002B6D17"/>
    <w:pPr>
      <w:tabs>
        <w:tab w:val="center" w:pos="4680"/>
        <w:tab w:val="right" w:pos="9360"/>
      </w:tabs>
    </w:pPr>
  </w:style>
  <w:style w:type="character" w:customStyle="1" w:styleId="FooterChar">
    <w:name w:val="Footer Char"/>
    <w:basedOn w:val="DefaultParagraphFont"/>
    <w:link w:val="Footer"/>
    <w:uiPriority w:val="99"/>
    <w:rsid w:val="002B6D17"/>
    <w:rPr>
      <w:rFonts w:eastAsiaTheme="minorHAnsi" w:cstheme="minorBidi"/>
      <w:sz w:val="24"/>
      <w:szCs w:val="22"/>
    </w:rPr>
  </w:style>
  <w:style w:type="paragraph" w:customStyle="1" w:styleId="FrontMatterTOC">
    <w:name w:val="Front Matter (TOC"/>
    <w:aliases w:val="foreword,preface,etc.)"/>
    <w:basedOn w:val="BodyText"/>
    <w:qFormat/>
    <w:rsid w:val="002B6D17"/>
    <w:rPr>
      <w:b/>
    </w:rPr>
  </w:style>
  <w:style w:type="paragraph" w:styleId="Header">
    <w:name w:val="header"/>
    <w:basedOn w:val="Normal"/>
    <w:link w:val="HeaderChar"/>
    <w:unhideWhenUsed/>
    <w:rsid w:val="002B6D17"/>
    <w:pPr>
      <w:tabs>
        <w:tab w:val="center" w:pos="4680"/>
        <w:tab w:val="right" w:pos="9360"/>
      </w:tabs>
    </w:pPr>
  </w:style>
  <w:style w:type="character" w:customStyle="1" w:styleId="HeaderChar">
    <w:name w:val="Header Char"/>
    <w:basedOn w:val="DefaultParagraphFont"/>
    <w:link w:val="Header"/>
    <w:rsid w:val="002B6D17"/>
    <w:rPr>
      <w:rFonts w:eastAsiaTheme="minorHAnsi" w:cstheme="minorBidi"/>
      <w:sz w:val="24"/>
      <w:szCs w:val="22"/>
    </w:rPr>
  </w:style>
  <w:style w:type="character" w:customStyle="1" w:styleId="Heading1Char">
    <w:name w:val="Heading 1 Char"/>
    <w:basedOn w:val="DefaultParagraphFont"/>
    <w:link w:val="Heading1"/>
    <w:uiPriority w:val="9"/>
    <w:rsid w:val="002B6D17"/>
    <w:rPr>
      <w:rFonts w:eastAsiaTheme="majorEastAsia"/>
      <w:sz w:val="24"/>
      <w:szCs w:val="24"/>
    </w:rPr>
  </w:style>
  <w:style w:type="character" w:customStyle="1" w:styleId="Heading2Char">
    <w:name w:val="Heading 2 Char"/>
    <w:basedOn w:val="DefaultParagraphFont"/>
    <w:link w:val="Heading2"/>
    <w:uiPriority w:val="9"/>
    <w:rsid w:val="002B6D17"/>
    <w:rPr>
      <w:rFonts w:eastAsiaTheme="majorEastAsia"/>
      <w:sz w:val="24"/>
      <w:szCs w:val="24"/>
    </w:rPr>
  </w:style>
  <w:style w:type="character" w:customStyle="1" w:styleId="Heading3Char">
    <w:name w:val="Heading 3 Char"/>
    <w:basedOn w:val="DefaultParagraphFont"/>
    <w:link w:val="Heading3"/>
    <w:uiPriority w:val="9"/>
    <w:rsid w:val="002B6D17"/>
    <w:rPr>
      <w:rFonts w:eastAsiaTheme="majorEastAsia"/>
      <w:sz w:val="24"/>
      <w:szCs w:val="24"/>
    </w:rPr>
  </w:style>
  <w:style w:type="character" w:customStyle="1" w:styleId="Heading4Char">
    <w:name w:val="Heading 4 Char"/>
    <w:basedOn w:val="DefaultParagraphFont"/>
    <w:link w:val="Heading4"/>
    <w:uiPriority w:val="9"/>
    <w:rsid w:val="002B6D17"/>
    <w:rPr>
      <w:rFonts w:eastAsiaTheme="majorEastAsia"/>
      <w:iCs/>
      <w:sz w:val="24"/>
      <w:szCs w:val="24"/>
    </w:rPr>
  </w:style>
  <w:style w:type="character" w:styleId="Hyperlink">
    <w:name w:val="Hyperlink"/>
    <w:basedOn w:val="DefaultParagraphFont"/>
    <w:uiPriority w:val="99"/>
    <w:unhideWhenUsed/>
    <w:rsid w:val="002B6D17"/>
    <w:rPr>
      <w:color w:val="0000FF" w:themeColor="hyperlink"/>
      <w:u w:val="single"/>
    </w:rPr>
  </w:style>
  <w:style w:type="paragraph" w:styleId="ListParagraph">
    <w:name w:val="List Paragraph"/>
    <w:basedOn w:val="Normal"/>
    <w:uiPriority w:val="34"/>
    <w:qFormat/>
    <w:rsid w:val="002B6D17"/>
    <w:pPr>
      <w:ind w:left="720"/>
      <w:contextualSpacing/>
    </w:pPr>
  </w:style>
  <w:style w:type="paragraph" w:styleId="NormalWeb">
    <w:name w:val="Normal (Web)"/>
    <w:basedOn w:val="Normal"/>
    <w:uiPriority w:val="99"/>
    <w:semiHidden/>
    <w:unhideWhenUsed/>
    <w:rsid w:val="002B6D17"/>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2B6D17"/>
    <w:rPr>
      <w:sz w:val="20"/>
    </w:rPr>
  </w:style>
  <w:style w:type="paragraph" w:customStyle="1" w:styleId="TableandFigureFootnotes">
    <w:name w:val="Table and Figure Footnotes"/>
    <w:basedOn w:val="Normal"/>
    <w:qFormat/>
    <w:rsid w:val="002B6D17"/>
    <w:rPr>
      <w:sz w:val="20"/>
      <w:szCs w:val="20"/>
    </w:rPr>
  </w:style>
  <w:style w:type="paragraph" w:styleId="TOC1">
    <w:name w:val="toc 1"/>
    <w:basedOn w:val="Normal"/>
    <w:next w:val="Normal"/>
    <w:autoRedefine/>
    <w:uiPriority w:val="39"/>
    <w:unhideWhenUsed/>
    <w:rsid w:val="002B6D17"/>
    <w:pPr>
      <w:tabs>
        <w:tab w:val="left" w:pos="440"/>
        <w:tab w:val="right" w:leader="dot" w:pos="8990"/>
      </w:tabs>
      <w:spacing w:after="100"/>
    </w:pPr>
    <w:rPr>
      <w:b/>
    </w:rPr>
  </w:style>
  <w:style w:type="paragraph" w:styleId="TOC2">
    <w:name w:val="toc 2"/>
    <w:basedOn w:val="Normal"/>
    <w:next w:val="Normal"/>
    <w:autoRedefine/>
    <w:uiPriority w:val="39"/>
    <w:unhideWhenUsed/>
    <w:rsid w:val="002B6D17"/>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2B6D17"/>
    <w:pPr>
      <w:tabs>
        <w:tab w:val="left" w:pos="1170"/>
        <w:tab w:val="right" w:leader="dot" w:pos="8990"/>
      </w:tabs>
      <w:spacing w:after="100"/>
      <w:ind w:left="440"/>
    </w:pPr>
  </w:style>
  <w:style w:type="paragraph" w:styleId="TOC4">
    <w:name w:val="toc 4"/>
    <w:basedOn w:val="Normal"/>
    <w:next w:val="Normal"/>
    <w:autoRedefine/>
    <w:uiPriority w:val="39"/>
    <w:unhideWhenUsed/>
    <w:rsid w:val="002B6D17"/>
    <w:pPr>
      <w:tabs>
        <w:tab w:val="left" w:pos="1530"/>
        <w:tab w:val="right" w:leader="dot" w:pos="8990"/>
      </w:tabs>
      <w:spacing w:after="100"/>
      <w:ind w:left="660"/>
    </w:pPr>
    <w:rPr>
      <w:noProof/>
    </w:rPr>
  </w:style>
  <w:style w:type="character" w:styleId="FootnoteReference">
    <w:name w:val="footnote reference"/>
    <w:basedOn w:val="DefaultParagraphFont"/>
    <w:semiHidden/>
    <w:unhideWhenUsed/>
    <w:rsid w:val="002B6D17"/>
    <w:rPr>
      <w:vertAlign w:val="superscript"/>
    </w:rPr>
  </w:style>
  <w:style w:type="paragraph" w:styleId="FootnoteText">
    <w:name w:val="footnote text"/>
    <w:basedOn w:val="Normal"/>
    <w:link w:val="FootnoteTextChar"/>
    <w:semiHidden/>
    <w:unhideWhenUsed/>
    <w:rsid w:val="002B6D17"/>
    <w:rPr>
      <w:sz w:val="16"/>
      <w:szCs w:val="20"/>
    </w:rPr>
  </w:style>
  <w:style w:type="character" w:customStyle="1" w:styleId="FootnoteTextChar">
    <w:name w:val="Footnote Text Char"/>
    <w:basedOn w:val="DefaultParagraphFont"/>
    <w:link w:val="FootnoteText"/>
    <w:semiHidden/>
    <w:rsid w:val="002B6D17"/>
    <w:rPr>
      <w:rFonts w:eastAsiaTheme="minorHAnsi" w:cstheme="minorBidi"/>
      <w:sz w:val="16"/>
    </w:rPr>
  </w:style>
  <w:style w:type="character" w:customStyle="1" w:styleId="ReferenceListChar">
    <w:name w:val="Reference List Char"/>
    <w:basedOn w:val="DefaultParagraphFont"/>
    <w:link w:val="ReferenceList"/>
    <w:rsid w:val="002B6D17"/>
    <w:rPr>
      <w:rFonts w:eastAsiaTheme="minorHAnsi" w:cstheme="minorBidi"/>
    </w:rPr>
  </w:style>
  <w:style w:type="paragraph" w:customStyle="1" w:styleId="ReferenceList0">
    <w:name w:val="ReferenceList"/>
    <w:basedOn w:val="BodyText"/>
    <w:link w:val="ReferenceListChar0"/>
    <w:rsid w:val="002B6D17"/>
    <w:pPr>
      <w:spacing w:after="0"/>
      <w:ind w:left="360" w:hanging="360"/>
    </w:pPr>
  </w:style>
  <w:style w:type="character" w:customStyle="1" w:styleId="ReferenceListChar0">
    <w:name w:val="ReferenceList Char"/>
    <w:basedOn w:val="BodyTextChar"/>
    <w:link w:val="ReferenceList0"/>
    <w:rsid w:val="002B6D17"/>
    <w:rPr>
      <w:rFonts w:eastAsiaTheme="minorHAnsi"/>
      <w:sz w:val="24"/>
      <w:szCs w:val="24"/>
    </w:rPr>
  </w:style>
  <w:style w:type="paragraph" w:styleId="TableofFigures">
    <w:name w:val="table of figures"/>
    <w:basedOn w:val="Normal"/>
    <w:next w:val="Normal"/>
    <w:uiPriority w:val="99"/>
    <w:unhideWhenUsed/>
    <w:rsid w:val="002B6D17"/>
  </w:style>
  <w:style w:type="paragraph" w:customStyle="1" w:styleId="MTDisplayEquation">
    <w:name w:val="MTDisplayEquation"/>
    <w:basedOn w:val="BodyText"/>
    <w:next w:val="Normal"/>
    <w:link w:val="MTDisplayEquationChar"/>
    <w:rsid w:val="002B6D17"/>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2B6D17"/>
    <w:rPr>
      <w:rFonts w:eastAsiaTheme="minorHAnsi"/>
      <w:bCs/>
      <w:sz w:val="24"/>
      <w:szCs w:val="24"/>
    </w:rPr>
  </w:style>
  <w:style w:type="paragraph" w:styleId="Title">
    <w:name w:val="Title"/>
    <w:aliases w:val="Title-Lab"/>
    <w:basedOn w:val="Normal"/>
    <w:next w:val="Normal"/>
    <w:link w:val="TitleChar"/>
    <w:uiPriority w:val="10"/>
    <w:qFormat/>
    <w:rsid w:val="002B6D17"/>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2B6D17"/>
    <w:rPr>
      <w:b/>
      <w:sz w:val="24"/>
      <w:szCs w:val="24"/>
    </w:rPr>
  </w:style>
  <w:style w:type="table" w:styleId="TableGrid">
    <w:name w:val="Table Grid"/>
    <w:basedOn w:val="TableNormal"/>
    <w:rsid w:val="002B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rsid w:val="0013469E"/>
    <w:pPr>
      <w:widowControl w:val="0"/>
      <w:numPr>
        <w:numId w:val="20"/>
      </w:numPr>
    </w:pPr>
    <w:rPr>
      <w:rFonts w:ascii="Courier" w:eastAsia="Times New Roman" w:hAnsi="Courier" w:cs="Times New Roman"/>
      <w:snapToGrid w:val="0"/>
      <w:sz w:val="20"/>
      <w:szCs w:val="20"/>
    </w:rPr>
  </w:style>
  <w:style w:type="paragraph" w:customStyle="1" w:styleId="Legal2">
    <w:name w:val="Legal 2"/>
    <w:basedOn w:val="Normal"/>
    <w:rsid w:val="0013469E"/>
    <w:pPr>
      <w:widowControl w:val="0"/>
      <w:numPr>
        <w:ilvl w:val="1"/>
        <w:numId w:val="20"/>
      </w:numPr>
    </w:pPr>
    <w:rPr>
      <w:rFonts w:ascii="Courier" w:eastAsia="Times New Roman" w:hAnsi="Courier" w:cs="Times New Roman"/>
      <w:snapToGrid w:val="0"/>
      <w:sz w:val="20"/>
      <w:szCs w:val="20"/>
    </w:rPr>
  </w:style>
  <w:style w:type="paragraph" w:customStyle="1" w:styleId="Legal3">
    <w:name w:val="Legal 3"/>
    <w:basedOn w:val="Normal"/>
    <w:rsid w:val="0013469E"/>
    <w:pPr>
      <w:widowControl w:val="0"/>
      <w:numPr>
        <w:ilvl w:val="2"/>
        <w:numId w:val="20"/>
      </w:numPr>
    </w:pPr>
    <w:rPr>
      <w:rFonts w:ascii="Courier" w:eastAsia="Times New Roman" w:hAnsi="Courier" w:cs="Times New Roman"/>
      <w:snapToGrid w:val="0"/>
      <w:sz w:val="20"/>
      <w:szCs w:val="20"/>
    </w:rPr>
  </w:style>
  <w:style w:type="paragraph" w:customStyle="1" w:styleId="Legal4">
    <w:name w:val="Legal 4"/>
    <w:basedOn w:val="Normal"/>
    <w:rsid w:val="0013469E"/>
    <w:pPr>
      <w:widowControl w:val="0"/>
      <w:numPr>
        <w:ilvl w:val="3"/>
        <w:numId w:val="20"/>
      </w:numPr>
    </w:pPr>
    <w:rPr>
      <w:rFonts w:ascii="Courier" w:eastAsia="Times New Roman" w:hAnsi="Courier" w:cs="Times New Roman"/>
      <w:snapToGrid w:val="0"/>
      <w:sz w:val="20"/>
      <w:szCs w:val="20"/>
    </w:rPr>
  </w:style>
  <w:style w:type="paragraph" w:customStyle="1" w:styleId="Legal5">
    <w:name w:val="Legal 5"/>
    <w:basedOn w:val="Normal"/>
    <w:rsid w:val="0013469E"/>
    <w:pPr>
      <w:widowControl w:val="0"/>
      <w:numPr>
        <w:ilvl w:val="4"/>
        <w:numId w:val="20"/>
      </w:numPr>
    </w:pPr>
    <w:rPr>
      <w:rFonts w:ascii="Courier" w:eastAsia="Times New Roman" w:hAnsi="Courier" w:cs="Times New Roman"/>
      <w:snapToGrid w:val="0"/>
      <w:sz w:val="20"/>
      <w:szCs w:val="20"/>
    </w:rPr>
  </w:style>
  <w:style w:type="character" w:styleId="PlaceholderText">
    <w:name w:val="Placeholder Text"/>
    <w:basedOn w:val="DefaultParagraphFont"/>
    <w:uiPriority w:val="99"/>
    <w:semiHidden/>
    <w:rsid w:val="00A97D4D"/>
    <w:rPr>
      <w:color w:val="808080"/>
    </w:rPr>
  </w:style>
  <w:style w:type="paragraph" w:styleId="Revision">
    <w:name w:val="Revision"/>
    <w:hidden/>
    <w:uiPriority w:val="99"/>
    <w:semiHidden/>
    <w:rsid w:val="00197149"/>
    <w:rPr>
      <w:rFonts w:eastAsiaTheme="minorHAnsi" w:cstheme="minorBidi"/>
      <w:sz w:val="24"/>
      <w:szCs w:val="22"/>
    </w:rPr>
  </w:style>
  <w:style w:type="character" w:styleId="UnresolvedMention">
    <w:name w:val="Unresolved Mention"/>
    <w:basedOn w:val="DefaultParagraphFont"/>
    <w:uiPriority w:val="99"/>
    <w:semiHidden/>
    <w:unhideWhenUsed/>
    <w:rsid w:val="008859C2"/>
    <w:rPr>
      <w:color w:val="808080"/>
      <w:shd w:val="clear" w:color="auto" w:fill="E6E6E6"/>
    </w:rPr>
  </w:style>
  <w:style w:type="character" w:customStyle="1" w:styleId="Heading5Char">
    <w:name w:val="Heading 5 Char"/>
    <w:basedOn w:val="DefaultParagraphFont"/>
    <w:link w:val="Heading5"/>
    <w:semiHidden/>
    <w:rsid w:val="002B6D17"/>
    <w:rPr>
      <w:rFonts w:asciiTheme="majorHAnsi" w:eastAsiaTheme="majorEastAsia" w:hAnsiTheme="majorHAnsi" w:cstheme="majorBidi"/>
      <w:color w:val="365F91" w:themeColor="accent1" w:themeShade="BF"/>
      <w:sz w:val="24"/>
      <w:szCs w:val="22"/>
    </w:rPr>
  </w:style>
  <w:style w:type="character" w:customStyle="1" w:styleId="Heading6Char">
    <w:name w:val="Heading 6 Char"/>
    <w:basedOn w:val="DefaultParagraphFont"/>
    <w:link w:val="Heading6"/>
    <w:semiHidden/>
    <w:rsid w:val="002B6D17"/>
    <w:rPr>
      <w:rFonts w:asciiTheme="majorHAnsi" w:eastAsiaTheme="majorEastAsia" w:hAnsiTheme="majorHAnsi" w:cstheme="majorBidi"/>
      <w:color w:val="243F60" w:themeColor="accent1" w:themeShade="7F"/>
      <w:sz w:val="24"/>
      <w:szCs w:val="22"/>
    </w:rPr>
  </w:style>
  <w:style w:type="character" w:customStyle="1" w:styleId="Heading7Char">
    <w:name w:val="Heading 7 Char"/>
    <w:basedOn w:val="DefaultParagraphFont"/>
    <w:link w:val="Heading7"/>
    <w:semiHidden/>
    <w:rsid w:val="002B6D17"/>
    <w:rPr>
      <w:rFonts w:asciiTheme="majorHAnsi" w:eastAsiaTheme="majorEastAsia" w:hAnsiTheme="majorHAnsi" w:cstheme="majorBidi"/>
      <w:i/>
      <w:iCs/>
      <w:color w:val="243F60" w:themeColor="accent1" w:themeShade="7F"/>
      <w:sz w:val="24"/>
      <w:szCs w:val="22"/>
    </w:rPr>
  </w:style>
  <w:style w:type="character" w:customStyle="1" w:styleId="Heading8Char">
    <w:name w:val="Heading 8 Char"/>
    <w:basedOn w:val="DefaultParagraphFont"/>
    <w:link w:val="Heading8"/>
    <w:semiHidden/>
    <w:rsid w:val="002B6D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B6D17"/>
    <w:rPr>
      <w:rFonts w:asciiTheme="majorHAnsi" w:eastAsiaTheme="majorEastAsia" w:hAnsiTheme="majorHAnsi" w:cstheme="majorBidi"/>
      <w:i/>
      <w:iCs/>
      <w:color w:val="272727" w:themeColor="text1" w:themeTint="D8"/>
      <w:sz w:val="21"/>
      <w:szCs w:val="21"/>
    </w:rPr>
  </w:style>
  <w:style w:type="paragraph" w:customStyle="1" w:styleId="Table">
    <w:name w:val="Table"/>
    <w:basedOn w:val="Caption"/>
    <w:qFormat/>
    <w:rsid w:val="002B6D17"/>
    <w:pPr>
      <w:ind w:left="0"/>
    </w:pPr>
  </w:style>
  <w:style w:type="character" w:customStyle="1" w:styleId="MTEquationSection">
    <w:name w:val="MTEquationSection"/>
    <w:basedOn w:val="DefaultParagraphFont"/>
    <w:rsid w:val="002B6D17"/>
    <w:rPr>
      <w:vanish/>
      <w:color w:val="FF0000"/>
    </w:rPr>
  </w:style>
  <w:style w:type="paragraph" w:customStyle="1" w:styleId="Eqn">
    <w:name w:val="Eqn"/>
    <w:basedOn w:val="MTDisplayEquation"/>
    <w:link w:val="EqnChar"/>
    <w:qFormat/>
    <w:rsid w:val="002B6D17"/>
    <w:pPr>
      <w:spacing w:before="240" w:after="240"/>
      <w:jc w:val="right"/>
    </w:pPr>
  </w:style>
  <w:style w:type="character" w:customStyle="1" w:styleId="EqnChar">
    <w:name w:val="Eqn Char"/>
    <w:basedOn w:val="MTDisplayEquationChar"/>
    <w:link w:val="Eqn"/>
    <w:rsid w:val="002B6D17"/>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249861">
      <w:bodyDiv w:val="1"/>
      <w:marLeft w:val="0"/>
      <w:marRight w:val="0"/>
      <w:marTop w:val="0"/>
      <w:marBottom w:val="0"/>
      <w:divBdr>
        <w:top w:val="none" w:sz="0" w:space="0" w:color="auto"/>
        <w:left w:val="none" w:sz="0" w:space="0" w:color="auto"/>
        <w:bottom w:val="none" w:sz="0" w:space="0" w:color="auto"/>
        <w:right w:val="none" w:sz="0" w:space="0" w:color="auto"/>
      </w:divBdr>
    </w:div>
    <w:div w:id="8701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2018%20Working%20Directories\IR%20XXXX%202016%20Misc%20Procedures\SOP%2022%20Tuning%20Forks\frequency%20calculations%20for%20sop%2022%20201804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Temperature Correction Example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forward val="15"/>
            <c:backward val="10"/>
            <c:dispRSqr val="0"/>
            <c:dispEq val="0"/>
          </c:trendline>
          <c:xVal>
            <c:numRef>
              <c:f>'temp correction'!$N$12:$O$12</c:f>
              <c:numCache>
                <c:formatCode>General</c:formatCode>
                <c:ptCount val="2"/>
                <c:pt idx="0">
                  <c:v>10</c:v>
                </c:pt>
                <c:pt idx="1">
                  <c:v>70</c:v>
                </c:pt>
              </c:numCache>
            </c:numRef>
          </c:xVal>
          <c:yVal>
            <c:numRef>
              <c:f>'temp correction'!$N$13:$O$13</c:f>
              <c:numCache>
                <c:formatCode>General</c:formatCode>
                <c:ptCount val="2"/>
                <c:pt idx="0">
                  <c:v>51.11</c:v>
                </c:pt>
                <c:pt idx="1">
                  <c:v>50.71</c:v>
                </c:pt>
              </c:numCache>
            </c:numRef>
          </c:yVal>
          <c:smooth val="0"/>
          <c:extLst>
            <c:ext xmlns:c16="http://schemas.microsoft.com/office/drawing/2014/chart" uri="{C3380CC4-5D6E-409C-BE32-E72D297353CC}">
              <c16:uniqueId val="{00000001-FF4F-4FF0-8C6C-C6F38B5F5D86}"/>
            </c:ext>
          </c:extLst>
        </c:ser>
        <c:dLbls>
          <c:showLegendKey val="0"/>
          <c:showVal val="0"/>
          <c:showCatName val="0"/>
          <c:showSerName val="0"/>
          <c:showPercent val="0"/>
          <c:showBubbleSize val="0"/>
        </c:dLbls>
        <c:axId val="2006926560"/>
        <c:axId val="2121665024"/>
      </c:scatterChart>
      <c:valAx>
        <c:axId val="2006926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Temperature °F</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21665024"/>
        <c:crosses val="autoZero"/>
        <c:crossBetween val="midCat"/>
      </c:valAx>
      <c:valAx>
        <c:axId val="2121665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0692656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CBE89-B002-4A4F-9BF1-64582830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55</TotalTime>
  <Pages>10</Pages>
  <Words>2461</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SOP 22 Tuning Forks and Frequency Instruments</vt:lpstr>
    </vt:vector>
  </TitlesOfParts>
  <Company>NIST</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22 Tuning Forks and Frequency Instruments</dc:title>
  <dc:subject>frequency calibrations</dc:subject>
  <dc:creator>Georgia</dc:creator>
  <cp:keywords>frequency measurements, calibrations, weights and measures</cp:keywords>
  <dc:description/>
  <cp:lastModifiedBy>Harris, Georgia L. (Fed)</cp:lastModifiedBy>
  <cp:revision>15</cp:revision>
  <cp:lastPrinted>2012-04-03T18:56:00Z</cp:lastPrinted>
  <dcterms:created xsi:type="dcterms:W3CDTF">2018-10-10T16:14:00Z</dcterms:created>
  <dcterms:modified xsi:type="dcterms:W3CDTF">2019-05-17T19:09:00Z</dcterms:modified>
  <cp:category>weights and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Eqn. (#E1)</vt:lpwstr>
  </property>
  <property fmtid="{D5CDD505-2E9C-101B-9397-08002B2CF9AE}" pid="3" name="MTCustomEquationNumber">
    <vt:lpwstr>1</vt:lpwstr>
  </property>
  <property fmtid="{D5CDD505-2E9C-101B-9397-08002B2CF9AE}" pid="4" name="MTEquationSection">
    <vt:lpwstr>1</vt:lpwstr>
  </property>
  <property fmtid="{D5CDD505-2E9C-101B-9397-08002B2CF9AE}" pid="5" name="MTWinEqns">
    <vt:bool>true</vt:bool>
  </property>
</Properties>
</file>