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A716C" w14:textId="6CB74CA7" w:rsidR="00FA2379" w:rsidRPr="00324EEA" w:rsidRDefault="000C69EA" w:rsidP="00324EEA">
      <w:pPr>
        <w:pStyle w:val="Title"/>
      </w:pPr>
      <w:r>
        <w:fldChar w:fldCharType="begin"/>
      </w:r>
      <w:r>
        <w:instrText xml:space="preserve"> MACROBUTTON MTEditEquationSection2 </w:instrText>
      </w:r>
      <w:r w:rsidRPr="000C69EA">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FA2379" w:rsidRPr="00324EEA">
        <w:t xml:space="preserve">SOP </w:t>
      </w:r>
      <w:r w:rsidR="00AC6F05" w:rsidRPr="00324EEA">
        <w:t>3</w:t>
      </w:r>
      <w:r w:rsidR="00FA2379" w:rsidRPr="00324EEA">
        <w:t>1</w:t>
      </w:r>
    </w:p>
    <w:p w14:paraId="123E474E" w14:textId="77777777" w:rsidR="00FA2379" w:rsidRPr="00AC6F05" w:rsidRDefault="00FA2379">
      <w:pPr>
        <w:jc w:val="center"/>
        <w:rPr>
          <w:b/>
          <w:szCs w:val="24"/>
        </w:rPr>
      </w:pPr>
    </w:p>
    <w:p w14:paraId="7A42339B" w14:textId="77777777" w:rsidR="00FA2379" w:rsidRPr="00AC6F05" w:rsidRDefault="00FA2379">
      <w:pPr>
        <w:jc w:val="center"/>
        <w:rPr>
          <w:b/>
          <w:szCs w:val="24"/>
        </w:rPr>
      </w:pPr>
      <w:r w:rsidRPr="00AC6F05">
        <w:rPr>
          <w:b/>
          <w:szCs w:val="24"/>
        </w:rPr>
        <w:t>Standard Operatin</w:t>
      </w:r>
      <w:r w:rsidR="004066C3" w:rsidRPr="00AC6F05">
        <w:rPr>
          <w:b/>
          <w:szCs w:val="24"/>
        </w:rPr>
        <w:t>g</w:t>
      </w:r>
      <w:r w:rsidRPr="00AC6F05">
        <w:rPr>
          <w:b/>
          <w:szCs w:val="24"/>
        </w:rPr>
        <w:t xml:space="preserve"> Procedure for</w:t>
      </w:r>
    </w:p>
    <w:p w14:paraId="58C2AAF5" w14:textId="663396CC" w:rsidR="00FA2379" w:rsidRPr="00AC6F05" w:rsidRDefault="006577C6">
      <w:pPr>
        <w:jc w:val="center"/>
        <w:rPr>
          <w:b/>
          <w:szCs w:val="24"/>
        </w:rPr>
      </w:pPr>
      <w:r w:rsidRPr="00AC6F05">
        <w:rPr>
          <w:b/>
          <w:szCs w:val="24"/>
        </w:rPr>
        <w:t xml:space="preserve">Scale Plate </w:t>
      </w:r>
      <w:r w:rsidR="00E145CE">
        <w:rPr>
          <w:b/>
          <w:szCs w:val="24"/>
        </w:rPr>
        <w:t>Calibration</w:t>
      </w:r>
      <w:r w:rsidR="005C69C3" w:rsidRPr="00AC6F05">
        <w:rPr>
          <w:b/>
          <w:szCs w:val="24"/>
        </w:rPr>
        <w:t xml:space="preserve"> </w:t>
      </w:r>
      <w:r w:rsidRPr="00AC6F05">
        <w:rPr>
          <w:b/>
          <w:szCs w:val="24"/>
        </w:rPr>
        <w:t xml:space="preserve">for </w:t>
      </w:r>
      <w:r w:rsidR="005C69C3" w:rsidRPr="00AC6F05">
        <w:rPr>
          <w:b/>
          <w:szCs w:val="24"/>
        </w:rPr>
        <w:t>Volumetric Field Standard</w:t>
      </w:r>
      <w:r w:rsidRPr="00AC6F05">
        <w:rPr>
          <w:b/>
          <w:szCs w:val="24"/>
        </w:rPr>
        <w:t>s</w:t>
      </w:r>
      <w:r w:rsidR="005C69C3" w:rsidRPr="00AC6F05">
        <w:rPr>
          <w:b/>
          <w:szCs w:val="24"/>
        </w:rPr>
        <w:t xml:space="preserve"> </w:t>
      </w:r>
    </w:p>
    <w:p w14:paraId="3F255757" w14:textId="77777777" w:rsidR="00FA2379" w:rsidRPr="00AC6F05" w:rsidRDefault="00FA2379">
      <w:pPr>
        <w:rPr>
          <w:szCs w:val="24"/>
        </w:rPr>
      </w:pPr>
    </w:p>
    <w:p w14:paraId="28C14D04" w14:textId="56777893" w:rsidR="00324EEA" w:rsidRDefault="00FA2379" w:rsidP="00F8752C">
      <w:pPr>
        <w:pStyle w:val="Heading1"/>
      </w:pPr>
      <w:r w:rsidRPr="00AC6F05">
        <w:t xml:space="preserve">Introduction </w:t>
      </w:r>
      <w:r w:rsidR="00CA4AC8" w:rsidRPr="00AC6F05">
        <w:tab/>
      </w:r>
    </w:p>
    <w:p w14:paraId="57F4E1E8" w14:textId="329C143E" w:rsidR="00FA2379" w:rsidRPr="00324EEA" w:rsidRDefault="00FA2379" w:rsidP="00B7258A">
      <w:pPr>
        <w:pStyle w:val="Heading2"/>
      </w:pPr>
      <w:r w:rsidRPr="00324EEA">
        <w:t xml:space="preserve">Purpose </w:t>
      </w:r>
    </w:p>
    <w:p w14:paraId="2D48D1B0" w14:textId="6699828A" w:rsidR="000D2274" w:rsidRPr="002F5301" w:rsidRDefault="00FA2379" w:rsidP="00063861">
      <w:pPr>
        <w:pStyle w:val="BodyText"/>
        <w:ind w:left="1440"/>
      </w:pPr>
      <w:r w:rsidRPr="002F5301">
        <w:t xml:space="preserve">This procedure </w:t>
      </w:r>
      <w:r w:rsidR="00723D52" w:rsidRPr="002F5301">
        <w:t xml:space="preserve">is </w:t>
      </w:r>
      <w:r w:rsidR="00DF21FC" w:rsidRPr="002F5301">
        <w:t xml:space="preserve">used </w:t>
      </w:r>
      <w:r w:rsidR="00957745">
        <w:t xml:space="preserve">for conformity assessment </w:t>
      </w:r>
      <w:r w:rsidRPr="002F5301">
        <w:t xml:space="preserve">to </w:t>
      </w:r>
      <w:r w:rsidR="005C69C3" w:rsidRPr="002F5301">
        <w:t xml:space="preserve">verify the accuracy and linearity of scale plates </w:t>
      </w:r>
      <w:r w:rsidR="006577C6" w:rsidRPr="002F5301">
        <w:t xml:space="preserve">used </w:t>
      </w:r>
      <w:r w:rsidR="005C69C3" w:rsidRPr="002F5301">
        <w:t xml:space="preserve">on </w:t>
      </w:r>
      <w:r w:rsidRPr="002F5301">
        <w:t>volume</w:t>
      </w:r>
      <w:r w:rsidR="00723D52" w:rsidRPr="002F5301">
        <w:t>tric field</w:t>
      </w:r>
      <w:r w:rsidRPr="002F5301">
        <w:t xml:space="preserve"> standard</w:t>
      </w:r>
      <w:r w:rsidR="005C69C3" w:rsidRPr="002F5301">
        <w:t xml:space="preserve">s per </w:t>
      </w:r>
      <w:r w:rsidR="006577C6" w:rsidRPr="002F5301">
        <w:t>NIST Handbook 105-3: Specifications and Tolerances for Graduated Neck Type Volumetric Field Standards (2010) and NIST Handbook 105-4: Specifications and Tolerances for Liquefied Petroleum Gas and Anhydrous Ammonia Liquid Volumetric Provers (2016).</w:t>
      </w:r>
      <w:r w:rsidR="000D2274" w:rsidRPr="002F5301">
        <w:t xml:space="preserve"> Neck scale plate </w:t>
      </w:r>
      <w:r w:rsidR="00E145CE" w:rsidRPr="002F5301">
        <w:t>calibration</w:t>
      </w:r>
      <w:r w:rsidR="000D2274" w:rsidRPr="002F5301">
        <w:t>s are generally conducted only for new or damaged volumetric measures or those that have not been calibrated by the laboratory in the past.</w:t>
      </w:r>
    </w:p>
    <w:p w14:paraId="46D4532E" w14:textId="612D3D3E" w:rsidR="00FA2379" w:rsidRDefault="00FA2379" w:rsidP="00B7258A">
      <w:pPr>
        <w:pStyle w:val="Heading2"/>
      </w:pPr>
      <w:r w:rsidRPr="00AC6F05">
        <w:t xml:space="preserve">Prerequisites </w:t>
      </w:r>
    </w:p>
    <w:p w14:paraId="5A87F55C" w14:textId="6F593FF6" w:rsidR="005C69C3" w:rsidRPr="00AC6F05" w:rsidRDefault="00FA2379" w:rsidP="00063861">
      <w:pPr>
        <w:pStyle w:val="BodyText"/>
        <w:ind w:left="1440"/>
      </w:pPr>
      <w:r w:rsidRPr="00AC6F05">
        <w:t xml:space="preserve">Verify </w:t>
      </w:r>
      <w:r w:rsidR="005C69C3" w:rsidRPr="00AC6F05">
        <w:t xml:space="preserve">that prerequisites listed in SOP 18, SOP 19, or SOP 21 (as applicable) are met prior to the scale plate </w:t>
      </w:r>
      <w:r w:rsidR="00E145CE">
        <w:t>calibration</w:t>
      </w:r>
      <w:r w:rsidR="005C69C3" w:rsidRPr="00AC6F05">
        <w:t xml:space="preserve">. </w:t>
      </w:r>
    </w:p>
    <w:p w14:paraId="20A9DAAE" w14:textId="7A57251A" w:rsidR="00FA2379" w:rsidRPr="00AC6F05" w:rsidRDefault="00FA2379" w:rsidP="00B7258A">
      <w:pPr>
        <w:pStyle w:val="Heading1"/>
      </w:pPr>
      <w:r w:rsidRPr="00AC6F05">
        <w:t xml:space="preserve">Methodology  </w:t>
      </w:r>
    </w:p>
    <w:p w14:paraId="4FA1F6CC" w14:textId="77777777" w:rsidR="00BA1003" w:rsidRPr="00AC6F05" w:rsidRDefault="00FA2379" w:rsidP="00B7258A">
      <w:pPr>
        <w:pStyle w:val="Heading2"/>
      </w:pPr>
      <w:r w:rsidRPr="00AC6F05">
        <w:t>Scope, Precision, Accuracy</w:t>
      </w:r>
    </w:p>
    <w:p w14:paraId="63896DC4" w14:textId="14AD72F0" w:rsidR="00FA2379" w:rsidRPr="00AC6F05" w:rsidRDefault="00FA2379" w:rsidP="00063861">
      <w:pPr>
        <w:pStyle w:val="BodyText"/>
        <w:ind w:left="1440"/>
      </w:pPr>
      <w:r w:rsidRPr="00AC6F05">
        <w:t xml:space="preserve">This procedure is applicable for the </w:t>
      </w:r>
      <w:r w:rsidR="00E145CE">
        <w:t>calibration</w:t>
      </w:r>
      <w:r w:rsidR="005C69C3" w:rsidRPr="00AC6F05">
        <w:t xml:space="preserve"> of scale plate</w:t>
      </w:r>
      <w:r w:rsidR="006577C6" w:rsidRPr="00AC6F05">
        <w:t>s</w:t>
      </w:r>
      <w:r w:rsidR="005C69C3" w:rsidRPr="00AC6F05">
        <w:t xml:space="preserve"> on field standard test measures and provers. The scale plate is evaluated according to requirements published in Handbook 105-3 </w:t>
      </w:r>
      <w:r w:rsidR="006577C6" w:rsidRPr="00AC6F05">
        <w:t xml:space="preserve">or </w:t>
      </w:r>
      <w:r w:rsidR="005C69C3" w:rsidRPr="00AC6F05">
        <w:t xml:space="preserve">Handbook 105-4 </w:t>
      </w:r>
      <w:r w:rsidR="006577C6" w:rsidRPr="00AC6F05">
        <w:t xml:space="preserve">(as applicable) where </w:t>
      </w:r>
      <w:r w:rsidR="005C69C3" w:rsidRPr="00AC6F05">
        <w:t xml:space="preserve">the uncertainty of the </w:t>
      </w:r>
      <w:r w:rsidR="00E145CE">
        <w:t>calibration</w:t>
      </w:r>
      <w:r w:rsidR="005C69C3" w:rsidRPr="00AC6F05">
        <w:t xml:space="preserve"> </w:t>
      </w:r>
      <w:r w:rsidR="006577C6" w:rsidRPr="00AC6F05">
        <w:t xml:space="preserve">process </w:t>
      </w:r>
      <w:r w:rsidR="005C69C3" w:rsidRPr="00AC6F05">
        <w:t xml:space="preserve">is considered as a part of the compliance assessment. </w:t>
      </w:r>
    </w:p>
    <w:p w14:paraId="2DCD5B13" w14:textId="2F6E5258" w:rsidR="00FA2379" w:rsidRPr="00AC6F05" w:rsidRDefault="00BA1003" w:rsidP="00B7258A">
      <w:pPr>
        <w:pStyle w:val="Heading2"/>
      </w:pPr>
      <w:r w:rsidRPr="00AC6F05">
        <w:t xml:space="preserve">Summary </w:t>
      </w:r>
    </w:p>
    <w:p w14:paraId="38E2E828" w14:textId="2FADB4B7" w:rsidR="00FA2379" w:rsidRPr="00AC6F05" w:rsidRDefault="00FA2379" w:rsidP="00063861">
      <w:pPr>
        <w:pStyle w:val="BodyText"/>
        <w:ind w:left="1440"/>
      </w:pPr>
      <w:r w:rsidRPr="00AC6F05">
        <w:t xml:space="preserve">The </w:t>
      </w:r>
      <w:r w:rsidR="005C69C3" w:rsidRPr="00AC6F05">
        <w:t xml:space="preserve">neck volume of the test measure or prover is evaluated across the range of the scale plate graduations using calibrated volumetric standards to assess accuracy and linearity of the scale plate for 4 to 6 </w:t>
      </w:r>
      <w:r w:rsidR="00E145CE">
        <w:t>calibration</w:t>
      </w:r>
      <w:r w:rsidR="005C69C3" w:rsidRPr="00AC6F05">
        <w:t xml:space="preserve"> intervals. Temperature measurements </w:t>
      </w:r>
      <w:r w:rsidR="006158DF" w:rsidRPr="00AC6F05">
        <w:t xml:space="preserve">and </w:t>
      </w:r>
      <w:r w:rsidR="005C69C3" w:rsidRPr="00AC6F05">
        <w:t xml:space="preserve">volumetric corrections are not performed during the neck </w:t>
      </w:r>
      <w:r w:rsidR="00E145CE">
        <w:t>calibration</w:t>
      </w:r>
      <w:r w:rsidR="005C69C3" w:rsidRPr="00AC6F05">
        <w:t xml:space="preserve">. </w:t>
      </w:r>
    </w:p>
    <w:p w14:paraId="042BD16C" w14:textId="7C60214B" w:rsidR="00FA2379" w:rsidRDefault="006577C6" w:rsidP="00B7258A">
      <w:pPr>
        <w:pStyle w:val="Heading2"/>
      </w:pPr>
      <w:r w:rsidRPr="00AC6F05">
        <w:lastRenderedPageBreak/>
        <w:t xml:space="preserve">Required </w:t>
      </w:r>
      <w:r w:rsidR="00F7204E" w:rsidRPr="00AC6F05">
        <w:t xml:space="preserve">Standards and </w:t>
      </w:r>
      <w:r w:rsidR="00FA2379" w:rsidRPr="00AC6F05">
        <w:t>Equipment</w:t>
      </w:r>
    </w:p>
    <w:p w14:paraId="4B092042" w14:textId="3F6EFAA1" w:rsidR="005C69C3" w:rsidRDefault="005C69C3" w:rsidP="002F5301">
      <w:pPr>
        <w:pStyle w:val="Heading3"/>
      </w:pPr>
      <w:r w:rsidRPr="00AC6F05">
        <w:t xml:space="preserve">The test measure or prover being evaluated. </w:t>
      </w:r>
    </w:p>
    <w:p w14:paraId="20138608" w14:textId="00377B01" w:rsidR="00F7204E" w:rsidRDefault="00826257" w:rsidP="002F5301">
      <w:pPr>
        <w:pStyle w:val="Heading3"/>
      </w:pPr>
      <w:r w:rsidRPr="00AC6F05">
        <w:t xml:space="preserve">A funnel </w:t>
      </w:r>
      <w:r w:rsidR="00D93877" w:rsidRPr="00AC6F05">
        <w:t xml:space="preserve">to aid in </w:t>
      </w:r>
      <w:r w:rsidR="00F7204E" w:rsidRPr="00AC6F05">
        <w:t xml:space="preserve">transferring water from calibrated </w:t>
      </w:r>
      <w:r w:rsidR="006577C6" w:rsidRPr="00AC6F05">
        <w:t xml:space="preserve">volumetric standards </w:t>
      </w:r>
      <w:r w:rsidR="00F7204E" w:rsidRPr="00AC6F05">
        <w:t xml:space="preserve">into the unknown prover. </w:t>
      </w:r>
    </w:p>
    <w:p w14:paraId="4F0F28E1" w14:textId="103BBEB6" w:rsidR="001A259A" w:rsidRDefault="001A259A" w:rsidP="002F5301">
      <w:pPr>
        <w:pStyle w:val="Heading3"/>
      </w:pPr>
      <w:r>
        <w:t>Calibrated volumetric standards of suitable sizes to fill the prover body and neck to the nominal volume.</w:t>
      </w:r>
    </w:p>
    <w:p w14:paraId="5F101219" w14:textId="77777777" w:rsidR="00B7258A" w:rsidRPr="00B7258A" w:rsidRDefault="00B7258A" w:rsidP="00B7258A"/>
    <w:p w14:paraId="27A33E2B" w14:textId="118EF89B" w:rsidR="000D2274" w:rsidRPr="002F5301" w:rsidRDefault="00F7204E" w:rsidP="002F5301">
      <w:pPr>
        <w:pStyle w:val="Heading3"/>
      </w:pPr>
      <w:r w:rsidRPr="002F5301">
        <w:t>C</w:t>
      </w:r>
      <w:r w:rsidR="00FA2379" w:rsidRPr="002F5301">
        <w:t xml:space="preserve">alibrated </w:t>
      </w:r>
      <w:r w:rsidR="006577C6" w:rsidRPr="002F5301">
        <w:t xml:space="preserve">volumetric standards </w:t>
      </w:r>
      <w:r w:rsidRPr="002F5301">
        <w:t xml:space="preserve">of </w:t>
      </w:r>
      <w:r w:rsidR="00FA2379" w:rsidRPr="002F5301">
        <w:t>suitable size</w:t>
      </w:r>
      <w:r w:rsidRPr="002F5301">
        <w:t>s</w:t>
      </w:r>
      <w:r w:rsidR="0004074E" w:rsidRPr="002F5301">
        <w:t xml:space="preserve"> </w:t>
      </w:r>
      <w:r w:rsidR="00FA2379" w:rsidRPr="002F5301">
        <w:t xml:space="preserve">to </w:t>
      </w:r>
      <w:r w:rsidR="006577C6" w:rsidRPr="002F5301">
        <w:t>verify the scale plate for the test measure or prover</w:t>
      </w:r>
      <w:r w:rsidR="005570B1">
        <w:t xml:space="preserve">. </w:t>
      </w:r>
      <w:r w:rsidR="006577C6" w:rsidRPr="002F5301">
        <w:t xml:space="preserve">Volumetric standards used for this purpose must be </w:t>
      </w:r>
      <w:r w:rsidR="005C69C3" w:rsidRPr="002F5301">
        <w:t>calibrated to or corrected for the appropriate reference temperature</w:t>
      </w:r>
      <w:r w:rsidR="00826257" w:rsidRPr="002F5301">
        <w:t>.</w:t>
      </w:r>
      <w:r w:rsidR="006577C6" w:rsidRPr="002F5301">
        <w:t xml:space="preserve"> An ideal standard is approximately one-fourth of the volume of the scale plate on the test measure or prover (or reasonable sub-multiples). </w:t>
      </w:r>
    </w:p>
    <w:p w14:paraId="1301401A" w14:textId="05A9DC0D" w:rsidR="00FA2379" w:rsidRPr="00AC6F05" w:rsidRDefault="00C822A6" w:rsidP="00063861">
      <w:pPr>
        <w:pStyle w:val="BodyText"/>
        <w:ind w:left="2160"/>
      </w:pPr>
      <w:r>
        <w:t>Note:</w:t>
      </w:r>
      <w:r w:rsidR="000D2274" w:rsidRPr="00AC6F05">
        <w:t xml:space="preserve"> </w:t>
      </w:r>
      <w:r w:rsidR="006577C6" w:rsidRPr="00AC6F05">
        <w:t xml:space="preserve">For example, per NIST Handbook 105-3, the </w:t>
      </w:r>
      <w:r w:rsidR="006577C6" w:rsidRPr="00AC6F05">
        <w:rPr>
          <w:i/>
        </w:rPr>
        <w:t>minimum</w:t>
      </w:r>
      <w:r w:rsidR="006577C6" w:rsidRPr="00AC6F05">
        <w:t xml:space="preserve"> neck volume </w:t>
      </w:r>
      <w:r w:rsidR="000D2274" w:rsidRPr="00AC6F05">
        <w:t xml:space="preserve">on the scale </w:t>
      </w:r>
      <w:r w:rsidR="006577C6" w:rsidRPr="00AC6F05">
        <w:t>of a 100 gal prover is 1.5 gal (347 in</w:t>
      </w:r>
      <w:r w:rsidR="006577C6" w:rsidRPr="00AC6F05">
        <w:rPr>
          <w:vertAlign w:val="superscript"/>
        </w:rPr>
        <w:t>3</w:t>
      </w:r>
      <w:r w:rsidR="006577C6" w:rsidRPr="00AC6F05">
        <w:t>)</w:t>
      </w:r>
      <w:r w:rsidR="005570B1">
        <w:t xml:space="preserve">. </w:t>
      </w:r>
      <w:r w:rsidR="000D2274" w:rsidRPr="00AC6F05">
        <w:t xml:space="preserve">For the sake of simplicity in an example, if the neck volume noted on the scale plate is </w:t>
      </w:r>
      <w:r w:rsidR="002E1917" w:rsidRPr="00AC6F05">
        <w:t>2.0</w:t>
      </w:r>
      <w:r w:rsidR="002E1917">
        <w:t> </w:t>
      </w:r>
      <w:r w:rsidR="000D2274" w:rsidRPr="00AC6F05">
        <w:t xml:space="preserve">gal, four </w:t>
      </w:r>
      <w:r w:rsidR="00E145CE">
        <w:t>calibration</w:t>
      </w:r>
      <w:r w:rsidR="000D2274" w:rsidRPr="00AC6F05">
        <w:t xml:space="preserve"> points of 0.5 gal (115.5 in</w:t>
      </w:r>
      <w:r w:rsidR="000D2274" w:rsidRPr="00AC6F05">
        <w:rPr>
          <w:vertAlign w:val="superscript"/>
        </w:rPr>
        <w:t>3</w:t>
      </w:r>
      <w:r w:rsidR="000D2274" w:rsidRPr="00AC6F05">
        <w:t xml:space="preserve">) provides good </w:t>
      </w:r>
      <w:r w:rsidR="00E145CE">
        <w:t>calibration</w:t>
      </w:r>
      <w:r w:rsidR="000D2274" w:rsidRPr="00AC6F05">
        <w:t xml:space="preserve"> points with the nominal volume mid-range in the </w:t>
      </w:r>
      <w:r w:rsidR="00E145CE">
        <w:t>calibration</w:t>
      </w:r>
      <w:r w:rsidR="000D2274" w:rsidRPr="00AC6F05">
        <w:t xml:space="preserve"> process. </w:t>
      </w:r>
    </w:p>
    <w:p w14:paraId="386914AB" w14:textId="2BAD0D58" w:rsidR="00FA2379" w:rsidRDefault="00FA2379" w:rsidP="00AB535C">
      <w:pPr>
        <w:pStyle w:val="Heading3"/>
        <w:keepNext w:val="0"/>
        <w:keepLines w:val="0"/>
      </w:pPr>
      <w:r w:rsidRPr="00AC6F05">
        <w:t>Meniscus reading device</w:t>
      </w:r>
      <w:r w:rsidR="005479EF" w:rsidRPr="00AC6F05">
        <w:t>s</w:t>
      </w:r>
      <w:r w:rsidRPr="00AC6F05">
        <w:t xml:space="preserve"> (See GMP 3)</w:t>
      </w:r>
      <w:r w:rsidR="003A2B2F" w:rsidRPr="00AC6F05">
        <w:t>.</w:t>
      </w:r>
    </w:p>
    <w:p w14:paraId="28A7D9C1" w14:textId="3F24EED0" w:rsidR="00E0200D" w:rsidRPr="00AC6F05" w:rsidRDefault="00FA2379" w:rsidP="00AB535C">
      <w:pPr>
        <w:pStyle w:val="Heading2"/>
        <w:keepNext w:val="0"/>
        <w:keepLines w:val="0"/>
      </w:pPr>
      <w:r w:rsidRPr="00AC6F05">
        <w:t xml:space="preserve">Procedure </w:t>
      </w:r>
    </w:p>
    <w:p w14:paraId="1F0BE43E" w14:textId="07A1EFC0" w:rsidR="00B7258A" w:rsidRDefault="00E0200D" w:rsidP="00AB535C">
      <w:pPr>
        <w:pStyle w:val="Heading3"/>
        <w:keepNext w:val="0"/>
        <w:keepLines w:val="0"/>
      </w:pPr>
      <w:r w:rsidRPr="00E145CE">
        <w:t>P</w:t>
      </w:r>
      <w:r w:rsidR="00FA2379" w:rsidRPr="00E145CE">
        <w:t>reliminary Operations</w:t>
      </w:r>
    </w:p>
    <w:p w14:paraId="01D0CB09" w14:textId="513C4AD6" w:rsidR="00E145CE" w:rsidRPr="002F5301" w:rsidRDefault="006158DF" w:rsidP="00AB535C">
      <w:pPr>
        <w:pStyle w:val="Heading4"/>
        <w:keepNext w:val="0"/>
        <w:keepLines w:val="0"/>
      </w:pPr>
      <w:r w:rsidRPr="002F5301">
        <w:t>Prepare and level the test measure or prover according to the applicable calibration procedure.</w:t>
      </w:r>
    </w:p>
    <w:p w14:paraId="6A2ED22B" w14:textId="0ACE313A" w:rsidR="00E145CE" w:rsidRPr="00BD190C" w:rsidRDefault="00E145CE" w:rsidP="00AB535C">
      <w:pPr>
        <w:pStyle w:val="Heading4"/>
        <w:keepNext w:val="0"/>
        <w:keepLines w:val="0"/>
      </w:pPr>
      <w:r w:rsidRPr="00BD190C">
        <w:t xml:space="preserve">Fill the unknown prover with water from the laboratory working standard that will be used to perform the calibration of the prover to nominal volume. </w:t>
      </w:r>
      <w:r w:rsidR="002B672A" w:rsidRPr="00BD190C">
        <w:t>The neck scale calibration is conducted during this prover wet</w:t>
      </w:r>
      <w:r w:rsidR="002B672A" w:rsidRPr="00BD190C">
        <w:noBreakHyphen/>
        <w:t>down run.</w:t>
      </w:r>
    </w:p>
    <w:p w14:paraId="594DF622" w14:textId="16978DF3" w:rsidR="00E0200D" w:rsidRPr="00BD190C" w:rsidRDefault="00E145CE" w:rsidP="00AB535C">
      <w:pPr>
        <w:pStyle w:val="Heading4"/>
        <w:keepNext w:val="0"/>
        <w:keepLines w:val="0"/>
      </w:pPr>
      <w:r w:rsidRPr="00BD190C">
        <w:t>Check the prover level condition in the same way in which it will be used by placing a precision spirit or electronic digital level vertically on the neck on at least two locations, 90 degrees apart around the circumference of the neck and adjust the orientation of the unknown prover until the neck is as close to vertical (plumb or perpendicular to the horizontal plane) as possible</w:t>
      </w:r>
      <w:r w:rsidR="005570B1">
        <w:t xml:space="preserve">. </w:t>
      </w:r>
      <w:r w:rsidRPr="00BD190C">
        <w:t>Adjust the prover orientation as necessary.</w:t>
      </w:r>
    </w:p>
    <w:p w14:paraId="3C201D17" w14:textId="0A505E32" w:rsidR="00B7258A" w:rsidRPr="00BD190C" w:rsidRDefault="00E145CE" w:rsidP="00AB535C">
      <w:pPr>
        <w:pStyle w:val="Heading4"/>
        <w:keepNext w:val="0"/>
        <w:keepLines w:val="0"/>
      </w:pPr>
      <w:r w:rsidRPr="00BD190C">
        <w:t xml:space="preserve">Check the prover system for leaks. </w:t>
      </w:r>
    </w:p>
    <w:p w14:paraId="0C7521AE" w14:textId="00CD1892" w:rsidR="00C40083" w:rsidRPr="00AC6F05" w:rsidRDefault="00C40083" w:rsidP="00AB535C">
      <w:pPr>
        <w:pStyle w:val="Heading3"/>
      </w:pPr>
      <w:r w:rsidRPr="00AC6F05">
        <w:lastRenderedPageBreak/>
        <w:t>C</w:t>
      </w:r>
      <w:r w:rsidR="00FA2379" w:rsidRPr="00AC6F05">
        <w:t xml:space="preserve">leanliness </w:t>
      </w:r>
      <w:r w:rsidR="000D2274" w:rsidRPr="00AC6F05">
        <w:t>c</w:t>
      </w:r>
      <w:r w:rsidR="00FA2379" w:rsidRPr="00AC6F05">
        <w:t>heck</w:t>
      </w:r>
    </w:p>
    <w:p w14:paraId="7C55F38D" w14:textId="617B3404" w:rsidR="00FA2379" w:rsidRPr="00AC6F05" w:rsidRDefault="006158DF" w:rsidP="00AB535C">
      <w:pPr>
        <w:pStyle w:val="BodyText"/>
        <w:keepNext/>
        <w:keepLines/>
        <w:ind w:left="2160"/>
      </w:pPr>
      <w:r w:rsidRPr="00AC6F05">
        <w:t>T</w:t>
      </w:r>
      <w:r w:rsidR="00FA2379" w:rsidRPr="00AC6F05">
        <w:t>he standard</w:t>
      </w:r>
      <w:r w:rsidRPr="00AC6F05">
        <w:t>(s)</w:t>
      </w:r>
      <w:r w:rsidR="00FA2379" w:rsidRPr="00AC6F05">
        <w:t xml:space="preserve"> and the </w:t>
      </w:r>
      <w:r w:rsidR="009F5BF7" w:rsidRPr="00AC6F05">
        <w:t xml:space="preserve">unknown </w:t>
      </w:r>
      <w:r w:rsidR="00FA2379" w:rsidRPr="00AC6F05">
        <w:t>prover must be internally clean</w:t>
      </w:r>
      <w:r w:rsidRPr="00AC6F05">
        <w:t xml:space="preserve"> and should have been verified during preliminary operations. The gauge tube and scale plate must be clean and clear to enable proper scale plate readings. </w:t>
      </w:r>
    </w:p>
    <w:p w14:paraId="671BC587" w14:textId="77777777" w:rsidR="00B7258A" w:rsidRDefault="000D2274" w:rsidP="00AB535C">
      <w:pPr>
        <w:pStyle w:val="Heading3"/>
        <w:keepNext w:val="0"/>
        <w:keepLines w:val="0"/>
      </w:pPr>
      <w:r w:rsidRPr="00AC6F05">
        <w:t>S</w:t>
      </w:r>
      <w:r w:rsidR="004D5B51" w:rsidRPr="00AC6F05">
        <w:t xml:space="preserve">cale plate </w:t>
      </w:r>
      <w:r w:rsidR="00E145CE">
        <w:t>calibration</w:t>
      </w:r>
    </w:p>
    <w:p w14:paraId="7D218DE9" w14:textId="19CD7722" w:rsidR="004D5B51" w:rsidRPr="00AC6F05" w:rsidRDefault="004D5B51" w:rsidP="00AB535C">
      <w:pPr>
        <w:pStyle w:val="Heading4"/>
        <w:keepNext w:val="0"/>
        <w:keepLines w:val="0"/>
      </w:pPr>
      <w:r w:rsidRPr="00AC6F05">
        <w:t xml:space="preserve">The number of </w:t>
      </w:r>
      <w:r w:rsidR="00E145CE">
        <w:t>calibration</w:t>
      </w:r>
      <w:r w:rsidRPr="00AC6F05">
        <w:t xml:space="preserve"> points used </w:t>
      </w:r>
      <w:r w:rsidR="007741F7" w:rsidRPr="00AC6F05">
        <w:t xml:space="preserve">is </w:t>
      </w:r>
      <w:r w:rsidRPr="00AC6F05">
        <w:t xml:space="preserve">determined by the </w:t>
      </w:r>
      <w:r w:rsidR="007741F7" w:rsidRPr="00AC6F05">
        <w:t xml:space="preserve">neck volume and the </w:t>
      </w:r>
      <w:r w:rsidRPr="00AC6F05">
        <w:t xml:space="preserve">size of the standard from which water will be delivered to conduct the </w:t>
      </w:r>
      <w:r w:rsidR="00E145CE">
        <w:t>calibration</w:t>
      </w:r>
      <w:r w:rsidR="005570B1">
        <w:t xml:space="preserve">. </w:t>
      </w:r>
      <w:r w:rsidRPr="00AC6F05">
        <w:t xml:space="preserve">Typically, 4 </w:t>
      </w:r>
      <w:r w:rsidR="007741F7" w:rsidRPr="00AC6F05">
        <w:t xml:space="preserve">to 6 </w:t>
      </w:r>
      <w:r w:rsidR="00E145CE">
        <w:t>calibration</w:t>
      </w:r>
      <w:r w:rsidR="00263870" w:rsidRPr="00AC6F05">
        <w:t xml:space="preserve"> </w:t>
      </w:r>
      <w:r w:rsidRPr="00AC6F05">
        <w:t xml:space="preserve">points </w:t>
      </w:r>
      <w:r w:rsidR="007741F7" w:rsidRPr="00AC6F05">
        <w:t xml:space="preserve">are </w:t>
      </w:r>
      <w:r w:rsidRPr="00AC6F05">
        <w:t xml:space="preserve">distributed across the range of the </w:t>
      </w:r>
      <w:r w:rsidR="00263870" w:rsidRPr="00AC6F05">
        <w:t xml:space="preserve">volume on the </w:t>
      </w:r>
      <w:r w:rsidRPr="00AC6F05">
        <w:t xml:space="preserve">neck scale plate. Select the number of neck scale </w:t>
      </w:r>
      <w:r w:rsidR="00E145CE">
        <w:t>calibration</w:t>
      </w:r>
      <w:r w:rsidRPr="00AC6F05">
        <w:t xml:space="preserve"> points and the bottom </w:t>
      </w:r>
      <w:r w:rsidR="007741F7" w:rsidRPr="00AC6F05">
        <w:t xml:space="preserve">scale </w:t>
      </w:r>
      <w:r w:rsidRPr="00AC6F05">
        <w:t xml:space="preserve">reading, </w:t>
      </w:r>
      <w:r w:rsidRPr="00D23E10">
        <w:rPr>
          <w:i/>
        </w:rPr>
        <w:t>sr</w:t>
      </w:r>
      <w:r w:rsidR="00B8556B" w:rsidRPr="00D23E10">
        <w:rPr>
          <w:i/>
          <w:vertAlign w:val="subscript"/>
        </w:rPr>
        <w:t>i</w:t>
      </w:r>
      <w:r w:rsidRPr="00AC6F05">
        <w:t xml:space="preserve">, so that one of the neck scale </w:t>
      </w:r>
      <w:r w:rsidR="00E145CE">
        <w:t>calibration</w:t>
      </w:r>
      <w:r w:rsidRPr="00AC6F05">
        <w:t xml:space="preserve"> points </w:t>
      </w:r>
      <w:r w:rsidR="007741F7" w:rsidRPr="00AC6F05">
        <w:t xml:space="preserve">is </w:t>
      </w:r>
      <w:r w:rsidRPr="00AC6F05">
        <w:t xml:space="preserve">near the prover nominal volume line. This is most easily accomplished by using an even number of neck scale </w:t>
      </w:r>
      <w:r w:rsidR="00E145CE">
        <w:t>calibration</w:t>
      </w:r>
      <w:r w:rsidR="007741F7" w:rsidRPr="00AC6F05">
        <w:t xml:space="preserve"> </w:t>
      </w:r>
      <w:r w:rsidRPr="00AC6F05">
        <w:t>points.</w:t>
      </w:r>
    </w:p>
    <w:p w14:paraId="0B4E0BB9" w14:textId="4A4605F1" w:rsidR="007748FD" w:rsidRPr="00AC6F05" w:rsidRDefault="007748FD" w:rsidP="00AB535C">
      <w:pPr>
        <w:pStyle w:val="BodyText"/>
        <w:ind w:left="2880"/>
      </w:pPr>
      <w:r w:rsidRPr="00AC6F05">
        <w:t>Note: A</w:t>
      </w:r>
      <w:r w:rsidR="007741F7" w:rsidRPr="00AC6F05">
        <w:t xml:space="preserve"> </w:t>
      </w:r>
      <w:r w:rsidRPr="00AC6F05">
        <w:t>high</w:t>
      </w:r>
      <w:r w:rsidR="007741F7" w:rsidRPr="00AC6F05">
        <w:t>er</w:t>
      </w:r>
      <w:r w:rsidRPr="00AC6F05">
        <w:t xml:space="preserve"> number of </w:t>
      </w:r>
      <w:r w:rsidR="00E145CE">
        <w:t>calibration</w:t>
      </w:r>
      <w:r w:rsidR="007741F7" w:rsidRPr="00AC6F05">
        <w:t xml:space="preserve"> </w:t>
      </w:r>
      <w:r w:rsidRPr="00AC6F05">
        <w:t>points increase</w:t>
      </w:r>
      <w:r w:rsidR="00D23E10">
        <w:t>s</w:t>
      </w:r>
      <w:r w:rsidRPr="00AC6F05">
        <w:t xml:space="preserve"> the time required for the </w:t>
      </w:r>
      <w:r w:rsidR="00E145CE">
        <w:t>calibration</w:t>
      </w:r>
      <w:r w:rsidR="007741F7" w:rsidRPr="00AC6F05">
        <w:t xml:space="preserve">, </w:t>
      </w:r>
      <w:r w:rsidRPr="00AC6F05">
        <w:t xml:space="preserve">increases the uncertainty due to the </w:t>
      </w:r>
      <w:r w:rsidR="007741F7" w:rsidRPr="00AC6F05">
        <w:t xml:space="preserve">number of </w:t>
      </w:r>
      <w:r w:rsidRPr="00AC6F05">
        <w:t>meniscus reading component</w:t>
      </w:r>
      <w:r w:rsidR="00FB2AAA">
        <w:t>s</w:t>
      </w:r>
      <w:r w:rsidR="007741F7" w:rsidRPr="00AC6F05">
        <w:t>, and provides limited value</w:t>
      </w:r>
      <w:r w:rsidRPr="00AC6F05">
        <w:t>.</w:t>
      </w:r>
    </w:p>
    <w:p w14:paraId="66E6C1AF" w14:textId="2BE7A385" w:rsidR="003809F1" w:rsidRPr="00BD190C" w:rsidRDefault="00E248AA" w:rsidP="002F5301">
      <w:pPr>
        <w:pStyle w:val="Heading4"/>
      </w:pPr>
      <w:r w:rsidRPr="00BD190C">
        <w:t xml:space="preserve">Select the volume of the standard, </w:t>
      </w:r>
      <w:r w:rsidRPr="002F5301">
        <w:rPr>
          <w:i/>
        </w:rPr>
        <w:t>V</w:t>
      </w:r>
      <w:r w:rsidRPr="002F5301">
        <w:rPr>
          <w:i/>
          <w:vertAlign w:val="subscript"/>
        </w:rPr>
        <w:t>Sn</w:t>
      </w:r>
      <w:r w:rsidRPr="00BD190C">
        <w:t xml:space="preserve">, to use for the neck calibration intervals by dividing the total volume of the neck </w:t>
      </w:r>
      <w:r w:rsidR="003809F1" w:rsidRPr="00BD190C">
        <w:t xml:space="preserve">scale plate </w:t>
      </w:r>
      <w:r w:rsidRPr="00BD190C">
        <w:t xml:space="preserve">that will be calibrated by the number of calibration points, keeping in mind that the value of </w:t>
      </w:r>
      <w:r w:rsidRPr="002F5301">
        <w:rPr>
          <w:i/>
        </w:rPr>
        <w:t>V</w:t>
      </w:r>
      <w:r w:rsidRPr="002F5301">
        <w:rPr>
          <w:i/>
          <w:vertAlign w:val="subscript"/>
        </w:rPr>
        <w:t>Sn</w:t>
      </w:r>
      <w:r w:rsidRPr="00BD190C">
        <w:t xml:space="preserve"> may be the sum of multiple deliveries from the actual standard used</w:t>
      </w:r>
      <w:r w:rsidR="005822DE" w:rsidRPr="00BD190C">
        <w:t xml:space="preserve"> (see Eqn. 1)</w:t>
      </w:r>
      <w:r w:rsidR="003809F1" w:rsidRPr="00BD190C">
        <w:t>.</w:t>
      </w:r>
    </w:p>
    <w:p w14:paraId="704DBB2A" w14:textId="76D9AEB5" w:rsidR="00E248AA" w:rsidRDefault="00C822A6" w:rsidP="00063861">
      <w:pPr>
        <w:pStyle w:val="BodyText"/>
        <w:ind w:left="2880"/>
      </w:pPr>
      <w:r>
        <w:t>Note:</w:t>
      </w:r>
      <w:r w:rsidR="003809F1" w:rsidRPr="00BD190C">
        <w:t xml:space="preserve"> For example,</w:t>
      </w:r>
      <w:r w:rsidR="00E248AA" w:rsidRPr="00BD190C">
        <w:t xml:space="preserve"> </w:t>
      </w:r>
      <w:r w:rsidR="003809F1" w:rsidRPr="00BD190C">
        <w:t xml:space="preserve">a prover with scale plate volume </w:t>
      </w:r>
      <w:r w:rsidR="000807AC" w:rsidRPr="00BD190C">
        <w:t xml:space="preserve">of 2 gal </w:t>
      </w:r>
      <w:r w:rsidR="003809F1" w:rsidRPr="00BD190C">
        <w:t xml:space="preserve">and 4 calibration points will result in the </w:t>
      </w:r>
      <w:r w:rsidR="00E248AA" w:rsidRPr="002F5301">
        <w:rPr>
          <w:i/>
        </w:rPr>
        <w:t>V</w:t>
      </w:r>
      <w:r w:rsidR="0017587B" w:rsidRPr="002F5301">
        <w:rPr>
          <w:i/>
          <w:vertAlign w:val="subscript"/>
        </w:rPr>
        <w:t>S</w:t>
      </w:r>
      <w:r w:rsidR="00E248AA" w:rsidRPr="002F5301">
        <w:rPr>
          <w:i/>
          <w:vertAlign w:val="subscript"/>
        </w:rPr>
        <w:t>n</w:t>
      </w:r>
      <w:r w:rsidR="00E248AA" w:rsidRPr="00BD190C">
        <w:t xml:space="preserve"> </w:t>
      </w:r>
      <w:r w:rsidR="003809F1" w:rsidRPr="00BD190C">
        <w:t xml:space="preserve">of </w:t>
      </w:r>
      <w:r w:rsidR="00E248AA" w:rsidRPr="00BD190C">
        <w:t>0.5</w:t>
      </w:r>
      <w:r w:rsidR="003809F1" w:rsidRPr="00BD190C">
        <w:t> </w:t>
      </w:r>
      <w:r w:rsidR="00E248AA" w:rsidRPr="00BD190C">
        <w:t xml:space="preserve">gal, </w:t>
      </w:r>
      <w:r w:rsidR="003809F1" w:rsidRPr="00BD190C">
        <w:t xml:space="preserve">but </w:t>
      </w:r>
      <w:r w:rsidR="000807AC" w:rsidRPr="00BD190C">
        <w:t xml:space="preserve">each interval </w:t>
      </w:r>
      <w:r w:rsidR="003809F1" w:rsidRPr="00BD190C">
        <w:t xml:space="preserve">may be </w:t>
      </w:r>
      <w:r w:rsidR="000807AC" w:rsidRPr="00BD190C">
        <w:t xml:space="preserve">measured </w:t>
      </w:r>
      <w:r w:rsidR="00E248AA" w:rsidRPr="00BD190C">
        <w:t xml:space="preserve">with two deliveries </w:t>
      </w:r>
      <w:r w:rsidR="003809F1" w:rsidRPr="00BD190C">
        <w:t xml:space="preserve">of </w:t>
      </w:r>
      <w:r w:rsidR="00E248AA" w:rsidRPr="00BD190C">
        <w:t>a 0.25</w:t>
      </w:r>
      <w:r w:rsidR="003809F1" w:rsidRPr="00BD190C">
        <w:t> </w:t>
      </w:r>
      <w:r w:rsidR="00E248AA" w:rsidRPr="00BD190C">
        <w:t>gal calibrated standard</w:t>
      </w:r>
      <w:r w:rsidR="00FD646B">
        <w:t>.</w:t>
      </w:r>
      <w:r w:rsidR="00E248AA" w:rsidRPr="006B36FB">
        <w:t xml:space="preserve"> </w:t>
      </w:r>
    </w:p>
    <w:p w14:paraId="51D238D0" w14:textId="5777314A" w:rsidR="00B30B4B" w:rsidRPr="00B30B4B" w:rsidRDefault="00FB1A67" w:rsidP="00063861">
      <w:pPr>
        <w:pStyle w:val="MTDisplayEquation"/>
        <w:tabs>
          <w:tab w:val="clear" w:pos="4320"/>
          <w:tab w:val="clear" w:pos="8640"/>
          <w:tab w:val="left" w:pos="3780"/>
          <w:tab w:val="left" w:pos="5400"/>
          <w:tab w:val="left" w:pos="6750"/>
          <w:tab w:val="left" w:pos="7290"/>
          <w:tab w:val="left" w:pos="8190"/>
          <w:tab w:val="right" w:pos="8280"/>
        </w:tabs>
        <w:spacing w:after="240"/>
        <w:ind w:left="720" w:firstLine="0"/>
        <w:jc w:val="right"/>
      </w:pPr>
      <w:r w:rsidRPr="00B30B4B">
        <w:object w:dxaOrig="3460" w:dyaOrig="680" w14:anchorId="1C096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olume of the standard for the neck calibration equals the total neck scale plate volume divided by the number of calibration points" style="width:173.25pt;height:33.75pt" o:ole="">
            <v:imagedata r:id="rId8" o:title=""/>
          </v:shape>
          <o:OLEObject Type="Embed" ProgID="Equation.DSMT4" ShapeID="_x0000_i1025" DrawAspect="Content" ObjectID="_1618841753" r:id="rId9"/>
        </w:object>
      </w:r>
      <w:r w:rsidR="00063861">
        <w:tab/>
      </w:r>
      <w:r w:rsidR="000C69EA">
        <w:fldChar w:fldCharType="begin"/>
      </w:r>
      <w:r w:rsidR="000C69EA">
        <w:instrText xml:space="preserve"> MACROBUTTON MTPlaceRef \* MERGEFORMAT </w:instrText>
      </w:r>
      <w:r w:rsidR="000C69EA">
        <w:fldChar w:fldCharType="begin"/>
      </w:r>
      <w:r w:rsidR="000C69EA">
        <w:instrText xml:space="preserve"> SEQ MTEqn \h \* MERGEFORMAT </w:instrText>
      </w:r>
      <w:r w:rsidR="000C69EA">
        <w:fldChar w:fldCharType="end"/>
      </w:r>
      <w:r w:rsidR="000C69EA">
        <w:instrText>Eqn. (</w:instrText>
      </w:r>
      <w:r w:rsidR="00063861">
        <w:rPr>
          <w:noProof/>
        </w:rPr>
        <w:fldChar w:fldCharType="begin"/>
      </w:r>
      <w:r w:rsidR="00063861">
        <w:rPr>
          <w:noProof/>
        </w:rPr>
        <w:instrText xml:space="preserve"> SEQ MTEqn \c \* Arabic \* MERGEFORMAT </w:instrText>
      </w:r>
      <w:r w:rsidR="00063861">
        <w:rPr>
          <w:noProof/>
        </w:rPr>
        <w:fldChar w:fldCharType="separate"/>
      </w:r>
      <w:r>
        <w:rPr>
          <w:noProof/>
        </w:rPr>
        <w:instrText>1</w:instrText>
      </w:r>
      <w:r w:rsidR="00063861">
        <w:rPr>
          <w:noProof/>
        </w:rPr>
        <w:fldChar w:fldCharType="end"/>
      </w:r>
      <w:r w:rsidR="000C69EA">
        <w:instrText>)</w:instrText>
      </w:r>
      <w:r w:rsidR="000C69EA">
        <w:fldChar w:fldCharType="end"/>
      </w:r>
    </w:p>
    <w:p w14:paraId="55ED3090" w14:textId="4D7C104C" w:rsidR="00434FF4" w:rsidRDefault="004D5B51" w:rsidP="00063861">
      <w:pPr>
        <w:pStyle w:val="Heading4"/>
        <w:tabs>
          <w:tab w:val="left" w:pos="3780"/>
          <w:tab w:val="left" w:pos="5400"/>
          <w:tab w:val="left" w:pos="6750"/>
          <w:tab w:val="left" w:pos="8190"/>
          <w:tab w:val="right" w:pos="8280"/>
        </w:tabs>
        <w:ind w:left="3600"/>
        <w:jc w:val="right"/>
      </w:pPr>
      <w:r w:rsidRPr="00AC6F05">
        <w:t xml:space="preserve">The best starting point for the initial </w:t>
      </w:r>
      <w:r w:rsidR="00DB30C5" w:rsidRPr="00AC6F05">
        <w:t xml:space="preserve">scale </w:t>
      </w:r>
      <w:r w:rsidR="00525D76">
        <w:t>reading</w:t>
      </w:r>
      <w:r w:rsidRPr="00AC6F05">
        <w:t xml:space="preserve">, </w:t>
      </w:r>
      <w:r w:rsidRPr="00AC6F05">
        <w:rPr>
          <w:i/>
        </w:rPr>
        <w:t>sr</w:t>
      </w:r>
      <w:r w:rsidR="00B8556B" w:rsidRPr="00AC6F05">
        <w:rPr>
          <w:i/>
          <w:vertAlign w:val="subscript"/>
        </w:rPr>
        <w:t>i</w:t>
      </w:r>
      <w:r w:rsidRPr="00AC6F05">
        <w:t xml:space="preserve">, </w:t>
      </w:r>
      <w:r w:rsidR="00ED03BD" w:rsidRPr="00AC6F05">
        <w:t xml:space="preserve">for a prover having the nominal volume graduation near the midpoint of the neck </w:t>
      </w:r>
      <w:r w:rsidRPr="00AC6F05">
        <w:t xml:space="preserve">can be calculated </w:t>
      </w:r>
      <w:r w:rsidR="005822DE">
        <w:t>using Eqn. 2</w:t>
      </w:r>
      <w:r w:rsidRPr="00AC6F05">
        <w:t>:</w:t>
      </w:r>
    </w:p>
    <w:p w14:paraId="2B8A09EE" w14:textId="7A97BD1A" w:rsidR="00B30B4B" w:rsidRPr="00AC6F05" w:rsidRDefault="00063861" w:rsidP="00063861">
      <w:pPr>
        <w:pStyle w:val="MTDisplayEquation"/>
        <w:tabs>
          <w:tab w:val="clear" w:pos="4320"/>
          <w:tab w:val="clear" w:pos="8640"/>
          <w:tab w:val="left" w:pos="3510"/>
          <w:tab w:val="left" w:pos="3780"/>
          <w:tab w:val="left" w:pos="5040"/>
          <w:tab w:val="left" w:pos="5400"/>
          <w:tab w:val="left" w:pos="6750"/>
          <w:tab w:val="left" w:pos="8190"/>
          <w:tab w:val="right" w:pos="8280"/>
        </w:tabs>
        <w:spacing w:after="240"/>
        <w:ind w:left="720" w:firstLine="0"/>
        <w:jc w:val="right"/>
      </w:pPr>
      <w:r>
        <w:tab/>
      </w:r>
      <w:r w:rsidR="00FB1A67" w:rsidRPr="00B30B4B">
        <w:object w:dxaOrig="3900" w:dyaOrig="620" w14:anchorId="3A37BE72">
          <v:shape id="_x0000_i1026" type="#_x0000_t75" alt="Initial scale reading equals the nominal value of the prover minues the number of calibration points divided by two times the volume of the standard used for the neck calibration" style="width:195pt;height:30.75pt" o:ole="">
            <v:imagedata r:id="rId10" o:title=""/>
          </v:shape>
          <o:OLEObject Type="Embed" ProgID="Equation.DSMT4" ShapeID="_x0000_i1026" DrawAspect="Content" ObjectID="_1618841754" r:id="rId11"/>
        </w:object>
      </w:r>
      <w:r>
        <w:tab/>
      </w:r>
      <w:r>
        <w:tab/>
      </w:r>
      <w:r w:rsidR="000C69EA">
        <w:fldChar w:fldCharType="begin"/>
      </w:r>
      <w:r w:rsidR="000C69EA">
        <w:instrText xml:space="preserve"> MACROBUTTON MTPlaceRef \* MERGEFORMAT </w:instrText>
      </w:r>
      <w:r w:rsidR="000C69EA">
        <w:fldChar w:fldCharType="begin"/>
      </w:r>
      <w:r w:rsidR="000C69EA">
        <w:instrText xml:space="preserve"> SEQ MTEqn \h \* MERGEFORMAT </w:instrText>
      </w:r>
      <w:r w:rsidR="000C69EA">
        <w:fldChar w:fldCharType="end"/>
      </w:r>
      <w:r w:rsidR="000C69EA">
        <w:instrText>Eqn. (</w:instrText>
      </w:r>
      <w:r>
        <w:rPr>
          <w:noProof/>
        </w:rPr>
        <w:fldChar w:fldCharType="begin"/>
      </w:r>
      <w:r>
        <w:rPr>
          <w:noProof/>
        </w:rPr>
        <w:instrText xml:space="preserve"> SEQ MTEqn \c \* Arabic \* MERGEFORMAT </w:instrText>
      </w:r>
      <w:r>
        <w:rPr>
          <w:noProof/>
        </w:rPr>
        <w:fldChar w:fldCharType="separate"/>
      </w:r>
      <w:r w:rsidR="00FB1A67">
        <w:rPr>
          <w:noProof/>
        </w:rPr>
        <w:instrText>2</w:instrText>
      </w:r>
      <w:r>
        <w:rPr>
          <w:noProof/>
        </w:rPr>
        <w:fldChar w:fldCharType="end"/>
      </w:r>
      <w:r w:rsidR="000C69EA">
        <w:instrText>)</w:instrText>
      </w:r>
      <w:r w:rsidR="000C69EA">
        <w:fldChar w:fldCharType="end"/>
      </w:r>
    </w:p>
    <w:p w14:paraId="2160C3D8" w14:textId="3A4726D5" w:rsidR="00D52AEA" w:rsidRPr="00AC6F05" w:rsidRDefault="007741F7" w:rsidP="00380C8E">
      <w:pPr>
        <w:pStyle w:val="Heading4"/>
        <w:keepNext w:val="0"/>
        <w:keepLines w:val="0"/>
      </w:pPr>
      <w:r w:rsidRPr="00AC6F05">
        <w:t xml:space="preserve">Offsetting from the nominal value is permitted for </w:t>
      </w:r>
      <w:r w:rsidR="00ED03BD" w:rsidRPr="00AC6F05">
        <w:t xml:space="preserve">older provers </w:t>
      </w:r>
      <w:r w:rsidRPr="00AC6F05">
        <w:t>wh</w:t>
      </w:r>
      <w:r w:rsidR="0043004F" w:rsidRPr="00AC6F05">
        <w:t>e</w:t>
      </w:r>
      <w:r w:rsidRPr="00AC6F05">
        <w:t xml:space="preserve">re </w:t>
      </w:r>
      <w:r w:rsidR="00ED03BD" w:rsidRPr="00AC6F05">
        <w:t xml:space="preserve">the nominal volume </w:t>
      </w:r>
      <w:r w:rsidRPr="00AC6F05">
        <w:t xml:space="preserve">is </w:t>
      </w:r>
      <w:r w:rsidR="00ED03BD" w:rsidRPr="00AC6F05">
        <w:t>offset from the middle of the neck scale</w:t>
      </w:r>
      <w:r w:rsidRPr="00AC6F05">
        <w:t xml:space="preserve">. In those cases, </w:t>
      </w:r>
      <w:r w:rsidR="00ED03BD" w:rsidRPr="00AC6F05">
        <w:t xml:space="preserve">the value of </w:t>
      </w:r>
      <w:r w:rsidR="007748FD" w:rsidRPr="00AC6F05">
        <w:t xml:space="preserve"> </w:t>
      </w:r>
      <m:oMath>
        <m:sSub>
          <m:sSubPr>
            <m:ctrlPr>
              <w:rPr>
                <w:rFonts w:ascii="Cambria Math" w:hAnsi="Cambria Math"/>
                <w:i/>
                <w:vertAlign w:val="subscript"/>
              </w:rPr>
            </m:ctrlPr>
          </m:sSubPr>
          <m:e>
            <m:r>
              <w:rPr>
                <w:rFonts w:ascii="Cambria Math" w:hAnsi="Cambria Math"/>
                <w:vertAlign w:val="subscript"/>
              </w:rPr>
              <m:t>sr</m:t>
            </m:r>
          </m:e>
          <m:sub>
            <m:r>
              <w:rPr>
                <w:rFonts w:ascii="Cambria Math" w:hAnsi="Cambria Math"/>
                <w:vertAlign w:val="subscript"/>
              </w:rPr>
              <m:t>i</m:t>
            </m:r>
          </m:sub>
        </m:sSub>
      </m:oMath>
      <w:r w:rsidR="00ED03BD" w:rsidRPr="00AC6F05">
        <w:t xml:space="preserve"> </w:t>
      </w:r>
      <w:r w:rsidR="002260B0" w:rsidRPr="00AC6F05">
        <w:t xml:space="preserve">may </w:t>
      </w:r>
      <w:r w:rsidR="00ED03BD" w:rsidRPr="00AC6F05">
        <w:t>be calculated and set based on a full multiple</w:t>
      </w:r>
      <w:r w:rsidR="002B43A2">
        <w:t xml:space="preserve"> of</w:t>
      </w:r>
      <w:r w:rsidR="00ED03BD" w:rsidRPr="00AC6F05">
        <w:t xml:space="preserve"> </w:t>
      </w:r>
      <w:r w:rsidR="002B43A2" w:rsidRPr="00F572EC">
        <w:rPr>
          <w:i/>
        </w:rPr>
        <w:t>V</w:t>
      </w:r>
      <w:r w:rsidR="002B43A2" w:rsidRPr="00F572EC">
        <w:rPr>
          <w:i/>
          <w:vertAlign w:val="subscript"/>
        </w:rPr>
        <w:t>Sn</w:t>
      </w:r>
      <w:r w:rsidR="002B43A2">
        <w:t>,</w:t>
      </w:r>
      <w:r w:rsidR="002B43A2" w:rsidRPr="00AC6F05">
        <w:t xml:space="preserve"> </w:t>
      </w:r>
      <w:r w:rsidR="00ED03BD" w:rsidRPr="00AC6F05">
        <w:t>but offset</w:t>
      </w:r>
      <w:r w:rsidR="0043004F" w:rsidRPr="00AC6F05">
        <w:t>,</w:t>
      </w:r>
      <w:r w:rsidR="00ED03BD" w:rsidRPr="00AC6F05">
        <w:t xml:space="preserve"> </w:t>
      </w:r>
      <w:r w:rsidR="002260B0" w:rsidRPr="00AC6F05">
        <w:t xml:space="preserve">where </w:t>
      </w:r>
      <w:r w:rsidR="0014056E" w:rsidRPr="00AC6F05">
        <w:t xml:space="preserve">the </w:t>
      </w:r>
      <w:r w:rsidR="00ED03BD" w:rsidRPr="00AC6F05">
        <w:t xml:space="preserve">number of neck scale </w:t>
      </w:r>
      <w:r w:rsidR="00E145CE">
        <w:t>calibration</w:t>
      </w:r>
      <w:r w:rsidR="00ED03BD" w:rsidRPr="00AC6F05">
        <w:t xml:space="preserve"> points </w:t>
      </w:r>
      <w:r w:rsidR="0043004F" w:rsidRPr="00AC6F05">
        <w:t xml:space="preserve">is not centered </w:t>
      </w:r>
      <w:r w:rsidR="00ED03BD" w:rsidRPr="00AC6F05">
        <w:t xml:space="preserve">around the nominal </w:t>
      </w:r>
      <w:r w:rsidR="00462EC1">
        <w:t xml:space="preserve">prover </w:t>
      </w:r>
      <w:bookmarkStart w:id="0" w:name="_GoBack"/>
      <w:bookmarkEnd w:id="0"/>
      <w:r w:rsidR="00462EC1">
        <w:t xml:space="preserve">volume </w:t>
      </w:r>
      <w:r w:rsidR="00ED03BD" w:rsidRPr="00AC6F05">
        <w:t xml:space="preserve">graduation. </w:t>
      </w:r>
    </w:p>
    <w:p w14:paraId="34204DBD" w14:textId="79462741" w:rsidR="00263870" w:rsidRPr="00AC6F05" w:rsidRDefault="001A259A" w:rsidP="00380C8E">
      <w:pPr>
        <w:pStyle w:val="Heading4"/>
        <w:keepNext w:val="0"/>
        <w:keepLines w:val="0"/>
      </w:pPr>
      <w:r>
        <w:lastRenderedPageBreak/>
        <w:t>Decrease</w:t>
      </w:r>
      <w:r w:rsidRPr="00AC6F05">
        <w:t xml:space="preserve"> </w:t>
      </w:r>
      <w:r w:rsidR="004D5B51" w:rsidRPr="00AC6F05">
        <w:t xml:space="preserve">the liquid level to an easily read graduation mark near the value calculated for </w:t>
      </w:r>
      <w:r w:rsidR="004D5B51" w:rsidRPr="00AC6F05">
        <w:rPr>
          <w:i/>
        </w:rPr>
        <w:t>sr</w:t>
      </w:r>
      <w:r w:rsidR="00CD33DC" w:rsidRPr="00AC6F05">
        <w:rPr>
          <w:i/>
          <w:vertAlign w:val="subscript"/>
        </w:rPr>
        <w:t>i</w:t>
      </w:r>
      <w:r w:rsidR="004D5B51" w:rsidRPr="00AC6F05">
        <w:t xml:space="preserve"> above. "Rock" the prover to "bounce" the liquid level, momentarily, to ensure that it has reached an equilibrium level. Read and record this setting to be used as the initial </w:t>
      </w:r>
      <w:r w:rsidR="00DB30C5" w:rsidRPr="00AC6F05">
        <w:t xml:space="preserve">scale </w:t>
      </w:r>
      <w:r w:rsidR="00525D76">
        <w:t>reading</w:t>
      </w:r>
      <w:r w:rsidR="004D5B51" w:rsidRPr="00AC6F05">
        <w:t xml:space="preserve">, </w:t>
      </w:r>
      <w:r w:rsidR="004D5B51" w:rsidRPr="00AC6F05">
        <w:rPr>
          <w:i/>
        </w:rPr>
        <w:t>sr</w:t>
      </w:r>
      <w:r w:rsidR="00CD33DC" w:rsidRPr="00AC6F05">
        <w:rPr>
          <w:i/>
          <w:vertAlign w:val="subscript"/>
        </w:rPr>
        <w:t>i</w:t>
      </w:r>
      <w:r w:rsidR="004D5B51" w:rsidRPr="00AC6F05">
        <w:t>.</w:t>
      </w:r>
    </w:p>
    <w:p w14:paraId="06CEE08F" w14:textId="4C67AFD0" w:rsidR="004D5B51" w:rsidRPr="00AC6F05" w:rsidRDefault="004D5B51" w:rsidP="00380C8E">
      <w:pPr>
        <w:pStyle w:val="Heading4"/>
        <w:keepNext w:val="0"/>
        <w:keepLines w:val="0"/>
      </w:pPr>
      <w:r w:rsidRPr="00AC6F05">
        <w:t xml:space="preserve">Remove </w:t>
      </w:r>
      <w:r w:rsidR="00DB30C5" w:rsidRPr="00AC6F05">
        <w:t>any</w:t>
      </w:r>
      <w:r w:rsidRPr="00AC6F05">
        <w:t xml:space="preserve"> fill hose</w:t>
      </w:r>
      <w:r w:rsidR="00DB30C5" w:rsidRPr="00AC6F05">
        <w:t>s</w:t>
      </w:r>
      <w:r w:rsidRPr="00AC6F05">
        <w:t xml:space="preserve"> or pipe</w:t>
      </w:r>
      <w:r w:rsidR="00DB30C5" w:rsidRPr="00AC6F05">
        <w:t>s</w:t>
      </w:r>
      <w:r w:rsidRPr="00AC6F05">
        <w:t xml:space="preserve"> </w:t>
      </w:r>
      <w:r w:rsidR="00DB30C5" w:rsidRPr="00AC6F05">
        <w:t xml:space="preserve">obstructing the top opening </w:t>
      </w:r>
      <w:r w:rsidRPr="00AC6F05">
        <w:t xml:space="preserve">and insert a </w:t>
      </w:r>
      <w:r w:rsidR="00B8556B" w:rsidRPr="00AC6F05">
        <w:t>wet</w:t>
      </w:r>
      <w:r w:rsidR="00263870" w:rsidRPr="00AC6F05">
        <w:t>ted</w:t>
      </w:r>
      <w:r w:rsidR="00B8556B" w:rsidRPr="00AC6F05">
        <w:t xml:space="preserve"> </w:t>
      </w:r>
      <w:r w:rsidRPr="00AC6F05">
        <w:t>funnel</w:t>
      </w:r>
      <w:r w:rsidR="00DB30C5" w:rsidRPr="00AC6F05">
        <w:t>, if needed</w:t>
      </w:r>
      <w:r w:rsidRPr="00AC6F05">
        <w:t xml:space="preserve">. </w:t>
      </w:r>
    </w:p>
    <w:p w14:paraId="7A67FD00" w14:textId="2A3E7CD1" w:rsidR="00263870" w:rsidRPr="00AC6F05" w:rsidRDefault="004D5B51" w:rsidP="00380C8E">
      <w:pPr>
        <w:pStyle w:val="Heading4"/>
        <w:keepNext w:val="0"/>
        <w:keepLines w:val="0"/>
      </w:pPr>
      <w:r w:rsidRPr="00AC6F05">
        <w:t xml:space="preserve">Verify the </w:t>
      </w:r>
      <w:r w:rsidR="00B8556B" w:rsidRPr="00AC6F05">
        <w:rPr>
          <w:i/>
        </w:rPr>
        <w:t>sr</w:t>
      </w:r>
      <w:r w:rsidR="00B8556B" w:rsidRPr="00AC6F05">
        <w:rPr>
          <w:i/>
          <w:vertAlign w:val="subscript"/>
        </w:rPr>
        <w:t>i</w:t>
      </w:r>
      <w:r w:rsidR="00B8556B" w:rsidRPr="00AC6F05">
        <w:t xml:space="preserve"> </w:t>
      </w:r>
      <w:r w:rsidR="00DB30C5" w:rsidRPr="00AC6F05">
        <w:t xml:space="preserve">scale </w:t>
      </w:r>
      <w:r w:rsidR="00525D76">
        <w:t>reading</w:t>
      </w:r>
      <w:r w:rsidRPr="00AC6F05">
        <w:t xml:space="preserve">, then add water in a quantity equal to the volume of the first </w:t>
      </w:r>
      <w:r w:rsidR="00E145CE">
        <w:t>calibration</w:t>
      </w:r>
      <w:r w:rsidR="002260B0" w:rsidRPr="00AC6F05">
        <w:t xml:space="preserve"> </w:t>
      </w:r>
      <w:r w:rsidRPr="00AC6F05">
        <w:t>point from a suitable calibrated standard</w:t>
      </w:r>
      <w:r w:rsidR="00B8556B" w:rsidRPr="00AC6F05">
        <w:t>. R</w:t>
      </w:r>
      <w:r w:rsidRPr="00AC6F05">
        <w:t xml:space="preserve">ecord the </w:t>
      </w:r>
      <w:r w:rsidR="00DB30C5" w:rsidRPr="00AC6F05">
        <w:t xml:space="preserve">scale </w:t>
      </w:r>
      <w:r w:rsidR="00525D76">
        <w:t>reading</w:t>
      </w:r>
      <w:r w:rsidR="00B8556B" w:rsidRPr="00AC6F05">
        <w:t xml:space="preserve"> as </w:t>
      </w:r>
      <w:r w:rsidR="00B8556B" w:rsidRPr="00AC6F05">
        <w:rPr>
          <w:i/>
        </w:rPr>
        <w:t>sr</w:t>
      </w:r>
      <w:r w:rsidR="00B8556B" w:rsidRPr="00AC6F05">
        <w:rPr>
          <w:i/>
          <w:vertAlign w:val="subscript"/>
        </w:rPr>
        <w:t>1</w:t>
      </w:r>
      <w:r w:rsidRPr="00AC6F05">
        <w:t>.</w:t>
      </w:r>
    </w:p>
    <w:p w14:paraId="211F938F" w14:textId="10CF8D24" w:rsidR="0014056E" w:rsidRPr="00AC6F05" w:rsidRDefault="0014056E" w:rsidP="002F5301">
      <w:pPr>
        <w:pStyle w:val="Heading4"/>
      </w:pPr>
      <w:r w:rsidRPr="00AC6F05">
        <w:t xml:space="preserve">Continue </w:t>
      </w:r>
      <w:r w:rsidR="002260B0" w:rsidRPr="00AC6F05">
        <w:t xml:space="preserve">verifying </w:t>
      </w:r>
      <w:r w:rsidR="00263870" w:rsidRPr="00AC6F05">
        <w:t xml:space="preserve">each interval </w:t>
      </w:r>
      <w:r w:rsidR="004D5B51" w:rsidRPr="00AC6F05">
        <w:t xml:space="preserve">by successive additions </w:t>
      </w:r>
      <w:r w:rsidRPr="00AC6F05">
        <w:t xml:space="preserve">from the calibrated standard </w:t>
      </w:r>
      <w:r w:rsidR="004D5B51" w:rsidRPr="00AC6F05">
        <w:t xml:space="preserve">until the </w:t>
      </w:r>
      <w:r w:rsidR="00263870" w:rsidRPr="00AC6F05">
        <w:t xml:space="preserve">selected </w:t>
      </w:r>
      <w:r w:rsidR="004D5B51" w:rsidRPr="00AC6F05">
        <w:t xml:space="preserve">number of </w:t>
      </w:r>
      <w:r w:rsidR="00E145CE">
        <w:t>calibration</w:t>
      </w:r>
      <w:r w:rsidR="002260B0" w:rsidRPr="00AC6F05">
        <w:t xml:space="preserve"> </w:t>
      </w:r>
      <w:r w:rsidR="004D5B51" w:rsidRPr="00AC6F05">
        <w:t>points have been recorded.</w:t>
      </w:r>
    </w:p>
    <w:p w14:paraId="0877622B" w14:textId="7C5D4E22" w:rsidR="00263870" w:rsidRPr="00AC6F05" w:rsidRDefault="004D5B51" w:rsidP="002F5301">
      <w:pPr>
        <w:pStyle w:val="Heading4"/>
      </w:pPr>
      <w:r w:rsidRPr="00AC6F05">
        <w:t xml:space="preserve">Record </w:t>
      </w:r>
      <w:r w:rsidR="00DB30C5" w:rsidRPr="00AC6F05">
        <w:t xml:space="preserve">scale </w:t>
      </w:r>
      <w:r w:rsidR="00525D76">
        <w:t>reading</w:t>
      </w:r>
      <w:r w:rsidRPr="00AC6F05">
        <w:t xml:space="preserve">s after each addition. The last reading </w:t>
      </w:r>
      <w:r w:rsidR="00263870" w:rsidRPr="00AC6F05">
        <w:t xml:space="preserve">is </w:t>
      </w:r>
      <w:r w:rsidRPr="00AC6F05">
        <w:t xml:space="preserve">the final </w:t>
      </w:r>
      <w:r w:rsidR="00DB30C5" w:rsidRPr="00AC6F05">
        <w:t xml:space="preserve">scale </w:t>
      </w:r>
      <w:r w:rsidR="00525D76">
        <w:t>reading</w:t>
      </w:r>
      <w:r w:rsidRPr="00AC6F05">
        <w:t xml:space="preserve">, </w:t>
      </w:r>
      <w:r w:rsidRPr="00AC6F05">
        <w:rPr>
          <w:i/>
        </w:rPr>
        <w:t>sr</w:t>
      </w:r>
      <w:r w:rsidR="00CD33DC" w:rsidRPr="00AC6F05">
        <w:rPr>
          <w:i/>
          <w:vertAlign w:val="subscript"/>
        </w:rPr>
        <w:t>f</w:t>
      </w:r>
      <w:r w:rsidRPr="00AC6F05">
        <w:t xml:space="preserve">. Be aware that as the water level approaches the top of the neck, it will become harder to "bounce" the liquid in the gauge. </w:t>
      </w:r>
    </w:p>
    <w:p w14:paraId="5F357053" w14:textId="60B4D021" w:rsidR="00A454BA" w:rsidRDefault="004D5B51" w:rsidP="00AB535C">
      <w:pPr>
        <w:pStyle w:val="Heading4"/>
        <w:ind w:left="2790"/>
      </w:pPr>
      <w:r w:rsidRPr="00AC6F05">
        <w:t xml:space="preserve">A plot of </w:t>
      </w:r>
      <w:r w:rsidR="00DB30C5" w:rsidRPr="00AC6F05">
        <w:t xml:space="preserve">scale </w:t>
      </w:r>
      <w:r w:rsidR="00525D76">
        <w:t>reading</w:t>
      </w:r>
      <w:r w:rsidRPr="00AC6F05">
        <w:t>s with respect to the total volume of water added to reach that reading</w:t>
      </w:r>
      <w:r w:rsidR="00766D28" w:rsidRPr="00AC6F05">
        <w:t xml:space="preserve"> </w:t>
      </w:r>
      <w:r w:rsidRPr="00AC6F05">
        <w:t xml:space="preserve">should be linear and </w:t>
      </w:r>
      <w:r w:rsidR="002B672A">
        <w:t xml:space="preserve">is </w:t>
      </w:r>
      <w:r w:rsidRPr="00AC6F05">
        <w:t xml:space="preserve">a gross check of the validity of this </w:t>
      </w:r>
      <w:r w:rsidR="00E145CE">
        <w:t>calibration</w:t>
      </w:r>
      <w:r w:rsidRPr="00AC6F05">
        <w:t>.</w:t>
      </w:r>
      <w:r w:rsidR="00263870" w:rsidRPr="00AC6F05">
        <w:t xml:space="preserve"> </w:t>
      </w:r>
      <w:r w:rsidRPr="00AC6F05">
        <w:t xml:space="preserve">Calculate and assess the accuracy </w:t>
      </w:r>
      <w:r w:rsidR="00AB12D8">
        <w:t>(</w:t>
      </w:r>
      <w:r w:rsidR="001872A9" w:rsidRPr="001872A9">
        <w:t>Deviation between volume added and observed scale plate reading</w:t>
      </w:r>
      <w:r w:rsidR="00AB12D8">
        <w:t xml:space="preserve">) </w:t>
      </w:r>
      <w:r w:rsidRPr="00AC6F05">
        <w:t xml:space="preserve">of the neck scale for each interval using </w:t>
      </w:r>
      <w:r w:rsidR="00CD33DC" w:rsidRPr="00AC6F05">
        <w:t>E</w:t>
      </w:r>
      <w:r w:rsidRPr="00AC6F05">
        <w:t>qn</w:t>
      </w:r>
      <w:r w:rsidR="009566C3">
        <w:t>.</w:t>
      </w:r>
      <w:r w:rsidRPr="00AC6F05">
        <w:t xml:space="preserve"> </w:t>
      </w:r>
      <w:r w:rsidR="005822DE">
        <w:t>3</w:t>
      </w:r>
      <w:r w:rsidRPr="00AC6F05">
        <w:t xml:space="preserve">: </w:t>
      </w:r>
    </w:p>
    <w:p w14:paraId="2AE6AD35" w14:textId="36CF20C4" w:rsidR="00B30B4B" w:rsidRDefault="00FB1A67" w:rsidP="00063861">
      <w:pPr>
        <w:pStyle w:val="BodyText"/>
        <w:ind w:left="2160" w:firstLine="720"/>
        <w:jc w:val="right"/>
      </w:pPr>
      <w:r w:rsidRPr="00B30B4B">
        <w:object w:dxaOrig="2260" w:dyaOrig="400" w14:anchorId="2C0CFD05">
          <v:shape id="_x0000_i1027" type="#_x0000_t75" alt="The change in the scale reading equals the scale reading at point x minus the quantity of the initial scale reading plus x times the volume of the standard used for the calibration, Vsn" style="width:113.25pt;height:20.25pt" o:ole="">
            <v:imagedata r:id="rId12" o:title=""/>
          </v:shape>
          <o:OLEObject Type="Embed" ProgID="Equation.DSMT4" ShapeID="_x0000_i1027" DrawAspect="Content" ObjectID="_1618841755" r:id="rId13"/>
        </w:object>
      </w:r>
      <w:r w:rsidR="009566C3">
        <w:tab/>
      </w:r>
      <w:r w:rsidR="009566C3">
        <w:tab/>
      </w:r>
      <w:r w:rsidR="009566C3">
        <w:tab/>
      </w:r>
      <w:r w:rsidR="009566C3">
        <w:fldChar w:fldCharType="begin"/>
      </w:r>
      <w:r w:rsidR="009566C3">
        <w:instrText xml:space="preserve"> MACROBUTTON MTPlaceRef \* MERGEFORMAT </w:instrText>
      </w:r>
      <w:r w:rsidR="009566C3">
        <w:fldChar w:fldCharType="begin"/>
      </w:r>
      <w:r w:rsidR="009566C3">
        <w:instrText xml:space="preserve"> SEQ MTEqn \h \* MERGEFORMAT </w:instrText>
      </w:r>
      <w:r w:rsidR="009566C3">
        <w:fldChar w:fldCharType="end"/>
      </w:r>
      <w:r w:rsidR="009566C3">
        <w:instrText>Eqn. (</w:instrText>
      </w:r>
      <w:r w:rsidR="00063861">
        <w:rPr>
          <w:noProof/>
        </w:rPr>
        <w:fldChar w:fldCharType="begin"/>
      </w:r>
      <w:r w:rsidR="00063861">
        <w:rPr>
          <w:noProof/>
        </w:rPr>
        <w:instrText xml:space="preserve"> SEQ MTEqn \c \* Arabic \* MERGEFORMAT </w:instrText>
      </w:r>
      <w:r w:rsidR="00063861">
        <w:rPr>
          <w:noProof/>
        </w:rPr>
        <w:fldChar w:fldCharType="separate"/>
      </w:r>
      <w:r w:rsidR="009566C3">
        <w:rPr>
          <w:noProof/>
        </w:rPr>
        <w:instrText>3</w:instrText>
      </w:r>
      <w:r w:rsidR="00063861">
        <w:rPr>
          <w:noProof/>
        </w:rPr>
        <w:fldChar w:fldCharType="end"/>
      </w:r>
      <w:r w:rsidR="009566C3">
        <w:instrText>)</w:instrText>
      </w:r>
      <w:r w:rsidR="009566C3">
        <w:fldChar w:fldCharType="end"/>
      </w:r>
    </w:p>
    <w:p w14:paraId="0DAA0932" w14:textId="77777777" w:rsidR="002F5301" w:rsidRPr="002F5301" w:rsidRDefault="002F5301" w:rsidP="002F5301"/>
    <w:p w14:paraId="5016F444" w14:textId="3F67DF41" w:rsidR="00B30B4B" w:rsidRDefault="0042664F" w:rsidP="00AB535C">
      <w:pPr>
        <w:pStyle w:val="Heading4"/>
        <w:ind w:left="2790"/>
      </w:pPr>
      <w:r>
        <w:t xml:space="preserve">A </w:t>
      </w:r>
      <w:r w:rsidR="004D5B51" w:rsidRPr="00AC6F05">
        <w:t xml:space="preserve">neck scale </w:t>
      </w:r>
      <w:r w:rsidR="00DB30C5" w:rsidRPr="00AC6F05">
        <w:t>correction factor</w:t>
      </w:r>
      <w:r w:rsidR="004D5B51" w:rsidRPr="00AC6F05">
        <w:t xml:space="preserve"> </w:t>
      </w:r>
      <w:r>
        <w:t xml:space="preserve">may be </w:t>
      </w:r>
      <w:r w:rsidR="004D5B51" w:rsidRPr="00AC6F05">
        <w:t xml:space="preserve">calculated using </w:t>
      </w:r>
      <w:r w:rsidR="00F16395" w:rsidRPr="00AC6F05">
        <w:t>E</w:t>
      </w:r>
      <w:r w:rsidR="004D5B51" w:rsidRPr="00AC6F05">
        <w:t>qn</w:t>
      </w:r>
      <w:r w:rsidR="009566C3">
        <w:t>.</w:t>
      </w:r>
      <w:r w:rsidR="004D5B51" w:rsidRPr="00AC6F05">
        <w:t xml:space="preserve"> </w:t>
      </w:r>
      <w:r w:rsidR="005822DE">
        <w:t>4</w:t>
      </w:r>
      <w:r w:rsidR="002E1917">
        <w:t>:</w:t>
      </w:r>
    </w:p>
    <w:p w14:paraId="4DAB2868" w14:textId="2C79C11E" w:rsidR="00207158" w:rsidRPr="009566C3" w:rsidRDefault="00FB1A67" w:rsidP="00063861">
      <w:pPr>
        <w:pStyle w:val="BodyText"/>
        <w:ind w:left="2160" w:firstLine="720"/>
        <w:jc w:val="right"/>
      </w:pPr>
      <w:r w:rsidRPr="009566C3">
        <w:object w:dxaOrig="1900" w:dyaOrig="740" w14:anchorId="23FCBFFE">
          <v:shape id="_x0000_i1028" type="#_x0000_t75" alt="the NSCF is the neck scale correction factor which equals the volume of water delivered divided by the quantity of final minus initial scale readings" style="width:95.25pt;height:37.5pt" o:ole="" fillcolor="window">
            <v:imagedata r:id="rId14" o:title=""/>
          </v:shape>
          <o:OLEObject Type="Embed" ProgID="Equation.DSMT4" ShapeID="_x0000_i1028" DrawAspect="Content" ObjectID="_1618841756" r:id="rId15"/>
        </w:object>
      </w:r>
      <w:r w:rsidR="009566C3" w:rsidRPr="009566C3">
        <w:tab/>
      </w:r>
      <w:r w:rsidR="009566C3" w:rsidRPr="009566C3">
        <w:tab/>
      </w:r>
      <w:r w:rsidR="009566C3">
        <w:tab/>
      </w:r>
      <w:r w:rsidR="009566C3" w:rsidRPr="009566C3">
        <w:tab/>
      </w:r>
      <w:r w:rsidR="009566C3" w:rsidRPr="009566C3">
        <w:fldChar w:fldCharType="begin"/>
      </w:r>
      <w:r w:rsidR="009566C3" w:rsidRPr="009566C3">
        <w:instrText xml:space="preserve"> MACROBUTTON MTPlaceRef \* MERGEFORMAT </w:instrText>
      </w:r>
      <w:r w:rsidR="009566C3" w:rsidRPr="009566C3">
        <w:fldChar w:fldCharType="begin"/>
      </w:r>
      <w:r w:rsidR="009566C3" w:rsidRPr="009566C3">
        <w:instrText xml:space="preserve"> SEQ MTEqn \h \* MERGEFORMAT </w:instrText>
      </w:r>
      <w:r w:rsidR="009566C3" w:rsidRPr="009566C3">
        <w:fldChar w:fldCharType="end"/>
      </w:r>
      <w:r w:rsidR="009566C3" w:rsidRPr="009566C3">
        <w:instrText>Eqn. (</w:instrText>
      </w:r>
      <w:r w:rsidR="00063861">
        <w:rPr>
          <w:noProof/>
        </w:rPr>
        <w:fldChar w:fldCharType="begin"/>
      </w:r>
      <w:r w:rsidR="00063861">
        <w:rPr>
          <w:noProof/>
        </w:rPr>
        <w:instrText xml:space="preserve"> SEQ MTEqn \c \* Arabic \* MERGEFORMAT </w:instrText>
      </w:r>
      <w:r w:rsidR="00063861">
        <w:rPr>
          <w:noProof/>
        </w:rPr>
        <w:fldChar w:fldCharType="separate"/>
      </w:r>
      <w:r w:rsidR="009566C3">
        <w:rPr>
          <w:noProof/>
        </w:rPr>
        <w:instrText>4</w:instrText>
      </w:r>
      <w:r w:rsidR="00063861">
        <w:rPr>
          <w:noProof/>
        </w:rPr>
        <w:fldChar w:fldCharType="end"/>
      </w:r>
      <w:r w:rsidR="009566C3" w:rsidRPr="009566C3">
        <w:instrText>)</w:instrText>
      </w:r>
      <w:r w:rsidR="009566C3" w:rsidRPr="009566C3">
        <w:fldChar w:fldCharType="end"/>
      </w:r>
    </w:p>
    <w:p w14:paraId="113B8D02" w14:textId="230EC20E" w:rsidR="00207158" w:rsidRDefault="00C822A6" w:rsidP="00063861">
      <w:pPr>
        <w:pStyle w:val="3Technical"/>
        <w:tabs>
          <w:tab w:val="clear" w:pos="720"/>
          <w:tab w:val="clear" w:pos="1440"/>
          <w:tab w:val="clear" w:pos="2160"/>
        </w:tabs>
        <w:ind w:left="3600" w:firstLine="0"/>
        <w:jc w:val="both"/>
        <w:rPr>
          <w:rFonts w:ascii="Times New Roman" w:hAnsi="Times New Roman"/>
          <w:szCs w:val="24"/>
        </w:rPr>
      </w:pPr>
      <w:r>
        <w:rPr>
          <w:rFonts w:ascii="Times New Roman" w:hAnsi="Times New Roman"/>
          <w:szCs w:val="24"/>
        </w:rPr>
        <w:t>Note:</w:t>
      </w:r>
      <w:r w:rsidR="00F16395" w:rsidRPr="00AC6F05">
        <w:rPr>
          <w:rFonts w:ascii="Times New Roman" w:hAnsi="Times New Roman"/>
          <w:szCs w:val="24"/>
        </w:rPr>
        <w:t xml:space="preserve"> </w:t>
      </w:r>
      <w:r w:rsidR="00207158" w:rsidRPr="00AC6F05">
        <w:rPr>
          <w:rFonts w:ascii="Times New Roman" w:hAnsi="Times New Roman"/>
          <w:szCs w:val="24"/>
        </w:rPr>
        <w:t>W</w:t>
      </w:r>
      <w:r w:rsidR="004D5B51" w:rsidRPr="00AC6F05">
        <w:rPr>
          <w:rFonts w:ascii="Times New Roman" w:hAnsi="Times New Roman"/>
          <w:szCs w:val="24"/>
        </w:rPr>
        <w:t xml:space="preserve">hen a neck scale </w:t>
      </w:r>
      <w:r w:rsidR="00DB30C5" w:rsidRPr="00AC6F05">
        <w:rPr>
          <w:rFonts w:ascii="Times New Roman" w:hAnsi="Times New Roman"/>
          <w:szCs w:val="24"/>
        </w:rPr>
        <w:t>correction factor</w:t>
      </w:r>
      <w:r w:rsidR="004D5B51" w:rsidRPr="00AC6F05">
        <w:rPr>
          <w:rFonts w:ascii="Times New Roman" w:hAnsi="Times New Roman"/>
          <w:szCs w:val="24"/>
        </w:rPr>
        <w:t xml:space="preserve"> is provided to a user, a description of how </w:t>
      </w:r>
      <w:r w:rsidR="00B741BA" w:rsidRPr="00AC6F05">
        <w:rPr>
          <w:rFonts w:ascii="Times New Roman" w:hAnsi="Times New Roman"/>
          <w:szCs w:val="24"/>
        </w:rPr>
        <w:t xml:space="preserve">they should </w:t>
      </w:r>
      <w:r w:rsidR="004D5B51" w:rsidRPr="00AC6F05">
        <w:rPr>
          <w:rFonts w:ascii="Times New Roman" w:hAnsi="Times New Roman"/>
          <w:szCs w:val="24"/>
        </w:rPr>
        <w:t xml:space="preserve">use the neck scale </w:t>
      </w:r>
      <w:r w:rsidR="00DB30C5" w:rsidRPr="00AC6F05">
        <w:rPr>
          <w:rFonts w:ascii="Times New Roman" w:hAnsi="Times New Roman"/>
          <w:szCs w:val="24"/>
        </w:rPr>
        <w:t>correction factor</w:t>
      </w:r>
      <w:r w:rsidR="004D5B51" w:rsidRPr="00AC6F05">
        <w:rPr>
          <w:rFonts w:ascii="Times New Roman" w:hAnsi="Times New Roman"/>
          <w:szCs w:val="24"/>
        </w:rPr>
        <w:t xml:space="preserve"> </w:t>
      </w:r>
      <w:r w:rsidR="00B741BA" w:rsidRPr="00AC6F05">
        <w:rPr>
          <w:rFonts w:ascii="Times New Roman" w:hAnsi="Times New Roman"/>
          <w:szCs w:val="24"/>
        </w:rPr>
        <w:t xml:space="preserve">to correct their measurements </w:t>
      </w:r>
      <w:r w:rsidR="004D5B51" w:rsidRPr="00AC6F05">
        <w:rPr>
          <w:rFonts w:ascii="Times New Roman" w:hAnsi="Times New Roman"/>
          <w:szCs w:val="24"/>
        </w:rPr>
        <w:t xml:space="preserve">must also be provided. The </w:t>
      </w:r>
      <w:r w:rsidR="00AD51EF" w:rsidRPr="00AD51EF">
        <w:rPr>
          <w:rFonts w:ascii="Times New Roman" w:hAnsi="Times New Roman"/>
          <w:i/>
          <w:szCs w:val="24"/>
        </w:rPr>
        <w:t>NSCF</w:t>
      </w:r>
      <w:r w:rsidR="004D5B51" w:rsidRPr="00AC6F05">
        <w:rPr>
          <w:rFonts w:ascii="Times New Roman" w:hAnsi="Times New Roman"/>
          <w:szCs w:val="24"/>
        </w:rPr>
        <w:t xml:space="preserve"> is a multiplier by which the indicated </w:t>
      </w:r>
      <w:r w:rsidR="006A7F5E" w:rsidRPr="00AC6F05">
        <w:rPr>
          <w:rFonts w:ascii="Times New Roman" w:hAnsi="Times New Roman"/>
          <w:szCs w:val="24"/>
        </w:rPr>
        <w:t xml:space="preserve">deviation from </w:t>
      </w:r>
      <w:r w:rsidR="00B741BA" w:rsidRPr="00AC6F05">
        <w:rPr>
          <w:rFonts w:ascii="Times New Roman" w:hAnsi="Times New Roman"/>
          <w:szCs w:val="24"/>
        </w:rPr>
        <w:t xml:space="preserve">the </w:t>
      </w:r>
      <w:r w:rsidR="006A7F5E" w:rsidRPr="00AC6F05">
        <w:rPr>
          <w:rFonts w:ascii="Times New Roman" w:hAnsi="Times New Roman"/>
          <w:szCs w:val="24"/>
        </w:rPr>
        <w:t>prover nominal volume m</w:t>
      </w:r>
      <w:r w:rsidR="004D5B51" w:rsidRPr="00AC6F05">
        <w:rPr>
          <w:rFonts w:ascii="Times New Roman" w:hAnsi="Times New Roman"/>
          <w:szCs w:val="24"/>
        </w:rPr>
        <w:t xml:space="preserve">ust be multiplied to calculate the actual volume indicated by the reading and applies </w:t>
      </w:r>
      <w:r w:rsidR="004D5B51" w:rsidRPr="00AC6F05">
        <w:rPr>
          <w:rFonts w:ascii="Times New Roman" w:hAnsi="Times New Roman"/>
          <w:i/>
          <w:szCs w:val="24"/>
        </w:rPr>
        <w:t>only</w:t>
      </w:r>
      <w:r w:rsidR="004D5B51" w:rsidRPr="00AC6F05">
        <w:rPr>
          <w:rFonts w:ascii="Times New Roman" w:hAnsi="Times New Roman"/>
          <w:szCs w:val="24"/>
        </w:rPr>
        <w:t xml:space="preserve"> to that portion of the prover volume indicated by the scale deviation from the prover nominal</w:t>
      </w:r>
      <w:r w:rsidR="005570B1">
        <w:rPr>
          <w:rFonts w:ascii="Times New Roman" w:hAnsi="Times New Roman"/>
          <w:szCs w:val="24"/>
        </w:rPr>
        <w:t xml:space="preserve">. </w:t>
      </w:r>
      <w:r w:rsidR="00B92826" w:rsidRPr="00CA6229">
        <w:rPr>
          <w:rFonts w:ascii="Times New Roman" w:hAnsi="Times New Roman"/>
          <w:i/>
          <w:szCs w:val="24"/>
        </w:rPr>
        <w:t>The NSCF is NOT multiplied by the total prover volume</w:t>
      </w:r>
      <w:r w:rsidR="002B672A">
        <w:rPr>
          <w:rFonts w:ascii="Times New Roman" w:hAnsi="Times New Roman"/>
          <w:i/>
          <w:szCs w:val="24"/>
        </w:rPr>
        <w:t xml:space="preserve"> and is only a correction</w:t>
      </w:r>
      <w:r w:rsidR="00525D76">
        <w:rPr>
          <w:rFonts w:ascii="Times New Roman" w:hAnsi="Times New Roman"/>
          <w:i/>
          <w:szCs w:val="24"/>
        </w:rPr>
        <w:t xml:space="preserve"> factor</w:t>
      </w:r>
      <w:r w:rsidR="002B672A">
        <w:rPr>
          <w:rFonts w:ascii="Times New Roman" w:hAnsi="Times New Roman"/>
          <w:i/>
          <w:szCs w:val="24"/>
        </w:rPr>
        <w:t xml:space="preserve"> for the volume deviation from nominal for the scale plate readings</w:t>
      </w:r>
      <w:r w:rsidR="00B92826" w:rsidRPr="00CA6229">
        <w:rPr>
          <w:rFonts w:ascii="Times New Roman" w:hAnsi="Times New Roman"/>
          <w:i/>
          <w:szCs w:val="24"/>
        </w:rPr>
        <w:t>!</w:t>
      </w:r>
    </w:p>
    <w:p w14:paraId="10C85586" w14:textId="77777777" w:rsidR="0042664F" w:rsidRPr="00AC6F05" w:rsidRDefault="0042664F" w:rsidP="00F16395">
      <w:pPr>
        <w:pStyle w:val="3Technical"/>
        <w:tabs>
          <w:tab w:val="clear" w:pos="720"/>
          <w:tab w:val="clear" w:pos="1440"/>
          <w:tab w:val="clear" w:pos="2160"/>
        </w:tabs>
        <w:ind w:left="2880" w:firstLine="0"/>
        <w:jc w:val="both"/>
        <w:rPr>
          <w:rFonts w:ascii="Times New Roman" w:hAnsi="Times New Roman"/>
          <w:b/>
          <w:szCs w:val="24"/>
        </w:rPr>
      </w:pPr>
    </w:p>
    <w:p w14:paraId="14AD5B9B" w14:textId="75770310" w:rsidR="00657EA2" w:rsidRPr="00380C8E" w:rsidRDefault="00657EA2" w:rsidP="00FB1A67">
      <w:pPr>
        <w:pStyle w:val="BodyText"/>
        <w:keepNext/>
        <w:keepLines/>
        <w:spacing w:after="0"/>
        <w:rPr>
          <w:b/>
          <w:sz w:val="22"/>
        </w:rPr>
      </w:pPr>
      <w:r w:rsidRPr="00380C8E">
        <w:rPr>
          <w:b/>
          <w:sz w:val="22"/>
        </w:rPr>
        <w:lastRenderedPageBreak/>
        <w:t xml:space="preserve">Table </w:t>
      </w:r>
      <w:r w:rsidR="00582938" w:rsidRPr="00380C8E">
        <w:rPr>
          <w:b/>
          <w:sz w:val="22"/>
        </w:rPr>
        <w:fldChar w:fldCharType="begin"/>
      </w:r>
      <w:r w:rsidR="00582938" w:rsidRPr="00380C8E">
        <w:rPr>
          <w:b/>
          <w:sz w:val="22"/>
        </w:rPr>
        <w:instrText xml:space="preserve"> SEQ Table \* ARABIC </w:instrText>
      </w:r>
      <w:r w:rsidR="00582938" w:rsidRPr="00380C8E">
        <w:rPr>
          <w:b/>
          <w:sz w:val="22"/>
        </w:rPr>
        <w:fldChar w:fldCharType="separate"/>
      </w:r>
      <w:r w:rsidR="009566C3">
        <w:rPr>
          <w:b/>
          <w:noProof/>
          <w:sz w:val="22"/>
        </w:rPr>
        <w:t>1</w:t>
      </w:r>
      <w:r w:rsidR="00582938" w:rsidRPr="00380C8E">
        <w:rPr>
          <w:b/>
          <w:noProof/>
          <w:sz w:val="22"/>
        </w:rPr>
        <w:fldChar w:fldCharType="end"/>
      </w:r>
      <w:r w:rsidRPr="00380C8E">
        <w:rPr>
          <w:b/>
          <w:sz w:val="22"/>
        </w:rPr>
        <w:t>. Variables for neck scale calibration and Neck Scale Correction Factor equation.</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99"/>
        <w:gridCol w:w="7184"/>
      </w:tblGrid>
      <w:tr w:rsidR="005822DE" w:rsidRPr="00AC6F05" w14:paraId="63EA6D0B" w14:textId="77777777" w:rsidTr="00D13D55">
        <w:trPr>
          <w:trHeight w:val="546"/>
          <w:jc w:val="right"/>
        </w:trPr>
        <w:tc>
          <w:tcPr>
            <w:tcW w:w="1799" w:type="dxa"/>
            <w:vAlign w:val="center"/>
          </w:tcPr>
          <w:p w14:paraId="79B19457" w14:textId="64BBFA36" w:rsidR="005822DE" w:rsidRPr="00D13D55" w:rsidRDefault="005822DE" w:rsidP="00380C8E">
            <w:pPr>
              <w:keepNext/>
              <w:keepLines/>
              <w:tabs>
                <w:tab w:val="left" w:pos="3060"/>
              </w:tabs>
              <w:jc w:val="center"/>
              <w:rPr>
                <w:b/>
                <w:sz w:val="22"/>
                <w:szCs w:val="24"/>
              </w:rPr>
            </w:pPr>
            <w:r w:rsidRPr="00D13D55">
              <w:rPr>
                <w:b/>
                <w:sz w:val="22"/>
                <w:szCs w:val="24"/>
              </w:rPr>
              <w:t>Variable</w:t>
            </w:r>
          </w:p>
        </w:tc>
        <w:tc>
          <w:tcPr>
            <w:tcW w:w="7184" w:type="dxa"/>
            <w:vAlign w:val="center"/>
          </w:tcPr>
          <w:p w14:paraId="2C94CF88" w14:textId="6A987DED" w:rsidR="005822DE" w:rsidRPr="00D13D55" w:rsidRDefault="005822DE" w:rsidP="00380C8E">
            <w:pPr>
              <w:keepNext/>
              <w:keepLines/>
              <w:tabs>
                <w:tab w:val="left" w:pos="3060"/>
              </w:tabs>
              <w:jc w:val="center"/>
              <w:rPr>
                <w:b/>
                <w:sz w:val="22"/>
                <w:szCs w:val="24"/>
              </w:rPr>
            </w:pPr>
            <w:r w:rsidRPr="00D13D55">
              <w:rPr>
                <w:b/>
                <w:sz w:val="22"/>
                <w:szCs w:val="24"/>
              </w:rPr>
              <w:t>Description</w:t>
            </w:r>
          </w:p>
        </w:tc>
      </w:tr>
      <w:tr w:rsidR="004D5B51" w:rsidRPr="00AC6F05" w14:paraId="791973FE" w14:textId="77777777" w:rsidTr="00D13D55">
        <w:trPr>
          <w:trHeight w:val="259"/>
          <w:jc w:val="right"/>
        </w:trPr>
        <w:tc>
          <w:tcPr>
            <w:tcW w:w="1799" w:type="dxa"/>
            <w:vAlign w:val="center"/>
          </w:tcPr>
          <w:p w14:paraId="11011689" w14:textId="00F8C266" w:rsidR="004D5B51" w:rsidRPr="00D13D55" w:rsidRDefault="00AD51EF" w:rsidP="00380C8E">
            <w:pPr>
              <w:keepNext/>
              <w:keepLines/>
              <w:tabs>
                <w:tab w:val="left" w:pos="3060"/>
              </w:tabs>
              <w:jc w:val="center"/>
              <w:rPr>
                <w:sz w:val="22"/>
                <w:szCs w:val="24"/>
              </w:rPr>
            </w:pPr>
            <w:r w:rsidRPr="00D13D55">
              <w:rPr>
                <w:i/>
                <w:sz w:val="22"/>
                <w:szCs w:val="24"/>
              </w:rPr>
              <w:t>NSCF</w:t>
            </w:r>
          </w:p>
        </w:tc>
        <w:tc>
          <w:tcPr>
            <w:tcW w:w="7184" w:type="dxa"/>
            <w:vAlign w:val="center"/>
          </w:tcPr>
          <w:p w14:paraId="71CA4DD9" w14:textId="6E29A007" w:rsidR="004D5B51" w:rsidRPr="00D13D55" w:rsidRDefault="004D5B51" w:rsidP="00380C8E">
            <w:pPr>
              <w:keepNext/>
              <w:keepLines/>
              <w:tabs>
                <w:tab w:val="left" w:pos="3060"/>
              </w:tabs>
              <w:rPr>
                <w:sz w:val="22"/>
                <w:szCs w:val="24"/>
              </w:rPr>
            </w:pPr>
            <w:r w:rsidRPr="00D13D55">
              <w:rPr>
                <w:sz w:val="22"/>
                <w:szCs w:val="24"/>
              </w:rPr>
              <w:t xml:space="preserve">Neck scale </w:t>
            </w:r>
            <w:r w:rsidR="00DB30C5" w:rsidRPr="00D13D55">
              <w:rPr>
                <w:sz w:val="22"/>
                <w:szCs w:val="24"/>
              </w:rPr>
              <w:t>correction factor</w:t>
            </w:r>
          </w:p>
        </w:tc>
      </w:tr>
      <w:tr w:rsidR="004D5B51" w:rsidRPr="00AC6F05" w14:paraId="1FE6085E" w14:textId="77777777" w:rsidTr="00D13D55">
        <w:trPr>
          <w:trHeight w:val="538"/>
          <w:jc w:val="right"/>
        </w:trPr>
        <w:tc>
          <w:tcPr>
            <w:tcW w:w="1799" w:type="dxa"/>
            <w:vAlign w:val="center"/>
          </w:tcPr>
          <w:p w14:paraId="6083C258" w14:textId="2EAABDE4" w:rsidR="004D5B51" w:rsidRPr="00D13D55" w:rsidRDefault="004D5B51" w:rsidP="00380C8E">
            <w:pPr>
              <w:keepNext/>
              <w:keepLines/>
              <w:tabs>
                <w:tab w:val="left" w:pos="3060"/>
              </w:tabs>
              <w:jc w:val="center"/>
              <w:rPr>
                <w:sz w:val="22"/>
                <w:szCs w:val="24"/>
              </w:rPr>
            </w:pPr>
            <w:r w:rsidRPr="00D13D55">
              <w:rPr>
                <w:sz w:val="22"/>
                <w:szCs w:val="24"/>
              </w:rPr>
              <w:t xml:space="preserve"># </w:t>
            </w:r>
            <w:r w:rsidR="00E145CE" w:rsidRPr="00D13D55">
              <w:rPr>
                <w:sz w:val="22"/>
                <w:szCs w:val="24"/>
              </w:rPr>
              <w:t>calibration</w:t>
            </w:r>
            <w:r w:rsidR="0043004F" w:rsidRPr="00D13D55">
              <w:rPr>
                <w:sz w:val="22"/>
                <w:szCs w:val="24"/>
              </w:rPr>
              <w:t xml:space="preserve"> points</w:t>
            </w:r>
          </w:p>
        </w:tc>
        <w:tc>
          <w:tcPr>
            <w:tcW w:w="7184" w:type="dxa"/>
            <w:vAlign w:val="center"/>
          </w:tcPr>
          <w:p w14:paraId="39C3998A" w14:textId="46770DEA" w:rsidR="004D5B51" w:rsidRPr="00D13D55" w:rsidRDefault="004D5B51" w:rsidP="00380C8E">
            <w:pPr>
              <w:keepNext/>
              <w:keepLines/>
              <w:tabs>
                <w:tab w:val="left" w:pos="3060"/>
              </w:tabs>
              <w:rPr>
                <w:sz w:val="22"/>
                <w:szCs w:val="24"/>
              </w:rPr>
            </w:pPr>
            <w:r w:rsidRPr="00D13D55">
              <w:rPr>
                <w:sz w:val="22"/>
                <w:szCs w:val="24"/>
              </w:rPr>
              <w:t xml:space="preserve">Total number of intervals making up the neck scale </w:t>
            </w:r>
            <w:r w:rsidR="00E145CE" w:rsidRPr="00D13D55">
              <w:rPr>
                <w:sz w:val="22"/>
                <w:szCs w:val="24"/>
              </w:rPr>
              <w:t>calibration</w:t>
            </w:r>
            <w:r w:rsidR="0043004F" w:rsidRPr="00D13D55">
              <w:rPr>
                <w:sz w:val="22"/>
                <w:szCs w:val="24"/>
              </w:rPr>
              <w:t xml:space="preserve"> </w:t>
            </w:r>
          </w:p>
        </w:tc>
      </w:tr>
      <w:tr w:rsidR="004D5B51" w:rsidRPr="00AC6F05" w14:paraId="3E8F2CB4" w14:textId="77777777" w:rsidTr="00D13D55">
        <w:trPr>
          <w:trHeight w:val="1616"/>
          <w:jc w:val="right"/>
        </w:trPr>
        <w:tc>
          <w:tcPr>
            <w:tcW w:w="1799" w:type="dxa"/>
            <w:vAlign w:val="center"/>
          </w:tcPr>
          <w:p w14:paraId="56DBD1B1" w14:textId="1FCDF417" w:rsidR="004D5B51" w:rsidRPr="00D13D55" w:rsidRDefault="001A259A" w:rsidP="00380C8E">
            <w:pPr>
              <w:keepNext/>
              <w:keepLines/>
              <w:tabs>
                <w:tab w:val="left" w:pos="3060"/>
              </w:tabs>
              <w:ind w:left="-41"/>
              <w:jc w:val="center"/>
              <w:rPr>
                <w:sz w:val="22"/>
                <w:szCs w:val="24"/>
              </w:rPr>
            </w:pPr>
            <w:r w:rsidRPr="00D13D55">
              <w:rPr>
                <w:i/>
                <w:sz w:val="22"/>
                <w:szCs w:val="24"/>
              </w:rPr>
              <w:t>V</w:t>
            </w:r>
            <w:r w:rsidRPr="00D13D55">
              <w:rPr>
                <w:i/>
                <w:sz w:val="22"/>
                <w:szCs w:val="24"/>
                <w:vertAlign w:val="subscript"/>
              </w:rPr>
              <w:t>Sn</w:t>
            </w:r>
          </w:p>
        </w:tc>
        <w:tc>
          <w:tcPr>
            <w:tcW w:w="7184" w:type="dxa"/>
            <w:vAlign w:val="center"/>
          </w:tcPr>
          <w:p w14:paraId="4A086172" w14:textId="1C9A6A51" w:rsidR="004D5B51" w:rsidRPr="00D13D55" w:rsidRDefault="008D3BA0" w:rsidP="00380C8E">
            <w:pPr>
              <w:keepNext/>
              <w:keepLines/>
              <w:tabs>
                <w:tab w:val="left" w:pos="3060"/>
              </w:tabs>
              <w:rPr>
                <w:sz w:val="22"/>
                <w:szCs w:val="24"/>
              </w:rPr>
            </w:pPr>
            <w:r w:rsidRPr="00D13D55">
              <w:rPr>
                <w:sz w:val="22"/>
                <w:szCs w:val="24"/>
              </w:rPr>
              <w:t>‘To Deliver’ v</w:t>
            </w:r>
            <w:r w:rsidR="004D5B51" w:rsidRPr="00D13D55">
              <w:rPr>
                <w:sz w:val="22"/>
                <w:szCs w:val="24"/>
              </w:rPr>
              <w:t>olume of water added for each interval of the neck scale calibration</w:t>
            </w:r>
            <w:r w:rsidR="004C5CC4" w:rsidRPr="00D13D55">
              <w:rPr>
                <w:sz w:val="22"/>
                <w:szCs w:val="24"/>
              </w:rPr>
              <w:t>, may be multiples of actual volume of standard used</w:t>
            </w:r>
            <w:r w:rsidR="005570B1">
              <w:rPr>
                <w:sz w:val="22"/>
                <w:szCs w:val="24"/>
              </w:rPr>
              <w:t xml:space="preserve">. </w:t>
            </w:r>
            <w:r w:rsidR="0043004F" w:rsidRPr="00D13D55">
              <w:rPr>
                <w:sz w:val="22"/>
                <w:szCs w:val="24"/>
              </w:rPr>
              <w:t xml:space="preserve">The calibrated volume at </w:t>
            </w:r>
            <w:r w:rsidR="002B672A" w:rsidRPr="00D13D55">
              <w:rPr>
                <w:sz w:val="22"/>
                <w:szCs w:val="24"/>
              </w:rPr>
              <w:t xml:space="preserve">the prover reference temperature </w:t>
            </w:r>
            <w:r w:rsidR="0043004F" w:rsidRPr="00D13D55">
              <w:rPr>
                <w:sz w:val="22"/>
                <w:szCs w:val="24"/>
              </w:rPr>
              <w:t>must be used</w:t>
            </w:r>
            <w:r w:rsidR="002B672A" w:rsidRPr="00D13D55">
              <w:rPr>
                <w:sz w:val="22"/>
                <w:szCs w:val="24"/>
              </w:rPr>
              <w:t xml:space="preserve"> (typically 60 °F for test measures and provers used for petroleum products)</w:t>
            </w:r>
            <w:r w:rsidR="0043004F" w:rsidRPr="00D13D55">
              <w:rPr>
                <w:sz w:val="22"/>
                <w:szCs w:val="24"/>
              </w:rPr>
              <w:t>. If glassware is used, an additional calibration value for the flask is needed as they are normally calibrated to 20 °C.</w:t>
            </w:r>
          </w:p>
        </w:tc>
      </w:tr>
      <w:tr w:rsidR="004D5B51" w:rsidRPr="00AC6F05" w14:paraId="02E8C217" w14:textId="77777777" w:rsidTr="00D13D55">
        <w:trPr>
          <w:trHeight w:val="279"/>
          <w:jc w:val="right"/>
        </w:trPr>
        <w:tc>
          <w:tcPr>
            <w:tcW w:w="1799" w:type="dxa"/>
            <w:vAlign w:val="center"/>
          </w:tcPr>
          <w:p w14:paraId="15B2CA83" w14:textId="50B7F2BF" w:rsidR="004D5B51" w:rsidRPr="00D13D55" w:rsidRDefault="00F16395" w:rsidP="00380C8E">
            <w:pPr>
              <w:keepNext/>
              <w:keepLines/>
              <w:tabs>
                <w:tab w:val="left" w:pos="3060"/>
              </w:tabs>
              <w:jc w:val="center"/>
              <w:rPr>
                <w:i/>
                <w:sz w:val="22"/>
                <w:szCs w:val="24"/>
              </w:rPr>
            </w:pPr>
            <w:r w:rsidRPr="00D13D55">
              <w:rPr>
                <w:i/>
                <w:sz w:val="22"/>
                <w:szCs w:val="24"/>
              </w:rPr>
              <w:t>V</w:t>
            </w:r>
            <w:r w:rsidR="004D5B51" w:rsidRPr="00D13D55">
              <w:rPr>
                <w:i/>
                <w:sz w:val="22"/>
                <w:szCs w:val="24"/>
                <w:vertAlign w:val="subscript"/>
              </w:rPr>
              <w:t>w</w:t>
            </w:r>
          </w:p>
        </w:tc>
        <w:tc>
          <w:tcPr>
            <w:tcW w:w="7184" w:type="dxa"/>
            <w:vAlign w:val="center"/>
          </w:tcPr>
          <w:p w14:paraId="070FC442" w14:textId="53BED805" w:rsidR="004D5B51" w:rsidRPr="00D13D55" w:rsidRDefault="004D5B51" w:rsidP="00380C8E">
            <w:pPr>
              <w:keepNext/>
              <w:keepLines/>
              <w:tabs>
                <w:tab w:val="left" w:pos="3060"/>
              </w:tabs>
              <w:rPr>
                <w:sz w:val="22"/>
                <w:szCs w:val="24"/>
              </w:rPr>
            </w:pPr>
            <w:r w:rsidRPr="00D13D55">
              <w:rPr>
                <w:sz w:val="22"/>
                <w:szCs w:val="24"/>
              </w:rPr>
              <w:t xml:space="preserve">Total volume of water added to neck </w:t>
            </w:r>
            <w:r w:rsidR="00085A41" w:rsidRPr="00D13D55">
              <w:rPr>
                <w:sz w:val="22"/>
                <w:szCs w:val="24"/>
              </w:rPr>
              <w:t xml:space="preserve">to increase the water level from </w:t>
            </w:r>
            <w:r w:rsidR="00085A41" w:rsidRPr="00D13D55">
              <w:rPr>
                <w:i/>
                <w:sz w:val="22"/>
                <w:szCs w:val="24"/>
              </w:rPr>
              <w:t>sr</w:t>
            </w:r>
            <w:r w:rsidR="00085A41" w:rsidRPr="00D13D55">
              <w:rPr>
                <w:i/>
                <w:sz w:val="22"/>
                <w:szCs w:val="24"/>
                <w:vertAlign w:val="subscript"/>
              </w:rPr>
              <w:t>i</w:t>
            </w:r>
            <w:r w:rsidR="00085A41" w:rsidRPr="00D13D55">
              <w:rPr>
                <w:sz w:val="22"/>
                <w:szCs w:val="24"/>
              </w:rPr>
              <w:t xml:space="preserve"> to </w:t>
            </w:r>
            <w:r w:rsidR="00085A41" w:rsidRPr="00D13D55">
              <w:rPr>
                <w:i/>
                <w:sz w:val="22"/>
                <w:szCs w:val="24"/>
              </w:rPr>
              <w:t>sr</w:t>
            </w:r>
            <w:r w:rsidR="00085A41" w:rsidRPr="00D13D55">
              <w:rPr>
                <w:i/>
                <w:sz w:val="22"/>
                <w:szCs w:val="24"/>
                <w:vertAlign w:val="subscript"/>
              </w:rPr>
              <w:t>f</w:t>
            </w:r>
          </w:p>
        </w:tc>
      </w:tr>
      <w:tr w:rsidR="00766D28" w:rsidRPr="00AC6F05" w14:paraId="4804C286" w14:textId="77777777" w:rsidTr="00D13D55">
        <w:trPr>
          <w:trHeight w:val="518"/>
          <w:jc w:val="right"/>
        </w:trPr>
        <w:tc>
          <w:tcPr>
            <w:tcW w:w="1799" w:type="dxa"/>
            <w:vAlign w:val="center"/>
          </w:tcPr>
          <w:p w14:paraId="366AA2FB" w14:textId="77777777" w:rsidR="00766D28" w:rsidRPr="00D13D55" w:rsidRDefault="00766D28" w:rsidP="00380C8E">
            <w:pPr>
              <w:keepNext/>
              <w:keepLines/>
              <w:tabs>
                <w:tab w:val="left" w:pos="3060"/>
              </w:tabs>
              <w:jc w:val="center"/>
              <w:rPr>
                <w:i/>
                <w:sz w:val="22"/>
                <w:szCs w:val="24"/>
              </w:rPr>
            </w:pPr>
            <w:r w:rsidRPr="00D13D55">
              <w:rPr>
                <w:i/>
                <w:sz w:val="22"/>
                <w:szCs w:val="24"/>
              </w:rPr>
              <w:t>x</w:t>
            </w:r>
          </w:p>
        </w:tc>
        <w:tc>
          <w:tcPr>
            <w:tcW w:w="7184" w:type="dxa"/>
            <w:vAlign w:val="center"/>
          </w:tcPr>
          <w:p w14:paraId="33FB3A9F" w14:textId="32F005AE" w:rsidR="00766D28" w:rsidRPr="00D13D55" w:rsidRDefault="00766D28" w:rsidP="00380C8E">
            <w:pPr>
              <w:keepNext/>
              <w:keepLines/>
              <w:tabs>
                <w:tab w:val="left" w:pos="3060"/>
              </w:tabs>
              <w:rPr>
                <w:sz w:val="22"/>
                <w:szCs w:val="24"/>
              </w:rPr>
            </w:pPr>
            <w:r w:rsidRPr="00D13D55">
              <w:rPr>
                <w:sz w:val="22"/>
                <w:szCs w:val="24"/>
              </w:rPr>
              <w:t xml:space="preserve">number assigned to each increasing neck scale </w:t>
            </w:r>
            <w:r w:rsidR="00E145CE" w:rsidRPr="00D13D55">
              <w:rPr>
                <w:sz w:val="22"/>
                <w:szCs w:val="24"/>
              </w:rPr>
              <w:t>calibration</w:t>
            </w:r>
            <w:r w:rsidRPr="00D13D55">
              <w:rPr>
                <w:sz w:val="22"/>
                <w:szCs w:val="24"/>
              </w:rPr>
              <w:t xml:space="preserve"> point; </w:t>
            </w:r>
            <w:r w:rsidRPr="00D13D55">
              <w:rPr>
                <w:i/>
                <w:sz w:val="22"/>
                <w:szCs w:val="24"/>
              </w:rPr>
              <w:t>x</w:t>
            </w:r>
            <w:r w:rsidRPr="00D13D55">
              <w:rPr>
                <w:sz w:val="22"/>
                <w:szCs w:val="24"/>
              </w:rPr>
              <w:t xml:space="preserve"> = </w:t>
            </w:r>
            <w:r w:rsidRPr="00D13D55">
              <w:rPr>
                <w:i/>
                <w:sz w:val="22"/>
                <w:szCs w:val="24"/>
              </w:rPr>
              <w:t>f</w:t>
            </w:r>
            <w:r w:rsidRPr="00D13D55">
              <w:rPr>
                <w:sz w:val="22"/>
                <w:szCs w:val="24"/>
              </w:rPr>
              <w:t xml:space="preserve"> for final </w:t>
            </w:r>
            <w:r w:rsidR="00E145CE" w:rsidRPr="00D13D55">
              <w:rPr>
                <w:sz w:val="22"/>
                <w:szCs w:val="24"/>
              </w:rPr>
              <w:t>calibration</w:t>
            </w:r>
            <w:r w:rsidRPr="00D13D55">
              <w:rPr>
                <w:sz w:val="22"/>
                <w:szCs w:val="24"/>
              </w:rPr>
              <w:t xml:space="preserve"> point</w:t>
            </w:r>
          </w:p>
        </w:tc>
      </w:tr>
      <w:tr w:rsidR="00B741BA" w:rsidRPr="00AC6F05" w14:paraId="18838185" w14:textId="77777777" w:rsidTr="00D13D55">
        <w:trPr>
          <w:trHeight w:val="279"/>
          <w:jc w:val="right"/>
        </w:trPr>
        <w:tc>
          <w:tcPr>
            <w:tcW w:w="1799" w:type="dxa"/>
            <w:vAlign w:val="center"/>
          </w:tcPr>
          <w:p w14:paraId="79A76392" w14:textId="77777777" w:rsidR="00B741BA" w:rsidRPr="00D13D55" w:rsidRDefault="00B741BA" w:rsidP="00380C8E">
            <w:pPr>
              <w:keepNext/>
              <w:keepLines/>
              <w:tabs>
                <w:tab w:val="left" w:pos="3060"/>
              </w:tabs>
              <w:jc w:val="center"/>
              <w:rPr>
                <w:i/>
                <w:sz w:val="22"/>
                <w:szCs w:val="24"/>
              </w:rPr>
            </w:pPr>
            <w:r w:rsidRPr="00D13D55">
              <w:rPr>
                <w:i/>
                <w:sz w:val="22"/>
                <w:szCs w:val="24"/>
              </w:rPr>
              <w:t>sr</w:t>
            </w:r>
            <w:r w:rsidRPr="00D13D55">
              <w:rPr>
                <w:i/>
                <w:sz w:val="22"/>
                <w:szCs w:val="24"/>
                <w:vertAlign w:val="subscript"/>
              </w:rPr>
              <w:t>i</w:t>
            </w:r>
          </w:p>
        </w:tc>
        <w:tc>
          <w:tcPr>
            <w:tcW w:w="7184" w:type="dxa"/>
            <w:vAlign w:val="center"/>
          </w:tcPr>
          <w:p w14:paraId="25A3D087" w14:textId="16EF2191" w:rsidR="00B741BA" w:rsidRPr="00D13D55" w:rsidRDefault="00B741BA" w:rsidP="00380C8E">
            <w:pPr>
              <w:keepNext/>
              <w:keepLines/>
              <w:tabs>
                <w:tab w:val="left" w:pos="3060"/>
              </w:tabs>
              <w:rPr>
                <w:sz w:val="22"/>
                <w:szCs w:val="24"/>
              </w:rPr>
            </w:pPr>
            <w:r w:rsidRPr="00D13D55">
              <w:rPr>
                <w:sz w:val="22"/>
                <w:szCs w:val="24"/>
              </w:rPr>
              <w:t xml:space="preserve">Initial </w:t>
            </w:r>
            <w:r w:rsidR="00DB30C5" w:rsidRPr="00D13D55">
              <w:rPr>
                <w:sz w:val="22"/>
                <w:szCs w:val="24"/>
              </w:rPr>
              <w:t xml:space="preserve">scale </w:t>
            </w:r>
            <w:r w:rsidR="00525D76" w:rsidRPr="00D13D55">
              <w:rPr>
                <w:sz w:val="22"/>
                <w:szCs w:val="24"/>
              </w:rPr>
              <w:t>reading</w:t>
            </w:r>
          </w:p>
        </w:tc>
      </w:tr>
      <w:tr w:rsidR="004D5B51" w:rsidRPr="00AC6F05" w14:paraId="13222450" w14:textId="77777777" w:rsidTr="00D13D55">
        <w:trPr>
          <w:trHeight w:val="538"/>
          <w:jc w:val="right"/>
        </w:trPr>
        <w:tc>
          <w:tcPr>
            <w:tcW w:w="1799" w:type="dxa"/>
            <w:vAlign w:val="center"/>
          </w:tcPr>
          <w:p w14:paraId="080C80D2" w14:textId="77777777" w:rsidR="004D5B51" w:rsidRPr="00D13D55" w:rsidRDefault="006A7F5E" w:rsidP="00380C8E">
            <w:pPr>
              <w:keepNext/>
              <w:keepLines/>
              <w:tabs>
                <w:tab w:val="left" w:pos="3060"/>
              </w:tabs>
              <w:jc w:val="center"/>
              <w:rPr>
                <w:sz w:val="22"/>
                <w:szCs w:val="24"/>
              </w:rPr>
            </w:pPr>
            <w:r w:rsidRPr="00D13D55">
              <w:rPr>
                <w:i/>
                <w:sz w:val="22"/>
                <w:szCs w:val="24"/>
              </w:rPr>
              <w:t>sr</w:t>
            </w:r>
            <w:r w:rsidRPr="00D13D55">
              <w:rPr>
                <w:i/>
                <w:sz w:val="22"/>
                <w:szCs w:val="24"/>
                <w:vertAlign w:val="subscript"/>
              </w:rPr>
              <w:t>x</w:t>
            </w:r>
            <w:r w:rsidRPr="00D13D55">
              <w:rPr>
                <w:sz w:val="22"/>
                <w:szCs w:val="24"/>
              </w:rPr>
              <w:t xml:space="preserve"> … </w:t>
            </w:r>
            <w:r w:rsidR="004C5CC4" w:rsidRPr="00D13D55">
              <w:rPr>
                <w:i/>
                <w:sz w:val="22"/>
                <w:szCs w:val="24"/>
              </w:rPr>
              <w:t>s</w:t>
            </w:r>
            <w:r w:rsidR="004D5B51" w:rsidRPr="00D13D55">
              <w:rPr>
                <w:i/>
                <w:sz w:val="22"/>
                <w:szCs w:val="24"/>
              </w:rPr>
              <w:t>r</w:t>
            </w:r>
            <w:r w:rsidR="004D5B51" w:rsidRPr="00D13D55">
              <w:rPr>
                <w:i/>
                <w:sz w:val="22"/>
                <w:szCs w:val="24"/>
                <w:vertAlign w:val="subscript"/>
              </w:rPr>
              <w:t>f</w:t>
            </w:r>
          </w:p>
        </w:tc>
        <w:tc>
          <w:tcPr>
            <w:tcW w:w="7184" w:type="dxa"/>
            <w:vAlign w:val="center"/>
          </w:tcPr>
          <w:p w14:paraId="62B69FED" w14:textId="1FF6C6E7" w:rsidR="004D5B51" w:rsidRPr="00D13D55" w:rsidRDefault="00DB30C5" w:rsidP="00380C8E">
            <w:pPr>
              <w:keepNext/>
              <w:keepLines/>
              <w:tabs>
                <w:tab w:val="left" w:pos="3060"/>
              </w:tabs>
              <w:rPr>
                <w:sz w:val="22"/>
                <w:szCs w:val="24"/>
              </w:rPr>
            </w:pPr>
            <w:r w:rsidRPr="00D13D55">
              <w:rPr>
                <w:sz w:val="22"/>
                <w:szCs w:val="24"/>
              </w:rPr>
              <w:t xml:space="preserve">Scale </w:t>
            </w:r>
            <w:r w:rsidR="00525D76" w:rsidRPr="00D13D55">
              <w:rPr>
                <w:sz w:val="22"/>
                <w:szCs w:val="24"/>
              </w:rPr>
              <w:t>reading</w:t>
            </w:r>
            <w:r w:rsidR="006A7F5E" w:rsidRPr="00D13D55">
              <w:rPr>
                <w:sz w:val="22"/>
                <w:szCs w:val="24"/>
              </w:rPr>
              <w:t xml:space="preserve"> for each interval of the neck scale </w:t>
            </w:r>
            <w:r w:rsidR="00E145CE" w:rsidRPr="00D13D55">
              <w:rPr>
                <w:sz w:val="22"/>
                <w:szCs w:val="24"/>
              </w:rPr>
              <w:t>calibration</w:t>
            </w:r>
            <w:r w:rsidR="00F16395" w:rsidRPr="00D13D55">
              <w:rPr>
                <w:sz w:val="22"/>
                <w:szCs w:val="24"/>
              </w:rPr>
              <w:t xml:space="preserve"> </w:t>
            </w:r>
            <w:r w:rsidR="006A7F5E" w:rsidRPr="00D13D55">
              <w:rPr>
                <w:sz w:val="22"/>
                <w:szCs w:val="24"/>
              </w:rPr>
              <w:t>(1 through f)</w:t>
            </w:r>
            <w:r w:rsidR="004D5B51" w:rsidRPr="00D13D55">
              <w:rPr>
                <w:sz w:val="22"/>
                <w:szCs w:val="24"/>
              </w:rPr>
              <w:t xml:space="preserve"> ‘f ‘= # </w:t>
            </w:r>
            <w:r w:rsidR="00E145CE" w:rsidRPr="00D13D55">
              <w:rPr>
                <w:sz w:val="22"/>
                <w:szCs w:val="24"/>
              </w:rPr>
              <w:t>calibration</w:t>
            </w:r>
            <w:r w:rsidR="00F16395" w:rsidRPr="00D13D55">
              <w:rPr>
                <w:sz w:val="22"/>
                <w:szCs w:val="24"/>
              </w:rPr>
              <w:t xml:space="preserve"> </w:t>
            </w:r>
            <w:r w:rsidR="004D5B51" w:rsidRPr="00D13D55">
              <w:rPr>
                <w:sz w:val="22"/>
                <w:szCs w:val="24"/>
              </w:rPr>
              <w:t>points</w:t>
            </w:r>
          </w:p>
        </w:tc>
      </w:tr>
      <w:tr w:rsidR="002B672A" w:rsidRPr="00AC6F05" w14:paraId="2B9BA8D0" w14:textId="77777777" w:rsidTr="00D13D55">
        <w:trPr>
          <w:trHeight w:val="259"/>
          <w:jc w:val="right"/>
        </w:trPr>
        <w:tc>
          <w:tcPr>
            <w:tcW w:w="1799" w:type="dxa"/>
            <w:vAlign w:val="center"/>
          </w:tcPr>
          <w:p w14:paraId="47553C5F" w14:textId="6D1AF1F6" w:rsidR="002B672A" w:rsidRPr="00D13D55" w:rsidRDefault="002B672A" w:rsidP="00380C8E">
            <w:pPr>
              <w:keepNext/>
              <w:keepLines/>
              <w:tabs>
                <w:tab w:val="left" w:pos="3060"/>
              </w:tabs>
              <w:jc w:val="center"/>
              <w:rPr>
                <w:i/>
                <w:sz w:val="22"/>
                <w:szCs w:val="24"/>
              </w:rPr>
            </w:pPr>
            <w:r w:rsidRPr="00D13D55">
              <w:rPr>
                <w:i/>
                <w:sz w:val="22"/>
                <w:szCs w:val="24"/>
              </w:rPr>
              <w:t>Δ</w:t>
            </w:r>
            <w:r w:rsidR="00465348" w:rsidRPr="00D13D55">
              <w:rPr>
                <w:i/>
                <w:sz w:val="22"/>
                <w:szCs w:val="24"/>
              </w:rPr>
              <w:t>sr</w:t>
            </w:r>
            <w:r w:rsidR="00465348" w:rsidRPr="00D13D55">
              <w:rPr>
                <w:i/>
                <w:sz w:val="22"/>
                <w:szCs w:val="24"/>
                <w:vertAlign w:val="subscript"/>
              </w:rPr>
              <w:t>x</w:t>
            </w:r>
          </w:p>
        </w:tc>
        <w:tc>
          <w:tcPr>
            <w:tcW w:w="7184" w:type="dxa"/>
            <w:vAlign w:val="center"/>
          </w:tcPr>
          <w:p w14:paraId="2BF9DCE3" w14:textId="04073FC4" w:rsidR="002B672A" w:rsidRPr="00D13D55" w:rsidRDefault="001872A9" w:rsidP="00380C8E">
            <w:pPr>
              <w:keepNext/>
              <w:keepLines/>
              <w:tabs>
                <w:tab w:val="left" w:pos="3060"/>
              </w:tabs>
              <w:rPr>
                <w:sz w:val="22"/>
                <w:szCs w:val="24"/>
              </w:rPr>
            </w:pPr>
            <w:r w:rsidRPr="00D13D55">
              <w:rPr>
                <w:sz w:val="22"/>
                <w:szCs w:val="24"/>
              </w:rPr>
              <w:t>Deviation between volume added and observed scale plate reading</w:t>
            </w:r>
          </w:p>
        </w:tc>
      </w:tr>
    </w:tbl>
    <w:p w14:paraId="0DA856A3" w14:textId="6DF16D96" w:rsidR="004D5B51" w:rsidRDefault="004D5B51" w:rsidP="00F16395">
      <w:pPr>
        <w:tabs>
          <w:tab w:val="left" w:pos="3060"/>
        </w:tabs>
        <w:ind w:left="3780" w:hanging="900"/>
        <w:jc w:val="both"/>
        <w:rPr>
          <w:szCs w:val="24"/>
        </w:rPr>
      </w:pPr>
    </w:p>
    <w:p w14:paraId="4DF61428" w14:textId="77777777" w:rsidR="006158DF" w:rsidRPr="00AC6F05" w:rsidRDefault="00FA2379" w:rsidP="00F8752C">
      <w:pPr>
        <w:pStyle w:val="Heading1"/>
      </w:pPr>
      <w:r w:rsidRPr="00AC6F05">
        <w:t>Measurement Assurance</w:t>
      </w:r>
    </w:p>
    <w:p w14:paraId="1FFC9CF3" w14:textId="3C8A04D1" w:rsidR="00B92826" w:rsidRPr="00AC6F05" w:rsidRDefault="006158DF" w:rsidP="00063861">
      <w:pPr>
        <w:pStyle w:val="BodyText"/>
        <w:ind w:left="720"/>
      </w:pPr>
      <w:r w:rsidRPr="00AC6F05">
        <w:t xml:space="preserve">The process for scale plate </w:t>
      </w:r>
      <w:r w:rsidR="00E145CE">
        <w:t>calibration</w:t>
      </w:r>
      <w:r w:rsidRPr="00AC6F05">
        <w:t xml:space="preserve"> does not need to be duplicated unless the data, accuracy, and linearity appear questionable or fail to comply with the published requirements. </w:t>
      </w:r>
      <w:r w:rsidR="0042664F">
        <w:t xml:space="preserve">In the case where questionable data are observed or a scale plate </w:t>
      </w:r>
      <w:r w:rsidR="00E145CE">
        <w:t>calibration</w:t>
      </w:r>
      <w:r w:rsidR="0042664F">
        <w:t xml:space="preserve"> fails compliance, a replicate </w:t>
      </w:r>
      <w:r w:rsidR="00E145CE">
        <w:t>calibration</w:t>
      </w:r>
      <w:r w:rsidR="0042664F">
        <w:t xml:space="preserve"> should be conducted</w:t>
      </w:r>
      <w:r w:rsidR="00AD51EF">
        <w:t xml:space="preserve"> for confirmation</w:t>
      </w:r>
      <w:r w:rsidR="0042664F">
        <w:t xml:space="preserve">. </w:t>
      </w:r>
      <w:r w:rsidR="00B92826">
        <w:t xml:space="preserve">Typically, the process standard deviation, </w:t>
      </w:r>
      <w:r w:rsidR="00B92826" w:rsidRPr="00FB1A67">
        <w:rPr>
          <w:i/>
        </w:rPr>
        <w:t>s</w:t>
      </w:r>
      <w:r w:rsidR="00B92826" w:rsidRPr="00FB1A67">
        <w:rPr>
          <w:i/>
          <w:vertAlign w:val="subscript"/>
        </w:rPr>
        <w:t>p</w:t>
      </w:r>
      <w:r w:rsidR="00B92826">
        <w:t>, will be dominated by the operator’s ability to read the meniscus and thus the component(s) for the meniscus reading are deemed sufficient to cover the process standard deviation.</w:t>
      </w:r>
    </w:p>
    <w:p w14:paraId="3D0935F7" w14:textId="52B5D80B" w:rsidR="00FA2379" w:rsidRPr="00AC6F05" w:rsidRDefault="00FA2379" w:rsidP="00F8752C">
      <w:pPr>
        <w:pStyle w:val="Heading1"/>
      </w:pPr>
      <w:r w:rsidRPr="00AC6F05">
        <w:t>Assignment of Uncertainties</w:t>
      </w:r>
    </w:p>
    <w:p w14:paraId="08ABF9D9" w14:textId="1AF83722" w:rsidR="002B3F82" w:rsidRDefault="00F35F41" w:rsidP="00B7258A">
      <w:pPr>
        <w:pStyle w:val="Heading2"/>
      </w:pPr>
      <w:r w:rsidRPr="00AC6F05">
        <w:t xml:space="preserve">Uncertainties associated with the neck scale </w:t>
      </w:r>
      <w:r w:rsidR="00E145CE">
        <w:t>calibration</w:t>
      </w:r>
      <w:r w:rsidR="00CE59CE">
        <w:t xml:space="preserve"> include </w:t>
      </w:r>
      <w:r w:rsidRPr="00AC6F05">
        <w:t>the setting of the meniscus on the standard used (with each d</w:t>
      </w:r>
      <w:r w:rsidR="006B36FB">
        <w:t>elivery</w:t>
      </w:r>
      <w:r w:rsidRPr="00AC6F05">
        <w:t>), the reading of the meniscus on the unknown prover (at each volume reading), and the calibration uncertainty of the standard used</w:t>
      </w:r>
      <w:r w:rsidR="008C306B" w:rsidRPr="00AC6F05">
        <w:t xml:space="preserve"> and </w:t>
      </w:r>
      <w:r w:rsidR="0042664F" w:rsidRPr="00AC6F05">
        <w:t xml:space="preserve">are used in compliance assessments </w:t>
      </w:r>
      <w:r w:rsidR="0042664F">
        <w:t xml:space="preserve">and are </w:t>
      </w:r>
      <w:r w:rsidR="008C306B" w:rsidRPr="00AC6F05">
        <w:t>included in the test measure or prover calibration uncertainty</w:t>
      </w:r>
      <w:r w:rsidRPr="00AC6F05">
        <w:t xml:space="preserve">. </w:t>
      </w:r>
      <w:r w:rsidR="00CE59CE">
        <w:t>The uncertainty for the standard</w:t>
      </w:r>
      <w:r w:rsidR="00AD51EF">
        <w:t xml:space="preserve">, </w:t>
      </w:r>
      <w:r w:rsidR="00AD51EF" w:rsidRPr="000807AC">
        <w:rPr>
          <w:i/>
        </w:rPr>
        <w:t>u</w:t>
      </w:r>
      <w:r w:rsidR="002E1917">
        <w:rPr>
          <w:i/>
          <w:vertAlign w:val="subscript"/>
        </w:rPr>
        <w:t>s</w:t>
      </w:r>
      <w:r w:rsidR="00AD51EF">
        <w:t xml:space="preserve">, </w:t>
      </w:r>
      <w:r w:rsidR="00CE59CE">
        <w:t>used will be treated as a dependent uncertainty and combined in summation prior to the root sum square combination of the meniscus reading</w:t>
      </w:r>
      <w:r w:rsidR="00AD51EF">
        <w:t xml:space="preserve"> uncertainties for </w:t>
      </w:r>
      <w:r w:rsidR="00CE59CE">
        <w:t>the standard</w:t>
      </w:r>
      <w:r w:rsidR="00AD51EF">
        <w:t xml:space="preserve">, </w:t>
      </w:r>
      <w:r w:rsidR="00AD51EF" w:rsidRPr="00AD51EF">
        <w:rPr>
          <w:i/>
        </w:rPr>
        <w:t>u</w:t>
      </w:r>
      <w:r w:rsidR="00AD51EF" w:rsidRPr="00AD51EF">
        <w:rPr>
          <w:i/>
          <w:vertAlign w:val="subscript"/>
        </w:rPr>
        <w:t>m</w:t>
      </w:r>
      <w:r w:rsidR="00363D9B">
        <w:rPr>
          <w:i/>
          <w:vertAlign w:val="subscript"/>
        </w:rPr>
        <w:t>S</w:t>
      </w:r>
      <w:r w:rsidR="00AD51EF">
        <w:t xml:space="preserve">, </w:t>
      </w:r>
      <w:r w:rsidR="00CE59CE">
        <w:t>and</w:t>
      </w:r>
      <w:r w:rsidR="00AD51EF">
        <w:t xml:space="preserve"> meniscus reading uncertainties for the </w:t>
      </w:r>
      <w:r w:rsidR="00CE59CE">
        <w:t>field standard</w:t>
      </w:r>
      <w:r w:rsidR="00AD51EF">
        <w:t xml:space="preserve">, </w:t>
      </w:r>
      <w:r w:rsidR="00AD51EF" w:rsidRPr="00AD51EF">
        <w:rPr>
          <w:i/>
        </w:rPr>
        <w:t>u</w:t>
      </w:r>
      <w:r w:rsidR="00AD51EF" w:rsidRPr="00AD51EF">
        <w:rPr>
          <w:i/>
          <w:vertAlign w:val="subscript"/>
        </w:rPr>
        <w:t>m</w:t>
      </w:r>
      <w:r w:rsidR="00363D9B">
        <w:rPr>
          <w:i/>
          <w:vertAlign w:val="subscript"/>
        </w:rPr>
        <w:t>X</w:t>
      </w:r>
      <w:r w:rsidR="00AD51EF">
        <w:t>,</w:t>
      </w:r>
      <w:r w:rsidR="00CE59CE">
        <w:t xml:space="preserve"> in question. </w:t>
      </w:r>
      <w:r w:rsidR="0095792A">
        <w:t>Follow the guidance provided in NISTIR 7383, GMP 3 for methods to estimate the uncertainty of the meniscus readings in each prover</w:t>
      </w:r>
      <w:r w:rsidR="005570B1">
        <w:t xml:space="preserve">. </w:t>
      </w:r>
      <w:r w:rsidR="00CE59CE">
        <w:t xml:space="preserve">The </w:t>
      </w:r>
      <w:r w:rsidR="00E145CE">
        <w:t>calibration</w:t>
      </w:r>
      <w:r w:rsidR="00CE59CE">
        <w:t xml:space="preserve"> uncertainty for four </w:t>
      </w:r>
      <w:r w:rsidR="00A6412F">
        <w:t>neck scale calibration intervals comprised of one delivery from the standard per interval</w:t>
      </w:r>
      <w:r w:rsidR="001872A9">
        <w:t>,</w:t>
      </w:r>
      <w:r w:rsidR="006B36FB">
        <w:t xml:space="preserve"> </w:t>
      </w:r>
      <w:r w:rsidR="00CE59CE">
        <w:t>with a meniscus reading on both the standard and unknown measure might look like the following equation:</w:t>
      </w:r>
    </w:p>
    <w:p w14:paraId="32E833D3" w14:textId="12E58628" w:rsidR="00BD190C" w:rsidRPr="00BD190C" w:rsidRDefault="00FB1A67" w:rsidP="00063861">
      <w:pPr>
        <w:pStyle w:val="BodyText"/>
        <w:ind w:left="1440" w:firstLine="720"/>
        <w:jc w:val="right"/>
      </w:pPr>
      <w:r w:rsidRPr="00BD190C">
        <w:object w:dxaOrig="3560" w:dyaOrig="460" w14:anchorId="56496A04">
          <v:shape id="_x0000_i1029" type="#_x0000_t75" alt="uncertainty subscript n equals the square root of the sum of the uncertainty of the standard used for calibration times 4 if four deliveries were used, squared, plus 4 times the uncertainty of reading the meniscus in the standard squared, plus 4 times the uncertainty of reading the meniscus in the unknown squared" style="width:177.75pt;height:23.25pt" o:ole="">
            <v:imagedata r:id="rId16" o:title=""/>
          </v:shape>
          <o:OLEObject Type="Embed" ProgID="Equation.DSMT4" ShapeID="_x0000_i1029" DrawAspect="Content" ObjectID="_1618841757" r:id="rId17"/>
        </w:object>
      </w:r>
      <w:r w:rsidR="009566C3">
        <w:tab/>
      </w:r>
      <w:r w:rsidR="009566C3">
        <w:tab/>
      </w:r>
      <w:r w:rsidR="00063861">
        <w:tab/>
      </w:r>
      <w:r w:rsidR="009566C3">
        <w:tab/>
      </w:r>
      <w:r w:rsidR="009566C3">
        <w:fldChar w:fldCharType="begin"/>
      </w:r>
      <w:r w:rsidR="009566C3">
        <w:instrText xml:space="preserve"> MACROBUTTON MTPlaceRef \* MERGEFORMAT </w:instrText>
      </w:r>
      <w:r w:rsidR="009566C3">
        <w:fldChar w:fldCharType="begin"/>
      </w:r>
      <w:r w:rsidR="009566C3">
        <w:instrText xml:space="preserve"> SEQ MTEqn \h \* MERGEFORMAT </w:instrText>
      </w:r>
      <w:r w:rsidR="009566C3">
        <w:fldChar w:fldCharType="end"/>
      </w:r>
      <w:r w:rsidR="009566C3">
        <w:instrText>Eqn. (</w:instrText>
      </w:r>
      <w:r w:rsidR="00063861">
        <w:rPr>
          <w:noProof/>
        </w:rPr>
        <w:fldChar w:fldCharType="begin"/>
      </w:r>
      <w:r w:rsidR="00063861">
        <w:rPr>
          <w:noProof/>
        </w:rPr>
        <w:instrText xml:space="preserve"> SEQ MTEqn \c \* Arabic \* MERGEFORMAT </w:instrText>
      </w:r>
      <w:r w:rsidR="00063861">
        <w:rPr>
          <w:noProof/>
        </w:rPr>
        <w:fldChar w:fldCharType="separate"/>
      </w:r>
      <w:r>
        <w:rPr>
          <w:noProof/>
        </w:rPr>
        <w:instrText>5</w:instrText>
      </w:r>
      <w:r w:rsidR="00063861">
        <w:rPr>
          <w:noProof/>
        </w:rPr>
        <w:fldChar w:fldCharType="end"/>
      </w:r>
      <w:r w:rsidR="009566C3">
        <w:instrText>)</w:instrText>
      </w:r>
      <w:r w:rsidR="009566C3">
        <w:fldChar w:fldCharType="end"/>
      </w:r>
    </w:p>
    <w:p w14:paraId="0838CC7B" w14:textId="4864DD05" w:rsidR="006B36FB" w:rsidRDefault="004C61FD" w:rsidP="00380C8E">
      <w:pPr>
        <w:pStyle w:val="BodyText"/>
        <w:ind w:left="1440"/>
      </w:pPr>
      <w:r>
        <w:lastRenderedPageBreak/>
        <w:t>T</w:t>
      </w:r>
      <w:r w:rsidR="006B36FB">
        <w:t xml:space="preserve">he calibration uncertainty for four neck scale calibration intervals </w:t>
      </w:r>
      <w:r w:rsidR="00A6412F">
        <w:t>comprised</w:t>
      </w:r>
      <w:r w:rsidR="006B36FB">
        <w:t xml:space="preserve"> of two deliveries from the standard for each </w:t>
      </w:r>
      <w:r w:rsidR="00A6412F">
        <w:t xml:space="preserve">interval with a meniscus reading on both the standard and unknown measure </w:t>
      </w:r>
      <w:r w:rsidR="006B36FB">
        <w:t>might look like the following equation:</w:t>
      </w:r>
    </w:p>
    <w:p w14:paraId="607FF516" w14:textId="4356B6FD" w:rsidR="00BD190C" w:rsidRDefault="00FB1A67" w:rsidP="00063861">
      <w:pPr>
        <w:pStyle w:val="BodyText"/>
        <w:ind w:left="1440" w:firstLine="720"/>
        <w:jc w:val="right"/>
      </w:pPr>
      <w:r w:rsidRPr="00BD190C">
        <w:object w:dxaOrig="3540" w:dyaOrig="460" w14:anchorId="74BA8428">
          <v:shape id="_x0000_i1030" type="#_x0000_t75" alt="uncertainty subscript n equals the square root of the sum of the uncertainty of the standard used for calibration times 8 if eight deliveries were used, squared, plus 8 times the uncertainty of reading the meniscus in the standard squared, plus 4 times the uncertainty of reading the meniscus in the unknown squared where two deliveries were needed for each interval on the neck" style="width:177pt;height:23.25pt" o:ole="">
            <v:imagedata r:id="rId18" o:title=""/>
          </v:shape>
          <o:OLEObject Type="Embed" ProgID="Equation.DSMT4" ShapeID="_x0000_i1030" DrawAspect="Content" ObjectID="_1618841758" r:id="rId19"/>
        </w:object>
      </w:r>
      <w:r w:rsidR="009566C3">
        <w:tab/>
      </w:r>
      <w:r w:rsidR="00063861">
        <w:tab/>
      </w:r>
      <w:r w:rsidR="009566C3">
        <w:tab/>
      </w:r>
      <w:r w:rsidR="009566C3">
        <w:tab/>
      </w:r>
      <w:r w:rsidR="009566C3">
        <w:fldChar w:fldCharType="begin"/>
      </w:r>
      <w:r w:rsidR="009566C3">
        <w:instrText xml:space="preserve"> MACROBUTTON MTPlaceRef \* MERGEFORMAT </w:instrText>
      </w:r>
      <w:r w:rsidR="009566C3">
        <w:fldChar w:fldCharType="begin"/>
      </w:r>
      <w:r w:rsidR="009566C3">
        <w:instrText xml:space="preserve"> SEQ MTEqn \h \* MERGEFORMAT </w:instrText>
      </w:r>
      <w:r w:rsidR="009566C3">
        <w:fldChar w:fldCharType="end"/>
      </w:r>
      <w:r w:rsidR="009566C3">
        <w:instrText>Eqn. (</w:instrText>
      </w:r>
      <w:r w:rsidR="00063861">
        <w:rPr>
          <w:noProof/>
        </w:rPr>
        <w:fldChar w:fldCharType="begin"/>
      </w:r>
      <w:r w:rsidR="00063861">
        <w:rPr>
          <w:noProof/>
        </w:rPr>
        <w:instrText xml:space="preserve"> SEQ MTEqn \c \* Arabic \* MERGEFORMAT </w:instrText>
      </w:r>
      <w:r w:rsidR="00063861">
        <w:rPr>
          <w:noProof/>
        </w:rPr>
        <w:fldChar w:fldCharType="separate"/>
      </w:r>
      <w:r w:rsidR="009566C3">
        <w:rPr>
          <w:noProof/>
        </w:rPr>
        <w:instrText>6</w:instrText>
      </w:r>
      <w:r w:rsidR="00063861">
        <w:rPr>
          <w:noProof/>
        </w:rPr>
        <w:fldChar w:fldCharType="end"/>
      </w:r>
      <w:r w:rsidR="009566C3">
        <w:instrText>)</w:instrText>
      </w:r>
      <w:r w:rsidR="009566C3">
        <w:fldChar w:fldCharType="end"/>
      </w:r>
    </w:p>
    <w:p w14:paraId="23E2D5D0" w14:textId="442FFD42" w:rsidR="00FA2379" w:rsidRPr="00AC6F05" w:rsidRDefault="006158DF" w:rsidP="00B7258A">
      <w:pPr>
        <w:pStyle w:val="Heading2"/>
      </w:pPr>
      <w:r w:rsidRPr="00AC6F05">
        <w:t>Uncorrected systematic errors</w:t>
      </w:r>
      <w:r w:rsidR="00F35F41" w:rsidRPr="00AC6F05">
        <w:t>, included in the uncertainty budget for a test measure or prover,</w:t>
      </w:r>
      <w:r w:rsidRPr="00AC6F05">
        <w:t xml:space="preserve"> must be less than the compliance limits specified in the published requirements, must be less than limits published in </w:t>
      </w:r>
      <w:r w:rsidR="00FF4640">
        <w:t xml:space="preserve">NISTIR 6969, </w:t>
      </w:r>
      <w:r w:rsidRPr="00AC6F05">
        <w:t>SOP 29 (i.e., less than the expanded uncertainty when all other components are combined) and may be included as a rectangular distribution</w:t>
      </w:r>
      <w:r w:rsidR="00F35F41" w:rsidRPr="00AC6F05">
        <w:t xml:space="preserve"> in the test measure or prover calibration uncertainties</w:t>
      </w:r>
      <w:r w:rsidRPr="00AC6F05">
        <w:t xml:space="preserve">. The mean (average) deviation of all </w:t>
      </w:r>
      <w:r w:rsidR="00E145CE">
        <w:t>calibration</w:t>
      </w:r>
      <w:r w:rsidRPr="00AC6F05">
        <w:t xml:space="preserve"> points </w:t>
      </w:r>
      <w:r w:rsidR="00F35F41" w:rsidRPr="00AC6F05">
        <w:t xml:space="preserve">may be </w:t>
      </w:r>
      <w:r w:rsidRPr="00AC6F05">
        <w:t>calculated</w:t>
      </w:r>
      <w:r w:rsidR="00F35F41" w:rsidRPr="00AC6F05">
        <w:t xml:space="preserve"> </w:t>
      </w:r>
      <w:r w:rsidRPr="00AC6F05">
        <w:t xml:space="preserve">from the </w:t>
      </w:r>
      <w:r w:rsidR="00F35F41" w:rsidRPr="00AC6F05">
        <w:t xml:space="preserve">deviation for each </w:t>
      </w:r>
      <w:r w:rsidR="00E145CE">
        <w:t>calibration</w:t>
      </w:r>
      <w:r w:rsidR="00F35F41" w:rsidRPr="00AC6F05">
        <w:t xml:space="preserve"> point</w:t>
      </w:r>
      <w:r w:rsidR="008C306B" w:rsidRPr="00AC6F05">
        <w:t xml:space="preserve"> and used as the value for an uncorrected systematic error</w:t>
      </w:r>
      <w:r w:rsidR="00F35F41" w:rsidRPr="00AC6F05">
        <w:t xml:space="preserve">. </w:t>
      </w:r>
    </w:p>
    <w:p w14:paraId="7D022445" w14:textId="2977208F" w:rsidR="00657EA2" w:rsidRPr="00380C8E" w:rsidRDefault="00657EA2" w:rsidP="00FF4640">
      <w:pPr>
        <w:pStyle w:val="BodyText"/>
        <w:spacing w:after="0"/>
        <w:jc w:val="left"/>
        <w:rPr>
          <w:b/>
          <w:sz w:val="22"/>
        </w:rPr>
      </w:pPr>
      <w:r w:rsidRPr="00380C8E">
        <w:rPr>
          <w:b/>
          <w:sz w:val="22"/>
        </w:rPr>
        <w:t xml:space="preserve">Table </w:t>
      </w:r>
      <w:r w:rsidR="00582938" w:rsidRPr="00380C8E">
        <w:rPr>
          <w:b/>
          <w:sz w:val="22"/>
        </w:rPr>
        <w:fldChar w:fldCharType="begin"/>
      </w:r>
      <w:r w:rsidR="00582938" w:rsidRPr="00380C8E">
        <w:rPr>
          <w:b/>
          <w:sz w:val="22"/>
        </w:rPr>
        <w:instrText xml:space="preserve"> SEQ Table \* ARABIC </w:instrText>
      </w:r>
      <w:r w:rsidR="00582938" w:rsidRPr="00380C8E">
        <w:rPr>
          <w:b/>
          <w:sz w:val="22"/>
        </w:rPr>
        <w:fldChar w:fldCharType="separate"/>
      </w:r>
      <w:r w:rsidR="00FF4640">
        <w:rPr>
          <w:b/>
          <w:noProof/>
          <w:sz w:val="22"/>
        </w:rPr>
        <w:t>2</w:t>
      </w:r>
      <w:r w:rsidR="00582938" w:rsidRPr="00380C8E">
        <w:rPr>
          <w:b/>
          <w:noProof/>
          <w:sz w:val="22"/>
        </w:rPr>
        <w:fldChar w:fldCharType="end"/>
      </w:r>
      <w:r w:rsidRPr="00380C8E">
        <w:rPr>
          <w:b/>
          <w:sz w:val="22"/>
        </w:rPr>
        <w:t>. Example Uncertainty Budget Table.</w:t>
      </w:r>
    </w:p>
    <w:tbl>
      <w:tblPr>
        <w:tblW w:w="894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Uncertainty budget table"/>
        <w:tblDescription w:val="includes a list of components used in the uncertainty calculations: uncertainty of the standard and ability to read the meniscus in both the standard and unknown were present (see GMP 3)"/>
      </w:tblPr>
      <w:tblGrid>
        <w:gridCol w:w="3210"/>
        <w:gridCol w:w="987"/>
        <w:gridCol w:w="2694"/>
        <w:gridCol w:w="2055"/>
      </w:tblGrid>
      <w:tr w:rsidR="00506412" w:rsidRPr="00766D28" w14:paraId="7F63BE75" w14:textId="77777777" w:rsidTr="00380C8E">
        <w:trPr>
          <w:cantSplit/>
          <w:trHeight w:val="747"/>
          <w:tblHeader/>
          <w:jc w:val="center"/>
        </w:trPr>
        <w:tc>
          <w:tcPr>
            <w:tcW w:w="3210" w:type="dxa"/>
            <w:tcBorders>
              <w:top w:val="double" w:sz="6" w:space="0" w:color="auto"/>
              <w:bottom w:val="double" w:sz="6" w:space="0" w:color="auto"/>
            </w:tcBorders>
            <w:shd w:val="clear" w:color="auto" w:fill="auto"/>
            <w:vAlign w:val="center"/>
          </w:tcPr>
          <w:p w14:paraId="3BEAFD14" w14:textId="77777777" w:rsidR="00506412" w:rsidRPr="00C66C97" w:rsidRDefault="00506412" w:rsidP="007913D6">
            <w:pPr>
              <w:autoSpaceDE w:val="0"/>
              <w:autoSpaceDN w:val="0"/>
              <w:adjustRightInd w:val="0"/>
              <w:jc w:val="center"/>
              <w:rPr>
                <w:b/>
                <w:bCs/>
                <w:color w:val="000000"/>
                <w:sz w:val="22"/>
                <w:szCs w:val="24"/>
              </w:rPr>
            </w:pPr>
            <w:r w:rsidRPr="00C66C97">
              <w:rPr>
                <w:b/>
                <w:bCs/>
                <w:color w:val="000000"/>
                <w:sz w:val="22"/>
                <w:szCs w:val="24"/>
              </w:rPr>
              <w:t>Uncertainty Component Description</w:t>
            </w:r>
          </w:p>
        </w:tc>
        <w:tc>
          <w:tcPr>
            <w:tcW w:w="987" w:type="dxa"/>
            <w:tcBorders>
              <w:top w:val="double" w:sz="6" w:space="0" w:color="auto"/>
              <w:bottom w:val="double" w:sz="6" w:space="0" w:color="auto"/>
            </w:tcBorders>
            <w:shd w:val="clear" w:color="auto" w:fill="auto"/>
            <w:vAlign w:val="center"/>
          </w:tcPr>
          <w:p w14:paraId="40FBAA94" w14:textId="77777777" w:rsidR="00506412" w:rsidRPr="00C66C97" w:rsidRDefault="00506412" w:rsidP="007913D6">
            <w:pPr>
              <w:autoSpaceDE w:val="0"/>
              <w:autoSpaceDN w:val="0"/>
              <w:adjustRightInd w:val="0"/>
              <w:jc w:val="center"/>
              <w:rPr>
                <w:b/>
                <w:bCs/>
                <w:color w:val="000000"/>
                <w:sz w:val="22"/>
                <w:szCs w:val="24"/>
              </w:rPr>
            </w:pPr>
            <w:r w:rsidRPr="00C66C97">
              <w:rPr>
                <w:b/>
                <w:bCs/>
                <w:color w:val="000000"/>
                <w:sz w:val="22"/>
                <w:szCs w:val="24"/>
              </w:rPr>
              <w:t>Symbol</w:t>
            </w:r>
          </w:p>
        </w:tc>
        <w:tc>
          <w:tcPr>
            <w:tcW w:w="2694" w:type="dxa"/>
            <w:tcBorders>
              <w:top w:val="double" w:sz="6" w:space="0" w:color="auto"/>
              <w:bottom w:val="double" w:sz="6" w:space="0" w:color="auto"/>
            </w:tcBorders>
            <w:shd w:val="clear" w:color="auto" w:fill="auto"/>
            <w:vAlign w:val="center"/>
          </w:tcPr>
          <w:p w14:paraId="11CBC018" w14:textId="77777777" w:rsidR="00506412" w:rsidRPr="00C66C97" w:rsidRDefault="00506412" w:rsidP="007913D6">
            <w:pPr>
              <w:autoSpaceDE w:val="0"/>
              <w:autoSpaceDN w:val="0"/>
              <w:adjustRightInd w:val="0"/>
              <w:jc w:val="center"/>
              <w:rPr>
                <w:b/>
                <w:bCs/>
                <w:color w:val="000000"/>
                <w:sz w:val="22"/>
                <w:szCs w:val="24"/>
              </w:rPr>
            </w:pPr>
            <w:r w:rsidRPr="00C66C97">
              <w:rPr>
                <w:b/>
                <w:bCs/>
                <w:color w:val="000000"/>
                <w:sz w:val="22"/>
                <w:szCs w:val="24"/>
              </w:rPr>
              <w:t>Source</w:t>
            </w:r>
          </w:p>
        </w:tc>
        <w:tc>
          <w:tcPr>
            <w:tcW w:w="2055" w:type="dxa"/>
            <w:tcBorders>
              <w:top w:val="double" w:sz="6" w:space="0" w:color="auto"/>
              <w:bottom w:val="double" w:sz="6" w:space="0" w:color="auto"/>
            </w:tcBorders>
            <w:vAlign w:val="center"/>
          </w:tcPr>
          <w:p w14:paraId="50950167" w14:textId="77777777" w:rsidR="00506412" w:rsidRPr="00C66C97" w:rsidRDefault="00506412" w:rsidP="007913D6">
            <w:pPr>
              <w:autoSpaceDE w:val="0"/>
              <w:autoSpaceDN w:val="0"/>
              <w:adjustRightInd w:val="0"/>
              <w:jc w:val="center"/>
              <w:rPr>
                <w:b/>
                <w:bCs/>
                <w:color w:val="000000"/>
                <w:sz w:val="22"/>
                <w:szCs w:val="24"/>
              </w:rPr>
            </w:pPr>
            <w:r w:rsidRPr="00C66C97">
              <w:rPr>
                <w:b/>
                <w:bCs/>
                <w:color w:val="000000"/>
                <w:sz w:val="22"/>
                <w:szCs w:val="24"/>
              </w:rPr>
              <w:t>Typical Distribution</w:t>
            </w:r>
          </w:p>
        </w:tc>
      </w:tr>
      <w:tr w:rsidR="00506412" w:rsidRPr="00766D28" w14:paraId="19E4132B" w14:textId="77777777" w:rsidTr="00657EA2">
        <w:trPr>
          <w:cantSplit/>
          <w:trHeight w:val="389"/>
          <w:jc w:val="center"/>
        </w:trPr>
        <w:tc>
          <w:tcPr>
            <w:tcW w:w="3210" w:type="dxa"/>
            <w:tcBorders>
              <w:top w:val="double" w:sz="6" w:space="0" w:color="auto"/>
            </w:tcBorders>
            <w:shd w:val="clear" w:color="auto" w:fill="auto"/>
            <w:vAlign w:val="center"/>
          </w:tcPr>
          <w:p w14:paraId="308E79E1" w14:textId="77777777" w:rsidR="00506412" w:rsidRPr="00C66C97" w:rsidRDefault="00506412" w:rsidP="007913D6">
            <w:pPr>
              <w:autoSpaceDE w:val="0"/>
              <w:autoSpaceDN w:val="0"/>
              <w:adjustRightInd w:val="0"/>
              <w:rPr>
                <w:color w:val="000000"/>
                <w:sz w:val="22"/>
                <w:szCs w:val="24"/>
              </w:rPr>
            </w:pPr>
            <w:r>
              <w:rPr>
                <w:color w:val="000000"/>
                <w:sz w:val="22"/>
                <w:szCs w:val="24"/>
              </w:rPr>
              <w:t>Uncertainty of the standard</w:t>
            </w:r>
          </w:p>
        </w:tc>
        <w:tc>
          <w:tcPr>
            <w:tcW w:w="987" w:type="dxa"/>
            <w:tcBorders>
              <w:top w:val="double" w:sz="6" w:space="0" w:color="auto"/>
            </w:tcBorders>
            <w:shd w:val="clear" w:color="auto" w:fill="auto"/>
            <w:vAlign w:val="center"/>
          </w:tcPr>
          <w:p w14:paraId="64E66B74" w14:textId="77777777" w:rsidR="00506412" w:rsidRPr="00C66C97" w:rsidRDefault="00506412" w:rsidP="007913D6">
            <w:pPr>
              <w:autoSpaceDE w:val="0"/>
              <w:autoSpaceDN w:val="0"/>
              <w:adjustRightInd w:val="0"/>
              <w:jc w:val="center"/>
              <w:rPr>
                <w:i/>
                <w:color w:val="000000"/>
                <w:sz w:val="22"/>
                <w:szCs w:val="24"/>
              </w:rPr>
            </w:pPr>
            <w:r w:rsidRPr="00C66C97">
              <w:rPr>
                <w:i/>
                <w:color w:val="000000"/>
                <w:sz w:val="22"/>
                <w:szCs w:val="24"/>
              </w:rPr>
              <w:t>u</w:t>
            </w:r>
            <w:r w:rsidRPr="00C66C97">
              <w:rPr>
                <w:i/>
                <w:color w:val="000000"/>
                <w:sz w:val="22"/>
                <w:szCs w:val="24"/>
                <w:vertAlign w:val="subscript"/>
              </w:rPr>
              <w:t>s</w:t>
            </w:r>
          </w:p>
        </w:tc>
        <w:tc>
          <w:tcPr>
            <w:tcW w:w="2694" w:type="dxa"/>
            <w:tcBorders>
              <w:top w:val="double" w:sz="6" w:space="0" w:color="auto"/>
            </w:tcBorders>
            <w:shd w:val="clear" w:color="auto" w:fill="auto"/>
            <w:vAlign w:val="center"/>
          </w:tcPr>
          <w:p w14:paraId="76B51C40" w14:textId="77777777" w:rsidR="00506412" w:rsidRPr="00C66C97" w:rsidRDefault="00506412" w:rsidP="007913D6">
            <w:pPr>
              <w:autoSpaceDE w:val="0"/>
              <w:autoSpaceDN w:val="0"/>
              <w:adjustRightInd w:val="0"/>
              <w:jc w:val="center"/>
              <w:rPr>
                <w:color w:val="000000"/>
                <w:sz w:val="22"/>
                <w:szCs w:val="24"/>
              </w:rPr>
            </w:pPr>
            <w:r w:rsidRPr="00C66C97">
              <w:rPr>
                <w:color w:val="000000"/>
                <w:sz w:val="22"/>
                <w:szCs w:val="24"/>
              </w:rPr>
              <w:t>Calibration certificate; may be multiplied or added based on dependencies</w:t>
            </w:r>
          </w:p>
        </w:tc>
        <w:tc>
          <w:tcPr>
            <w:tcW w:w="2055" w:type="dxa"/>
            <w:tcBorders>
              <w:top w:val="double" w:sz="6" w:space="0" w:color="auto"/>
            </w:tcBorders>
            <w:vAlign w:val="center"/>
          </w:tcPr>
          <w:p w14:paraId="1D09BEA9" w14:textId="2A21013B" w:rsidR="00506412" w:rsidRPr="00C66C97" w:rsidRDefault="0003189A" w:rsidP="007913D6">
            <w:pPr>
              <w:autoSpaceDE w:val="0"/>
              <w:autoSpaceDN w:val="0"/>
              <w:adjustRightInd w:val="0"/>
              <w:jc w:val="center"/>
              <w:rPr>
                <w:color w:val="000000"/>
                <w:sz w:val="22"/>
                <w:szCs w:val="24"/>
              </w:rPr>
            </w:pPr>
            <w:r>
              <w:rPr>
                <w:color w:val="000000"/>
                <w:sz w:val="22"/>
                <w:szCs w:val="24"/>
              </w:rPr>
              <w:t xml:space="preserve">Expanded </w:t>
            </w:r>
            <w:r w:rsidR="00506412" w:rsidRPr="00C66C97">
              <w:rPr>
                <w:color w:val="000000"/>
                <w:sz w:val="22"/>
                <w:szCs w:val="24"/>
              </w:rPr>
              <w:t>divided by coverage factor</w:t>
            </w:r>
          </w:p>
        </w:tc>
      </w:tr>
      <w:tr w:rsidR="00506412" w:rsidRPr="00766D28" w14:paraId="6F0F9798" w14:textId="77777777" w:rsidTr="00657EA2">
        <w:trPr>
          <w:cantSplit/>
          <w:trHeight w:val="368"/>
          <w:jc w:val="center"/>
        </w:trPr>
        <w:tc>
          <w:tcPr>
            <w:tcW w:w="3210" w:type="dxa"/>
            <w:shd w:val="clear" w:color="auto" w:fill="auto"/>
            <w:vAlign w:val="center"/>
          </w:tcPr>
          <w:p w14:paraId="5DC00DD2" w14:textId="77777777" w:rsidR="00506412" w:rsidRPr="00C66C97" w:rsidRDefault="00506412" w:rsidP="007913D6">
            <w:pPr>
              <w:autoSpaceDE w:val="0"/>
              <w:autoSpaceDN w:val="0"/>
              <w:adjustRightInd w:val="0"/>
              <w:rPr>
                <w:color w:val="000000"/>
                <w:sz w:val="22"/>
                <w:szCs w:val="24"/>
              </w:rPr>
            </w:pPr>
            <w:r w:rsidRPr="00C66C97">
              <w:rPr>
                <w:color w:val="000000"/>
                <w:sz w:val="22"/>
                <w:szCs w:val="24"/>
              </w:rPr>
              <w:t>Abilit</w:t>
            </w:r>
            <w:r>
              <w:rPr>
                <w:color w:val="000000"/>
                <w:sz w:val="22"/>
                <w:szCs w:val="24"/>
              </w:rPr>
              <w:t>y to read the Meniscus in S</w:t>
            </w:r>
          </w:p>
        </w:tc>
        <w:tc>
          <w:tcPr>
            <w:tcW w:w="987" w:type="dxa"/>
            <w:shd w:val="clear" w:color="auto" w:fill="auto"/>
            <w:vAlign w:val="center"/>
          </w:tcPr>
          <w:p w14:paraId="2BDF09C8" w14:textId="77777777" w:rsidR="00506412" w:rsidRPr="00C66C97" w:rsidRDefault="00506412" w:rsidP="007913D6">
            <w:pPr>
              <w:autoSpaceDE w:val="0"/>
              <w:autoSpaceDN w:val="0"/>
              <w:adjustRightInd w:val="0"/>
              <w:jc w:val="center"/>
              <w:rPr>
                <w:i/>
                <w:color w:val="000000"/>
                <w:sz w:val="22"/>
                <w:szCs w:val="24"/>
              </w:rPr>
            </w:pPr>
            <w:r w:rsidRPr="00C66C97">
              <w:rPr>
                <w:i/>
                <w:color w:val="000000"/>
                <w:sz w:val="22"/>
                <w:szCs w:val="24"/>
              </w:rPr>
              <w:t>u</w:t>
            </w:r>
            <w:r w:rsidRPr="00C66C97">
              <w:rPr>
                <w:i/>
                <w:color w:val="000000"/>
                <w:sz w:val="22"/>
                <w:szCs w:val="24"/>
                <w:vertAlign w:val="subscript"/>
              </w:rPr>
              <w:t>m</w:t>
            </w:r>
          </w:p>
        </w:tc>
        <w:tc>
          <w:tcPr>
            <w:tcW w:w="2694" w:type="dxa"/>
            <w:shd w:val="clear" w:color="auto" w:fill="auto"/>
            <w:vAlign w:val="center"/>
          </w:tcPr>
          <w:p w14:paraId="268704FD" w14:textId="77777777" w:rsidR="00506412" w:rsidRPr="00C66C97" w:rsidRDefault="00506412" w:rsidP="007913D6">
            <w:pPr>
              <w:autoSpaceDE w:val="0"/>
              <w:autoSpaceDN w:val="0"/>
              <w:adjustRightInd w:val="0"/>
              <w:jc w:val="center"/>
              <w:rPr>
                <w:color w:val="000000"/>
                <w:sz w:val="22"/>
                <w:szCs w:val="24"/>
              </w:rPr>
            </w:pPr>
            <w:r w:rsidRPr="00C66C97">
              <w:rPr>
                <w:color w:val="000000"/>
                <w:sz w:val="22"/>
                <w:szCs w:val="24"/>
              </w:rPr>
              <w:t>None if using a slicker-plate type standard; GMP 3</w:t>
            </w:r>
          </w:p>
        </w:tc>
        <w:tc>
          <w:tcPr>
            <w:tcW w:w="2055" w:type="dxa"/>
            <w:vAlign w:val="center"/>
          </w:tcPr>
          <w:p w14:paraId="24D734C1" w14:textId="77777777" w:rsidR="00506412" w:rsidRPr="00C66C97" w:rsidRDefault="00506412" w:rsidP="007913D6">
            <w:pPr>
              <w:autoSpaceDE w:val="0"/>
              <w:autoSpaceDN w:val="0"/>
              <w:adjustRightInd w:val="0"/>
              <w:jc w:val="center"/>
              <w:rPr>
                <w:color w:val="000000"/>
                <w:sz w:val="22"/>
                <w:szCs w:val="24"/>
              </w:rPr>
            </w:pPr>
            <w:r w:rsidRPr="00C66C97">
              <w:rPr>
                <w:color w:val="000000"/>
                <w:sz w:val="22"/>
                <w:szCs w:val="24"/>
              </w:rPr>
              <w:t>Triangular</w:t>
            </w:r>
          </w:p>
        </w:tc>
      </w:tr>
      <w:tr w:rsidR="00506412" w:rsidRPr="00766D28" w14:paraId="60F1C405" w14:textId="77777777" w:rsidTr="00657EA2">
        <w:trPr>
          <w:cantSplit/>
          <w:trHeight w:val="389"/>
          <w:jc w:val="center"/>
        </w:trPr>
        <w:tc>
          <w:tcPr>
            <w:tcW w:w="3210" w:type="dxa"/>
            <w:tcBorders>
              <w:bottom w:val="double" w:sz="6" w:space="0" w:color="auto"/>
            </w:tcBorders>
            <w:shd w:val="clear" w:color="auto" w:fill="auto"/>
            <w:vAlign w:val="center"/>
          </w:tcPr>
          <w:p w14:paraId="443786FF" w14:textId="77777777" w:rsidR="00506412" w:rsidRPr="00C66C97" w:rsidRDefault="00506412" w:rsidP="007913D6">
            <w:pPr>
              <w:autoSpaceDE w:val="0"/>
              <w:autoSpaceDN w:val="0"/>
              <w:adjustRightInd w:val="0"/>
              <w:rPr>
                <w:color w:val="000000"/>
                <w:sz w:val="22"/>
                <w:szCs w:val="24"/>
              </w:rPr>
            </w:pPr>
            <w:r w:rsidRPr="00C66C97">
              <w:rPr>
                <w:color w:val="000000"/>
                <w:sz w:val="22"/>
                <w:szCs w:val="24"/>
              </w:rPr>
              <w:t>Abilit</w:t>
            </w:r>
            <w:r>
              <w:rPr>
                <w:color w:val="000000"/>
                <w:sz w:val="22"/>
                <w:szCs w:val="24"/>
              </w:rPr>
              <w:t>y to read the Meniscus in X</w:t>
            </w:r>
          </w:p>
        </w:tc>
        <w:tc>
          <w:tcPr>
            <w:tcW w:w="987" w:type="dxa"/>
            <w:tcBorders>
              <w:bottom w:val="double" w:sz="6" w:space="0" w:color="auto"/>
            </w:tcBorders>
            <w:shd w:val="clear" w:color="auto" w:fill="auto"/>
            <w:vAlign w:val="center"/>
          </w:tcPr>
          <w:p w14:paraId="2142CA51" w14:textId="77777777" w:rsidR="00506412" w:rsidRPr="00C66C97" w:rsidRDefault="00506412" w:rsidP="007913D6">
            <w:pPr>
              <w:autoSpaceDE w:val="0"/>
              <w:autoSpaceDN w:val="0"/>
              <w:adjustRightInd w:val="0"/>
              <w:jc w:val="center"/>
              <w:rPr>
                <w:i/>
                <w:color w:val="000000"/>
                <w:sz w:val="22"/>
                <w:szCs w:val="24"/>
              </w:rPr>
            </w:pPr>
            <w:r w:rsidRPr="00C66C97">
              <w:rPr>
                <w:i/>
                <w:color w:val="000000"/>
                <w:sz w:val="22"/>
                <w:szCs w:val="24"/>
              </w:rPr>
              <w:t>u</w:t>
            </w:r>
            <w:r w:rsidRPr="00C66C97">
              <w:rPr>
                <w:i/>
                <w:color w:val="000000"/>
                <w:sz w:val="22"/>
                <w:szCs w:val="24"/>
                <w:vertAlign w:val="subscript"/>
              </w:rPr>
              <w:t>m</w:t>
            </w:r>
          </w:p>
        </w:tc>
        <w:tc>
          <w:tcPr>
            <w:tcW w:w="2694" w:type="dxa"/>
            <w:tcBorders>
              <w:bottom w:val="double" w:sz="6" w:space="0" w:color="auto"/>
            </w:tcBorders>
            <w:shd w:val="clear" w:color="auto" w:fill="auto"/>
            <w:vAlign w:val="center"/>
          </w:tcPr>
          <w:p w14:paraId="1A584B90" w14:textId="77777777" w:rsidR="00506412" w:rsidRPr="00C66C97" w:rsidRDefault="00506412" w:rsidP="007913D6">
            <w:pPr>
              <w:autoSpaceDE w:val="0"/>
              <w:autoSpaceDN w:val="0"/>
              <w:adjustRightInd w:val="0"/>
              <w:jc w:val="center"/>
              <w:rPr>
                <w:color w:val="000000"/>
                <w:sz w:val="22"/>
                <w:szCs w:val="24"/>
              </w:rPr>
            </w:pPr>
            <w:r w:rsidRPr="00C66C97">
              <w:rPr>
                <w:color w:val="000000"/>
                <w:sz w:val="22"/>
                <w:szCs w:val="24"/>
              </w:rPr>
              <w:t>GMP 3</w:t>
            </w:r>
          </w:p>
        </w:tc>
        <w:tc>
          <w:tcPr>
            <w:tcW w:w="2055" w:type="dxa"/>
            <w:tcBorders>
              <w:bottom w:val="double" w:sz="6" w:space="0" w:color="auto"/>
            </w:tcBorders>
            <w:vAlign w:val="center"/>
          </w:tcPr>
          <w:p w14:paraId="48578763" w14:textId="77777777" w:rsidR="00506412" w:rsidRPr="00C66C97" w:rsidRDefault="00506412" w:rsidP="007913D6">
            <w:pPr>
              <w:autoSpaceDE w:val="0"/>
              <w:autoSpaceDN w:val="0"/>
              <w:adjustRightInd w:val="0"/>
              <w:jc w:val="center"/>
              <w:rPr>
                <w:color w:val="000000"/>
                <w:sz w:val="22"/>
                <w:szCs w:val="24"/>
              </w:rPr>
            </w:pPr>
            <w:r w:rsidRPr="00C66C97">
              <w:rPr>
                <w:color w:val="000000"/>
                <w:sz w:val="22"/>
                <w:szCs w:val="24"/>
              </w:rPr>
              <w:t>Triangular</w:t>
            </w:r>
          </w:p>
        </w:tc>
      </w:tr>
    </w:tbl>
    <w:p w14:paraId="05E82244" w14:textId="2520190A" w:rsidR="002B3F82" w:rsidRPr="00AC6F05" w:rsidRDefault="002B3F82" w:rsidP="00380C8E">
      <w:pPr>
        <w:pStyle w:val="Heading1"/>
        <w:keepNext w:val="0"/>
        <w:keepLines w:val="0"/>
        <w:spacing w:before="240"/>
      </w:pPr>
      <w:r w:rsidRPr="00AC6F05">
        <w:t>Compliance Assessments</w:t>
      </w:r>
    </w:p>
    <w:p w14:paraId="4EE55930" w14:textId="406CCF69" w:rsidR="0042664F" w:rsidRDefault="0042664F" w:rsidP="00380C8E">
      <w:pPr>
        <w:pStyle w:val="Heading2"/>
        <w:keepNext w:val="0"/>
        <w:keepLines w:val="0"/>
      </w:pPr>
      <w:r w:rsidRPr="0042664F">
        <w:t xml:space="preserve">The maximum capacity tolerance between the nominal volume line and any other line on the scale </w:t>
      </w:r>
      <w:r>
        <w:t xml:space="preserve">must </w:t>
      </w:r>
      <w:r w:rsidRPr="0042664F">
        <w:t xml:space="preserve">be less than </w:t>
      </w:r>
      <w:r>
        <w:t>the published specifications or t</w:t>
      </w:r>
      <w:r w:rsidRPr="0042664F">
        <w:t xml:space="preserve">he scale </w:t>
      </w:r>
      <w:r>
        <w:t xml:space="preserve">plate </w:t>
      </w:r>
      <w:r w:rsidRPr="0042664F">
        <w:t xml:space="preserve">should be replaced. Alternatively, if the scale </w:t>
      </w:r>
      <w:r w:rsidR="00525D76">
        <w:t>reading</w:t>
      </w:r>
      <w:r w:rsidRPr="0042664F">
        <w:t xml:space="preserve">s are determined to be in error but proportional to the </w:t>
      </w:r>
      <w:r w:rsidR="00E145CE">
        <w:t>calibration</w:t>
      </w:r>
      <w:r w:rsidRPr="0042664F">
        <w:t xml:space="preserve"> points, a Neck Scale Correction Factor (</w:t>
      </w:r>
      <w:r w:rsidRPr="0042664F">
        <w:rPr>
          <w:i/>
        </w:rPr>
        <w:t>NSCF</w:t>
      </w:r>
      <w:r w:rsidRPr="0042664F">
        <w:t>) may be issued with instructions to the user for its use if it is anticipated that this correction factor will be used</w:t>
      </w:r>
      <w:r w:rsidR="005570B1">
        <w:t xml:space="preserve">. </w:t>
      </w:r>
      <w:r w:rsidRPr="0042664F">
        <w:t xml:space="preserve">For use of the </w:t>
      </w:r>
      <w:r w:rsidRPr="0042664F">
        <w:rPr>
          <w:i/>
        </w:rPr>
        <w:t>NSCF</w:t>
      </w:r>
      <w:r w:rsidRPr="0042664F">
        <w:t xml:space="preserve"> to be valid, all </w:t>
      </w:r>
      <w:r w:rsidR="00525D76">
        <w:t xml:space="preserve">corrected </w:t>
      </w:r>
      <w:r w:rsidRPr="0042664F">
        <w:t xml:space="preserve">scale plate </w:t>
      </w:r>
      <w:r w:rsidR="00525D76">
        <w:t>reading</w:t>
      </w:r>
      <w:r w:rsidRPr="0042664F">
        <w:t xml:space="preserve">s must fall within the applicable tolerance after the </w:t>
      </w:r>
      <w:r w:rsidRPr="0042664F">
        <w:rPr>
          <w:i/>
        </w:rPr>
        <w:t>NSCF</w:t>
      </w:r>
      <w:r w:rsidRPr="0042664F">
        <w:t xml:space="preserve"> is applied to the </w:t>
      </w:r>
      <w:r w:rsidR="00525D76">
        <w:t>actual scale plate reading</w:t>
      </w:r>
      <w:r w:rsidR="005570B1">
        <w:t xml:space="preserve">. </w:t>
      </w:r>
      <w:r w:rsidRPr="0042664F">
        <w:t xml:space="preserve">If the linearity and proportionality errors are sufficiently large that the </w:t>
      </w:r>
      <w:r w:rsidRPr="0042664F">
        <w:rPr>
          <w:i/>
        </w:rPr>
        <w:t>NSCF</w:t>
      </w:r>
      <w:r w:rsidRPr="0042664F">
        <w:t xml:space="preserve"> does not bring all </w:t>
      </w:r>
      <w:r w:rsidR="00525D76">
        <w:t xml:space="preserve">corrected </w:t>
      </w:r>
      <w:r w:rsidRPr="0042664F">
        <w:t xml:space="preserve">neck scale </w:t>
      </w:r>
      <w:r w:rsidR="00525D76">
        <w:t>reading</w:t>
      </w:r>
      <w:r w:rsidRPr="0042664F">
        <w:t xml:space="preserve">s within the tolerance limits, use of the </w:t>
      </w:r>
      <w:r w:rsidRPr="0042664F">
        <w:rPr>
          <w:i/>
        </w:rPr>
        <w:t>NSCF</w:t>
      </w:r>
      <w:r w:rsidRPr="0042664F">
        <w:t xml:space="preserve"> correction is not appropriate. </w:t>
      </w:r>
    </w:p>
    <w:p w14:paraId="4F9B727C" w14:textId="77777777" w:rsidR="0042664F" w:rsidRPr="0042664F" w:rsidRDefault="0042664F" w:rsidP="00380C8E">
      <w:pPr>
        <w:pStyle w:val="Heading2"/>
        <w:keepNext w:val="0"/>
        <w:keepLines w:val="0"/>
      </w:pPr>
      <w:r w:rsidRPr="0042664F">
        <w:t xml:space="preserve">Neck scale errors less than the limits provided in published requirements should be included in the uncertainty estimate associated with the prover calibration as uncorrected errors. </w:t>
      </w:r>
    </w:p>
    <w:p w14:paraId="3A8A0DC3" w14:textId="59E8707B" w:rsidR="002B3F82" w:rsidRPr="00AC6F05" w:rsidRDefault="002B3F82" w:rsidP="00380C8E">
      <w:pPr>
        <w:pStyle w:val="Heading2"/>
        <w:keepNext w:val="0"/>
        <w:keepLines w:val="0"/>
      </w:pPr>
      <w:r w:rsidRPr="00AC6F05">
        <w:t xml:space="preserve">Uncertainties must be considered when evaluating the acceptability of the neck scale plate. </w:t>
      </w:r>
      <w:r w:rsidR="002E1917" w:rsidRPr="00AC6F05">
        <w:t>If</w:t>
      </w:r>
      <w:r w:rsidRPr="00AC6F05">
        <w:t xml:space="preserve"> uncertainties for the scale plate </w:t>
      </w:r>
      <w:r w:rsidR="00E145CE">
        <w:t>calibration</w:t>
      </w:r>
      <w:r w:rsidRPr="00AC6F05">
        <w:t xml:space="preserve"> exceed the published </w:t>
      </w:r>
      <w:r w:rsidR="008C324E" w:rsidRPr="00AC6F05">
        <w:t xml:space="preserve">compliance </w:t>
      </w:r>
      <w:r w:rsidRPr="00AC6F05">
        <w:t xml:space="preserve">limits, the laboratory may not reject the scale plate. </w:t>
      </w:r>
      <w:r w:rsidR="008C324E" w:rsidRPr="00AC6F05">
        <w:t xml:space="preserve">The application of scale plate tolerances must allow for the uncertainty of the neck scale </w:t>
      </w:r>
      <w:r w:rsidR="00E145CE">
        <w:t>calibration</w:t>
      </w:r>
      <w:r w:rsidR="008C324E" w:rsidRPr="00AC6F05">
        <w:t xml:space="preserve"> measurements. The neck scale capacity error must exceed the value of one division </w:t>
      </w:r>
      <w:r w:rsidR="008C324E" w:rsidRPr="00AC6F05">
        <w:lastRenderedPageBreak/>
        <w:t xml:space="preserve">plus the uncertainty of the neck scale calibration </w:t>
      </w:r>
      <w:r w:rsidR="002E1917" w:rsidRPr="00AC6F05">
        <w:t>to</w:t>
      </w:r>
      <w:r w:rsidR="008C324E" w:rsidRPr="00AC6F05">
        <w:t xml:space="preserve"> be rejected by the weights and measures enforcement agency.</w:t>
      </w:r>
    </w:p>
    <w:p w14:paraId="68B95CB3" w14:textId="032C6831" w:rsidR="002B3F82" w:rsidRDefault="002B3F82" w:rsidP="00380C8E">
      <w:pPr>
        <w:pStyle w:val="Heading3"/>
        <w:keepNext w:val="0"/>
        <w:keepLines w:val="0"/>
      </w:pPr>
      <w:r w:rsidRPr="00AC6F05">
        <w:t>Per NIST Handbook 105-3</w:t>
      </w:r>
      <w:r w:rsidR="008C324E" w:rsidRPr="00AC6F05">
        <w:t xml:space="preserve"> for field standard test measures and provers</w:t>
      </w:r>
      <w:r w:rsidRPr="00AC6F05">
        <w:t xml:space="preserve">: </w:t>
      </w:r>
    </w:p>
    <w:p w14:paraId="21EF3566" w14:textId="4FF549EF" w:rsidR="008C324E" w:rsidRPr="00AC6F05" w:rsidRDefault="008C324E" w:rsidP="00380C8E">
      <w:pPr>
        <w:pStyle w:val="BodyText"/>
        <w:ind w:left="1872"/>
      </w:pPr>
      <w:r w:rsidRPr="00AC6F05">
        <w:t>Capacity Tolerances also apply to the scale intervals marked on both sides of the scale mark corresponding to the nominal capacity of a volumetric field standard (test measure or prover). This means that the volume represented by each scale mark over the entire range of the scale plate must be accurate within the maximum permissible error of 0.05 % of the nominal capacity.</w:t>
      </w:r>
    </w:p>
    <w:p w14:paraId="673BD0A2" w14:textId="0FD999FF" w:rsidR="008C324E" w:rsidRPr="00AC6F05" w:rsidRDefault="008C324E" w:rsidP="00380C8E">
      <w:pPr>
        <w:pStyle w:val="BodyText"/>
        <w:ind w:left="1872"/>
      </w:pPr>
      <w:r w:rsidRPr="00AC6F05">
        <w:t xml:space="preserve">The maximum capacity error between the nominal volume line and any other line on the scale must be less than one (1) maximum subdivision as defined in the handbook. If smaller subdivisions are used, the maximum allowed subdivision is the tolerance applied to the neck uniformity. </w:t>
      </w:r>
    </w:p>
    <w:p w14:paraId="3984A470" w14:textId="558999EB" w:rsidR="008C324E" w:rsidRPr="00AC6F05" w:rsidRDefault="008C324E" w:rsidP="002F5301">
      <w:pPr>
        <w:pStyle w:val="Heading3"/>
      </w:pPr>
      <w:r w:rsidRPr="00AC6F05">
        <w:t>Per NIST Handbook 105-4 for field standard LPG and anhydrous provers:</w:t>
      </w:r>
    </w:p>
    <w:p w14:paraId="09FB8F8B" w14:textId="3B236EE3" w:rsidR="008C324E" w:rsidRPr="00AC6F05" w:rsidRDefault="008C324E" w:rsidP="00380C8E">
      <w:pPr>
        <w:pStyle w:val="BodyText"/>
        <w:ind w:left="1872"/>
      </w:pPr>
      <w:r w:rsidRPr="00AC6F05">
        <w:t>Capacity Tolerances apply to the scale intervals marked on both sides of the scale mark corresponding to the nominal capacity of a volumetric field standard (test measure or prover). This means that the volume represented by each scale mark over the entire range of the scale plate must be accurate within the maximum permissible error of 0.2 % of the nominal capacity.</w:t>
      </w:r>
    </w:p>
    <w:p w14:paraId="55B32139" w14:textId="021BCF15" w:rsidR="008C324E" w:rsidRDefault="008C324E" w:rsidP="00380C8E">
      <w:pPr>
        <w:pStyle w:val="BodyText"/>
        <w:ind w:left="1872"/>
      </w:pPr>
      <w:r w:rsidRPr="00AC6F05">
        <w:t xml:space="preserve">The maximum capacity tolerance between the nominal volume line and any other line on the scale must be less than two (2) major scale divisions as defined in the handbook. If smaller divisions or subdivisions are used, two (2) times the maximum allowed division listed in the handbook is the tolerance applied to the neck uniformity. </w:t>
      </w:r>
    </w:p>
    <w:p w14:paraId="1A25473C" w14:textId="7CA94C7C" w:rsidR="00F35F41" w:rsidRPr="00AC6F05" w:rsidRDefault="00F35F41" w:rsidP="00F8752C">
      <w:pPr>
        <w:pStyle w:val="Heading1"/>
      </w:pPr>
      <w:r w:rsidRPr="00AC6F05">
        <w:t>Calibration Certificate</w:t>
      </w:r>
      <w:r w:rsidRPr="00AC6F05">
        <w:tab/>
      </w:r>
    </w:p>
    <w:p w14:paraId="6BB6F2A5" w14:textId="6B06C999" w:rsidR="006577C6" w:rsidRDefault="00F35F41" w:rsidP="002E1917">
      <w:pPr>
        <w:pStyle w:val="BodyText"/>
        <w:ind w:left="720"/>
      </w:pPr>
      <w:r w:rsidRPr="00AC6F05">
        <w:t xml:space="preserve">A supplemental statement on the test measure or prover calibration certificate may be generated and include supporting measurement </w:t>
      </w:r>
      <w:r w:rsidR="00E145CE">
        <w:t>calibration</w:t>
      </w:r>
      <w:r w:rsidRPr="00AC6F05">
        <w:t xml:space="preserve"> results</w:t>
      </w:r>
      <w:r w:rsidR="000D2274" w:rsidRPr="00AC6F05">
        <w:t xml:space="preserve"> or may include the neck scale correction factor along with instructions as to its use</w:t>
      </w:r>
      <w:r w:rsidRPr="00AC6F05">
        <w:t xml:space="preserve">. </w:t>
      </w:r>
    </w:p>
    <w:p w14:paraId="3CDF5434" w14:textId="1C97BFD8" w:rsidR="00EA60BB" w:rsidRDefault="00EA60BB" w:rsidP="00EA60BB">
      <w:pPr>
        <w:pStyle w:val="Heading2"/>
      </w:pPr>
      <w:r>
        <w:t>Conformity Statement</w:t>
      </w:r>
    </w:p>
    <w:p w14:paraId="0ACBC67A" w14:textId="301EF897" w:rsidR="00EA60BB" w:rsidRPr="00EA60BB" w:rsidRDefault="00EA60BB" w:rsidP="00EA60BB">
      <w:pPr>
        <w:pStyle w:val="BodyText"/>
        <w:ind w:left="1440"/>
      </w:pPr>
      <w:r w:rsidRPr="00EA60BB">
        <w:t xml:space="preserve">Evaluate </w:t>
      </w:r>
      <w:r>
        <w:t xml:space="preserve">and report </w:t>
      </w:r>
      <w:r w:rsidRPr="00EA60BB">
        <w:t>compliance to applicable tolerances as needed or required by the customer or by legal metrology requirements</w:t>
      </w:r>
      <w:r>
        <w:t xml:space="preserve"> as described in Section 5</w:t>
      </w:r>
      <w:r w:rsidRPr="00EA60BB">
        <w:t xml:space="preserve">. Compliance assessments must note the applicable documentary standard and which portions of the standard were or were not evaluated. </w:t>
      </w:r>
    </w:p>
    <w:p w14:paraId="3EE61A9D" w14:textId="77777777" w:rsidR="00EA60BB" w:rsidRDefault="00EA60BB" w:rsidP="00380C8E">
      <w:pPr>
        <w:pStyle w:val="BodyText"/>
        <w:jc w:val="center"/>
      </w:pPr>
    </w:p>
    <w:p w14:paraId="714406D8" w14:textId="6DF08333" w:rsidR="00F35F41" w:rsidRPr="00380C8E" w:rsidRDefault="006577C6" w:rsidP="00380C8E">
      <w:pPr>
        <w:pStyle w:val="BodyText"/>
        <w:jc w:val="center"/>
        <w:rPr>
          <w:b/>
        </w:rPr>
      </w:pPr>
      <w:r w:rsidRPr="00AC6F05">
        <w:br w:type="page"/>
      </w:r>
      <w:r w:rsidRPr="00380C8E">
        <w:rPr>
          <w:b/>
        </w:rPr>
        <w:lastRenderedPageBreak/>
        <w:t>Appendix A</w:t>
      </w:r>
    </w:p>
    <w:p w14:paraId="7EC37C24" w14:textId="77777777" w:rsidR="00131E76" w:rsidRDefault="006577C6" w:rsidP="00131E76">
      <w:pPr>
        <w:spacing w:before="240"/>
        <w:jc w:val="center"/>
        <w:rPr>
          <w:szCs w:val="24"/>
        </w:rPr>
      </w:pPr>
      <w:r w:rsidRPr="00AC6F05">
        <w:rPr>
          <w:szCs w:val="24"/>
        </w:rPr>
        <w:t xml:space="preserve">Scale Plate </w:t>
      </w:r>
      <w:r w:rsidR="00E145CE">
        <w:rPr>
          <w:szCs w:val="24"/>
        </w:rPr>
        <w:t>Calibration</w:t>
      </w:r>
      <w:r w:rsidRPr="00AC6F05">
        <w:rPr>
          <w:szCs w:val="24"/>
        </w:rPr>
        <w:t xml:space="preserve"> Data Form</w:t>
      </w:r>
    </w:p>
    <w:p w14:paraId="67A84259" w14:textId="4D6D8CE8" w:rsidR="00AC6F05" w:rsidRDefault="00BC6CAD" w:rsidP="00131E76">
      <w:pPr>
        <w:spacing w:after="240"/>
        <w:jc w:val="center"/>
        <w:rPr>
          <w:szCs w:val="24"/>
        </w:rPr>
      </w:pPr>
      <w:r w:rsidRPr="00700C56">
        <w:rPr>
          <w:szCs w:val="24"/>
        </w:rPr>
        <w:t>(One needed for each scale plate calibrated)</w:t>
      </w:r>
    </w:p>
    <w:p w14:paraId="1D6E79E6" w14:textId="7B9383F0" w:rsidR="000D2274" w:rsidRPr="00131E76" w:rsidRDefault="000D2274" w:rsidP="00AC6F05">
      <w:pPr>
        <w:spacing w:before="240"/>
        <w:rPr>
          <w:sz w:val="20"/>
          <w:szCs w:val="20"/>
        </w:rPr>
      </w:pPr>
      <w:r w:rsidRPr="00131E76">
        <w:rPr>
          <w:b/>
          <w:sz w:val="20"/>
          <w:szCs w:val="20"/>
        </w:rPr>
        <w:t>Laboratory data and conditions</w:t>
      </w:r>
      <w:r w:rsidRPr="00131E76">
        <w:rPr>
          <w:sz w:val="20"/>
          <w:szCs w:val="20"/>
        </w:rPr>
        <w:t>:</w:t>
      </w:r>
    </w:p>
    <w:tbl>
      <w:tblPr>
        <w:tblStyle w:val="TableGrid"/>
        <w:tblW w:w="9720" w:type="dxa"/>
        <w:tblInd w:w="-20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Caption w:val="data sheet - laboratory information"/>
        <w:tblDescription w:val="Laboratory  Date Calibrated &#10;Location  Temperature &#10;  Barometric Pressure &#10;Date Received  Relative Humidity &#10;"/>
      </w:tblPr>
      <w:tblGrid>
        <w:gridCol w:w="1530"/>
        <w:gridCol w:w="4770"/>
        <w:gridCol w:w="1890"/>
        <w:gridCol w:w="1530"/>
      </w:tblGrid>
      <w:tr w:rsidR="002541B3" w:rsidRPr="00131E76" w14:paraId="233CE036" w14:textId="77777777" w:rsidTr="00582938">
        <w:trPr>
          <w:trHeight w:val="259"/>
        </w:trPr>
        <w:tc>
          <w:tcPr>
            <w:tcW w:w="1530" w:type="dxa"/>
            <w:vAlign w:val="center"/>
          </w:tcPr>
          <w:p w14:paraId="31F8BAE5" w14:textId="2905CB8E" w:rsidR="002541B3" w:rsidRPr="00131E76" w:rsidRDefault="002541B3" w:rsidP="002541B3">
            <w:pPr>
              <w:rPr>
                <w:sz w:val="20"/>
                <w:szCs w:val="20"/>
              </w:rPr>
            </w:pPr>
            <w:r w:rsidRPr="00131E76">
              <w:rPr>
                <w:sz w:val="20"/>
                <w:szCs w:val="20"/>
              </w:rPr>
              <w:t>Laboratory</w:t>
            </w:r>
          </w:p>
        </w:tc>
        <w:tc>
          <w:tcPr>
            <w:tcW w:w="4770" w:type="dxa"/>
            <w:vAlign w:val="center"/>
          </w:tcPr>
          <w:p w14:paraId="45975249" w14:textId="77777777" w:rsidR="002541B3" w:rsidRPr="00131E76" w:rsidRDefault="002541B3" w:rsidP="002541B3">
            <w:pPr>
              <w:rPr>
                <w:sz w:val="20"/>
                <w:szCs w:val="20"/>
              </w:rPr>
            </w:pPr>
          </w:p>
        </w:tc>
        <w:tc>
          <w:tcPr>
            <w:tcW w:w="1890" w:type="dxa"/>
            <w:vAlign w:val="center"/>
          </w:tcPr>
          <w:p w14:paraId="30269AB7" w14:textId="1715E406" w:rsidR="002541B3" w:rsidRPr="00131E76" w:rsidRDefault="00BC6CAD" w:rsidP="00700C56">
            <w:pPr>
              <w:rPr>
                <w:sz w:val="20"/>
                <w:szCs w:val="20"/>
              </w:rPr>
            </w:pPr>
            <w:r w:rsidRPr="00131E76">
              <w:rPr>
                <w:sz w:val="20"/>
                <w:szCs w:val="20"/>
              </w:rPr>
              <w:t>Date Calibrated</w:t>
            </w:r>
          </w:p>
        </w:tc>
        <w:tc>
          <w:tcPr>
            <w:tcW w:w="1530" w:type="dxa"/>
            <w:vAlign w:val="center"/>
          </w:tcPr>
          <w:p w14:paraId="540A1E65" w14:textId="77777777" w:rsidR="002541B3" w:rsidRPr="00131E76" w:rsidRDefault="002541B3" w:rsidP="00AC6F05">
            <w:pPr>
              <w:spacing w:before="240"/>
              <w:rPr>
                <w:sz w:val="20"/>
                <w:szCs w:val="20"/>
              </w:rPr>
            </w:pPr>
          </w:p>
        </w:tc>
      </w:tr>
      <w:tr w:rsidR="002541B3" w:rsidRPr="00131E76" w14:paraId="4732321F" w14:textId="77777777" w:rsidTr="00582938">
        <w:trPr>
          <w:trHeight w:val="259"/>
        </w:trPr>
        <w:tc>
          <w:tcPr>
            <w:tcW w:w="1530" w:type="dxa"/>
            <w:vMerge w:val="restart"/>
            <w:vAlign w:val="center"/>
          </w:tcPr>
          <w:p w14:paraId="1D48E370" w14:textId="321CB75A" w:rsidR="002541B3" w:rsidRPr="00131E76" w:rsidRDefault="002541B3" w:rsidP="002541B3">
            <w:pPr>
              <w:rPr>
                <w:sz w:val="20"/>
                <w:szCs w:val="20"/>
              </w:rPr>
            </w:pPr>
            <w:r w:rsidRPr="00131E76">
              <w:rPr>
                <w:sz w:val="20"/>
                <w:szCs w:val="20"/>
              </w:rPr>
              <w:t>Location</w:t>
            </w:r>
          </w:p>
        </w:tc>
        <w:tc>
          <w:tcPr>
            <w:tcW w:w="4770" w:type="dxa"/>
            <w:vAlign w:val="center"/>
          </w:tcPr>
          <w:p w14:paraId="02BB6E9E" w14:textId="77777777" w:rsidR="002541B3" w:rsidRPr="00131E76" w:rsidRDefault="002541B3" w:rsidP="002541B3">
            <w:pPr>
              <w:rPr>
                <w:sz w:val="20"/>
                <w:szCs w:val="20"/>
              </w:rPr>
            </w:pPr>
          </w:p>
        </w:tc>
        <w:tc>
          <w:tcPr>
            <w:tcW w:w="1890" w:type="dxa"/>
            <w:vAlign w:val="center"/>
          </w:tcPr>
          <w:p w14:paraId="71723116" w14:textId="74947B75" w:rsidR="002541B3" w:rsidRPr="00131E76" w:rsidRDefault="00BC6CAD" w:rsidP="00700C56">
            <w:pPr>
              <w:rPr>
                <w:sz w:val="20"/>
                <w:szCs w:val="20"/>
              </w:rPr>
            </w:pPr>
            <w:r w:rsidRPr="00131E76">
              <w:rPr>
                <w:sz w:val="20"/>
                <w:szCs w:val="20"/>
              </w:rPr>
              <w:t>Temperature</w:t>
            </w:r>
          </w:p>
        </w:tc>
        <w:tc>
          <w:tcPr>
            <w:tcW w:w="1530" w:type="dxa"/>
            <w:vAlign w:val="center"/>
          </w:tcPr>
          <w:p w14:paraId="44D1FF0B" w14:textId="77777777" w:rsidR="002541B3" w:rsidRPr="00131E76" w:rsidRDefault="002541B3" w:rsidP="00AC6F05">
            <w:pPr>
              <w:spacing w:before="240"/>
              <w:rPr>
                <w:sz w:val="20"/>
                <w:szCs w:val="20"/>
              </w:rPr>
            </w:pPr>
          </w:p>
        </w:tc>
      </w:tr>
      <w:tr w:rsidR="002541B3" w:rsidRPr="00131E76" w14:paraId="44910338" w14:textId="77777777" w:rsidTr="00582938">
        <w:trPr>
          <w:trHeight w:val="259"/>
        </w:trPr>
        <w:tc>
          <w:tcPr>
            <w:tcW w:w="1530" w:type="dxa"/>
            <w:vMerge/>
            <w:vAlign w:val="center"/>
          </w:tcPr>
          <w:p w14:paraId="00D43A7E" w14:textId="7F116D64" w:rsidR="002541B3" w:rsidRPr="00131E76" w:rsidRDefault="002541B3" w:rsidP="002541B3">
            <w:pPr>
              <w:rPr>
                <w:sz w:val="20"/>
                <w:szCs w:val="20"/>
              </w:rPr>
            </w:pPr>
          </w:p>
        </w:tc>
        <w:tc>
          <w:tcPr>
            <w:tcW w:w="4770" w:type="dxa"/>
            <w:vAlign w:val="center"/>
          </w:tcPr>
          <w:p w14:paraId="74526911" w14:textId="77777777" w:rsidR="002541B3" w:rsidRPr="00131E76" w:rsidRDefault="002541B3" w:rsidP="002541B3">
            <w:pPr>
              <w:rPr>
                <w:sz w:val="20"/>
                <w:szCs w:val="20"/>
              </w:rPr>
            </w:pPr>
          </w:p>
        </w:tc>
        <w:tc>
          <w:tcPr>
            <w:tcW w:w="1890" w:type="dxa"/>
            <w:vAlign w:val="center"/>
          </w:tcPr>
          <w:p w14:paraId="6BB9A307" w14:textId="2D93D4EE" w:rsidR="002541B3" w:rsidRPr="00131E76" w:rsidRDefault="00BC6CAD" w:rsidP="00700C56">
            <w:pPr>
              <w:rPr>
                <w:sz w:val="20"/>
                <w:szCs w:val="20"/>
              </w:rPr>
            </w:pPr>
            <w:r w:rsidRPr="00131E76">
              <w:rPr>
                <w:sz w:val="20"/>
                <w:szCs w:val="20"/>
              </w:rPr>
              <w:t>Barometric Pressure</w:t>
            </w:r>
          </w:p>
        </w:tc>
        <w:tc>
          <w:tcPr>
            <w:tcW w:w="1530" w:type="dxa"/>
            <w:vAlign w:val="center"/>
          </w:tcPr>
          <w:p w14:paraId="4BB04698" w14:textId="77777777" w:rsidR="002541B3" w:rsidRPr="00131E76" w:rsidRDefault="002541B3" w:rsidP="00AC6F05">
            <w:pPr>
              <w:spacing w:before="240"/>
              <w:rPr>
                <w:sz w:val="20"/>
                <w:szCs w:val="20"/>
              </w:rPr>
            </w:pPr>
          </w:p>
        </w:tc>
      </w:tr>
      <w:tr w:rsidR="002541B3" w:rsidRPr="00131E76" w14:paraId="1697656B" w14:textId="77777777" w:rsidTr="00582938">
        <w:trPr>
          <w:trHeight w:val="259"/>
        </w:trPr>
        <w:tc>
          <w:tcPr>
            <w:tcW w:w="1530" w:type="dxa"/>
            <w:vAlign w:val="center"/>
          </w:tcPr>
          <w:p w14:paraId="5ED74D01" w14:textId="2A2D0B34" w:rsidR="002541B3" w:rsidRPr="00131E76" w:rsidRDefault="002541B3" w:rsidP="002541B3">
            <w:pPr>
              <w:rPr>
                <w:sz w:val="20"/>
                <w:szCs w:val="20"/>
              </w:rPr>
            </w:pPr>
            <w:r w:rsidRPr="00131E76">
              <w:rPr>
                <w:sz w:val="20"/>
                <w:szCs w:val="20"/>
              </w:rPr>
              <w:t>Date Received</w:t>
            </w:r>
          </w:p>
        </w:tc>
        <w:tc>
          <w:tcPr>
            <w:tcW w:w="4770" w:type="dxa"/>
            <w:vAlign w:val="center"/>
          </w:tcPr>
          <w:p w14:paraId="04B20964" w14:textId="1F22DA1A" w:rsidR="002541B3" w:rsidRPr="00131E76" w:rsidRDefault="002541B3" w:rsidP="002541B3">
            <w:pPr>
              <w:rPr>
                <w:sz w:val="20"/>
                <w:szCs w:val="20"/>
              </w:rPr>
            </w:pPr>
          </w:p>
        </w:tc>
        <w:tc>
          <w:tcPr>
            <w:tcW w:w="1890" w:type="dxa"/>
            <w:vAlign w:val="center"/>
          </w:tcPr>
          <w:p w14:paraId="3D1EF5A1" w14:textId="245879D9" w:rsidR="002541B3" w:rsidRPr="00131E76" w:rsidRDefault="00BC6CAD" w:rsidP="002541B3">
            <w:pPr>
              <w:rPr>
                <w:sz w:val="20"/>
                <w:szCs w:val="20"/>
              </w:rPr>
            </w:pPr>
            <w:r w:rsidRPr="00131E76">
              <w:rPr>
                <w:sz w:val="20"/>
                <w:szCs w:val="20"/>
              </w:rPr>
              <w:t>Relative Humidity</w:t>
            </w:r>
          </w:p>
        </w:tc>
        <w:tc>
          <w:tcPr>
            <w:tcW w:w="1530" w:type="dxa"/>
            <w:vAlign w:val="center"/>
          </w:tcPr>
          <w:p w14:paraId="67C1F315" w14:textId="77777777" w:rsidR="002541B3" w:rsidRPr="00131E76" w:rsidRDefault="002541B3" w:rsidP="00AC6F05">
            <w:pPr>
              <w:spacing w:before="240"/>
              <w:rPr>
                <w:sz w:val="20"/>
                <w:szCs w:val="20"/>
              </w:rPr>
            </w:pPr>
          </w:p>
        </w:tc>
      </w:tr>
    </w:tbl>
    <w:p w14:paraId="2A4A362A" w14:textId="68ED1E7E" w:rsidR="00CC09FF" w:rsidRPr="00131E76" w:rsidRDefault="00FF4640" w:rsidP="00AC6F05">
      <w:pPr>
        <w:spacing w:before="240"/>
        <w:rPr>
          <w:b/>
          <w:sz w:val="20"/>
          <w:szCs w:val="20"/>
        </w:rPr>
      </w:pPr>
      <w:r>
        <w:rPr>
          <w:b/>
          <w:sz w:val="20"/>
          <w:szCs w:val="20"/>
        </w:rPr>
        <w:t xml:space="preserve">Unknown </w:t>
      </w:r>
      <w:r w:rsidR="00CC09FF" w:rsidRPr="00131E76">
        <w:rPr>
          <w:b/>
          <w:sz w:val="20"/>
          <w:szCs w:val="20"/>
        </w:rPr>
        <w:t>Standard Description:</w:t>
      </w:r>
    </w:p>
    <w:tbl>
      <w:tblPr>
        <w:tblW w:w="964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0" w:type="dxa"/>
          <w:right w:w="60" w:type="dxa"/>
        </w:tblCellMar>
        <w:tblLook w:val="04A0" w:firstRow="1" w:lastRow="0" w:firstColumn="1" w:lastColumn="0" w:noHBand="0" w:noVBand="1"/>
        <w:tblCaption w:val="data sheet for unknown"/>
        <w:tblDescription w:val="Owner  Neck Scale calibrated (Right or Left) &#10;Unique Identifier  Neck Inside Diameter  &#10;Model/Type   Gauge Tube Inside Diameter  &#10;Material   Neck scale graduations  &#10;Nominal Volume   Maximum allowed subdivision  &#10;Cubical Coefficient of Expansion ()  Applicable scale plate accuracy limit  &#10;Total Neck Scale Plate volume    Applicable scale plate linearity limit  &#10;Reference temperature  Reason for Neck Scale Calibration &#10;"/>
      </w:tblPr>
      <w:tblGrid>
        <w:gridCol w:w="3121"/>
        <w:gridCol w:w="1703"/>
        <w:gridCol w:w="3121"/>
        <w:gridCol w:w="1703"/>
      </w:tblGrid>
      <w:tr w:rsidR="00BC6CAD" w:rsidRPr="00131E76" w14:paraId="211E0F38" w14:textId="77777777" w:rsidTr="00700C56">
        <w:trPr>
          <w:cantSplit/>
          <w:trHeight w:val="259"/>
          <w:jc w:val="center"/>
        </w:trPr>
        <w:tc>
          <w:tcPr>
            <w:tcW w:w="3168" w:type="dxa"/>
            <w:vAlign w:val="center"/>
            <w:hideMark/>
          </w:tcPr>
          <w:p w14:paraId="324721AE" w14:textId="72CDAAA8" w:rsidR="000D2274" w:rsidRPr="00131E76" w:rsidRDefault="000D2274" w:rsidP="00686443">
            <w:pPr>
              <w:jc w:val="right"/>
              <w:rPr>
                <w:sz w:val="20"/>
                <w:szCs w:val="20"/>
              </w:rPr>
            </w:pPr>
            <w:r w:rsidRPr="00131E76">
              <w:rPr>
                <w:sz w:val="20"/>
                <w:szCs w:val="20"/>
              </w:rPr>
              <w:t>Owner</w:t>
            </w:r>
          </w:p>
        </w:tc>
        <w:tc>
          <w:tcPr>
            <w:tcW w:w="1728" w:type="dxa"/>
            <w:vAlign w:val="center"/>
          </w:tcPr>
          <w:p w14:paraId="6DE3E1BB" w14:textId="77777777" w:rsidR="000D2274" w:rsidRPr="00131E76" w:rsidRDefault="000D2274" w:rsidP="00700C56">
            <w:pPr>
              <w:ind w:hanging="435"/>
              <w:jc w:val="right"/>
              <w:rPr>
                <w:sz w:val="20"/>
                <w:szCs w:val="20"/>
              </w:rPr>
            </w:pPr>
          </w:p>
        </w:tc>
        <w:tc>
          <w:tcPr>
            <w:tcW w:w="3168" w:type="dxa"/>
            <w:vAlign w:val="center"/>
          </w:tcPr>
          <w:p w14:paraId="5A57B4C0" w14:textId="5718E365" w:rsidR="000D2274" w:rsidRPr="00131E76" w:rsidRDefault="002B0383" w:rsidP="00686443">
            <w:pPr>
              <w:jc w:val="right"/>
              <w:rPr>
                <w:sz w:val="20"/>
                <w:szCs w:val="20"/>
              </w:rPr>
            </w:pPr>
            <w:r w:rsidRPr="00131E76">
              <w:rPr>
                <w:sz w:val="20"/>
                <w:szCs w:val="20"/>
              </w:rPr>
              <w:t>Neck Scale calibrated (Right or Left)</w:t>
            </w:r>
          </w:p>
        </w:tc>
        <w:tc>
          <w:tcPr>
            <w:tcW w:w="1728" w:type="dxa"/>
            <w:vAlign w:val="center"/>
          </w:tcPr>
          <w:p w14:paraId="71BE004A" w14:textId="77777777" w:rsidR="000D2274" w:rsidRPr="00131E76" w:rsidRDefault="000D2274" w:rsidP="00686443">
            <w:pPr>
              <w:jc w:val="center"/>
              <w:rPr>
                <w:sz w:val="20"/>
                <w:szCs w:val="20"/>
              </w:rPr>
            </w:pPr>
          </w:p>
        </w:tc>
      </w:tr>
      <w:tr w:rsidR="00BC6CAD" w:rsidRPr="00131E76" w14:paraId="417299CE" w14:textId="77777777" w:rsidTr="00700C56">
        <w:trPr>
          <w:cantSplit/>
          <w:trHeight w:val="259"/>
          <w:jc w:val="center"/>
        </w:trPr>
        <w:tc>
          <w:tcPr>
            <w:tcW w:w="3168" w:type="dxa"/>
            <w:vAlign w:val="center"/>
            <w:hideMark/>
          </w:tcPr>
          <w:p w14:paraId="193AA665" w14:textId="70D876F9" w:rsidR="000D2274" w:rsidRPr="00131E76" w:rsidRDefault="004132C2" w:rsidP="00686443">
            <w:pPr>
              <w:jc w:val="right"/>
              <w:rPr>
                <w:sz w:val="20"/>
                <w:szCs w:val="20"/>
              </w:rPr>
            </w:pPr>
            <w:r w:rsidRPr="00131E76">
              <w:rPr>
                <w:sz w:val="20"/>
                <w:szCs w:val="20"/>
              </w:rPr>
              <w:t>Unique Identifier</w:t>
            </w:r>
          </w:p>
        </w:tc>
        <w:tc>
          <w:tcPr>
            <w:tcW w:w="1728" w:type="dxa"/>
            <w:vAlign w:val="center"/>
          </w:tcPr>
          <w:p w14:paraId="7A0E3C5E" w14:textId="77777777" w:rsidR="000D2274" w:rsidRPr="00131E76" w:rsidRDefault="000D2274" w:rsidP="00700C56">
            <w:pPr>
              <w:ind w:hanging="435"/>
              <w:jc w:val="right"/>
              <w:rPr>
                <w:sz w:val="20"/>
                <w:szCs w:val="20"/>
              </w:rPr>
            </w:pPr>
          </w:p>
        </w:tc>
        <w:tc>
          <w:tcPr>
            <w:tcW w:w="3168" w:type="dxa"/>
            <w:vAlign w:val="center"/>
          </w:tcPr>
          <w:p w14:paraId="0F2ECD86" w14:textId="3B593421" w:rsidR="000D2274" w:rsidRPr="00131E76" w:rsidRDefault="002B0383" w:rsidP="00686443">
            <w:pPr>
              <w:jc w:val="right"/>
              <w:rPr>
                <w:sz w:val="20"/>
                <w:szCs w:val="20"/>
              </w:rPr>
            </w:pPr>
            <w:r w:rsidRPr="00131E76">
              <w:rPr>
                <w:sz w:val="20"/>
                <w:szCs w:val="20"/>
              </w:rPr>
              <w:t>Neck Inside Diameter</w:t>
            </w:r>
            <w:r w:rsidRPr="00131E76" w:rsidDel="002541B3">
              <w:rPr>
                <w:sz w:val="20"/>
                <w:szCs w:val="20"/>
              </w:rPr>
              <w:t xml:space="preserve"> </w:t>
            </w:r>
          </w:p>
        </w:tc>
        <w:tc>
          <w:tcPr>
            <w:tcW w:w="1728" w:type="dxa"/>
            <w:vAlign w:val="center"/>
          </w:tcPr>
          <w:p w14:paraId="118F4C66" w14:textId="77777777" w:rsidR="000D2274" w:rsidRPr="00131E76" w:rsidRDefault="000D2274" w:rsidP="00686443">
            <w:pPr>
              <w:jc w:val="center"/>
              <w:rPr>
                <w:sz w:val="20"/>
                <w:szCs w:val="20"/>
              </w:rPr>
            </w:pPr>
          </w:p>
        </w:tc>
      </w:tr>
      <w:tr w:rsidR="00BC6CAD" w:rsidRPr="00131E76" w14:paraId="1FB17C53" w14:textId="77777777" w:rsidTr="00700C56">
        <w:trPr>
          <w:cantSplit/>
          <w:trHeight w:val="259"/>
          <w:jc w:val="center"/>
        </w:trPr>
        <w:tc>
          <w:tcPr>
            <w:tcW w:w="3168" w:type="dxa"/>
            <w:vAlign w:val="center"/>
          </w:tcPr>
          <w:p w14:paraId="648348E1" w14:textId="6831B1A0" w:rsidR="00BC6CAD" w:rsidRPr="00131E76" w:rsidRDefault="00BC6CAD" w:rsidP="00BC6CAD">
            <w:pPr>
              <w:jc w:val="right"/>
              <w:rPr>
                <w:sz w:val="20"/>
                <w:szCs w:val="20"/>
              </w:rPr>
            </w:pPr>
            <w:r w:rsidRPr="00131E76">
              <w:rPr>
                <w:sz w:val="20"/>
                <w:szCs w:val="20"/>
              </w:rPr>
              <w:t xml:space="preserve">Model/Type </w:t>
            </w:r>
          </w:p>
        </w:tc>
        <w:tc>
          <w:tcPr>
            <w:tcW w:w="1728" w:type="dxa"/>
            <w:vAlign w:val="center"/>
          </w:tcPr>
          <w:p w14:paraId="1B8FBFCD" w14:textId="77777777" w:rsidR="00BC6CAD" w:rsidRPr="00131E76" w:rsidRDefault="00BC6CAD" w:rsidP="00700C56">
            <w:pPr>
              <w:ind w:hanging="435"/>
              <w:jc w:val="right"/>
              <w:rPr>
                <w:sz w:val="20"/>
                <w:szCs w:val="20"/>
              </w:rPr>
            </w:pPr>
          </w:p>
        </w:tc>
        <w:tc>
          <w:tcPr>
            <w:tcW w:w="3168" w:type="dxa"/>
            <w:vAlign w:val="center"/>
          </w:tcPr>
          <w:p w14:paraId="74BDC9B3" w14:textId="55782695" w:rsidR="00BC6CAD" w:rsidRPr="00131E76" w:rsidRDefault="002B0383" w:rsidP="00BC6CAD">
            <w:pPr>
              <w:jc w:val="right"/>
              <w:rPr>
                <w:sz w:val="20"/>
                <w:szCs w:val="20"/>
              </w:rPr>
            </w:pPr>
            <w:r w:rsidRPr="00131E76">
              <w:rPr>
                <w:sz w:val="20"/>
                <w:szCs w:val="20"/>
              </w:rPr>
              <w:t>Gauge Tube Inside Diameter</w:t>
            </w:r>
            <w:r w:rsidRPr="00131E76" w:rsidDel="002541B3">
              <w:rPr>
                <w:sz w:val="20"/>
                <w:szCs w:val="20"/>
              </w:rPr>
              <w:t xml:space="preserve"> </w:t>
            </w:r>
          </w:p>
        </w:tc>
        <w:tc>
          <w:tcPr>
            <w:tcW w:w="1728" w:type="dxa"/>
            <w:vAlign w:val="center"/>
          </w:tcPr>
          <w:p w14:paraId="2FEFDB01" w14:textId="77777777" w:rsidR="00BC6CAD" w:rsidRPr="00131E76" w:rsidRDefault="00BC6CAD" w:rsidP="00BC6CAD">
            <w:pPr>
              <w:rPr>
                <w:sz w:val="20"/>
                <w:szCs w:val="20"/>
              </w:rPr>
            </w:pPr>
          </w:p>
        </w:tc>
      </w:tr>
      <w:tr w:rsidR="002B0383" w:rsidRPr="00131E76" w14:paraId="4CDC459D" w14:textId="77777777" w:rsidTr="00700C56">
        <w:trPr>
          <w:cantSplit/>
          <w:trHeight w:val="259"/>
          <w:jc w:val="center"/>
        </w:trPr>
        <w:tc>
          <w:tcPr>
            <w:tcW w:w="3168" w:type="dxa"/>
            <w:vAlign w:val="center"/>
          </w:tcPr>
          <w:p w14:paraId="76FB3026" w14:textId="7D6D0BB3" w:rsidR="002B0383" w:rsidRPr="00131E76" w:rsidRDefault="002B0383" w:rsidP="002B0383">
            <w:pPr>
              <w:jc w:val="right"/>
              <w:rPr>
                <w:sz w:val="20"/>
                <w:szCs w:val="20"/>
              </w:rPr>
            </w:pPr>
            <w:r w:rsidRPr="00131E76">
              <w:rPr>
                <w:sz w:val="20"/>
                <w:szCs w:val="20"/>
              </w:rPr>
              <w:t>Material</w:t>
            </w:r>
            <w:r w:rsidRPr="00131E76" w:rsidDel="002F3F15">
              <w:rPr>
                <w:sz w:val="20"/>
                <w:szCs w:val="20"/>
              </w:rPr>
              <w:t xml:space="preserve"> </w:t>
            </w:r>
          </w:p>
        </w:tc>
        <w:tc>
          <w:tcPr>
            <w:tcW w:w="1728" w:type="dxa"/>
            <w:vAlign w:val="center"/>
          </w:tcPr>
          <w:p w14:paraId="1D732442" w14:textId="77777777" w:rsidR="002B0383" w:rsidRPr="00131E76" w:rsidRDefault="002B0383" w:rsidP="00700C56">
            <w:pPr>
              <w:ind w:hanging="435"/>
              <w:jc w:val="right"/>
              <w:rPr>
                <w:sz w:val="20"/>
                <w:szCs w:val="20"/>
              </w:rPr>
            </w:pPr>
          </w:p>
        </w:tc>
        <w:tc>
          <w:tcPr>
            <w:tcW w:w="3168" w:type="dxa"/>
            <w:vAlign w:val="center"/>
          </w:tcPr>
          <w:p w14:paraId="6542B497" w14:textId="7029B206" w:rsidR="002B0383" w:rsidRPr="00131E76" w:rsidRDefault="002B0383" w:rsidP="002B0383">
            <w:pPr>
              <w:jc w:val="right"/>
              <w:rPr>
                <w:sz w:val="20"/>
                <w:szCs w:val="20"/>
              </w:rPr>
            </w:pPr>
            <w:r w:rsidRPr="00131E76">
              <w:rPr>
                <w:sz w:val="20"/>
                <w:szCs w:val="20"/>
              </w:rPr>
              <w:t xml:space="preserve">Neck scale graduations </w:t>
            </w:r>
          </w:p>
        </w:tc>
        <w:tc>
          <w:tcPr>
            <w:tcW w:w="1728" w:type="dxa"/>
            <w:vAlign w:val="center"/>
            <w:hideMark/>
          </w:tcPr>
          <w:p w14:paraId="4B170309" w14:textId="77777777" w:rsidR="002B0383" w:rsidRPr="00131E76" w:rsidRDefault="002B0383" w:rsidP="002B0383">
            <w:pPr>
              <w:rPr>
                <w:sz w:val="20"/>
                <w:szCs w:val="20"/>
              </w:rPr>
            </w:pPr>
          </w:p>
        </w:tc>
      </w:tr>
      <w:tr w:rsidR="002B0383" w:rsidRPr="00131E76" w14:paraId="4EC9728A" w14:textId="77777777" w:rsidTr="00700C56">
        <w:trPr>
          <w:cantSplit/>
          <w:trHeight w:val="259"/>
          <w:jc w:val="center"/>
        </w:trPr>
        <w:tc>
          <w:tcPr>
            <w:tcW w:w="3168" w:type="dxa"/>
            <w:vAlign w:val="center"/>
          </w:tcPr>
          <w:p w14:paraId="39676D9B" w14:textId="0A9F77A9" w:rsidR="002B0383" w:rsidRPr="00131E76" w:rsidRDefault="002B0383" w:rsidP="002B0383">
            <w:pPr>
              <w:jc w:val="right"/>
              <w:rPr>
                <w:sz w:val="20"/>
                <w:szCs w:val="20"/>
              </w:rPr>
            </w:pPr>
            <w:r w:rsidRPr="00131E76">
              <w:rPr>
                <w:sz w:val="20"/>
                <w:szCs w:val="20"/>
              </w:rPr>
              <w:t xml:space="preserve">Nominal Volume </w:t>
            </w:r>
          </w:p>
        </w:tc>
        <w:tc>
          <w:tcPr>
            <w:tcW w:w="1728" w:type="dxa"/>
            <w:vAlign w:val="center"/>
          </w:tcPr>
          <w:p w14:paraId="4FE4976B" w14:textId="6CA28F45" w:rsidR="002B0383" w:rsidRPr="00131E76" w:rsidRDefault="002B0383" w:rsidP="00700C56">
            <w:pPr>
              <w:ind w:hanging="435"/>
              <w:jc w:val="right"/>
              <w:rPr>
                <w:sz w:val="20"/>
                <w:szCs w:val="20"/>
              </w:rPr>
            </w:pPr>
          </w:p>
        </w:tc>
        <w:tc>
          <w:tcPr>
            <w:tcW w:w="3168" w:type="dxa"/>
            <w:vAlign w:val="center"/>
          </w:tcPr>
          <w:p w14:paraId="0F91C1FC" w14:textId="7AC4A47D" w:rsidR="002B0383" w:rsidRPr="00131E76" w:rsidRDefault="002B0383" w:rsidP="002B0383">
            <w:pPr>
              <w:jc w:val="right"/>
              <w:rPr>
                <w:sz w:val="20"/>
                <w:szCs w:val="20"/>
              </w:rPr>
            </w:pPr>
            <w:r w:rsidRPr="00131E76">
              <w:rPr>
                <w:sz w:val="20"/>
                <w:szCs w:val="20"/>
              </w:rPr>
              <w:t xml:space="preserve">Maximum allowed subdivision </w:t>
            </w:r>
          </w:p>
        </w:tc>
        <w:tc>
          <w:tcPr>
            <w:tcW w:w="1728" w:type="dxa"/>
            <w:vAlign w:val="center"/>
          </w:tcPr>
          <w:p w14:paraId="65CB996A" w14:textId="77777777" w:rsidR="002B0383" w:rsidRPr="00131E76" w:rsidRDefault="002B0383" w:rsidP="002B0383">
            <w:pPr>
              <w:jc w:val="right"/>
              <w:rPr>
                <w:sz w:val="20"/>
                <w:szCs w:val="20"/>
              </w:rPr>
            </w:pPr>
          </w:p>
        </w:tc>
      </w:tr>
      <w:tr w:rsidR="002B0383" w:rsidRPr="00131E76" w14:paraId="48218C5A" w14:textId="77777777" w:rsidTr="00700C56">
        <w:trPr>
          <w:cantSplit/>
          <w:trHeight w:val="259"/>
          <w:jc w:val="center"/>
        </w:trPr>
        <w:tc>
          <w:tcPr>
            <w:tcW w:w="3168" w:type="dxa"/>
            <w:vAlign w:val="center"/>
            <w:hideMark/>
          </w:tcPr>
          <w:p w14:paraId="77D417C3" w14:textId="0407D513" w:rsidR="002B0383" w:rsidRPr="00131E76" w:rsidRDefault="002B0383" w:rsidP="002B0383">
            <w:pPr>
              <w:jc w:val="right"/>
              <w:rPr>
                <w:sz w:val="20"/>
                <w:szCs w:val="20"/>
              </w:rPr>
            </w:pPr>
            <w:r w:rsidRPr="00131E76">
              <w:rPr>
                <w:sz w:val="20"/>
                <w:szCs w:val="20"/>
              </w:rPr>
              <w:t>Cubical Coefficient of Expansion (</w:t>
            </w:r>
            <w:r w:rsidRPr="00131E76">
              <w:rPr>
                <w:sz w:val="20"/>
                <w:szCs w:val="20"/>
              </w:rPr>
              <w:sym w:font="Symbol" w:char="F062"/>
            </w:r>
            <w:r w:rsidRPr="00131E76">
              <w:rPr>
                <w:sz w:val="20"/>
                <w:szCs w:val="20"/>
              </w:rPr>
              <w:t>)</w:t>
            </w:r>
          </w:p>
        </w:tc>
        <w:tc>
          <w:tcPr>
            <w:tcW w:w="1728" w:type="dxa"/>
            <w:vAlign w:val="center"/>
          </w:tcPr>
          <w:p w14:paraId="1EA08296" w14:textId="77777777" w:rsidR="002B0383" w:rsidRPr="00131E76" w:rsidRDefault="002B0383" w:rsidP="00700C56">
            <w:pPr>
              <w:ind w:hanging="435"/>
              <w:jc w:val="right"/>
              <w:rPr>
                <w:sz w:val="20"/>
                <w:szCs w:val="20"/>
                <w:vertAlign w:val="subscript"/>
              </w:rPr>
            </w:pPr>
          </w:p>
        </w:tc>
        <w:tc>
          <w:tcPr>
            <w:tcW w:w="3168" w:type="dxa"/>
            <w:vAlign w:val="center"/>
          </w:tcPr>
          <w:p w14:paraId="0EBE79F4" w14:textId="3B85DD45" w:rsidR="002B0383" w:rsidRPr="00131E76" w:rsidRDefault="002B0383" w:rsidP="002B0383">
            <w:pPr>
              <w:jc w:val="right"/>
              <w:rPr>
                <w:sz w:val="20"/>
                <w:szCs w:val="20"/>
              </w:rPr>
            </w:pPr>
            <w:r w:rsidRPr="00131E76">
              <w:rPr>
                <w:sz w:val="20"/>
                <w:szCs w:val="20"/>
              </w:rPr>
              <w:t>Applicable scale plate accuracy limit</w:t>
            </w:r>
            <w:r w:rsidRPr="00131E76" w:rsidDel="002541B3">
              <w:rPr>
                <w:sz w:val="20"/>
                <w:szCs w:val="20"/>
              </w:rPr>
              <w:t xml:space="preserve"> </w:t>
            </w:r>
          </w:p>
        </w:tc>
        <w:tc>
          <w:tcPr>
            <w:tcW w:w="1728" w:type="dxa"/>
            <w:vAlign w:val="center"/>
          </w:tcPr>
          <w:p w14:paraId="3C5947BA" w14:textId="77777777" w:rsidR="002B0383" w:rsidRPr="00131E76" w:rsidRDefault="002B0383" w:rsidP="002B0383">
            <w:pPr>
              <w:jc w:val="right"/>
              <w:rPr>
                <w:sz w:val="20"/>
                <w:szCs w:val="20"/>
              </w:rPr>
            </w:pPr>
          </w:p>
        </w:tc>
      </w:tr>
      <w:tr w:rsidR="002B0383" w:rsidRPr="00131E76" w14:paraId="4111C5A3" w14:textId="77777777" w:rsidTr="00700C56">
        <w:trPr>
          <w:cantSplit/>
          <w:trHeight w:val="259"/>
          <w:jc w:val="center"/>
        </w:trPr>
        <w:tc>
          <w:tcPr>
            <w:tcW w:w="3168" w:type="dxa"/>
            <w:vAlign w:val="center"/>
          </w:tcPr>
          <w:p w14:paraId="5A349CB6" w14:textId="01A15198" w:rsidR="002B0383" w:rsidRPr="00131E76" w:rsidRDefault="002B0383" w:rsidP="002B0383">
            <w:pPr>
              <w:jc w:val="right"/>
              <w:rPr>
                <w:sz w:val="20"/>
                <w:szCs w:val="20"/>
              </w:rPr>
            </w:pPr>
            <w:r w:rsidRPr="00131E76">
              <w:rPr>
                <w:sz w:val="20"/>
                <w:szCs w:val="20"/>
              </w:rPr>
              <w:t xml:space="preserve">Total Neck Scale Plate volume  </w:t>
            </w:r>
          </w:p>
        </w:tc>
        <w:tc>
          <w:tcPr>
            <w:tcW w:w="1728" w:type="dxa"/>
            <w:vAlign w:val="center"/>
          </w:tcPr>
          <w:p w14:paraId="2F6CD420" w14:textId="7E1B651A" w:rsidR="002B0383" w:rsidRPr="00131E76" w:rsidRDefault="002B0383" w:rsidP="00700C56">
            <w:pPr>
              <w:ind w:hanging="435"/>
              <w:jc w:val="right"/>
              <w:rPr>
                <w:sz w:val="20"/>
                <w:szCs w:val="20"/>
                <w:vertAlign w:val="subscript"/>
              </w:rPr>
            </w:pPr>
          </w:p>
        </w:tc>
        <w:tc>
          <w:tcPr>
            <w:tcW w:w="3168" w:type="dxa"/>
            <w:vAlign w:val="center"/>
          </w:tcPr>
          <w:p w14:paraId="7D129993" w14:textId="55789C8A" w:rsidR="002B0383" w:rsidRPr="00131E76" w:rsidRDefault="002B0383" w:rsidP="002B0383">
            <w:pPr>
              <w:jc w:val="right"/>
              <w:rPr>
                <w:sz w:val="20"/>
                <w:szCs w:val="20"/>
              </w:rPr>
            </w:pPr>
            <w:r w:rsidRPr="00131E76">
              <w:rPr>
                <w:sz w:val="20"/>
                <w:szCs w:val="20"/>
              </w:rPr>
              <w:t>Applicable scale plate linearity limit</w:t>
            </w:r>
            <w:r w:rsidRPr="00131E76" w:rsidDel="00BC6CAD">
              <w:rPr>
                <w:sz w:val="20"/>
                <w:szCs w:val="20"/>
              </w:rPr>
              <w:t xml:space="preserve"> </w:t>
            </w:r>
          </w:p>
        </w:tc>
        <w:tc>
          <w:tcPr>
            <w:tcW w:w="1728" w:type="dxa"/>
            <w:vAlign w:val="center"/>
          </w:tcPr>
          <w:p w14:paraId="4D9AA752" w14:textId="77777777" w:rsidR="002B0383" w:rsidRPr="00131E76" w:rsidRDefault="002B0383" w:rsidP="002B0383">
            <w:pPr>
              <w:jc w:val="right"/>
              <w:rPr>
                <w:sz w:val="20"/>
                <w:szCs w:val="20"/>
              </w:rPr>
            </w:pPr>
          </w:p>
        </w:tc>
      </w:tr>
      <w:tr w:rsidR="002B0383" w:rsidRPr="00131E76" w14:paraId="0D7B3ECA" w14:textId="77777777" w:rsidTr="00700C56">
        <w:trPr>
          <w:cantSplit/>
          <w:trHeight w:val="259"/>
          <w:jc w:val="center"/>
        </w:trPr>
        <w:tc>
          <w:tcPr>
            <w:tcW w:w="3168" w:type="dxa"/>
            <w:vAlign w:val="center"/>
          </w:tcPr>
          <w:p w14:paraId="092D6BDF" w14:textId="205EDC56" w:rsidR="002B0383" w:rsidRPr="00131E76" w:rsidRDefault="002B0383" w:rsidP="002B0383">
            <w:pPr>
              <w:jc w:val="right"/>
              <w:rPr>
                <w:sz w:val="20"/>
                <w:szCs w:val="20"/>
              </w:rPr>
            </w:pPr>
            <w:r w:rsidRPr="00131E76">
              <w:rPr>
                <w:sz w:val="20"/>
                <w:szCs w:val="20"/>
              </w:rPr>
              <w:t>Reference temperature</w:t>
            </w:r>
          </w:p>
        </w:tc>
        <w:tc>
          <w:tcPr>
            <w:tcW w:w="1728" w:type="dxa"/>
            <w:vAlign w:val="center"/>
          </w:tcPr>
          <w:p w14:paraId="2E900C2D" w14:textId="647B4A84" w:rsidR="002B0383" w:rsidRPr="00131E76" w:rsidRDefault="002B0383" w:rsidP="002B0383">
            <w:pPr>
              <w:ind w:hanging="435"/>
              <w:jc w:val="right"/>
              <w:rPr>
                <w:sz w:val="20"/>
                <w:szCs w:val="20"/>
                <w:vertAlign w:val="subscript"/>
              </w:rPr>
            </w:pPr>
          </w:p>
        </w:tc>
        <w:tc>
          <w:tcPr>
            <w:tcW w:w="3168" w:type="dxa"/>
            <w:vAlign w:val="center"/>
          </w:tcPr>
          <w:p w14:paraId="672FDCBB" w14:textId="73F4C30F" w:rsidR="002B0383" w:rsidRPr="00131E76" w:rsidRDefault="002B0383" w:rsidP="002B0383">
            <w:pPr>
              <w:jc w:val="right"/>
              <w:rPr>
                <w:sz w:val="20"/>
                <w:szCs w:val="20"/>
              </w:rPr>
            </w:pPr>
            <w:r w:rsidRPr="00131E76">
              <w:rPr>
                <w:sz w:val="20"/>
                <w:szCs w:val="20"/>
              </w:rPr>
              <w:t>Reason for Neck Scale Calibration</w:t>
            </w:r>
          </w:p>
        </w:tc>
        <w:tc>
          <w:tcPr>
            <w:tcW w:w="1728" w:type="dxa"/>
            <w:vAlign w:val="center"/>
          </w:tcPr>
          <w:p w14:paraId="3233EF97" w14:textId="77777777" w:rsidR="002B0383" w:rsidRPr="00131E76" w:rsidRDefault="002B0383" w:rsidP="002B0383">
            <w:pPr>
              <w:jc w:val="right"/>
              <w:rPr>
                <w:sz w:val="20"/>
                <w:szCs w:val="20"/>
              </w:rPr>
            </w:pPr>
          </w:p>
        </w:tc>
      </w:tr>
    </w:tbl>
    <w:p w14:paraId="4A12341C" w14:textId="77777777" w:rsidR="000D2274" w:rsidRPr="00131E76" w:rsidRDefault="000D2274" w:rsidP="000D2274">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20"/>
          <w:szCs w:val="20"/>
        </w:rPr>
      </w:pPr>
    </w:p>
    <w:p w14:paraId="3765E0BA" w14:textId="77777777" w:rsidR="000D2274" w:rsidRPr="00131E76" w:rsidRDefault="000D2274" w:rsidP="000D2274">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20"/>
          <w:szCs w:val="20"/>
        </w:rPr>
      </w:pPr>
      <w:r w:rsidRPr="00131E76">
        <w:rPr>
          <w:b/>
          <w:sz w:val="20"/>
          <w:szCs w:val="20"/>
        </w:rPr>
        <w:t>Volume standard(s) data:</w:t>
      </w:r>
    </w:p>
    <w:tbl>
      <w:tblPr>
        <w:tblW w:w="9697" w:type="dxa"/>
        <w:jc w:val="center"/>
        <w:tblLayout w:type="fixed"/>
        <w:tblCellMar>
          <w:left w:w="60" w:type="dxa"/>
          <w:right w:w="60" w:type="dxa"/>
        </w:tblCellMar>
        <w:tblLook w:val="04A0" w:firstRow="1" w:lastRow="0" w:firstColumn="1" w:lastColumn="0" w:noHBand="0" w:noVBand="1"/>
        <w:tblCaption w:val="data sheet for standard"/>
        <w:tblDescription w:val="ID (Note ID of Standards) Nom. Vol. Ref. Temp. Cal. Vol.&#10;VSn Exp. Unc. Unc.&#10;k factor # Del.  per interval Cubical Coef. of Exp. ()&#10;"/>
      </w:tblPr>
      <w:tblGrid>
        <w:gridCol w:w="1527"/>
        <w:gridCol w:w="1158"/>
        <w:gridCol w:w="1159"/>
        <w:gridCol w:w="1159"/>
        <w:gridCol w:w="1159"/>
        <w:gridCol w:w="1159"/>
        <w:gridCol w:w="1159"/>
        <w:gridCol w:w="1217"/>
      </w:tblGrid>
      <w:tr w:rsidR="004132C2" w:rsidRPr="00131E76" w14:paraId="2BA05D29" w14:textId="77777777" w:rsidTr="00131E76">
        <w:trPr>
          <w:cantSplit/>
          <w:trHeight w:val="295"/>
          <w:jc w:val="center"/>
        </w:trPr>
        <w:tc>
          <w:tcPr>
            <w:tcW w:w="1527" w:type="dxa"/>
            <w:tcBorders>
              <w:top w:val="double" w:sz="6" w:space="0" w:color="auto"/>
              <w:left w:val="double" w:sz="6" w:space="0" w:color="auto"/>
              <w:bottom w:val="double" w:sz="6" w:space="0" w:color="auto"/>
              <w:right w:val="nil"/>
            </w:tcBorders>
            <w:vAlign w:val="center"/>
            <w:hideMark/>
          </w:tcPr>
          <w:p w14:paraId="5A6B0F25" w14:textId="77777777" w:rsidR="004132C2" w:rsidRPr="00FF4640" w:rsidRDefault="004132C2" w:rsidP="00686443">
            <w:pPr>
              <w:jc w:val="center"/>
              <w:rPr>
                <w:sz w:val="20"/>
                <w:szCs w:val="20"/>
              </w:rPr>
            </w:pPr>
            <w:r w:rsidRPr="00FF4640">
              <w:rPr>
                <w:sz w:val="20"/>
                <w:szCs w:val="20"/>
              </w:rPr>
              <w:t>ID (Note ID of Standards)</w:t>
            </w:r>
          </w:p>
        </w:tc>
        <w:tc>
          <w:tcPr>
            <w:tcW w:w="1158" w:type="dxa"/>
            <w:tcBorders>
              <w:top w:val="double" w:sz="6" w:space="0" w:color="auto"/>
              <w:left w:val="single" w:sz="6" w:space="0" w:color="auto"/>
              <w:bottom w:val="double" w:sz="6" w:space="0" w:color="auto"/>
              <w:right w:val="nil"/>
            </w:tcBorders>
            <w:vAlign w:val="center"/>
            <w:hideMark/>
          </w:tcPr>
          <w:p w14:paraId="5830D488" w14:textId="23A71CAE" w:rsidR="004132C2" w:rsidRPr="00FF4640" w:rsidRDefault="004132C2" w:rsidP="00686443">
            <w:pPr>
              <w:jc w:val="center"/>
              <w:rPr>
                <w:sz w:val="20"/>
                <w:szCs w:val="20"/>
              </w:rPr>
            </w:pPr>
            <w:r w:rsidRPr="00FF4640">
              <w:rPr>
                <w:sz w:val="20"/>
                <w:szCs w:val="20"/>
              </w:rPr>
              <w:t>Nom</w:t>
            </w:r>
            <w:r w:rsidR="002D6701" w:rsidRPr="00FF4640">
              <w:rPr>
                <w:sz w:val="20"/>
                <w:szCs w:val="20"/>
              </w:rPr>
              <w:t>.</w:t>
            </w:r>
            <w:r w:rsidRPr="00FF4640">
              <w:rPr>
                <w:sz w:val="20"/>
                <w:szCs w:val="20"/>
              </w:rPr>
              <w:t xml:space="preserve"> Vol</w:t>
            </w:r>
            <w:r w:rsidR="002D6701" w:rsidRPr="00FF4640">
              <w:rPr>
                <w:sz w:val="20"/>
                <w:szCs w:val="20"/>
              </w:rPr>
              <w:t>.</w:t>
            </w:r>
          </w:p>
        </w:tc>
        <w:tc>
          <w:tcPr>
            <w:tcW w:w="1159" w:type="dxa"/>
            <w:tcBorders>
              <w:top w:val="double" w:sz="6" w:space="0" w:color="auto"/>
              <w:left w:val="single" w:sz="6" w:space="0" w:color="auto"/>
              <w:bottom w:val="double" w:sz="6" w:space="0" w:color="auto"/>
              <w:right w:val="single" w:sz="6" w:space="0" w:color="auto"/>
            </w:tcBorders>
            <w:vAlign w:val="center"/>
          </w:tcPr>
          <w:p w14:paraId="03C46C39" w14:textId="4161B857" w:rsidR="004132C2" w:rsidRPr="00FF4640" w:rsidRDefault="004132C2" w:rsidP="002B43A2">
            <w:pPr>
              <w:jc w:val="center"/>
              <w:rPr>
                <w:sz w:val="20"/>
                <w:szCs w:val="20"/>
              </w:rPr>
            </w:pPr>
            <w:r w:rsidRPr="00FF4640">
              <w:rPr>
                <w:sz w:val="20"/>
                <w:szCs w:val="20"/>
              </w:rPr>
              <w:t>Ref</w:t>
            </w:r>
            <w:r w:rsidR="00131E76" w:rsidRPr="00FF4640">
              <w:rPr>
                <w:sz w:val="20"/>
                <w:szCs w:val="20"/>
              </w:rPr>
              <w:t>.</w:t>
            </w:r>
            <w:r w:rsidRPr="00FF4640">
              <w:rPr>
                <w:sz w:val="20"/>
                <w:szCs w:val="20"/>
              </w:rPr>
              <w:t xml:space="preserve"> Temp</w:t>
            </w:r>
            <w:r w:rsidR="00131E76" w:rsidRPr="00FF4640">
              <w:rPr>
                <w:sz w:val="20"/>
                <w:szCs w:val="20"/>
              </w:rPr>
              <w:t>.</w:t>
            </w:r>
          </w:p>
        </w:tc>
        <w:tc>
          <w:tcPr>
            <w:tcW w:w="1159" w:type="dxa"/>
            <w:tcBorders>
              <w:top w:val="double" w:sz="6" w:space="0" w:color="auto"/>
              <w:left w:val="single" w:sz="6" w:space="0" w:color="auto"/>
              <w:bottom w:val="double" w:sz="6" w:space="0" w:color="auto"/>
              <w:right w:val="single" w:sz="6" w:space="0" w:color="auto"/>
            </w:tcBorders>
            <w:vAlign w:val="center"/>
            <w:hideMark/>
          </w:tcPr>
          <w:p w14:paraId="67EF8849" w14:textId="77777777" w:rsidR="00131E76" w:rsidRPr="00FF4640" w:rsidRDefault="004132C2" w:rsidP="002B43A2">
            <w:pPr>
              <w:jc w:val="center"/>
              <w:rPr>
                <w:sz w:val="20"/>
                <w:szCs w:val="20"/>
              </w:rPr>
            </w:pPr>
            <w:r w:rsidRPr="00FF4640">
              <w:rPr>
                <w:sz w:val="20"/>
                <w:szCs w:val="20"/>
              </w:rPr>
              <w:t>Cal</w:t>
            </w:r>
            <w:r w:rsidR="00131E76" w:rsidRPr="00FF4640">
              <w:rPr>
                <w:sz w:val="20"/>
                <w:szCs w:val="20"/>
              </w:rPr>
              <w:t xml:space="preserve">. </w:t>
            </w:r>
            <w:r w:rsidRPr="00FF4640">
              <w:rPr>
                <w:sz w:val="20"/>
                <w:szCs w:val="20"/>
              </w:rPr>
              <w:t>Vol</w:t>
            </w:r>
            <w:r w:rsidR="00131E76" w:rsidRPr="00FF4640">
              <w:rPr>
                <w:sz w:val="20"/>
                <w:szCs w:val="20"/>
              </w:rPr>
              <w:t>.</w:t>
            </w:r>
          </w:p>
          <w:p w14:paraId="64565A4B" w14:textId="0380314A" w:rsidR="004132C2" w:rsidRPr="002E1917" w:rsidRDefault="004132C2" w:rsidP="002B43A2">
            <w:pPr>
              <w:jc w:val="center"/>
              <w:rPr>
                <w:i/>
                <w:sz w:val="20"/>
                <w:szCs w:val="20"/>
              </w:rPr>
            </w:pPr>
            <w:r w:rsidRPr="002E1917">
              <w:rPr>
                <w:i/>
                <w:sz w:val="20"/>
                <w:szCs w:val="20"/>
              </w:rPr>
              <w:t>V</w:t>
            </w:r>
            <w:r w:rsidRPr="002E1917">
              <w:rPr>
                <w:i/>
                <w:sz w:val="20"/>
                <w:szCs w:val="20"/>
                <w:vertAlign w:val="subscript"/>
              </w:rPr>
              <w:t>Sn</w:t>
            </w:r>
          </w:p>
        </w:tc>
        <w:tc>
          <w:tcPr>
            <w:tcW w:w="1159" w:type="dxa"/>
            <w:tcBorders>
              <w:top w:val="double" w:sz="6" w:space="0" w:color="auto"/>
              <w:left w:val="single" w:sz="6" w:space="0" w:color="auto"/>
              <w:bottom w:val="double" w:sz="6" w:space="0" w:color="auto"/>
              <w:right w:val="nil"/>
            </w:tcBorders>
            <w:vAlign w:val="center"/>
            <w:hideMark/>
          </w:tcPr>
          <w:p w14:paraId="368A0ADE" w14:textId="13035DD4" w:rsidR="004132C2" w:rsidRPr="00FF4640" w:rsidRDefault="004132C2" w:rsidP="004132C2">
            <w:pPr>
              <w:jc w:val="center"/>
              <w:rPr>
                <w:sz w:val="20"/>
                <w:szCs w:val="20"/>
              </w:rPr>
            </w:pPr>
            <w:r w:rsidRPr="00FF4640">
              <w:rPr>
                <w:sz w:val="20"/>
                <w:szCs w:val="20"/>
              </w:rPr>
              <w:t>Exp</w:t>
            </w:r>
            <w:r w:rsidR="00131E76" w:rsidRPr="00FF4640">
              <w:rPr>
                <w:sz w:val="20"/>
                <w:szCs w:val="20"/>
              </w:rPr>
              <w:t>.</w:t>
            </w:r>
            <w:r w:rsidRPr="00FF4640">
              <w:rPr>
                <w:sz w:val="20"/>
                <w:szCs w:val="20"/>
              </w:rPr>
              <w:t xml:space="preserve"> Unc</w:t>
            </w:r>
            <w:r w:rsidR="00131E76" w:rsidRPr="00FF4640">
              <w:rPr>
                <w:sz w:val="20"/>
                <w:szCs w:val="20"/>
              </w:rPr>
              <w:t>.</w:t>
            </w:r>
          </w:p>
        </w:tc>
        <w:tc>
          <w:tcPr>
            <w:tcW w:w="1159" w:type="dxa"/>
            <w:tcBorders>
              <w:top w:val="double" w:sz="6" w:space="0" w:color="auto"/>
              <w:left w:val="single" w:sz="6" w:space="0" w:color="auto"/>
              <w:bottom w:val="double" w:sz="6" w:space="0" w:color="auto"/>
              <w:right w:val="single" w:sz="6" w:space="0" w:color="auto"/>
            </w:tcBorders>
            <w:vAlign w:val="center"/>
            <w:hideMark/>
          </w:tcPr>
          <w:p w14:paraId="0DC8058D" w14:textId="77777777" w:rsidR="00131E76" w:rsidRPr="00FF4640" w:rsidRDefault="004132C2" w:rsidP="00131E76">
            <w:pPr>
              <w:jc w:val="center"/>
              <w:rPr>
                <w:sz w:val="20"/>
                <w:szCs w:val="20"/>
              </w:rPr>
            </w:pPr>
            <w:r w:rsidRPr="00FF4640">
              <w:rPr>
                <w:sz w:val="20"/>
                <w:szCs w:val="20"/>
              </w:rPr>
              <w:t>Unc</w:t>
            </w:r>
            <w:r w:rsidR="00131E76" w:rsidRPr="00FF4640">
              <w:rPr>
                <w:sz w:val="20"/>
                <w:szCs w:val="20"/>
              </w:rPr>
              <w:t>.</w:t>
            </w:r>
          </w:p>
          <w:p w14:paraId="065FFE58" w14:textId="4D89B7CB" w:rsidR="004132C2" w:rsidRPr="00FF4640" w:rsidRDefault="004132C2" w:rsidP="00131E76">
            <w:pPr>
              <w:jc w:val="center"/>
              <w:rPr>
                <w:sz w:val="20"/>
                <w:szCs w:val="20"/>
              </w:rPr>
            </w:pPr>
            <w:r w:rsidRPr="00FF4640">
              <w:rPr>
                <w:i/>
                <w:sz w:val="20"/>
                <w:szCs w:val="20"/>
              </w:rPr>
              <w:t>k</w:t>
            </w:r>
            <w:r w:rsidRPr="00FF4640">
              <w:rPr>
                <w:sz w:val="20"/>
                <w:szCs w:val="20"/>
              </w:rPr>
              <w:t xml:space="preserve"> factor</w:t>
            </w:r>
          </w:p>
        </w:tc>
        <w:tc>
          <w:tcPr>
            <w:tcW w:w="1159" w:type="dxa"/>
            <w:tcBorders>
              <w:top w:val="double" w:sz="6" w:space="0" w:color="auto"/>
              <w:left w:val="single" w:sz="6" w:space="0" w:color="auto"/>
              <w:bottom w:val="double" w:sz="6" w:space="0" w:color="auto"/>
              <w:right w:val="single" w:sz="6" w:space="0" w:color="auto"/>
            </w:tcBorders>
            <w:vAlign w:val="center"/>
          </w:tcPr>
          <w:p w14:paraId="47146247" w14:textId="0B1A1E12" w:rsidR="004132C2" w:rsidRPr="00FF4640" w:rsidRDefault="004132C2">
            <w:pPr>
              <w:jc w:val="center"/>
              <w:rPr>
                <w:sz w:val="20"/>
                <w:szCs w:val="20"/>
              </w:rPr>
            </w:pPr>
            <w:r w:rsidRPr="00FF4640">
              <w:rPr>
                <w:sz w:val="20"/>
                <w:szCs w:val="20"/>
              </w:rPr>
              <w:t># Del</w:t>
            </w:r>
            <w:r w:rsidR="005570B1">
              <w:rPr>
                <w:sz w:val="20"/>
                <w:szCs w:val="20"/>
              </w:rPr>
              <w:t xml:space="preserve">. </w:t>
            </w:r>
            <w:r w:rsidRPr="00FF4640">
              <w:rPr>
                <w:sz w:val="20"/>
                <w:szCs w:val="20"/>
              </w:rPr>
              <w:t>per interval</w:t>
            </w:r>
          </w:p>
        </w:tc>
        <w:tc>
          <w:tcPr>
            <w:tcW w:w="1217" w:type="dxa"/>
            <w:tcBorders>
              <w:top w:val="double" w:sz="6" w:space="0" w:color="auto"/>
              <w:left w:val="single" w:sz="6" w:space="0" w:color="auto"/>
              <w:bottom w:val="double" w:sz="6" w:space="0" w:color="auto"/>
              <w:right w:val="double" w:sz="6" w:space="0" w:color="auto"/>
            </w:tcBorders>
            <w:vAlign w:val="center"/>
            <w:hideMark/>
          </w:tcPr>
          <w:p w14:paraId="2BAD1F8E" w14:textId="625F4177" w:rsidR="004132C2" w:rsidRPr="00FF4640" w:rsidRDefault="004132C2" w:rsidP="00686443">
            <w:pPr>
              <w:jc w:val="center"/>
              <w:rPr>
                <w:sz w:val="20"/>
                <w:szCs w:val="20"/>
                <w:vertAlign w:val="superscript"/>
              </w:rPr>
            </w:pPr>
            <w:r w:rsidRPr="00FF4640">
              <w:rPr>
                <w:sz w:val="20"/>
                <w:szCs w:val="20"/>
              </w:rPr>
              <w:t>Cubical Coef</w:t>
            </w:r>
            <w:r w:rsidR="00131E76" w:rsidRPr="00FF4640">
              <w:rPr>
                <w:sz w:val="20"/>
                <w:szCs w:val="20"/>
              </w:rPr>
              <w:t xml:space="preserve">. </w:t>
            </w:r>
            <w:r w:rsidRPr="00FF4640">
              <w:rPr>
                <w:sz w:val="20"/>
                <w:szCs w:val="20"/>
              </w:rPr>
              <w:t>of Exp</w:t>
            </w:r>
            <w:r w:rsidR="00131E76" w:rsidRPr="00FF4640">
              <w:rPr>
                <w:sz w:val="20"/>
                <w:szCs w:val="20"/>
              </w:rPr>
              <w:t>.</w:t>
            </w:r>
            <w:r w:rsidRPr="00FF4640">
              <w:rPr>
                <w:sz w:val="20"/>
                <w:szCs w:val="20"/>
              </w:rPr>
              <w:t xml:space="preserve"> (</w:t>
            </w:r>
            <w:r w:rsidRPr="00FF4640">
              <w:rPr>
                <w:sz w:val="20"/>
                <w:szCs w:val="20"/>
              </w:rPr>
              <w:sym w:font="Symbol" w:char="F061"/>
            </w:r>
            <w:r w:rsidRPr="00FF4640">
              <w:rPr>
                <w:sz w:val="20"/>
                <w:szCs w:val="20"/>
              </w:rPr>
              <w:t>)</w:t>
            </w:r>
          </w:p>
        </w:tc>
      </w:tr>
      <w:tr w:rsidR="004132C2" w:rsidRPr="00131E76" w14:paraId="296412E1" w14:textId="77777777" w:rsidTr="00131E76">
        <w:trPr>
          <w:cantSplit/>
          <w:trHeight w:val="295"/>
          <w:jc w:val="center"/>
        </w:trPr>
        <w:tc>
          <w:tcPr>
            <w:tcW w:w="1527" w:type="dxa"/>
            <w:tcBorders>
              <w:top w:val="single" w:sz="6" w:space="0" w:color="auto"/>
              <w:left w:val="double" w:sz="6" w:space="0" w:color="auto"/>
              <w:bottom w:val="single" w:sz="6" w:space="0" w:color="auto"/>
              <w:right w:val="nil"/>
            </w:tcBorders>
            <w:vAlign w:val="center"/>
            <w:hideMark/>
          </w:tcPr>
          <w:p w14:paraId="1457D297" w14:textId="77777777" w:rsidR="004132C2" w:rsidRPr="00131E76" w:rsidRDefault="004132C2" w:rsidP="00700C56">
            <w:pPr>
              <w:rPr>
                <w:i/>
                <w:iCs/>
                <w:sz w:val="20"/>
                <w:szCs w:val="20"/>
                <w:vertAlign w:val="subscript"/>
              </w:rPr>
            </w:pPr>
            <w:r w:rsidRPr="00131E76">
              <w:rPr>
                <w:i/>
                <w:iCs/>
                <w:sz w:val="20"/>
                <w:szCs w:val="20"/>
              </w:rPr>
              <w:t>S</w:t>
            </w:r>
          </w:p>
        </w:tc>
        <w:tc>
          <w:tcPr>
            <w:tcW w:w="1158" w:type="dxa"/>
            <w:tcBorders>
              <w:top w:val="single" w:sz="6" w:space="0" w:color="auto"/>
              <w:left w:val="single" w:sz="6" w:space="0" w:color="auto"/>
              <w:bottom w:val="single" w:sz="6" w:space="0" w:color="auto"/>
              <w:right w:val="nil"/>
            </w:tcBorders>
            <w:vAlign w:val="center"/>
          </w:tcPr>
          <w:p w14:paraId="08369BCA"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single" w:sz="6" w:space="0" w:color="auto"/>
            </w:tcBorders>
            <w:vAlign w:val="center"/>
          </w:tcPr>
          <w:p w14:paraId="26DA2467"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single" w:sz="6" w:space="0" w:color="auto"/>
            </w:tcBorders>
            <w:vAlign w:val="center"/>
          </w:tcPr>
          <w:p w14:paraId="320338F3" w14:textId="2178802E"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nil"/>
            </w:tcBorders>
            <w:vAlign w:val="center"/>
          </w:tcPr>
          <w:p w14:paraId="40AC8E54"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single" w:sz="6" w:space="0" w:color="auto"/>
            </w:tcBorders>
            <w:vAlign w:val="center"/>
          </w:tcPr>
          <w:p w14:paraId="36DD145E"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single" w:sz="6" w:space="0" w:color="auto"/>
            </w:tcBorders>
            <w:vAlign w:val="center"/>
          </w:tcPr>
          <w:p w14:paraId="69684A15" w14:textId="77777777" w:rsidR="004132C2" w:rsidRPr="00131E76" w:rsidRDefault="004132C2" w:rsidP="00686443">
            <w:pPr>
              <w:jc w:val="center"/>
              <w:rPr>
                <w:sz w:val="20"/>
                <w:szCs w:val="20"/>
              </w:rPr>
            </w:pPr>
          </w:p>
        </w:tc>
        <w:tc>
          <w:tcPr>
            <w:tcW w:w="1217" w:type="dxa"/>
            <w:tcBorders>
              <w:top w:val="single" w:sz="6" w:space="0" w:color="auto"/>
              <w:left w:val="single" w:sz="6" w:space="0" w:color="auto"/>
              <w:bottom w:val="single" w:sz="6" w:space="0" w:color="auto"/>
              <w:right w:val="double" w:sz="6" w:space="0" w:color="auto"/>
            </w:tcBorders>
            <w:vAlign w:val="center"/>
          </w:tcPr>
          <w:p w14:paraId="5A632A8C" w14:textId="740B1D19" w:rsidR="004132C2" w:rsidRPr="00131E76" w:rsidRDefault="004132C2" w:rsidP="00686443">
            <w:pPr>
              <w:jc w:val="center"/>
              <w:rPr>
                <w:sz w:val="20"/>
                <w:szCs w:val="20"/>
              </w:rPr>
            </w:pPr>
          </w:p>
        </w:tc>
      </w:tr>
      <w:tr w:rsidR="004132C2" w:rsidRPr="00131E76" w14:paraId="3FC982C0" w14:textId="77777777" w:rsidTr="00131E76">
        <w:trPr>
          <w:cantSplit/>
          <w:trHeight w:val="295"/>
          <w:jc w:val="center"/>
        </w:trPr>
        <w:tc>
          <w:tcPr>
            <w:tcW w:w="1527" w:type="dxa"/>
            <w:tcBorders>
              <w:top w:val="single" w:sz="6" w:space="0" w:color="auto"/>
              <w:left w:val="double" w:sz="6" w:space="0" w:color="auto"/>
              <w:bottom w:val="single" w:sz="6" w:space="0" w:color="auto"/>
              <w:right w:val="nil"/>
            </w:tcBorders>
            <w:vAlign w:val="center"/>
            <w:hideMark/>
          </w:tcPr>
          <w:p w14:paraId="7F35094B" w14:textId="77777777" w:rsidR="004132C2" w:rsidRPr="00131E76" w:rsidRDefault="004132C2" w:rsidP="00700C56">
            <w:pPr>
              <w:rPr>
                <w:i/>
                <w:iCs/>
                <w:sz w:val="20"/>
                <w:szCs w:val="20"/>
              </w:rPr>
            </w:pPr>
            <w:r w:rsidRPr="00131E76">
              <w:rPr>
                <w:i/>
                <w:iCs/>
                <w:sz w:val="20"/>
                <w:szCs w:val="20"/>
              </w:rPr>
              <w:t>S</w:t>
            </w:r>
          </w:p>
        </w:tc>
        <w:tc>
          <w:tcPr>
            <w:tcW w:w="1158" w:type="dxa"/>
            <w:tcBorders>
              <w:top w:val="single" w:sz="6" w:space="0" w:color="auto"/>
              <w:left w:val="single" w:sz="6" w:space="0" w:color="auto"/>
              <w:bottom w:val="single" w:sz="6" w:space="0" w:color="auto"/>
              <w:right w:val="nil"/>
            </w:tcBorders>
            <w:vAlign w:val="center"/>
          </w:tcPr>
          <w:p w14:paraId="30B26DFF"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single" w:sz="6" w:space="0" w:color="auto"/>
            </w:tcBorders>
            <w:vAlign w:val="center"/>
          </w:tcPr>
          <w:p w14:paraId="0D9266BE"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single" w:sz="6" w:space="0" w:color="auto"/>
            </w:tcBorders>
            <w:vAlign w:val="center"/>
          </w:tcPr>
          <w:p w14:paraId="48328AE8" w14:textId="19B34608"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nil"/>
            </w:tcBorders>
            <w:vAlign w:val="center"/>
          </w:tcPr>
          <w:p w14:paraId="5607B3C2"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single" w:sz="6" w:space="0" w:color="auto"/>
            </w:tcBorders>
            <w:vAlign w:val="center"/>
          </w:tcPr>
          <w:p w14:paraId="0087EC47"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single" w:sz="6" w:space="0" w:color="auto"/>
              <w:right w:val="single" w:sz="6" w:space="0" w:color="auto"/>
            </w:tcBorders>
            <w:vAlign w:val="center"/>
          </w:tcPr>
          <w:p w14:paraId="48270070" w14:textId="77777777" w:rsidR="004132C2" w:rsidRPr="00131E76" w:rsidRDefault="004132C2" w:rsidP="00686443">
            <w:pPr>
              <w:jc w:val="center"/>
              <w:rPr>
                <w:sz w:val="20"/>
                <w:szCs w:val="20"/>
              </w:rPr>
            </w:pPr>
          </w:p>
        </w:tc>
        <w:tc>
          <w:tcPr>
            <w:tcW w:w="1217" w:type="dxa"/>
            <w:tcBorders>
              <w:top w:val="single" w:sz="6" w:space="0" w:color="auto"/>
              <w:left w:val="single" w:sz="6" w:space="0" w:color="auto"/>
              <w:bottom w:val="single" w:sz="6" w:space="0" w:color="auto"/>
              <w:right w:val="double" w:sz="6" w:space="0" w:color="auto"/>
            </w:tcBorders>
            <w:vAlign w:val="center"/>
          </w:tcPr>
          <w:p w14:paraId="79800840" w14:textId="60EEE729" w:rsidR="004132C2" w:rsidRPr="00131E76" w:rsidRDefault="004132C2" w:rsidP="00686443">
            <w:pPr>
              <w:jc w:val="center"/>
              <w:rPr>
                <w:sz w:val="20"/>
                <w:szCs w:val="20"/>
              </w:rPr>
            </w:pPr>
          </w:p>
        </w:tc>
      </w:tr>
      <w:tr w:rsidR="004132C2" w:rsidRPr="00131E76" w14:paraId="01608E81" w14:textId="77777777" w:rsidTr="00131E76">
        <w:trPr>
          <w:cantSplit/>
          <w:trHeight w:val="295"/>
          <w:jc w:val="center"/>
        </w:trPr>
        <w:tc>
          <w:tcPr>
            <w:tcW w:w="1527" w:type="dxa"/>
            <w:tcBorders>
              <w:top w:val="single" w:sz="6" w:space="0" w:color="auto"/>
              <w:left w:val="double" w:sz="6" w:space="0" w:color="auto"/>
              <w:bottom w:val="double" w:sz="6" w:space="0" w:color="auto"/>
              <w:right w:val="nil"/>
            </w:tcBorders>
            <w:vAlign w:val="center"/>
            <w:hideMark/>
          </w:tcPr>
          <w:p w14:paraId="30A9DCBD" w14:textId="77777777" w:rsidR="004132C2" w:rsidRPr="00131E76" w:rsidRDefault="004132C2" w:rsidP="00700C56">
            <w:pPr>
              <w:rPr>
                <w:i/>
                <w:iCs/>
                <w:sz w:val="20"/>
                <w:szCs w:val="20"/>
                <w:vertAlign w:val="subscript"/>
              </w:rPr>
            </w:pPr>
            <w:r w:rsidRPr="00131E76">
              <w:rPr>
                <w:i/>
                <w:iCs/>
                <w:sz w:val="20"/>
                <w:szCs w:val="20"/>
              </w:rPr>
              <w:t>S</w:t>
            </w:r>
          </w:p>
        </w:tc>
        <w:tc>
          <w:tcPr>
            <w:tcW w:w="1158" w:type="dxa"/>
            <w:tcBorders>
              <w:top w:val="single" w:sz="6" w:space="0" w:color="auto"/>
              <w:left w:val="single" w:sz="6" w:space="0" w:color="auto"/>
              <w:bottom w:val="double" w:sz="6" w:space="0" w:color="auto"/>
              <w:right w:val="nil"/>
            </w:tcBorders>
            <w:vAlign w:val="center"/>
          </w:tcPr>
          <w:p w14:paraId="7F860218"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double" w:sz="6" w:space="0" w:color="auto"/>
              <w:right w:val="single" w:sz="6" w:space="0" w:color="auto"/>
            </w:tcBorders>
            <w:vAlign w:val="center"/>
          </w:tcPr>
          <w:p w14:paraId="6E867F07"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double" w:sz="6" w:space="0" w:color="auto"/>
              <w:right w:val="single" w:sz="6" w:space="0" w:color="auto"/>
            </w:tcBorders>
            <w:vAlign w:val="center"/>
          </w:tcPr>
          <w:p w14:paraId="530B3ED7" w14:textId="447C4597" w:rsidR="004132C2" w:rsidRPr="00131E76" w:rsidRDefault="004132C2" w:rsidP="00686443">
            <w:pPr>
              <w:jc w:val="center"/>
              <w:rPr>
                <w:sz w:val="20"/>
                <w:szCs w:val="20"/>
              </w:rPr>
            </w:pPr>
          </w:p>
        </w:tc>
        <w:tc>
          <w:tcPr>
            <w:tcW w:w="1159" w:type="dxa"/>
            <w:tcBorders>
              <w:top w:val="single" w:sz="6" w:space="0" w:color="auto"/>
              <w:left w:val="single" w:sz="6" w:space="0" w:color="auto"/>
              <w:bottom w:val="double" w:sz="6" w:space="0" w:color="auto"/>
              <w:right w:val="nil"/>
            </w:tcBorders>
            <w:vAlign w:val="center"/>
          </w:tcPr>
          <w:p w14:paraId="71769C23"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double" w:sz="6" w:space="0" w:color="auto"/>
              <w:right w:val="single" w:sz="6" w:space="0" w:color="auto"/>
            </w:tcBorders>
            <w:vAlign w:val="center"/>
          </w:tcPr>
          <w:p w14:paraId="6E50E957" w14:textId="77777777" w:rsidR="004132C2" w:rsidRPr="00131E76" w:rsidRDefault="004132C2" w:rsidP="00686443">
            <w:pPr>
              <w:jc w:val="center"/>
              <w:rPr>
                <w:sz w:val="20"/>
                <w:szCs w:val="20"/>
              </w:rPr>
            </w:pPr>
          </w:p>
        </w:tc>
        <w:tc>
          <w:tcPr>
            <w:tcW w:w="1159" w:type="dxa"/>
            <w:tcBorders>
              <w:top w:val="single" w:sz="6" w:space="0" w:color="auto"/>
              <w:left w:val="single" w:sz="6" w:space="0" w:color="auto"/>
              <w:bottom w:val="double" w:sz="6" w:space="0" w:color="auto"/>
              <w:right w:val="single" w:sz="6" w:space="0" w:color="auto"/>
            </w:tcBorders>
            <w:vAlign w:val="center"/>
          </w:tcPr>
          <w:p w14:paraId="4B8D325B" w14:textId="77777777" w:rsidR="004132C2" w:rsidRPr="00131E76" w:rsidRDefault="004132C2" w:rsidP="00686443">
            <w:pPr>
              <w:jc w:val="center"/>
              <w:rPr>
                <w:sz w:val="20"/>
                <w:szCs w:val="20"/>
              </w:rPr>
            </w:pPr>
          </w:p>
        </w:tc>
        <w:tc>
          <w:tcPr>
            <w:tcW w:w="1217" w:type="dxa"/>
            <w:tcBorders>
              <w:top w:val="single" w:sz="6" w:space="0" w:color="auto"/>
              <w:left w:val="single" w:sz="6" w:space="0" w:color="auto"/>
              <w:bottom w:val="double" w:sz="6" w:space="0" w:color="auto"/>
              <w:right w:val="double" w:sz="6" w:space="0" w:color="auto"/>
            </w:tcBorders>
            <w:vAlign w:val="center"/>
          </w:tcPr>
          <w:p w14:paraId="3114ADE9" w14:textId="1B489BC9" w:rsidR="004132C2" w:rsidRPr="00131E76" w:rsidRDefault="004132C2" w:rsidP="00686443">
            <w:pPr>
              <w:jc w:val="center"/>
              <w:rPr>
                <w:sz w:val="20"/>
                <w:szCs w:val="20"/>
              </w:rPr>
            </w:pPr>
          </w:p>
        </w:tc>
      </w:tr>
    </w:tbl>
    <w:p w14:paraId="70478995" w14:textId="77777777" w:rsidR="000D2274" w:rsidRPr="00131E76" w:rsidRDefault="000D2274" w:rsidP="000D2274">
      <w:pPr>
        <w:tabs>
          <w:tab w:val="num" w:pos="1350"/>
        </w:tabs>
        <w:jc w:val="both"/>
        <w:rPr>
          <w:b/>
          <w:bCs/>
          <w:sz w:val="20"/>
          <w:szCs w:val="20"/>
        </w:rPr>
      </w:pPr>
    </w:p>
    <w:p w14:paraId="0376051B" w14:textId="0A91F5F3" w:rsidR="000D2274" w:rsidRPr="00131E76" w:rsidRDefault="002B3F82" w:rsidP="000D2274">
      <w:pPr>
        <w:tabs>
          <w:tab w:val="num" w:pos="1350"/>
        </w:tabs>
        <w:jc w:val="both"/>
        <w:rPr>
          <w:sz w:val="20"/>
          <w:szCs w:val="20"/>
        </w:rPr>
      </w:pPr>
      <w:r w:rsidRPr="00131E76">
        <w:rPr>
          <w:b/>
          <w:bCs/>
          <w:sz w:val="20"/>
          <w:szCs w:val="20"/>
        </w:rPr>
        <w:t>V</w:t>
      </w:r>
      <w:r w:rsidR="000D2274" w:rsidRPr="00131E76">
        <w:rPr>
          <w:b/>
          <w:bCs/>
          <w:sz w:val="20"/>
          <w:szCs w:val="20"/>
        </w:rPr>
        <w:t>olumes delivered from the standards</w:t>
      </w:r>
      <w:r w:rsidRPr="00131E76">
        <w:rPr>
          <w:b/>
          <w:bCs/>
          <w:sz w:val="20"/>
          <w:szCs w:val="20"/>
        </w:rPr>
        <w:t xml:space="preserve"> into the neck</w:t>
      </w:r>
      <w:r w:rsidR="000D2274" w:rsidRPr="00131E76">
        <w:rPr>
          <w:b/>
          <w:bCs/>
          <w:sz w:val="20"/>
          <w:szCs w:val="20"/>
        </w:rPr>
        <w:t>:</w:t>
      </w:r>
    </w:p>
    <w:tbl>
      <w:tblPr>
        <w:tblW w:w="964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Caption w:val="data sheet for measurement observations "/>
        <w:tblDescription w:val="Interval # Vol. Added &#10;________ units Scale Plate Reading srx ________ units Dev. between volume added and observed scale plate reading&#10;∆〖sr〗_x Passes Scale Plate Accuracy Limit? (Yes/No)&#10;"/>
      </w:tblPr>
      <w:tblGrid>
        <w:gridCol w:w="1767"/>
        <w:gridCol w:w="2139"/>
        <w:gridCol w:w="2208"/>
        <w:gridCol w:w="1767"/>
        <w:gridCol w:w="1767"/>
      </w:tblGrid>
      <w:tr w:rsidR="00AC6F05" w:rsidRPr="00131E76" w14:paraId="63D9368D" w14:textId="77777777" w:rsidTr="00700C56">
        <w:trPr>
          <w:trHeight w:val="259"/>
          <w:jc w:val="center"/>
        </w:trPr>
        <w:tc>
          <w:tcPr>
            <w:tcW w:w="1710" w:type="dxa"/>
            <w:shd w:val="clear" w:color="auto" w:fill="auto"/>
            <w:vAlign w:val="center"/>
            <w:hideMark/>
          </w:tcPr>
          <w:p w14:paraId="61AE9215" w14:textId="7DB7C2EB" w:rsidR="00AC6F05" w:rsidRPr="00FF4640" w:rsidRDefault="002B0383" w:rsidP="00686443">
            <w:pPr>
              <w:jc w:val="center"/>
              <w:rPr>
                <w:rFonts w:cs="Times New Roman"/>
                <w:sz w:val="20"/>
                <w:szCs w:val="20"/>
              </w:rPr>
            </w:pPr>
            <w:r w:rsidRPr="00FF4640">
              <w:rPr>
                <w:rFonts w:cs="Times New Roman"/>
                <w:sz w:val="20"/>
                <w:szCs w:val="20"/>
              </w:rPr>
              <w:t xml:space="preserve">Interval </w:t>
            </w:r>
            <w:r w:rsidR="00AC6F05" w:rsidRPr="00FF4640">
              <w:rPr>
                <w:rFonts w:cs="Times New Roman"/>
                <w:sz w:val="20"/>
                <w:szCs w:val="20"/>
              </w:rPr>
              <w:t>#</w:t>
            </w:r>
          </w:p>
        </w:tc>
        <w:tc>
          <w:tcPr>
            <w:tcW w:w="2070" w:type="dxa"/>
            <w:shd w:val="clear" w:color="auto" w:fill="auto"/>
            <w:vAlign w:val="center"/>
            <w:hideMark/>
          </w:tcPr>
          <w:p w14:paraId="54804BD9" w14:textId="7EA41786" w:rsidR="00AC6F05" w:rsidRPr="00FF4640" w:rsidRDefault="00AC6F05" w:rsidP="00CA6229">
            <w:pPr>
              <w:jc w:val="center"/>
              <w:rPr>
                <w:rFonts w:cs="Times New Roman"/>
                <w:sz w:val="20"/>
                <w:szCs w:val="20"/>
              </w:rPr>
            </w:pPr>
            <w:r w:rsidRPr="00FF4640">
              <w:rPr>
                <w:rFonts w:cs="Times New Roman"/>
                <w:sz w:val="20"/>
                <w:szCs w:val="20"/>
              </w:rPr>
              <w:t>Vol</w:t>
            </w:r>
            <w:r w:rsidR="002D6701" w:rsidRPr="00FF4640">
              <w:rPr>
                <w:rFonts w:cs="Times New Roman"/>
                <w:sz w:val="20"/>
                <w:szCs w:val="20"/>
              </w:rPr>
              <w:t>.</w:t>
            </w:r>
            <w:r w:rsidRPr="00FF4640">
              <w:rPr>
                <w:rFonts w:cs="Times New Roman"/>
                <w:sz w:val="20"/>
                <w:szCs w:val="20"/>
              </w:rPr>
              <w:t xml:space="preserve"> Added </w:t>
            </w:r>
          </w:p>
          <w:p w14:paraId="01270F17" w14:textId="0A07A4A4" w:rsidR="00CA6229" w:rsidRPr="00FF4640" w:rsidRDefault="00CA6229" w:rsidP="00CA6229">
            <w:pPr>
              <w:jc w:val="center"/>
              <w:rPr>
                <w:rFonts w:cs="Times New Roman"/>
                <w:sz w:val="20"/>
                <w:szCs w:val="20"/>
              </w:rPr>
            </w:pPr>
            <w:r w:rsidRPr="00FF4640">
              <w:rPr>
                <w:rFonts w:cs="Times New Roman"/>
                <w:sz w:val="20"/>
                <w:szCs w:val="20"/>
              </w:rPr>
              <w:t>________ units</w:t>
            </w:r>
          </w:p>
        </w:tc>
        <w:tc>
          <w:tcPr>
            <w:tcW w:w="2137" w:type="dxa"/>
            <w:shd w:val="clear" w:color="auto" w:fill="auto"/>
            <w:vAlign w:val="center"/>
            <w:hideMark/>
          </w:tcPr>
          <w:p w14:paraId="527AA891" w14:textId="27BA9677" w:rsidR="00AC6F05" w:rsidRPr="00FF4640" w:rsidRDefault="00AC6F05" w:rsidP="0042664F">
            <w:pPr>
              <w:jc w:val="center"/>
              <w:rPr>
                <w:rFonts w:cs="Times New Roman"/>
                <w:sz w:val="20"/>
                <w:szCs w:val="20"/>
              </w:rPr>
            </w:pPr>
            <w:r w:rsidRPr="00FF4640">
              <w:rPr>
                <w:rFonts w:cs="Times New Roman"/>
                <w:sz w:val="20"/>
                <w:szCs w:val="20"/>
              </w:rPr>
              <w:t xml:space="preserve">Scale Plate Reading </w:t>
            </w:r>
            <w:r w:rsidR="0042664F" w:rsidRPr="00FF4640">
              <w:rPr>
                <w:rFonts w:cs="Times New Roman"/>
                <w:i/>
                <w:sz w:val="20"/>
                <w:szCs w:val="20"/>
              </w:rPr>
              <w:t>sr</w:t>
            </w:r>
            <w:r w:rsidR="005E4786" w:rsidRPr="00FF4640">
              <w:rPr>
                <w:rFonts w:cs="Times New Roman"/>
                <w:i/>
                <w:sz w:val="20"/>
                <w:szCs w:val="20"/>
                <w:vertAlign w:val="subscript"/>
              </w:rPr>
              <w:t>x</w:t>
            </w:r>
            <w:r w:rsidRPr="00FF4640">
              <w:rPr>
                <w:rFonts w:cs="Times New Roman"/>
                <w:sz w:val="20"/>
                <w:szCs w:val="20"/>
              </w:rPr>
              <w:t xml:space="preserve"> </w:t>
            </w:r>
            <w:r w:rsidR="00CA6229" w:rsidRPr="00FF4640">
              <w:rPr>
                <w:rFonts w:cs="Times New Roman"/>
                <w:sz w:val="20"/>
                <w:szCs w:val="20"/>
              </w:rPr>
              <w:t>________ units</w:t>
            </w:r>
          </w:p>
        </w:tc>
        <w:tc>
          <w:tcPr>
            <w:tcW w:w="1710" w:type="dxa"/>
            <w:vAlign w:val="center"/>
          </w:tcPr>
          <w:p w14:paraId="162040AA" w14:textId="1C15E19D" w:rsidR="00AC6F05" w:rsidRPr="00FF4640" w:rsidRDefault="00AC6F05" w:rsidP="002B3F82">
            <w:pPr>
              <w:jc w:val="center"/>
              <w:rPr>
                <w:rFonts w:cs="Times New Roman"/>
                <w:sz w:val="20"/>
                <w:szCs w:val="20"/>
              </w:rPr>
            </w:pPr>
            <w:r w:rsidRPr="00FF4640">
              <w:rPr>
                <w:rFonts w:cs="Times New Roman"/>
                <w:sz w:val="20"/>
                <w:szCs w:val="20"/>
              </w:rPr>
              <w:t>Dev</w:t>
            </w:r>
            <w:r w:rsidR="002D6701" w:rsidRPr="00FF4640">
              <w:rPr>
                <w:rFonts w:cs="Times New Roman"/>
                <w:sz w:val="20"/>
                <w:szCs w:val="20"/>
              </w:rPr>
              <w:t>.</w:t>
            </w:r>
            <w:r w:rsidRPr="00FF4640">
              <w:rPr>
                <w:rFonts w:cs="Times New Roman"/>
                <w:sz w:val="20"/>
                <w:szCs w:val="20"/>
              </w:rPr>
              <w:t xml:space="preserve"> between volume added and </w:t>
            </w:r>
            <w:r w:rsidR="001872A9" w:rsidRPr="00FF4640">
              <w:rPr>
                <w:rFonts w:cs="Times New Roman"/>
                <w:sz w:val="20"/>
                <w:szCs w:val="20"/>
              </w:rPr>
              <w:t xml:space="preserve">observed </w:t>
            </w:r>
            <w:r w:rsidRPr="00FF4640">
              <w:rPr>
                <w:rFonts w:cs="Times New Roman"/>
                <w:sz w:val="20"/>
                <w:szCs w:val="20"/>
              </w:rPr>
              <w:t>scale plate reading</w:t>
            </w:r>
          </w:p>
          <w:p w14:paraId="312B69CA" w14:textId="5C42D50D" w:rsidR="003C145C" w:rsidRPr="00FF4640" w:rsidRDefault="00FF4640" w:rsidP="002B3F82">
            <w:pPr>
              <w:jc w:val="center"/>
              <w:rPr>
                <w:rFonts w:cs="Times New Roman"/>
                <w:sz w:val="20"/>
                <w:szCs w:val="20"/>
              </w:rPr>
            </w:pPr>
            <m:oMathPara>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sr</m:t>
                    </m:r>
                  </m:e>
                  <m:sub>
                    <m:r>
                      <w:rPr>
                        <w:rFonts w:ascii="Cambria Math" w:hAnsi="Cambria Math" w:cs="Times New Roman"/>
                        <w:sz w:val="20"/>
                        <w:szCs w:val="20"/>
                      </w:rPr>
                      <m:t>x</m:t>
                    </m:r>
                  </m:sub>
                </m:sSub>
              </m:oMath>
            </m:oMathPara>
          </w:p>
        </w:tc>
        <w:tc>
          <w:tcPr>
            <w:tcW w:w="1710" w:type="dxa"/>
            <w:shd w:val="clear" w:color="auto" w:fill="auto"/>
            <w:vAlign w:val="center"/>
            <w:hideMark/>
          </w:tcPr>
          <w:p w14:paraId="4099B59E" w14:textId="61A3A2B6" w:rsidR="00AC6F05" w:rsidRPr="00FF4640" w:rsidRDefault="00AC6F05" w:rsidP="002B3F82">
            <w:pPr>
              <w:jc w:val="center"/>
              <w:rPr>
                <w:rFonts w:cs="Times New Roman"/>
                <w:sz w:val="20"/>
                <w:szCs w:val="20"/>
              </w:rPr>
            </w:pPr>
            <w:r w:rsidRPr="00FF4640">
              <w:rPr>
                <w:rFonts w:cs="Times New Roman"/>
                <w:sz w:val="20"/>
                <w:szCs w:val="20"/>
              </w:rPr>
              <w:t>Passes Scale Plate Accuracy Limit? (Yes/No)</w:t>
            </w:r>
          </w:p>
        </w:tc>
      </w:tr>
      <w:tr w:rsidR="00AC6F05" w:rsidRPr="00131E76" w14:paraId="674064AE" w14:textId="77777777" w:rsidTr="00700C56">
        <w:trPr>
          <w:trHeight w:val="259"/>
          <w:jc w:val="center"/>
        </w:trPr>
        <w:tc>
          <w:tcPr>
            <w:tcW w:w="1710" w:type="dxa"/>
            <w:shd w:val="clear" w:color="auto" w:fill="auto"/>
            <w:noWrap/>
            <w:vAlign w:val="center"/>
            <w:hideMark/>
          </w:tcPr>
          <w:p w14:paraId="19A0B15C" w14:textId="3F543FFA" w:rsidR="00AC6F05" w:rsidRPr="00FF4640" w:rsidRDefault="00AC6F05" w:rsidP="0042664F">
            <w:pPr>
              <w:jc w:val="center"/>
              <w:rPr>
                <w:rFonts w:cs="Times New Roman"/>
                <w:sz w:val="20"/>
                <w:szCs w:val="20"/>
              </w:rPr>
            </w:pPr>
            <w:r w:rsidRPr="00FF4640">
              <w:rPr>
                <w:rFonts w:cs="Times New Roman"/>
                <w:sz w:val="20"/>
                <w:szCs w:val="20"/>
              </w:rPr>
              <w:t>Initial Scale Reading</w:t>
            </w:r>
            <w:r w:rsidR="0042664F" w:rsidRPr="00FF4640">
              <w:rPr>
                <w:rFonts w:cs="Times New Roman"/>
                <w:sz w:val="20"/>
                <w:szCs w:val="20"/>
              </w:rPr>
              <w:t xml:space="preserve">, </w:t>
            </w:r>
            <w:r w:rsidR="0042664F" w:rsidRPr="00FF4640">
              <w:rPr>
                <w:rFonts w:cs="Times New Roman"/>
                <w:i/>
                <w:sz w:val="20"/>
                <w:szCs w:val="20"/>
              </w:rPr>
              <w:t>sr</w:t>
            </w:r>
            <w:r w:rsidR="0042664F" w:rsidRPr="00FF4640">
              <w:rPr>
                <w:rFonts w:cs="Times New Roman"/>
                <w:i/>
                <w:sz w:val="20"/>
                <w:szCs w:val="20"/>
                <w:vertAlign w:val="subscript"/>
              </w:rPr>
              <w:t>i</w:t>
            </w:r>
          </w:p>
        </w:tc>
        <w:tc>
          <w:tcPr>
            <w:tcW w:w="2070" w:type="dxa"/>
            <w:shd w:val="clear" w:color="auto" w:fill="BFBFBF" w:themeFill="background1" w:themeFillShade="BF"/>
            <w:noWrap/>
            <w:vAlign w:val="center"/>
          </w:tcPr>
          <w:p w14:paraId="44C0D0A4" w14:textId="0DBDA597" w:rsidR="00AC6F05" w:rsidRPr="00FF4640" w:rsidRDefault="00AC6F05" w:rsidP="00AC6F05">
            <w:pPr>
              <w:jc w:val="center"/>
              <w:rPr>
                <w:rFonts w:cs="Times New Roman"/>
                <w:sz w:val="20"/>
                <w:szCs w:val="20"/>
              </w:rPr>
            </w:pPr>
          </w:p>
        </w:tc>
        <w:tc>
          <w:tcPr>
            <w:tcW w:w="2137" w:type="dxa"/>
            <w:shd w:val="clear" w:color="000000" w:fill="FFFFFF"/>
            <w:noWrap/>
            <w:vAlign w:val="center"/>
          </w:tcPr>
          <w:p w14:paraId="34110297" w14:textId="77777777" w:rsidR="00AC6F05" w:rsidRPr="00FF4640" w:rsidRDefault="00AC6F05" w:rsidP="00686443">
            <w:pPr>
              <w:jc w:val="center"/>
              <w:rPr>
                <w:rFonts w:cs="Times New Roman"/>
                <w:sz w:val="20"/>
                <w:szCs w:val="20"/>
              </w:rPr>
            </w:pPr>
          </w:p>
        </w:tc>
        <w:tc>
          <w:tcPr>
            <w:tcW w:w="1710" w:type="dxa"/>
            <w:shd w:val="clear" w:color="auto" w:fill="BFBFBF" w:themeFill="background1" w:themeFillShade="BF"/>
            <w:vAlign w:val="center"/>
          </w:tcPr>
          <w:p w14:paraId="709CB47C" w14:textId="3F863AD7" w:rsidR="00AC6F05" w:rsidRPr="00FF4640" w:rsidRDefault="00AC6F05" w:rsidP="00AC6F05">
            <w:pPr>
              <w:jc w:val="center"/>
              <w:rPr>
                <w:rFonts w:cs="Times New Roman"/>
                <w:sz w:val="20"/>
                <w:szCs w:val="20"/>
              </w:rPr>
            </w:pPr>
          </w:p>
        </w:tc>
        <w:tc>
          <w:tcPr>
            <w:tcW w:w="1710" w:type="dxa"/>
            <w:shd w:val="clear" w:color="auto" w:fill="BFBFBF" w:themeFill="background1" w:themeFillShade="BF"/>
            <w:noWrap/>
            <w:vAlign w:val="center"/>
          </w:tcPr>
          <w:p w14:paraId="25130F58" w14:textId="1B8C31A9" w:rsidR="00AC6F05" w:rsidRPr="00FF4640" w:rsidRDefault="00AC6F05" w:rsidP="00AC6F05">
            <w:pPr>
              <w:jc w:val="center"/>
              <w:rPr>
                <w:rFonts w:cs="Times New Roman"/>
                <w:sz w:val="20"/>
                <w:szCs w:val="20"/>
              </w:rPr>
            </w:pPr>
          </w:p>
        </w:tc>
      </w:tr>
      <w:tr w:rsidR="00AC6F05" w:rsidRPr="00131E76" w14:paraId="7E858AA7" w14:textId="77777777" w:rsidTr="00700C56">
        <w:trPr>
          <w:trHeight w:val="259"/>
          <w:jc w:val="center"/>
        </w:trPr>
        <w:tc>
          <w:tcPr>
            <w:tcW w:w="1710" w:type="dxa"/>
            <w:shd w:val="clear" w:color="auto" w:fill="auto"/>
            <w:noWrap/>
            <w:vAlign w:val="center"/>
            <w:hideMark/>
          </w:tcPr>
          <w:p w14:paraId="2C634C84" w14:textId="6520A0A0" w:rsidR="00AC6F05" w:rsidRPr="00FF4640" w:rsidRDefault="00AC6F05" w:rsidP="00686443">
            <w:pPr>
              <w:jc w:val="center"/>
              <w:rPr>
                <w:rFonts w:cs="Times New Roman"/>
                <w:sz w:val="20"/>
                <w:szCs w:val="20"/>
              </w:rPr>
            </w:pPr>
            <w:r w:rsidRPr="00FF4640">
              <w:rPr>
                <w:rFonts w:cs="Times New Roman"/>
                <w:sz w:val="20"/>
                <w:szCs w:val="20"/>
              </w:rPr>
              <w:t>1</w:t>
            </w:r>
          </w:p>
        </w:tc>
        <w:tc>
          <w:tcPr>
            <w:tcW w:w="2070" w:type="dxa"/>
            <w:shd w:val="clear" w:color="000000" w:fill="FFFFFF"/>
            <w:noWrap/>
            <w:vAlign w:val="center"/>
          </w:tcPr>
          <w:p w14:paraId="787B2D9B" w14:textId="77777777" w:rsidR="00AC6F05" w:rsidRPr="00FF4640" w:rsidRDefault="00AC6F05" w:rsidP="00686443">
            <w:pPr>
              <w:jc w:val="center"/>
              <w:rPr>
                <w:rFonts w:cs="Times New Roman"/>
                <w:sz w:val="20"/>
                <w:szCs w:val="20"/>
              </w:rPr>
            </w:pPr>
          </w:p>
        </w:tc>
        <w:tc>
          <w:tcPr>
            <w:tcW w:w="2137" w:type="dxa"/>
            <w:shd w:val="clear" w:color="000000" w:fill="FFFFFF"/>
            <w:noWrap/>
            <w:vAlign w:val="center"/>
          </w:tcPr>
          <w:p w14:paraId="2891825B" w14:textId="77777777" w:rsidR="00AC6F05" w:rsidRPr="00FF4640" w:rsidRDefault="00AC6F05" w:rsidP="00686443">
            <w:pPr>
              <w:jc w:val="center"/>
              <w:rPr>
                <w:rFonts w:cs="Times New Roman"/>
                <w:sz w:val="20"/>
                <w:szCs w:val="20"/>
              </w:rPr>
            </w:pPr>
          </w:p>
        </w:tc>
        <w:tc>
          <w:tcPr>
            <w:tcW w:w="1710" w:type="dxa"/>
            <w:shd w:val="clear" w:color="000000" w:fill="FFFFFF"/>
            <w:vAlign w:val="center"/>
          </w:tcPr>
          <w:p w14:paraId="0A42448A" w14:textId="77777777" w:rsidR="00AC6F05" w:rsidRPr="00FF4640" w:rsidRDefault="00AC6F05" w:rsidP="00686443">
            <w:pPr>
              <w:jc w:val="center"/>
              <w:rPr>
                <w:rFonts w:cs="Times New Roman"/>
                <w:sz w:val="20"/>
                <w:szCs w:val="20"/>
              </w:rPr>
            </w:pPr>
          </w:p>
        </w:tc>
        <w:tc>
          <w:tcPr>
            <w:tcW w:w="1710" w:type="dxa"/>
            <w:shd w:val="clear" w:color="000000" w:fill="FFFFFF"/>
            <w:noWrap/>
            <w:vAlign w:val="center"/>
          </w:tcPr>
          <w:p w14:paraId="22CF1C83" w14:textId="46C4E2EC" w:rsidR="00AC6F05" w:rsidRPr="00FF4640" w:rsidRDefault="00AC6F05" w:rsidP="00686443">
            <w:pPr>
              <w:jc w:val="center"/>
              <w:rPr>
                <w:rFonts w:cs="Times New Roman"/>
                <w:sz w:val="20"/>
                <w:szCs w:val="20"/>
              </w:rPr>
            </w:pPr>
          </w:p>
        </w:tc>
      </w:tr>
      <w:tr w:rsidR="00AC6F05" w:rsidRPr="00131E76" w14:paraId="32EEC15F" w14:textId="77777777" w:rsidTr="00700C56">
        <w:trPr>
          <w:trHeight w:val="259"/>
          <w:jc w:val="center"/>
        </w:trPr>
        <w:tc>
          <w:tcPr>
            <w:tcW w:w="1710" w:type="dxa"/>
            <w:shd w:val="clear" w:color="auto" w:fill="auto"/>
            <w:noWrap/>
            <w:vAlign w:val="center"/>
            <w:hideMark/>
          </w:tcPr>
          <w:p w14:paraId="64252A4B" w14:textId="1C360D34" w:rsidR="00AC6F05" w:rsidRPr="00FF4640" w:rsidRDefault="00AC6F05" w:rsidP="00686443">
            <w:pPr>
              <w:jc w:val="center"/>
              <w:rPr>
                <w:rFonts w:cs="Times New Roman"/>
                <w:sz w:val="20"/>
                <w:szCs w:val="20"/>
              </w:rPr>
            </w:pPr>
            <w:r w:rsidRPr="00FF4640">
              <w:rPr>
                <w:rFonts w:cs="Times New Roman"/>
                <w:sz w:val="20"/>
                <w:szCs w:val="20"/>
              </w:rPr>
              <w:t>2</w:t>
            </w:r>
          </w:p>
        </w:tc>
        <w:tc>
          <w:tcPr>
            <w:tcW w:w="2070" w:type="dxa"/>
            <w:shd w:val="clear" w:color="000000" w:fill="FFFFFF"/>
            <w:noWrap/>
            <w:vAlign w:val="center"/>
          </w:tcPr>
          <w:p w14:paraId="00D46261" w14:textId="77777777" w:rsidR="00AC6F05" w:rsidRPr="00FF4640" w:rsidRDefault="00AC6F05" w:rsidP="00686443">
            <w:pPr>
              <w:jc w:val="center"/>
              <w:rPr>
                <w:rFonts w:cs="Times New Roman"/>
                <w:sz w:val="20"/>
                <w:szCs w:val="20"/>
              </w:rPr>
            </w:pPr>
          </w:p>
        </w:tc>
        <w:tc>
          <w:tcPr>
            <w:tcW w:w="2137" w:type="dxa"/>
            <w:shd w:val="clear" w:color="000000" w:fill="FFFFFF"/>
            <w:noWrap/>
            <w:vAlign w:val="center"/>
          </w:tcPr>
          <w:p w14:paraId="6ECEE2A0" w14:textId="77777777" w:rsidR="00AC6F05" w:rsidRPr="00FF4640" w:rsidRDefault="00AC6F05" w:rsidP="00686443">
            <w:pPr>
              <w:jc w:val="center"/>
              <w:rPr>
                <w:rFonts w:cs="Times New Roman"/>
                <w:sz w:val="20"/>
                <w:szCs w:val="20"/>
              </w:rPr>
            </w:pPr>
          </w:p>
        </w:tc>
        <w:tc>
          <w:tcPr>
            <w:tcW w:w="1710" w:type="dxa"/>
            <w:shd w:val="clear" w:color="000000" w:fill="FFFFFF"/>
            <w:vAlign w:val="center"/>
          </w:tcPr>
          <w:p w14:paraId="21F12752" w14:textId="77777777" w:rsidR="00AC6F05" w:rsidRPr="00FF4640" w:rsidRDefault="00AC6F05" w:rsidP="00686443">
            <w:pPr>
              <w:jc w:val="center"/>
              <w:rPr>
                <w:rFonts w:cs="Times New Roman"/>
                <w:sz w:val="20"/>
                <w:szCs w:val="20"/>
              </w:rPr>
            </w:pPr>
          </w:p>
        </w:tc>
        <w:tc>
          <w:tcPr>
            <w:tcW w:w="1710" w:type="dxa"/>
            <w:shd w:val="clear" w:color="000000" w:fill="FFFFFF"/>
            <w:noWrap/>
            <w:vAlign w:val="center"/>
          </w:tcPr>
          <w:p w14:paraId="4E050DC9" w14:textId="2B4C1C94" w:rsidR="00AC6F05" w:rsidRPr="00FF4640" w:rsidRDefault="00AC6F05" w:rsidP="00686443">
            <w:pPr>
              <w:jc w:val="center"/>
              <w:rPr>
                <w:rFonts w:cs="Times New Roman"/>
                <w:sz w:val="20"/>
                <w:szCs w:val="20"/>
              </w:rPr>
            </w:pPr>
          </w:p>
        </w:tc>
      </w:tr>
      <w:tr w:rsidR="00AC6F05" w:rsidRPr="00131E76" w14:paraId="52B886B4" w14:textId="77777777" w:rsidTr="00700C56">
        <w:trPr>
          <w:trHeight w:val="259"/>
          <w:jc w:val="center"/>
        </w:trPr>
        <w:tc>
          <w:tcPr>
            <w:tcW w:w="1710" w:type="dxa"/>
            <w:shd w:val="clear" w:color="auto" w:fill="auto"/>
            <w:noWrap/>
            <w:vAlign w:val="center"/>
            <w:hideMark/>
          </w:tcPr>
          <w:p w14:paraId="0C7D1BD4" w14:textId="2234D5D7" w:rsidR="00AC6F05" w:rsidRPr="00FF4640" w:rsidRDefault="00AC6F05" w:rsidP="00686443">
            <w:pPr>
              <w:jc w:val="center"/>
              <w:rPr>
                <w:rFonts w:cs="Times New Roman"/>
                <w:sz w:val="20"/>
                <w:szCs w:val="20"/>
              </w:rPr>
            </w:pPr>
            <w:r w:rsidRPr="00FF4640">
              <w:rPr>
                <w:rFonts w:cs="Times New Roman"/>
                <w:sz w:val="20"/>
                <w:szCs w:val="20"/>
              </w:rPr>
              <w:t>3</w:t>
            </w:r>
          </w:p>
        </w:tc>
        <w:tc>
          <w:tcPr>
            <w:tcW w:w="2070" w:type="dxa"/>
            <w:shd w:val="clear" w:color="000000" w:fill="FFFFFF"/>
            <w:noWrap/>
            <w:vAlign w:val="center"/>
          </w:tcPr>
          <w:p w14:paraId="36A13DFA" w14:textId="77777777" w:rsidR="00AC6F05" w:rsidRPr="00FF4640" w:rsidRDefault="00AC6F05" w:rsidP="00686443">
            <w:pPr>
              <w:jc w:val="center"/>
              <w:rPr>
                <w:rFonts w:cs="Times New Roman"/>
                <w:sz w:val="20"/>
                <w:szCs w:val="20"/>
              </w:rPr>
            </w:pPr>
          </w:p>
        </w:tc>
        <w:tc>
          <w:tcPr>
            <w:tcW w:w="2137" w:type="dxa"/>
            <w:shd w:val="clear" w:color="000000" w:fill="FFFFFF"/>
            <w:noWrap/>
            <w:vAlign w:val="center"/>
          </w:tcPr>
          <w:p w14:paraId="62D36EDE" w14:textId="77777777" w:rsidR="00AC6F05" w:rsidRPr="00FF4640" w:rsidRDefault="00AC6F05" w:rsidP="00686443">
            <w:pPr>
              <w:jc w:val="center"/>
              <w:rPr>
                <w:rFonts w:cs="Times New Roman"/>
                <w:sz w:val="20"/>
                <w:szCs w:val="20"/>
              </w:rPr>
            </w:pPr>
          </w:p>
        </w:tc>
        <w:tc>
          <w:tcPr>
            <w:tcW w:w="1710" w:type="dxa"/>
            <w:shd w:val="clear" w:color="000000" w:fill="FFFFFF"/>
            <w:vAlign w:val="center"/>
          </w:tcPr>
          <w:p w14:paraId="71D8AA80" w14:textId="77777777" w:rsidR="00AC6F05" w:rsidRPr="00FF4640" w:rsidRDefault="00AC6F05" w:rsidP="00686443">
            <w:pPr>
              <w:jc w:val="center"/>
              <w:rPr>
                <w:rFonts w:cs="Times New Roman"/>
                <w:sz w:val="20"/>
                <w:szCs w:val="20"/>
              </w:rPr>
            </w:pPr>
          </w:p>
        </w:tc>
        <w:tc>
          <w:tcPr>
            <w:tcW w:w="1710" w:type="dxa"/>
            <w:shd w:val="clear" w:color="000000" w:fill="FFFFFF"/>
            <w:noWrap/>
            <w:vAlign w:val="center"/>
          </w:tcPr>
          <w:p w14:paraId="192C4750" w14:textId="3B7E2831" w:rsidR="00AC6F05" w:rsidRPr="00FF4640" w:rsidRDefault="00AC6F05" w:rsidP="00686443">
            <w:pPr>
              <w:jc w:val="center"/>
              <w:rPr>
                <w:rFonts w:cs="Times New Roman"/>
                <w:sz w:val="20"/>
                <w:szCs w:val="20"/>
              </w:rPr>
            </w:pPr>
          </w:p>
        </w:tc>
      </w:tr>
      <w:tr w:rsidR="00AC6F05" w:rsidRPr="00131E76" w14:paraId="5E588DB5" w14:textId="77777777" w:rsidTr="00700C56">
        <w:trPr>
          <w:trHeight w:val="259"/>
          <w:jc w:val="center"/>
        </w:trPr>
        <w:tc>
          <w:tcPr>
            <w:tcW w:w="1710" w:type="dxa"/>
            <w:shd w:val="clear" w:color="auto" w:fill="auto"/>
            <w:noWrap/>
            <w:vAlign w:val="center"/>
            <w:hideMark/>
          </w:tcPr>
          <w:p w14:paraId="6C26375E" w14:textId="63C6A92D" w:rsidR="00AC6F05" w:rsidRPr="00FF4640" w:rsidRDefault="00AC6F05" w:rsidP="00686443">
            <w:pPr>
              <w:jc w:val="center"/>
              <w:rPr>
                <w:rFonts w:cs="Times New Roman"/>
                <w:sz w:val="20"/>
                <w:szCs w:val="20"/>
              </w:rPr>
            </w:pPr>
            <w:r w:rsidRPr="00FF4640">
              <w:rPr>
                <w:rFonts w:cs="Times New Roman"/>
                <w:sz w:val="20"/>
                <w:szCs w:val="20"/>
              </w:rPr>
              <w:t>4</w:t>
            </w:r>
          </w:p>
        </w:tc>
        <w:tc>
          <w:tcPr>
            <w:tcW w:w="2070" w:type="dxa"/>
            <w:shd w:val="clear" w:color="000000" w:fill="FFFFFF"/>
            <w:noWrap/>
            <w:vAlign w:val="center"/>
          </w:tcPr>
          <w:p w14:paraId="11271374" w14:textId="77777777" w:rsidR="00AC6F05" w:rsidRPr="00FF4640" w:rsidRDefault="00AC6F05" w:rsidP="00686443">
            <w:pPr>
              <w:jc w:val="center"/>
              <w:rPr>
                <w:rFonts w:cs="Times New Roman"/>
                <w:sz w:val="20"/>
                <w:szCs w:val="20"/>
              </w:rPr>
            </w:pPr>
          </w:p>
        </w:tc>
        <w:tc>
          <w:tcPr>
            <w:tcW w:w="2137" w:type="dxa"/>
            <w:shd w:val="clear" w:color="000000" w:fill="FFFFFF"/>
            <w:noWrap/>
            <w:vAlign w:val="center"/>
          </w:tcPr>
          <w:p w14:paraId="2321F7D3" w14:textId="77777777" w:rsidR="00AC6F05" w:rsidRPr="00FF4640" w:rsidRDefault="00AC6F05" w:rsidP="00686443">
            <w:pPr>
              <w:jc w:val="center"/>
              <w:rPr>
                <w:rFonts w:cs="Times New Roman"/>
                <w:sz w:val="20"/>
                <w:szCs w:val="20"/>
              </w:rPr>
            </w:pPr>
          </w:p>
        </w:tc>
        <w:tc>
          <w:tcPr>
            <w:tcW w:w="1710" w:type="dxa"/>
            <w:shd w:val="clear" w:color="000000" w:fill="FFFFFF"/>
            <w:vAlign w:val="center"/>
          </w:tcPr>
          <w:p w14:paraId="6BD8D4B9" w14:textId="77777777" w:rsidR="00AC6F05" w:rsidRPr="00FF4640" w:rsidRDefault="00AC6F05" w:rsidP="00686443">
            <w:pPr>
              <w:jc w:val="center"/>
              <w:rPr>
                <w:rFonts w:cs="Times New Roman"/>
                <w:sz w:val="20"/>
                <w:szCs w:val="20"/>
              </w:rPr>
            </w:pPr>
          </w:p>
        </w:tc>
        <w:tc>
          <w:tcPr>
            <w:tcW w:w="1710" w:type="dxa"/>
            <w:shd w:val="clear" w:color="000000" w:fill="FFFFFF"/>
            <w:noWrap/>
            <w:vAlign w:val="center"/>
          </w:tcPr>
          <w:p w14:paraId="014C11EE" w14:textId="2011F460" w:rsidR="00AC6F05" w:rsidRPr="00FF4640" w:rsidRDefault="00AC6F05" w:rsidP="00686443">
            <w:pPr>
              <w:jc w:val="center"/>
              <w:rPr>
                <w:rFonts w:cs="Times New Roman"/>
                <w:sz w:val="20"/>
                <w:szCs w:val="20"/>
              </w:rPr>
            </w:pPr>
          </w:p>
        </w:tc>
      </w:tr>
      <w:tr w:rsidR="00AC6F05" w:rsidRPr="00131E76" w14:paraId="022C16DC" w14:textId="77777777" w:rsidTr="00700C56">
        <w:trPr>
          <w:trHeight w:val="259"/>
          <w:jc w:val="center"/>
        </w:trPr>
        <w:tc>
          <w:tcPr>
            <w:tcW w:w="1710" w:type="dxa"/>
            <w:shd w:val="clear" w:color="auto" w:fill="auto"/>
            <w:noWrap/>
            <w:vAlign w:val="center"/>
            <w:hideMark/>
          </w:tcPr>
          <w:p w14:paraId="06414614" w14:textId="40CD1118" w:rsidR="00AC6F05" w:rsidRPr="00FF4640" w:rsidRDefault="00AC6F05" w:rsidP="00686443">
            <w:pPr>
              <w:jc w:val="center"/>
              <w:rPr>
                <w:rFonts w:cs="Times New Roman"/>
                <w:sz w:val="20"/>
                <w:szCs w:val="20"/>
              </w:rPr>
            </w:pPr>
            <w:r w:rsidRPr="00FF4640">
              <w:rPr>
                <w:rFonts w:cs="Times New Roman"/>
                <w:sz w:val="20"/>
                <w:szCs w:val="20"/>
              </w:rPr>
              <w:t>5</w:t>
            </w:r>
          </w:p>
        </w:tc>
        <w:tc>
          <w:tcPr>
            <w:tcW w:w="2070" w:type="dxa"/>
            <w:shd w:val="clear" w:color="000000" w:fill="FFFFFF"/>
            <w:noWrap/>
            <w:vAlign w:val="center"/>
          </w:tcPr>
          <w:p w14:paraId="112A2CBC" w14:textId="77777777" w:rsidR="00AC6F05" w:rsidRPr="00FF4640" w:rsidRDefault="00AC6F05" w:rsidP="00686443">
            <w:pPr>
              <w:jc w:val="center"/>
              <w:rPr>
                <w:rFonts w:cs="Times New Roman"/>
                <w:sz w:val="20"/>
                <w:szCs w:val="20"/>
              </w:rPr>
            </w:pPr>
          </w:p>
        </w:tc>
        <w:tc>
          <w:tcPr>
            <w:tcW w:w="2137" w:type="dxa"/>
            <w:shd w:val="clear" w:color="000000" w:fill="FFFFFF"/>
            <w:noWrap/>
            <w:vAlign w:val="center"/>
          </w:tcPr>
          <w:p w14:paraId="1A02D601" w14:textId="77777777" w:rsidR="00AC6F05" w:rsidRPr="00FF4640" w:rsidRDefault="00AC6F05" w:rsidP="00686443">
            <w:pPr>
              <w:jc w:val="center"/>
              <w:rPr>
                <w:rFonts w:cs="Times New Roman"/>
                <w:sz w:val="20"/>
                <w:szCs w:val="20"/>
              </w:rPr>
            </w:pPr>
          </w:p>
        </w:tc>
        <w:tc>
          <w:tcPr>
            <w:tcW w:w="1710" w:type="dxa"/>
            <w:shd w:val="clear" w:color="000000" w:fill="FFFFFF"/>
            <w:vAlign w:val="center"/>
          </w:tcPr>
          <w:p w14:paraId="708AE933" w14:textId="77777777" w:rsidR="00AC6F05" w:rsidRPr="00FF4640" w:rsidRDefault="00AC6F05" w:rsidP="00686443">
            <w:pPr>
              <w:jc w:val="center"/>
              <w:rPr>
                <w:rFonts w:cs="Times New Roman"/>
                <w:sz w:val="20"/>
                <w:szCs w:val="20"/>
              </w:rPr>
            </w:pPr>
          </w:p>
        </w:tc>
        <w:tc>
          <w:tcPr>
            <w:tcW w:w="1710" w:type="dxa"/>
            <w:shd w:val="clear" w:color="000000" w:fill="FFFFFF"/>
            <w:noWrap/>
            <w:vAlign w:val="center"/>
          </w:tcPr>
          <w:p w14:paraId="09E06FC2" w14:textId="7865B2D7" w:rsidR="00AC6F05" w:rsidRPr="00FF4640" w:rsidRDefault="00AC6F05" w:rsidP="00686443">
            <w:pPr>
              <w:jc w:val="center"/>
              <w:rPr>
                <w:rFonts w:cs="Times New Roman"/>
                <w:sz w:val="20"/>
                <w:szCs w:val="20"/>
              </w:rPr>
            </w:pPr>
          </w:p>
        </w:tc>
      </w:tr>
      <w:tr w:rsidR="00AC6F05" w:rsidRPr="00131E76" w14:paraId="51860F28" w14:textId="77777777" w:rsidTr="00700C56">
        <w:trPr>
          <w:trHeight w:val="259"/>
          <w:jc w:val="center"/>
        </w:trPr>
        <w:tc>
          <w:tcPr>
            <w:tcW w:w="1710" w:type="dxa"/>
            <w:shd w:val="clear" w:color="auto" w:fill="auto"/>
            <w:noWrap/>
            <w:vAlign w:val="center"/>
          </w:tcPr>
          <w:p w14:paraId="6306AC09" w14:textId="5D2B3D4A" w:rsidR="00AC6F05" w:rsidRPr="00FF4640" w:rsidRDefault="00AC6F05" w:rsidP="00686443">
            <w:pPr>
              <w:jc w:val="center"/>
              <w:rPr>
                <w:rFonts w:cs="Times New Roman"/>
                <w:sz w:val="20"/>
                <w:szCs w:val="20"/>
              </w:rPr>
            </w:pPr>
            <w:r w:rsidRPr="00FF4640">
              <w:rPr>
                <w:rFonts w:cs="Times New Roman"/>
                <w:sz w:val="20"/>
                <w:szCs w:val="20"/>
              </w:rPr>
              <w:t>6</w:t>
            </w:r>
          </w:p>
        </w:tc>
        <w:tc>
          <w:tcPr>
            <w:tcW w:w="2070" w:type="dxa"/>
            <w:shd w:val="clear" w:color="000000" w:fill="FFFFFF"/>
            <w:noWrap/>
            <w:vAlign w:val="center"/>
          </w:tcPr>
          <w:p w14:paraId="1202B8C7" w14:textId="77777777" w:rsidR="00AC6F05" w:rsidRPr="00FF4640" w:rsidRDefault="00AC6F05" w:rsidP="00686443">
            <w:pPr>
              <w:jc w:val="center"/>
              <w:rPr>
                <w:rFonts w:cs="Times New Roman"/>
                <w:sz w:val="20"/>
                <w:szCs w:val="20"/>
              </w:rPr>
            </w:pPr>
          </w:p>
        </w:tc>
        <w:tc>
          <w:tcPr>
            <w:tcW w:w="2137" w:type="dxa"/>
            <w:shd w:val="clear" w:color="000000" w:fill="FFFFFF"/>
            <w:noWrap/>
            <w:vAlign w:val="center"/>
          </w:tcPr>
          <w:p w14:paraId="0D77662A" w14:textId="77777777" w:rsidR="00AC6F05" w:rsidRPr="00FF4640" w:rsidRDefault="00AC6F05" w:rsidP="00686443">
            <w:pPr>
              <w:jc w:val="center"/>
              <w:rPr>
                <w:rFonts w:cs="Times New Roman"/>
                <w:sz w:val="20"/>
                <w:szCs w:val="20"/>
              </w:rPr>
            </w:pPr>
          </w:p>
        </w:tc>
        <w:tc>
          <w:tcPr>
            <w:tcW w:w="1710" w:type="dxa"/>
            <w:shd w:val="clear" w:color="000000" w:fill="FFFFFF"/>
            <w:vAlign w:val="center"/>
          </w:tcPr>
          <w:p w14:paraId="389711C1" w14:textId="77777777" w:rsidR="00AC6F05" w:rsidRPr="00FF4640" w:rsidRDefault="00AC6F05" w:rsidP="00686443">
            <w:pPr>
              <w:jc w:val="center"/>
              <w:rPr>
                <w:rFonts w:cs="Times New Roman"/>
                <w:sz w:val="20"/>
                <w:szCs w:val="20"/>
              </w:rPr>
            </w:pPr>
          </w:p>
        </w:tc>
        <w:tc>
          <w:tcPr>
            <w:tcW w:w="1710" w:type="dxa"/>
            <w:shd w:val="clear" w:color="000000" w:fill="FFFFFF"/>
            <w:noWrap/>
            <w:vAlign w:val="center"/>
          </w:tcPr>
          <w:p w14:paraId="1690F14F" w14:textId="77777777" w:rsidR="00AC6F05" w:rsidRPr="00FF4640" w:rsidRDefault="00AC6F05" w:rsidP="00686443">
            <w:pPr>
              <w:jc w:val="center"/>
              <w:rPr>
                <w:rFonts w:cs="Times New Roman"/>
                <w:sz w:val="20"/>
                <w:szCs w:val="20"/>
              </w:rPr>
            </w:pPr>
          </w:p>
        </w:tc>
      </w:tr>
      <w:tr w:rsidR="00AC6F05" w:rsidRPr="00131E76" w14:paraId="2CA60DC6" w14:textId="77777777" w:rsidTr="00700C56">
        <w:trPr>
          <w:trHeight w:val="259"/>
          <w:jc w:val="center"/>
        </w:trPr>
        <w:tc>
          <w:tcPr>
            <w:tcW w:w="5917" w:type="dxa"/>
            <w:gridSpan w:val="3"/>
            <w:shd w:val="clear" w:color="auto" w:fill="auto"/>
            <w:noWrap/>
            <w:vAlign w:val="center"/>
          </w:tcPr>
          <w:p w14:paraId="23C4DC7C" w14:textId="0C990482" w:rsidR="00AC6F05" w:rsidRPr="00FF4640" w:rsidRDefault="00AC6F05" w:rsidP="005363DC">
            <w:pPr>
              <w:jc w:val="right"/>
              <w:rPr>
                <w:rFonts w:cs="Times New Roman"/>
                <w:sz w:val="20"/>
                <w:szCs w:val="20"/>
              </w:rPr>
            </w:pPr>
            <w:r w:rsidRPr="00FF4640">
              <w:rPr>
                <w:rFonts w:cs="Times New Roman"/>
                <w:sz w:val="20"/>
                <w:szCs w:val="20"/>
              </w:rPr>
              <w:t>Average (absolute) deviation</w:t>
            </w:r>
            <w:r w:rsidR="005363DC" w:rsidRPr="00FF4640">
              <w:rPr>
                <w:rFonts w:cs="Times New Roman"/>
                <w:sz w:val="20"/>
                <w:szCs w:val="20"/>
              </w:rPr>
              <w:t xml:space="preserve"> for uncorrected systematic uncertainty</w:t>
            </w:r>
            <w:r w:rsidRPr="00FF4640">
              <w:rPr>
                <w:rFonts w:cs="Times New Roman"/>
                <w:sz w:val="20"/>
                <w:szCs w:val="20"/>
              </w:rPr>
              <w:t>:</w:t>
            </w:r>
          </w:p>
        </w:tc>
        <w:tc>
          <w:tcPr>
            <w:tcW w:w="1710" w:type="dxa"/>
            <w:vAlign w:val="center"/>
          </w:tcPr>
          <w:p w14:paraId="41367DCA" w14:textId="77777777" w:rsidR="00AC6F05" w:rsidRPr="00FF4640" w:rsidRDefault="00AC6F05" w:rsidP="00686443">
            <w:pPr>
              <w:jc w:val="center"/>
              <w:rPr>
                <w:rFonts w:cs="Times New Roman"/>
                <w:sz w:val="20"/>
                <w:szCs w:val="20"/>
              </w:rPr>
            </w:pPr>
          </w:p>
        </w:tc>
        <w:tc>
          <w:tcPr>
            <w:tcW w:w="1710" w:type="dxa"/>
            <w:shd w:val="clear" w:color="000000" w:fill="FFFFFF"/>
            <w:noWrap/>
            <w:vAlign w:val="center"/>
          </w:tcPr>
          <w:p w14:paraId="524B4515" w14:textId="1C21368D" w:rsidR="00AC6F05" w:rsidRPr="00FF4640" w:rsidRDefault="00AC6F05" w:rsidP="00686443">
            <w:pPr>
              <w:jc w:val="center"/>
              <w:rPr>
                <w:rFonts w:cs="Times New Roman"/>
                <w:sz w:val="20"/>
                <w:szCs w:val="20"/>
              </w:rPr>
            </w:pPr>
          </w:p>
        </w:tc>
      </w:tr>
      <w:tr w:rsidR="002B0383" w:rsidRPr="00131E76" w14:paraId="2E23DA76" w14:textId="77777777" w:rsidTr="00D13D55">
        <w:trPr>
          <w:trHeight w:val="327"/>
          <w:jc w:val="center"/>
        </w:trPr>
        <w:tc>
          <w:tcPr>
            <w:tcW w:w="5917" w:type="dxa"/>
            <w:gridSpan w:val="3"/>
            <w:shd w:val="clear" w:color="auto" w:fill="auto"/>
            <w:noWrap/>
            <w:vAlign w:val="center"/>
          </w:tcPr>
          <w:p w14:paraId="6CA1522F" w14:textId="3A3FD0EA" w:rsidR="002B0383" w:rsidRPr="00FF4640" w:rsidRDefault="002B0383" w:rsidP="005363DC">
            <w:pPr>
              <w:jc w:val="right"/>
              <w:rPr>
                <w:rFonts w:cs="Times New Roman"/>
                <w:sz w:val="20"/>
                <w:szCs w:val="20"/>
              </w:rPr>
            </w:pPr>
            <w:r w:rsidRPr="00FF4640">
              <w:rPr>
                <w:rFonts w:cs="Times New Roman"/>
                <w:sz w:val="20"/>
                <w:szCs w:val="20"/>
              </w:rPr>
              <w:t>Neck Scale C</w:t>
            </w:r>
            <w:r w:rsidR="00D13D55" w:rsidRPr="00FF4640">
              <w:rPr>
                <w:rFonts w:cs="Times New Roman"/>
                <w:sz w:val="20"/>
                <w:szCs w:val="20"/>
              </w:rPr>
              <w:t xml:space="preserve">orrection </w:t>
            </w:r>
            <w:r w:rsidRPr="00FF4640">
              <w:rPr>
                <w:rFonts w:cs="Times New Roman"/>
                <w:sz w:val="20"/>
                <w:szCs w:val="20"/>
              </w:rPr>
              <w:t>Factor (NSCF)</w:t>
            </w:r>
            <w:r w:rsidR="00405AD2" w:rsidRPr="00FF4640">
              <w:rPr>
                <w:rFonts w:cs="Times New Roman"/>
                <w:sz w:val="20"/>
                <w:szCs w:val="20"/>
              </w:rPr>
              <w:t xml:space="preserve"> if appropriate</w:t>
            </w:r>
          </w:p>
        </w:tc>
        <w:tc>
          <w:tcPr>
            <w:tcW w:w="1710" w:type="dxa"/>
            <w:vAlign w:val="center"/>
          </w:tcPr>
          <w:p w14:paraId="03DAD3EF" w14:textId="77777777" w:rsidR="002B0383" w:rsidRPr="00FF4640" w:rsidRDefault="002B0383" w:rsidP="00686443">
            <w:pPr>
              <w:jc w:val="center"/>
              <w:rPr>
                <w:rFonts w:cs="Times New Roman"/>
                <w:sz w:val="20"/>
                <w:szCs w:val="20"/>
              </w:rPr>
            </w:pPr>
          </w:p>
        </w:tc>
        <w:tc>
          <w:tcPr>
            <w:tcW w:w="1710" w:type="dxa"/>
            <w:shd w:val="clear" w:color="000000" w:fill="FFFFFF"/>
            <w:noWrap/>
            <w:vAlign w:val="center"/>
          </w:tcPr>
          <w:p w14:paraId="7D0118DD" w14:textId="77777777" w:rsidR="002B0383" w:rsidRPr="00FF4640" w:rsidRDefault="002B0383" w:rsidP="00686443">
            <w:pPr>
              <w:jc w:val="center"/>
              <w:rPr>
                <w:rFonts w:cs="Times New Roman"/>
                <w:sz w:val="20"/>
                <w:szCs w:val="20"/>
              </w:rPr>
            </w:pPr>
          </w:p>
        </w:tc>
      </w:tr>
    </w:tbl>
    <w:p w14:paraId="6BB8058A" w14:textId="77777777" w:rsidR="000D2274" w:rsidRPr="00131E76" w:rsidRDefault="000D2274" w:rsidP="00700C56">
      <w:pPr>
        <w:rPr>
          <w:sz w:val="20"/>
          <w:szCs w:val="20"/>
        </w:rPr>
      </w:pPr>
    </w:p>
    <w:sectPr w:rsidR="000D2274" w:rsidRPr="00131E76" w:rsidSect="00EE5954">
      <w:headerReference w:type="default" r:id="rId20"/>
      <w:footerReference w:type="even" r:id="rId21"/>
      <w:footerReference w:type="default" r:id="rId22"/>
      <w:type w:val="continuous"/>
      <w:pgSz w:w="12240" w:h="15840" w:code="1"/>
      <w:pgMar w:top="990" w:right="1440" w:bottom="1260" w:left="1440" w:header="720" w:footer="10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DF72E" w14:textId="77777777" w:rsidR="008F5B42" w:rsidRDefault="008F5B42">
      <w:r>
        <w:separator/>
      </w:r>
    </w:p>
  </w:endnote>
  <w:endnote w:type="continuationSeparator" w:id="0">
    <w:p w14:paraId="049C6227" w14:textId="77777777" w:rsidR="008F5B42" w:rsidRDefault="008F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2AF7" w14:textId="7AFE1667" w:rsidR="003809F1" w:rsidRDefault="00380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69EA">
      <w:rPr>
        <w:rStyle w:val="PageNumber"/>
        <w:noProof/>
      </w:rPr>
      <w:t>1</w:t>
    </w:r>
    <w:r>
      <w:rPr>
        <w:rStyle w:val="PageNumber"/>
      </w:rPr>
      <w:fldChar w:fldCharType="end"/>
    </w:r>
  </w:p>
  <w:p w14:paraId="594A2A5C" w14:textId="77777777" w:rsidR="003809F1" w:rsidRDefault="00380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B0C4" w14:textId="770D549B" w:rsidR="003809F1" w:rsidRPr="00B8593D" w:rsidRDefault="003809F1">
    <w:pPr>
      <w:pStyle w:val="Footer"/>
      <w:rPr>
        <w:sz w:val="22"/>
      </w:rPr>
    </w:pPr>
    <w:r w:rsidRPr="00B8593D">
      <w:rPr>
        <w:sz w:val="22"/>
      </w:rPr>
      <w:t>SOP 31</w:t>
    </w:r>
    <w:r w:rsidR="00700C56" w:rsidRPr="00B8593D">
      <w:rPr>
        <w:sz w:val="22"/>
      </w:rPr>
      <w:t xml:space="preserve"> – 2019 </w:t>
    </w:r>
    <w:r w:rsidRPr="00B8593D">
      <w:rPr>
        <w:sz w:val="22"/>
      </w:rPr>
      <w:tab/>
      <w:t xml:space="preserve">Page </w:t>
    </w:r>
    <w:r w:rsidRPr="00B8593D">
      <w:rPr>
        <w:sz w:val="22"/>
      </w:rPr>
      <w:fldChar w:fldCharType="begin"/>
    </w:r>
    <w:r w:rsidRPr="00B8593D">
      <w:rPr>
        <w:sz w:val="22"/>
      </w:rPr>
      <w:instrText xml:space="preserve"> PAGE </w:instrText>
    </w:r>
    <w:r w:rsidRPr="00B8593D">
      <w:rPr>
        <w:sz w:val="22"/>
      </w:rPr>
      <w:fldChar w:fldCharType="separate"/>
    </w:r>
    <w:r w:rsidR="00405AD2" w:rsidRPr="00B8593D">
      <w:rPr>
        <w:noProof/>
        <w:sz w:val="22"/>
      </w:rPr>
      <w:t>8</w:t>
    </w:r>
    <w:r w:rsidRPr="00B8593D">
      <w:rPr>
        <w:sz w:val="22"/>
      </w:rPr>
      <w:fldChar w:fldCharType="end"/>
    </w:r>
    <w:r w:rsidRPr="00B8593D">
      <w:rPr>
        <w:sz w:val="22"/>
      </w:rPr>
      <w:t xml:space="preserve"> of </w:t>
    </w:r>
    <w:r w:rsidR="00063861" w:rsidRPr="00B8593D">
      <w:rPr>
        <w:noProof/>
        <w:sz w:val="22"/>
      </w:rPr>
      <w:fldChar w:fldCharType="begin"/>
    </w:r>
    <w:r w:rsidR="00063861" w:rsidRPr="00B8593D">
      <w:rPr>
        <w:noProof/>
        <w:sz w:val="22"/>
      </w:rPr>
      <w:instrText xml:space="preserve"> NUMPAGES </w:instrText>
    </w:r>
    <w:r w:rsidR="00063861" w:rsidRPr="00B8593D">
      <w:rPr>
        <w:noProof/>
        <w:sz w:val="22"/>
      </w:rPr>
      <w:fldChar w:fldCharType="separate"/>
    </w:r>
    <w:r w:rsidR="00405AD2" w:rsidRPr="00B8593D">
      <w:rPr>
        <w:noProof/>
        <w:sz w:val="22"/>
      </w:rPr>
      <w:t>8</w:t>
    </w:r>
    <w:r w:rsidR="00063861" w:rsidRPr="00B8593D">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E5E58" w14:textId="77777777" w:rsidR="008F5B42" w:rsidRDefault="008F5B42">
      <w:r>
        <w:separator/>
      </w:r>
    </w:p>
  </w:footnote>
  <w:footnote w:type="continuationSeparator" w:id="0">
    <w:p w14:paraId="724AAFC3" w14:textId="77777777" w:rsidR="008F5B42" w:rsidRDefault="008F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25F8" w14:textId="5A413ED9" w:rsidR="003809F1" w:rsidRPr="00700C56" w:rsidRDefault="00700C56" w:rsidP="00700C56">
    <w:pPr>
      <w:pStyle w:val="Header"/>
    </w:pPr>
    <w:r>
      <w:rPr>
        <w:noProof/>
      </w:rPr>
      <mc:AlternateContent>
        <mc:Choice Requires="wps">
          <w:drawing>
            <wp:anchor distT="0" distB="0" distL="114299" distR="114299" simplePos="0" relativeHeight="251659264" behindDoc="0" locked="0" layoutInCell="1" allowOverlap="1" wp14:anchorId="08AAEB8A" wp14:editId="351C0A24">
              <wp:simplePos x="0" y="0"/>
              <wp:positionH relativeFrom="column">
                <wp:posOffset>-419100</wp:posOffset>
              </wp:positionH>
              <wp:positionV relativeFrom="paragraph">
                <wp:posOffset>209550</wp:posOffset>
              </wp:positionV>
              <wp:extent cx="47625" cy="8591550"/>
              <wp:effectExtent l="0" t="0" r="28575"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859155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E3151E" id="Straight Connector 6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pt,16.5pt" to="-29.2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8240" behindDoc="1" locked="0" layoutInCell="1" allowOverlap="1" wp14:anchorId="7368312A" wp14:editId="408C1851">
              <wp:simplePos x="0" y="0"/>
              <wp:positionH relativeFrom="column">
                <wp:posOffset>-850426</wp:posOffset>
              </wp:positionH>
              <wp:positionV relativeFrom="page">
                <wp:posOffset>-81251</wp:posOffset>
              </wp:positionV>
              <wp:extent cx="428625" cy="10020300"/>
              <wp:effectExtent l="0" t="0" r="9525"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74F12C5D" w14:textId="77777777" w:rsidR="00700C56" w:rsidRPr="00B8593D" w:rsidRDefault="00700C56" w:rsidP="00700C56">
                          <w:pPr>
                            <w:jc w:val="center"/>
                            <w:rPr>
                              <w:rFonts w:ascii="Arial" w:hAnsi="Arial" w:cs="Arial"/>
                              <w:color w:val="A6A6A6"/>
                              <w:sz w:val="20"/>
                            </w:rPr>
                          </w:pPr>
                          <w:r w:rsidRPr="00B8593D">
                            <w:rPr>
                              <w:rFonts w:ascii="Arial" w:hAnsi="Arial" w:cs="Arial"/>
                              <w:color w:val="A6A6A6"/>
                              <w:sz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8312A" id="_x0000_t202" coordsize="21600,21600" o:spt="202" path="m,l,21600r21600,l21600,xe">
              <v:stroke joinstyle="miter"/>
              <v:path gradientshapeok="t" o:connecttype="rect"/>
            </v:shapetype>
            <v:shape id="Text Box 33" o:spid="_x0000_s1026" type="#_x0000_t202" style="position:absolute;margin-left:-66.95pt;margin-top:-6.4pt;width:33.7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" fillcolor="window" stroked="f" strokeweight=".5pt">
              <v:textbox style="layout-flow:vertical">
                <w:txbxContent>
                  <w:p w14:paraId="74F12C5D" w14:textId="77777777" w:rsidR="00700C56" w:rsidRPr="00B8593D" w:rsidRDefault="00700C56" w:rsidP="00700C56">
                    <w:pPr>
                      <w:jc w:val="center"/>
                      <w:rPr>
                        <w:rFonts w:ascii="Arial" w:hAnsi="Arial" w:cs="Arial"/>
                        <w:color w:val="A6A6A6"/>
                        <w:sz w:val="20"/>
                      </w:rPr>
                    </w:pPr>
                    <w:r w:rsidRPr="00B8593D">
                      <w:rPr>
                        <w:rFonts w:ascii="Arial" w:hAnsi="Arial" w:cs="Arial"/>
                        <w:color w:val="A6A6A6"/>
                        <w:sz w:val="20"/>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4248E9"/>
    <w:multiLevelType w:val="multilevel"/>
    <w:tmpl w:val="40C8C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97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A20C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B327E"/>
    <w:multiLevelType w:val="multilevel"/>
    <w:tmpl w:val="6C767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6DC2364"/>
    <w:multiLevelType w:val="multilevel"/>
    <w:tmpl w:val="B41044DC"/>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ED2F5C"/>
    <w:multiLevelType w:val="multilevel"/>
    <w:tmpl w:val="5742E6C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C17426"/>
    <w:multiLevelType w:val="multilevel"/>
    <w:tmpl w:val="81CC086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870"/>
        </w:tabs>
        <w:ind w:left="387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6"/>
  </w:num>
  <w:num w:numId="2">
    <w:abstractNumId w:val="10"/>
  </w:num>
  <w:num w:numId="3">
    <w:abstractNumId w:val="1"/>
  </w:num>
  <w:num w:numId="4">
    <w:abstractNumId w:val="4"/>
  </w:num>
  <w:num w:numId="5">
    <w:abstractNumId w:val="2"/>
  </w:num>
  <w:num w:numId="6">
    <w:abstractNumId w:val="13"/>
  </w:num>
  <w:num w:numId="7">
    <w:abstractNumId w:val="6"/>
  </w:num>
  <w:num w:numId="8">
    <w:abstractNumId w:val="15"/>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8"/>
  </w:num>
  <w:num w:numId="14">
    <w:abstractNumId w:val="7"/>
  </w:num>
  <w:num w:numId="15">
    <w:abstractNumId w:val="5"/>
  </w:num>
  <w:num w:numId="16">
    <w:abstractNumId w:val="11"/>
  </w:num>
  <w:num w:numId="17">
    <w:abstractNumId w:val="3"/>
  </w:num>
  <w:num w:numId="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2F"/>
    <w:rsid w:val="000162BE"/>
    <w:rsid w:val="00020EA0"/>
    <w:rsid w:val="0003189A"/>
    <w:rsid w:val="0004074E"/>
    <w:rsid w:val="00042790"/>
    <w:rsid w:val="00060385"/>
    <w:rsid w:val="00063861"/>
    <w:rsid w:val="00067A88"/>
    <w:rsid w:val="000764F1"/>
    <w:rsid w:val="000807AC"/>
    <w:rsid w:val="00085A41"/>
    <w:rsid w:val="00096422"/>
    <w:rsid w:val="000A242F"/>
    <w:rsid w:val="000A77FD"/>
    <w:rsid w:val="000C1442"/>
    <w:rsid w:val="000C2E61"/>
    <w:rsid w:val="000C59F9"/>
    <w:rsid w:val="000C69EA"/>
    <w:rsid w:val="000D2274"/>
    <w:rsid w:val="000E10A0"/>
    <w:rsid w:val="000E11AE"/>
    <w:rsid w:val="000E7893"/>
    <w:rsid w:val="00107AE7"/>
    <w:rsid w:val="00110B82"/>
    <w:rsid w:val="0013116B"/>
    <w:rsid w:val="00131E76"/>
    <w:rsid w:val="00133696"/>
    <w:rsid w:val="0014056E"/>
    <w:rsid w:val="00141A5D"/>
    <w:rsid w:val="00161F47"/>
    <w:rsid w:val="00165AD3"/>
    <w:rsid w:val="0016729F"/>
    <w:rsid w:val="00171E95"/>
    <w:rsid w:val="0017587B"/>
    <w:rsid w:val="00182276"/>
    <w:rsid w:val="00182B65"/>
    <w:rsid w:val="001840F2"/>
    <w:rsid w:val="00185E47"/>
    <w:rsid w:val="00187029"/>
    <w:rsid w:val="001872A9"/>
    <w:rsid w:val="00193164"/>
    <w:rsid w:val="001940A0"/>
    <w:rsid w:val="0019519D"/>
    <w:rsid w:val="001976F4"/>
    <w:rsid w:val="001A259A"/>
    <w:rsid w:val="001B5116"/>
    <w:rsid w:val="001C3AD7"/>
    <w:rsid w:val="001C3DBB"/>
    <w:rsid w:val="001C5C8A"/>
    <w:rsid w:val="001C7D72"/>
    <w:rsid w:val="001D0AC8"/>
    <w:rsid w:val="001D4C60"/>
    <w:rsid w:val="001E042B"/>
    <w:rsid w:val="001F7AEB"/>
    <w:rsid w:val="00201CB6"/>
    <w:rsid w:val="00205EA8"/>
    <w:rsid w:val="00207158"/>
    <w:rsid w:val="002107DD"/>
    <w:rsid w:val="002260B0"/>
    <w:rsid w:val="00250F31"/>
    <w:rsid w:val="002541B3"/>
    <w:rsid w:val="0025765E"/>
    <w:rsid w:val="00257F2A"/>
    <w:rsid w:val="00263870"/>
    <w:rsid w:val="00264582"/>
    <w:rsid w:val="00266B40"/>
    <w:rsid w:val="00274490"/>
    <w:rsid w:val="002847F6"/>
    <w:rsid w:val="00285D48"/>
    <w:rsid w:val="00290E4D"/>
    <w:rsid w:val="00291FA7"/>
    <w:rsid w:val="0029393F"/>
    <w:rsid w:val="002A0ABA"/>
    <w:rsid w:val="002A1AEE"/>
    <w:rsid w:val="002B0383"/>
    <w:rsid w:val="002B16CD"/>
    <w:rsid w:val="002B3F82"/>
    <w:rsid w:val="002B43A2"/>
    <w:rsid w:val="002B4DA4"/>
    <w:rsid w:val="002B672A"/>
    <w:rsid w:val="002C5119"/>
    <w:rsid w:val="002C78B7"/>
    <w:rsid w:val="002C7E96"/>
    <w:rsid w:val="002D05F7"/>
    <w:rsid w:val="002D5733"/>
    <w:rsid w:val="002D6701"/>
    <w:rsid w:val="002D6D83"/>
    <w:rsid w:val="002E1917"/>
    <w:rsid w:val="002E4D97"/>
    <w:rsid w:val="002F21C4"/>
    <w:rsid w:val="002F3F15"/>
    <w:rsid w:val="002F5301"/>
    <w:rsid w:val="003143FD"/>
    <w:rsid w:val="00317725"/>
    <w:rsid w:val="00320900"/>
    <w:rsid w:val="00324EEA"/>
    <w:rsid w:val="0032641E"/>
    <w:rsid w:val="00336A3E"/>
    <w:rsid w:val="00340C12"/>
    <w:rsid w:val="003417A1"/>
    <w:rsid w:val="00347637"/>
    <w:rsid w:val="00351364"/>
    <w:rsid w:val="00363D9B"/>
    <w:rsid w:val="00372394"/>
    <w:rsid w:val="003734FF"/>
    <w:rsid w:val="003809F1"/>
    <w:rsid w:val="00380C8E"/>
    <w:rsid w:val="003815CD"/>
    <w:rsid w:val="00381604"/>
    <w:rsid w:val="00390655"/>
    <w:rsid w:val="00397446"/>
    <w:rsid w:val="00397A41"/>
    <w:rsid w:val="003A2B2F"/>
    <w:rsid w:val="003A5655"/>
    <w:rsid w:val="003B1ECE"/>
    <w:rsid w:val="003B2018"/>
    <w:rsid w:val="003B27D8"/>
    <w:rsid w:val="003B76A4"/>
    <w:rsid w:val="003C145C"/>
    <w:rsid w:val="003D4BD5"/>
    <w:rsid w:val="003E2449"/>
    <w:rsid w:val="003E540E"/>
    <w:rsid w:val="003F1573"/>
    <w:rsid w:val="003F1B47"/>
    <w:rsid w:val="00400B48"/>
    <w:rsid w:val="004029F9"/>
    <w:rsid w:val="00405AD2"/>
    <w:rsid w:val="004066C3"/>
    <w:rsid w:val="00411A6C"/>
    <w:rsid w:val="004132C2"/>
    <w:rsid w:val="00415F79"/>
    <w:rsid w:val="004172D4"/>
    <w:rsid w:val="00421082"/>
    <w:rsid w:val="00424446"/>
    <w:rsid w:val="00424BB8"/>
    <w:rsid w:val="0042664F"/>
    <w:rsid w:val="0043004F"/>
    <w:rsid w:val="00434FF4"/>
    <w:rsid w:val="0044066C"/>
    <w:rsid w:val="004467A9"/>
    <w:rsid w:val="00462EC1"/>
    <w:rsid w:val="00463F02"/>
    <w:rsid w:val="00464058"/>
    <w:rsid w:val="00465348"/>
    <w:rsid w:val="004818CA"/>
    <w:rsid w:val="00486298"/>
    <w:rsid w:val="0049389E"/>
    <w:rsid w:val="004969C3"/>
    <w:rsid w:val="004A7C90"/>
    <w:rsid w:val="004B0DD6"/>
    <w:rsid w:val="004B2115"/>
    <w:rsid w:val="004B44C9"/>
    <w:rsid w:val="004B5335"/>
    <w:rsid w:val="004C4679"/>
    <w:rsid w:val="004C5CC4"/>
    <w:rsid w:val="004C61FD"/>
    <w:rsid w:val="004C748E"/>
    <w:rsid w:val="004D118E"/>
    <w:rsid w:val="004D5B51"/>
    <w:rsid w:val="004D7445"/>
    <w:rsid w:val="004E3E58"/>
    <w:rsid w:val="004E434F"/>
    <w:rsid w:val="004F048D"/>
    <w:rsid w:val="004F4E2E"/>
    <w:rsid w:val="004F4E40"/>
    <w:rsid w:val="00502667"/>
    <w:rsid w:val="0050295B"/>
    <w:rsid w:val="00506412"/>
    <w:rsid w:val="005067A7"/>
    <w:rsid w:val="00506985"/>
    <w:rsid w:val="00520710"/>
    <w:rsid w:val="00525D76"/>
    <w:rsid w:val="0053365D"/>
    <w:rsid w:val="005339B5"/>
    <w:rsid w:val="005363DC"/>
    <w:rsid w:val="005468EE"/>
    <w:rsid w:val="005479EF"/>
    <w:rsid w:val="005570B1"/>
    <w:rsid w:val="005614FE"/>
    <w:rsid w:val="00563451"/>
    <w:rsid w:val="00565C92"/>
    <w:rsid w:val="00571BB1"/>
    <w:rsid w:val="00572615"/>
    <w:rsid w:val="00577732"/>
    <w:rsid w:val="00581BD9"/>
    <w:rsid w:val="005822DE"/>
    <w:rsid w:val="00582938"/>
    <w:rsid w:val="00587CA9"/>
    <w:rsid w:val="00597BC1"/>
    <w:rsid w:val="005A3396"/>
    <w:rsid w:val="005A6C38"/>
    <w:rsid w:val="005A772E"/>
    <w:rsid w:val="005B0271"/>
    <w:rsid w:val="005C406D"/>
    <w:rsid w:val="005C5ED4"/>
    <w:rsid w:val="005C69C3"/>
    <w:rsid w:val="005D1B0D"/>
    <w:rsid w:val="005D3A6B"/>
    <w:rsid w:val="005D48FE"/>
    <w:rsid w:val="005E4786"/>
    <w:rsid w:val="005E6EA0"/>
    <w:rsid w:val="005E7AD6"/>
    <w:rsid w:val="005F01CF"/>
    <w:rsid w:val="005F544E"/>
    <w:rsid w:val="00606BE8"/>
    <w:rsid w:val="00607F8F"/>
    <w:rsid w:val="006158DF"/>
    <w:rsid w:val="006174C1"/>
    <w:rsid w:val="00621AC4"/>
    <w:rsid w:val="00625181"/>
    <w:rsid w:val="0062665F"/>
    <w:rsid w:val="006448EC"/>
    <w:rsid w:val="0064544D"/>
    <w:rsid w:val="0065149D"/>
    <w:rsid w:val="00652247"/>
    <w:rsid w:val="006577C6"/>
    <w:rsid w:val="00657EA2"/>
    <w:rsid w:val="0067254C"/>
    <w:rsid w:val="00677D34"/>
    <w:rsid w:val="0068133F"/>
    <w:rsid w:val="00686443"/>
    <w:rsid w:val="00693221"/>
    <w:rsid w:val="006A1400"/>
    <w:rsid w:val="006A68D9"/>
    <w:rsid w:val="006A7F5E"/>
    <w:rsid w:val="006B14B3"/>
    <w:rsid w:val="006B3034"/>
    <w:rsid w:val="006B32C3"/>
    <w:rsid w:val="006B36FB"/>
    <w:rsid w:val="006B6AB8"/>
    <w:rsid w:val="006B78CE"/>
    <w:rsid w:val="006C6F9D"/>
    <w:rsid w:val="006D3382"/>
    <w:rsid w:val="006D7C93"/>
    <w:rsid w:val="006E4F5F"/>
    <w:rsid w:val="006F62CB"/>
    <w:rsid w:val="00700C56"/>
    <w:rsid w:val="00703B45"/>
    <w:rsid w:val="00707E4E"/>
    <w:rsid w:val="00712632"/>
    <w:rsid w:val="00712DDF"/>
    <w:rsid w:val="007135CD"/>
    <w:rsid w:val="007141F3"/>
    <w:rsid w:val="007173CF"/>
    <w:rsid w:val="00717490"/>
    <w:rsid w:val="007215A1"/>
    <w:rsid w:val="00723D52"/>
    <w:rsid w:val="00727B8F"/>
    <w:rsid w:val="00741E32"/>
    <w:rsid w:val="00743CF2"/>
    <w:rsid w:val="0075781C"/>
    <w:rsid w:val="00761A43"/>
    <w:rsid w:val="00763C36"/>
    <w:rsid w:val="007640AC"/>
    <w:rsid w:val="007665EA"/>
    <w:rsid w:val="00766C7C"/>
    <w:rsid w:val="00766D28"/>
    <w:rsid w:val="007722CA"/>
    <w:rsid w:val="007722E2"/>
    <w:rsid w:val="007741F7"/>
    <w:rsid w:val="007748FD"/>
    <w:rsid w:val="00783D22"/>
    <w:rsid w:val="00794F7A"/>
    <w:rsid w:val="007A33F9"/>
    <w:rsid w:val="007A58D3"/>
    <w:rsid w:val="007B641B"/>
    <w:rsid w:val="007B6617"/>
    <w:rsid w:val="007D6D0F"/>
    <w:rsid w:val="007D7632"/>
    <w:rsid w:val="007E1163"/>
    <w:rsid w:val="007F24A5"/>
    <w:rsid w:val="007F70D0"/>
    <w:rsid w:val="00800868"/>
    <w:rsid w:val="0080114F"/>
    <w:rsid w:val="0081164C"/>
    <w:rsid w:val="008139BC"/>
    <w:rsid w:val="008142B0"/>
    <w:rsid w:val="00821434"/>
    <w:rsid w:val="00822386"/>
    <w:rsid w:val="00823D19"/>
    <w:rsid w:val="00826257"/>
    <w:rsid w:val="00833DDA"/>
    <w:rsid w:val="00836144"/>
    <w:rsid w:val="00841E7E"/>
    <w:rsid w:val="00842687"/>
    <w:rsid w:val="00843EAF"/>
    <w:rsid w:val="0084490A"/>
    <w:rsid w:val="00847345"/>
    <w:rsid w:val="0085199D"/>
    <w:rsid w:val="008530EF"/>
    <w:rsid w:val="00857283"/>
    <w:rsid w:val="0086388F"/>
    <w:rsid w:val="008647AF"/>
    <w:rsid w:val="00875CA5"/>
    <w:rsid w:val="00885DE2"/>
    <w:rsid w:val="008872B0"/>
    <w:rsid w:val="00891B51"/>
    <w:rsid w:val="00893A4B"/>
    <w:rsid w:val="008977E6"/>
    <w:rsid w:val="008A0449"/>
    <w:rsid w:val="008B002C"/>
    <w:rsid w:val="008B0054"/>
    <w:rsid w:val="008B203B"/>
    <w:rsid w:val="008C0290"/>
    <w:rsid w:val="008C0E03"/>
    <w:rsid w:val="008C306B"/>
    <w:rsid w:val="008C324E"/>
    <w:rsid w:val="008C508B"/>
    <w:rsid w:val="008D3BA0"/>
    <w:rsid w:val="008D47A3"/>
    <w:rsid w:val="008D73BE"/>
    <w:rsid w:val="008E36C8"/>
    <w:rsid w:val="008F343B"/>
    <w:rsid w:val="008F3F0C"/>
    <w:rsid w:val="008F5B42"/>
    <w:rsid w:val="0090640E"/>
    <w:rsid w:val="00911131"/>
    <w:rsid w:val="0091640D"/>
    <w:rsid w:val="0092044F"/>
    <w:rsid w:val="00921088"/>
    <w:rsid w:val="00922827"/>
    <w:rsid w:val="00924748"/>
    <w:rsid w:val="009319E3"/>
    <w:rsid w:val="00936AE8"/>
    <w:rsid w:val="009427C1"/>
    <w:rsid w:val="00951A85"/>
    <w:rsid w:val="00956439"/>
    <w:rsid w:val="009566C3"/>
    <w:rsid w:val="00957652"/>
    <w:rsid w:val="00957745"/>
    <w:rsid w:val="0095792A"/>
    <w:rsid w:val="00963EEB"/>
    <w:rsid w:val="00966E8A"/>
    <w:rsid w:val="009829F5"/>
    <w:rsid w:val="00987965"/>
    <w:rsid w:val="009A2C96"/>
    <w:rsid w:val="009C3D6C"/>
    <w:rsid w:val="009C7384"/>
    <w:rsid w:val="009D0A27"/>
    <w:rsid w:val="009D387B"/>
    <w:rsid w:val="009D7A79"/>
    <w:rsid w:val="009E480A"/>
    <w:rsid w:val="009E499E"/>
    <w:rsid w:val="009F3845"/>
    <w:rsid w:val="009F5BF7"/>
    <w:rsid w:val="00A005F4"/>
    <w:rsid w:val="00A038FD"/>
    <w:rsid w:val="00A218AA"/>
    <w:rsid w:val="00A24865"/>
    <w:rsid w:val="00A26336"/>
    <w:rsid w:val="00A319F0"/>
    <w:rsid w:val="00A454BA"/>
    <w:rsid w:val="00A6229D"/>
    <w:rsid w:val="00A6412F"/>
    <w:rsid w:val="00A64A38"/>
    <w:rsid w:val="00A664DE"/>
    <w:rsid w:val="00A66950"/>
    <w:rsid w:val="00A71A31"/>
    <w:rsid w:val="00A75473"/>
    <w:rsid w:val="00A75B5C"/>
    <w:rsid w:val="00A8375A"/>
    <w:rsid w:val="00A86316"/>
    <w:rsid w:val="00A9409D"/>
    <w:rsid w:val="00AA2537"/>
    <w:rsid w:val="00AA4126"/>
    <w:rsid w:val="00AB12D8"/>
    <w:rsid w:val="00AB252B"/>
    <w:rsid w:val="00AB535C"/>
    <w:rsid w:val="00AC1256"/>
    <w:rsid w:val="00AC2116"/>
    <w:rsid w:val="00AC6F05"/>
    <w:rsid w:val="00AD045E"/>
    <w:rsid w:val="00AD247A"/>
    <w:rsid w:val="00AD51EF"/>
    <w:rsid w:val="00AD541F"/>
    <w:rsid w:val="00AD5AFE"/>
    <w:rsid w:val="00AD5B13"/>
    <w:rsid w:val="00AD6C1E"/>
    <w:rsid w:val="00AE0C29"/>
    <w:rsid w:val="00AE44D8"/>
    <w:rsid w:val="00AE4E24"/>
    <w:rsid w:val="00AF3610"/>
    <w:rsid w:val="00B03F3F"/>
    <w:rsid w:val="00B13BFA"/>
    <w:rsid w:val="00B16BD7"/>
    <w:rsid w:val="00B212E9"/>
    <w:rsid w:val="00B254D6"/>
    <w:rsid w:val="00B30B4B"/>
    <w:rsid w:val="00B3147F"/>
    <w:rsid w:val="00B373D0"/>
    <w:rsid w:val="00B43BF2"/>
    <w:rsid w:val="00B462D5"/>
    <w:rsid w:val="00B51775"/>
    <w:rsid w:val="00B55078"/>
    <w:rsid w:val="00B622C2"/>
    <w:rsid w:val="00B66297"/>
    <w:rsid w:val="00B66C79"/>
    <w:rsid w:val="00B7029A"/>
    <w:rsid w:val="00B7258A"/>
    <w:rsid w:val="00B73FC2"/>
    <w:rsid w:val="00B741BA"/>
    <w:rsid w:val="00B8556B"/>
    <w:rsid w:val="00B856AB"/>
    <w:rsid w:val="00B8593D"/>
    <w:rsid w:val="00B85C05"/>
    <w:rsid w:val="00B86343"/>
    <w:rsid w:val="00B87DB6"/>
    <w:rsid w:val="00B91700"/>
    <w:rsid w:val="00B92523"/>
    <w:rsid w:val="00B92826"/>
    <w:rsid w:val="00BA1003"/>
    <w:rsid w:val="00BB1F73"/>
    <w:rsid w:val="00BC6CAD"/>
    <w:rsid w:val="00BC7F7C"/>
    <w:rsid w:val="00BD0518"/>
    <w:rsid w:val="00BD190C"/>
    <w:rsid w:val="00BD4013"/>
    <w:rsid w:val="00BE59D9"/>
    <w:rsid w:val="00BE61F1"/>
    <w:rsid w:val="00C05EA1"/>
    <w:rsid w:val="00C1274E"/>
    <w:rsid w:val="00C23D25"/>
    <w:rsid w:val="00C24215"/>
    <w:rsid w:val="00C24E14"/>
    <w:rsid w:val="00C27B04"/>
    <w:rsid w:val="00C31045"/>
    <w:rsid w:val="00C37599"/>
    <w:rsid w:val="00C40083"/>
    <w:rsid w:val="00C457F4"/>
    <w:rsid w:val="00C5040E"/>
    <w:rsid w:val="00C50421"/>
    <w:rsid w:val="00C50AC7"/>
    <w:rsid w:val="00C510D0"/>
    <w:rsid w:val="00C54187"/>
    <w:rsid w:val="00C55A2C"/>
    <w:rsid w:val="00C603D0"/>
    <w:rsid w:val="00C672F4"/>
    <w:rsid w:val="00C77F92"/>
    <w:rsid w:val="00C822A6"/>
    <w:rsid w:val="00CA4595"/>
    <w:rsid w:val="00CA4AC8"/>
    <w:rsid w:val="00CA4F9F"/>
    <w:rsid w:val="00CA6229"/>
    <w:rsid w:val="00CA62E2"/>
    <w:rsid w:val="00CC09FF"/>
    <w:rsid w:val="00CC1BC6"/>
    <w:rsid w:val="00CC5205"/>
    <w:rsid w:val="00CD33DC"/>
    <w:rsid w:val="00CE38BD"/>
    <w:rsid w:val="00CE4D2E"/>
    <w:rsid w:val="00CE59CE"/>
    <w:rsid w:val="00D00897"/>
    <w:rsid w:val="00D00A8F"/>
    <w:rsid w:val="00D0197B"/>
    <w:rsid w:val="00D062DC"/>
    <w:rsid w:val="00D064EA"/>
    <w:rsid w:val="00D1331F"/>
    <w:rsid w:val="00D13D55"/>
    <w:rsid w:val="00D15E0B"/>
    <w:rsid w:val="00D16BDB"/>
    <w:rsid w:val="00D178AF"/>
    <w:rsid w:val="00D20B79"/>
    <w:rsid w:val="00D23E10"/>
    <w:rsid w:val="00D25C17"/>
    <w:rsid w:val="00D30914"/>
    <w:rsid w:val="00D30C1C"/>
    <w:rsid w:val="00D37A95"/>
    <w:rsid w:val="00D52AEA"/>
    <w:rsid w:val="00D6229B"/>
    <w:rsid w:val="00D649C2"/>
    <w:rsid w:val="00D76BEB"/>
    <w:rsid w:val="00D81E90"/>
    <w:rsid w:val="00D835CB"/>
    <w:rsid w:val="00D93877"/>
    <w:rsid w:val="00D9788F"/>
    <w:rsid w:val="00DA3F15"/>
    <w:rsid w:val="00DB30C5"/>
    <w:rsid w:val="00DC588B"/>
    <w:rsid w:val="00DD49B7"/>
    <w:rsid w:val="00DE6D8E"/>
    <w:rsid w:val="00DF21FC"/>
    <w:rsid w:val="00DF2B0B"/>
    <w:rsid w:val="00E0200D"/>
    <w:rsid w:val="00E03958"/>
    <w:rsid w:val="00E03A5E"/>
    <w:rsid w:val="00E10AAD"/>
    <w:rsid w:val="00E13BFA"/>
    <w:rsid w:val="00E145CE"/>
    <w:rsid w:val="00E248AA"/>
    <w:rsid w:val="00E30B94"/>
    <w:rsid w:val="00E31BF2"/>
    <w:rsid w:val="00E32155"/>
    <w:rsid w:val="00E35179"/>
    <w:rsid w:val="00E4700B"/>
    <w:rsid w:val="00E54D7F"/>
    <w:rsid w:val="00E55D24"/>
    <w:rsid w:val="00E63162"/>
    <w:rsid w:val="00E666D8"/>
    <w:rsid w:val="00E67257"/>
    <w:rsid w:val="00E82C94"/>
    <w:rsid w:val="00E843B6"/>
    <w:rsid w:val="00EA60BB"/>
    <w:rsid w:val="00EB297E"/>
    <w:rsid w:val="00EC5E6C"/>
    <w:rsid w:val="00EC601F"/>
    <w:rsid w:val="00ED03BD"/>
    <w:rsid w:val="00ED3688"/>
    <w:rsid w:val="00ED78A7"/>
    <w:rsid w:val="00EE0610"/>
    <w:rsid w:val="00EE1BA3"/>
    <w:rsid w:val="00EE21DC"/>
    <w:rsid w:val="00EE3DB4"/>
    <w:rsid w:val="00EE5954"/>
    <w:rsid w:val="00EF03EC"/>
    <w:rsid w:val="00F007C3"/>
    <w:rsid w:val="00F0296A"/>
    <w:rsid w:val="00F120A8"/>
    <w:rsid w:val="00F16395"/>
    <w:rsid w:val="00F17A1E"/>
    <w:rsid w:val="00F273C7"/>
    <w:rsid w:val="00F309AA"/>
    <w:rsid w:val="00F3119A"/>
    <w:rsid w:val="00F3186A"/>
    <w:rsid w:val="00F34DCE"/>
    <w:rsid w:val="00F35F41"/>
    <w:rsid w:val="00F417CB"/>
    <w:rsid w:val="00F428EE"/>
    <w:rsid w:val="00F45338"/>
    <w:rsid w:val="00F466E1"/>
    <w:rsid w:val="00F561B9"/>
    <w:rsid w:val="00F56A73"/>
    <w:rsid w:val="00F56DAD"/>
    <w:rsid w:val="00F572EC"/>
    <w:rsid w:val="00F631E8"/>
    <w:rsid w:val="00F7204E"/>
    <w:rsid w:val="00F774C8"/>
    <w:rsid w:val="00F86603"/>
    <w:rsid w:val="00F86F42"/>
    <w:rsid w:val="00F8752C"/>
    <w:rsid w:val="00F935B0"/>
    <w:rsid w:val="00F936FE"/>
    <w:rsid w:val="00F95CA2"/>
    <w:rsid w:val="00F970C4"/>
    <w:rsid w:val="00F97DAB"/>
    <w:rsid w:val="00FA0910"/>
    <w:rsid w:val="00FA2379"/>
    <w:rsid w:val="00FB1A67"/>
    <w:rsid w:val="00FB2AAA"/>
    <w:rsid w:val="00FB32DF"/>
    <w:rsid w:val="00FB58D7"/>
    <w:rsid w:val="00FC2F8D"/>
    <w:rsid w:val="00FD1337"/>
    <w:rsid w:val="00FD3101"/>
    <w:rsid w:val="00FD3A1F"/>
    <w:rsid w:val="00FD646B"/>
    <w:rsid w:val="00FE0826"/>
    <w:rsid w:val="00FF4640"/>
    <w:rsid w:val="00FF5395"/>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E5325D"/>
  <w15:docId w15:val="{256E025E-943D-474C-9846-0B3B3F07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822A6"/>
    <w:rPr>
      <w:rFonts w:eastAsiaTheme="minorHAnsi" w:cstheme="minorBidi"/>
      <w:sz w:val="24"/>
      <w:szCs w:val="22"/>
    </w:rPr>
  </w:style>
  <w:style w:type="paragraph" w:styleId="Heading1">
    <w:name w:val="heading 1"/>
    <w:basedOn w:val="Normal"/>
    <w:next w:val="Normal"/>
    <w:link w:val="Heading1Char"/>
    <w:uiPriority w:val="9"/>
    <w:qFormat/>
    <w:rsid w:val="00C822A6"/>
    <w:pPr>
      <w:keepNext/>
      <w:keepLines/>
      <w:numPr>
        <w:numId w:val="18"/>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C822A6"/>
    <w:pPr>
      <w:keepNext/>
      <w:keepLines/>
      <w:numPr>
        <w:ilvl w:val="1"/>
        <w:numId w:val="18"/>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C822A6"/>
    <w:pPr>
      <w:keepNext/>
      <w:keepLines/>
      <w:numPr>
        <w:ilvl w:val="2"/>
        <w:numId w:val="18"/>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C822A6"/>
    <w:pPr>
      <w:keepNext/>
      <w:keepLines/>
      <w:numPr>
        <w:ilvl w:val="3"/>
        <w:numId w:val="18"/>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C822A6"/>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822A6"/>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822A6"/>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822A6"/>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822A6"/>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822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22A6"/>
  </w:style>
  <w:style w:type="paragraph" w:styleId="TOC1">
    <w:name w:val="toc 1"/>
    <w:basedOn w:val="Normal"/>
    <w:next w:val="Normal"/>
    <w:autoRedefine/>
    <w:uiPriority w:val="39"/>
    <w:unhideWhenUsed/>
    <w:rsid w:val="00C822A6"/>
    <w:pPr>
      <w:tabs>
        <w:tab w:val="left" w:pos="440"/>
        <w:tab w:val="right" w:leader="dot" w:pos="8990"/>
      </w:tabs>
      <w:spacing w:after="100"/>
    </w:pPr>
    <w:rPr>
      <w:b/>
    </w:rPr>
  </w:style>
  <w:style w:type="paragraph" w:styleId="BodyTextIndent">
    <w:name w:val="Body Text Indent"/>
    <w:basedOn w:val="Normal"/>
    <w:pPr>
      <w:ind w:left="720"/>
      <w:jc w:val="both"/>
    </w:pPr>
  </w:style>
  <w:style w:type="paragraph" w:styleId="BodyTextIndent2">
    <w:name w:val="Body Text Indent 2"/>
    <w:basedOn w:val="Normal"/>
    <w:pPr>
      <w:ind w:left="1440"/>
      <w:jc w:val="both"/>
    </w:pPr>
  </w:style>
  <w:style w:type="paragraph" w:styleId="BodyTextIndent3">
    <w:name w:val="Body Text Indent 3"/>
    <w:basedOn w:val="Normal"/>
    <w:pPr>
      <w:ind w:left="2160" w:hanging="720"/>
      <w:jc w:val="both"/>
    </w:pPr>
  </w:style>
  <w:style w:type="paragraph" w:styleId="PlainText">
    <w:name w:val="Plain Text"/>
    <w:basedOn w:val="Normal"/>
    <w:rPr>
      <w:rFonts w:ascii="Courier New" w:hAnsi="Courier New"/>
    </w:rPr>
  </w:style>
  <w:style w:type="paragraph" w:styleId="Footer">
    <w:name w:val="footer"/>
    <w:basedOn w:val="Normal"/>
    <w:link w:val="FooterChar"/>
    <w:uiPriority w:val="99"/>
    <w:unhideWhenUsed/>
    <w:rsid w:val="00C822A6"/>
    <w:pPr>
      <w:tabs>
        <w:tab w:val="center" w:pos="4680"/>
        <w:tab w:val="right" w:pos="9360"/>
      </w:tabs>
    </w:pPr>
  </w:style>
  <w:style w:type="character" w:styleId="PageNumber">
    <w:name w:val="page number"/>
    <w:basedOn w:val="DefaultParagraphFont"/>
  </w:style>
  <w:style w:type="paragraph" w:styleId="Header">
    <w:name w:val="header"/>
    <w:basedOn w:val="Normal"/>
    <w:link w:val="HeaderChar"/>
    <w:unhideWhenUsed/>
    <w:rsid w:val="00C822A6"/>
    <w:pPr>
      <w:tabs>
        <w:tab w:val="center" w:pos="4680"/>
        <w:tab w:val="right" w:pos="9360"/>
      </w:tabs>
    </w:pPr>
  </w:style>
  <w:style w:type="paragraph" w:styleId="Title">
    <w:name w:val="Title"/>
    <w:aliases w:val="Title-Lab"/>
    <w:basedOn w:val="Normal"/>
    <w:next w:val="Normal"/>
    <w:link w:val="TitleChar"/>
    <w:uiPriority w:val="10"/>
    <w:qFormat/>
    <w:rsid w:val="00C822A6"/>
    <w:pPr>
      <w:widowControl w:val="0"/>
      <w:autoSpaceDE w:val="0"/>
      <w:autoSpaceDN w:val="0"/>
      <w:adjustRightInd w:val="0"/>
      <w:spacing w:after="120"/>
      <w:jc w:val="center"/>
    </w:pPr>
    <w:rPr>
      <w:rFonts w:eastAsia="Times New Roman" w:cs="Times New Roman"/>
      <w:b/>
      <w:szCs w:val="24"/>
    </w:rPr>
  </w:style>
  <w:style w:type="paragraph" w:styleId="Caption">
    <w:name w:val="caption"/>
    <w:aliases w:val="Caption (Figure and Table Titles)"/>
    <w:basedOn w:val="BodyText"/>
    <w:next w:val="Normal"/>
    <w:uiPriority w:val="35"/>
    <w:unhideWhenUsed/>
    <w:qFormat/>
    <w:rsid w:val="00C822A6"/>
    <w:pPr>
      <w:spacing w:after="0"/>
      <w:ind w:left="1872"/>
    </w:pPr>
    <w:rPr>
      <w:b/>
      <w:sz w:val="22"/>
    </w:rPr>
  </w:style>
  <w:style w:type="paragraph" w:styleId="BalloonText">
    <w:name w:val="Balloon Text"/>
    <w:basedOn w:val="Normal"/>
    <w:link w:val="BalloonTextChar"/>
    <w:uiPriority w:val="99"/>
    <w:unhideWhenUsed/>
    <w:rsid w:val="00C822A6"/>
    <w:rPr>
      <w:rFonts w:ascii="Tahoma" w:hAnsi="Tahoma" w:cs="Tahoma"/>
      <w:sz w:val="16"/>
      <w:szCs w:val="16"/>
    </w:rPr>
  </w:style>
  <w:style w:type="character" w:styleId="CommentReference">
    <w:name w:val="annotation reference"/>
    <w:basedOn w:val="DefaultParagraphFont"/>
    <w:uiPriority w:val="99"/>
    <w:semiHidden/>
    <w:unhideWhenUsed/>
    <w:rsid w:val="00C822A6"/>
    <w:rPr>
      <w:sz w:val="16"/>
      <w:szCs w:val="16"/>
    </w:rPr>
  </w:style>
  <w:style w:type="paragraph" w:styleId="CommentText">
    <w:name w:val="annotation text"/>
    <w:basedOn w:val="Normal"/>
    <w:link w:val="CommentTextChar"/>
    <w:uiPriority w:val="99"/>
    <w:semiHidden/>
    <w:unhideWhenUsed/>
    <w:rsid w:val="00C822A6"/>
    <w:rPr>
      <w:sz w:val="20"/>
      <w:szCs w:val="20"/>
    </w:rPr>
  </w:style>
  <w:style w:type="paragraph" w:styleId="CommentSubject">
    <w:name w:val="annotation subject"/>
    <w:basedOn w:val="CommentText"/>
    <w:next w:val="CommentText"/>
    <w:link w:val="CommentSubjectChar"/>
    <w:uiPriority w:val="99"/>
    <w:semiHidden/>
    <w:unhideWhenUsed/>
    <w:rsid w:val="00C822A6"/>
    <w:rPr>
      <w:b/>
      <w:bCs/>
    </w:rPr>
  </w:style>
  <w:style w:type="paragraph" w:customStyle="1" w:styleId="3Technical">
    <w:name w:val="3Technical"/>
    <w:rsid w:val="00826257"/>
    <w:pPr>
      <w:tabs>
        <w:tab w:val="left" w:pos="720"/>
        <w:tab w:val="left" w:pos="1440"/>
        <w:tab w:val="left" w:pos="2160"/>
      </w:tabs>
      <w:ind w:left="2160" w:hanging="720"/>
    </w:pPr>
    <w:rPr>
      <w:rFonts w:ascii="TmsRmn 10pt" w:hAnsi="TmsRmn 10pt"/>
      <w:snapToGrid w:val="0"/>
      <w:sz w:val="24"/>
    </w:rPr>
  </w:style>
  <w:style w:type="paragraph" w:customStyle="1" w:styleId="2Technical">
    <w:name w:val="2Technical"/>
    <w:rsid w:val="00AD247A"/>
    <w:pPr>
      <w:tabs>
        <w:tab w:val="left" w:pos="720"/>
        <w:tab w:val="left" w:pos="1440"/>
      </w:tabs>
      <w:ind w:left="1440" w:hanging="720"/>
    </w:pPr>
    <w:rPr>
      <w:rFonts w:ascii="TmsRmn 10pt" w:hAnsi="TmsRmn 10pt"/>
      <w:snapToGrid w:val="0"/>
      <w:sz w:val="24"/>
    </w:rPr>
  </w:style>
  <w:style w:type="paragraph" w:styleId="BodyText">
    <w:name w:val="Body Text"/>
    <w:basedOn w:val="Normal"/>
    <w:link w:val="BodyTextChar"/>
    <w:uiPriority w:val="1"/>
    <w:unhideWhenUsed/>
    <w:qFormat/>
    <w:rsid w:val="00C822A6"/>
    <w:pPr>
      <w:spacing w:after="180"/>
      <w:jc w:val="both"/>
    </w:pPr>
    <w:rPr>
      <w:rFonts w:cs="Times New Roman"/>
      <w:szCs w:val="24"/>
    </w:rPr>
  </w:style>
  <w:style w:type="paragraph" w:styleId="FootnoteText">
    <w:name w:val="footnote text"/>
    <w:basedOn w:val="Normal"/>
    <w:link w:val="FootnoteTextChar"/>
    <w:semiHidden/>
    <w:unhideWhenUsed/>
    <w:rsid w:val="00C822A6"/>
    <w:rPr>
      <w:sz w:val="16"/>
      <w:szCs w:val="20"/>
    </w:rPr>
  </w:style>
  <w:style w:type="character" w:styleId="FootnoteReference">
    <w:name w:val="footnote reference"/>
    <w:basedOn w:val="DefaultParagraphFont"/>
    <w:semiHidden/>
    <w:unhideWhenUsed/>
    <w:rsid w:val="00C822A6"/>
    <w:rPr>
      <w:vertAlign w:val="superscript"/>
    </w:rPr>
  </w:style>
  <w:style w:type="paragraph" w:styleId="ListParagraph">
    <w:name w:val="List Paragraph"/>
    <w:basedOn w:val="Normal"/>
    <w:uiPriority w:val="34"/>
    <w:qFormat/>
    <w:rsid w:val="00C822A6"/>
    <w:pPr>
      <w:ind w:left="720"/>
      <w:contextualSpacing/>
    </w:pPr>
  </w:style>
  <w:style w:type="paragraph" w:customStyle="1" w:styleId="a1Technical">
    <w:name w:val="a1Technical"/>
    <w:basedOn w:val="Normal"/>
    <w:rsid w:val="00841E7E"/>
    <w:rPr>
      <w:rFonts w:ascii="TmsRmn 10pt" w:hAnsi="TmsRmn 10pt"/>
    </w:rPr>
  </w:style>
  <w:style w:type="table" w:styleId="TableGrid">
    <w:name w:val="Table Grid"/>
    <w:basedOn w:val="TableNormal"/>
    <w:rsid w:val="00C8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2A6"/>
    <w:pPr>
      <w:spacing w:before="100" w:beforeAutospacing="1" w:after="100" w:afterAutospacing="1"/>
    </w:pPr>
    <w:rPr>
      <w:rFonts w:eastAsiaTheme="minorEastAsia" w:cs="Times New Roman"/>
      <w:szCs w:val="24"/>
    </w:rPr>
  </w:style>
  <w:style w:type="character" w:styleId="PlaceholderText">
    <w:name w:val="Placeholder Text"/>
    <w:basedOn w:val="DefaultParagraphFont"/>
    <w:uiPriority w:val="99"/>
    <w:semiHidden/>
    <w:rsid w:val="00F34DCE"/>
    <w:rPr>
      <w:color w:val="808080"/>
    </w:rPr>
  </w:style>
  <w:style w:type="character" w:customStyle="1" w:styleId="Heading4Char">
    <w:name w:val="Heading 4 Char"/>
    <w:basedOn w:val="DefaultParagraphFont"/>
    <w:link w:val="Heading4"/>
    <w:uiPriority w:val="9"/>
    <w:rsid w:val="00C822A6"/>
    <w:rPr>
      <w:rFonts w:eastAsiaTheme="majorEastAsia"/>
      <w:iCs/>
      <w:sz w:val="24"/>
      <w:szCs w:val="24"/>
    </w:rPr>
  </w:style>
  <w:style w:type="character" w:customStyle="1" w:styleId="Heading5Char">
    <w:name w:val="Heading 5 Char"/>
    <w:basedOn w:val="DefaultParagraphFont"/>
    <w:link w:val="Heading5"/>
    <w:semiHidden/>
    <w:rsid w:val="00C822A6"/>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semiHidden/>
    <w:rsid w:val="00C822A6"/>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semiHidden/>
    <w:rsid w:val="00C822A6"/>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semiHidden/>
    <w:rsid w:val="00C822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822A6"/>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E03958"/>
  </w:style>
  <w:style w:type="character" w:customStyle="1" w:styleId="BalloonTextChar">
    <w:name w:val="Balloon Text Char"/>
    <w:basedOn w:val="DefaultParagraphFont"/>
    <w:link w:val="BalloonText"/>
    <w:uiPriority w:val="99"/>
    <w:rsid w:val="00C822A6"/>
    <w:rPr>
      <w:rFonts w:ascii="Tahoma" w:eastAsiaTheme="minorHAnsi" w:hAnsi="Tahoma" w:cs="Tahoma"/>
      <w:sz w:val="16"/>
      <w:szCs w:val="16"/>
    </w:rPr>
  </w:style>
  <w:style w:type="character" w:customStyle="1" w:styleId="BodyTextChar">
    <w:name w:val="Body Text Char"/>
    <w:basedOn w:val="DefaultParagraphFont"/>
    <w:link w:val="BodyText"/>
    <w:uiPriority w:val="1"/>
    <w:rsid w:val="00C822A6"/>
    <w:rPr>
      <w:rFonts w:eastAsiaTheme="minorHAnsi"/>
      <w:sz w:val="24"/>
      <w:szCs w:val="24"/>
    </w:rPr>
  </w:style>
  <w:style w:type="character" w:customStyle="1" w:styleId="CommentTextChar">
    <w:name w:val="Comment Text Char"/>
    <w:basedOn w:val="DefaultParagraphFont"/>
    <w:link w:val="CommentText"/>
    <w:uiPriority w:val="99"/>
    <w:semiHidden/>
    <w:rsid w:val="00C822A6"/>
    <w:rPr>
      <w:rFonts w:eastAsiaTheme="minorHAnsi" w:cstheme="minorBidi"/>
    </w:rPr>
  </w:style>
  <w:style w:type="character" w:customStyle="1" w:styleId="CommentSubjectChar">
    <w:name w:val="Comment Subject Char"/>
    <w:basedOn w:val="CommentTextChar"/>
    <w:link w:val="CommentSubject"/>
    <w:uiPriority w:val="99"/>
    <w:semiHidden/>
    <w:rsid w:val="00C822A6"/>
    <w:rPr>
      <w:rFonts w:eastAsiaTheme="minorHAnsi" w:cstheme="minorBidi"/>
      <w:b/>
      <w:bCs/>
    </w:rPr>
  </w:style>
  <w:style w:type="paragraph" w:customStyle="1" w:styleId="Default">
    <w:name w:val="Default"/>
    <w:rsid w:val="00C822A6"/>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C822A6"/>
    <w:rPr>
      <w:color w:val="800080" w:themeColor="followedHyperlink"/>
      <w:u w:val="single"/>
    </w:rPr>
  </w:style>
  <w:style w:type="character" w:customStyle="1" w:styleId="FooterChar">
    <w:name w:val="Footer Char"/>
    <w:basedOn w:val="DefaultParagraphFont"/>
    <w:link w:val="Footer"/>
    <w:uiPriority w:val="99"/>
    <w:rsid w:val="00C822A6"/>
    <w:rPr>
      <w:rFonts w:eastAsiaTheme="minorHAnsi" w:cstheme="minorBidi"/>
      <w:sz w:val="24"/>
      <w:szCs w:val="22"/>
    </w:rPr>
  </w:style>
  <w:style w:type="paragraph" w:customStyle="1" w:styleId="FrontMatterTOC">
    <w:name w:val="Front Matter (TOC"/>
    <w:aliases w:val="foreword,preface,etc.)"/>
    <w:basedOn w:val="BodyText"/>
    <w:qFormat/>
    <w:rsid w:val="00C822A6"/>
    <w:rPr>
      <w:b/>
    </w:rPr>
  </w:style>
  <w:style w:type="character" w:customStyle="1" w:styleId="HeaderChar">
    <w:name w:val="Header Char"/>
    <w:basedOn w:val="DefaultParagraphFont"/>
    <w:link w:val="Header"/>
    <w:rsid w:val="00C822A6"/>
    <w:rPr>
      <w:rFonts w:eastAsiaTheme="minorHAnsi" w:cstheme="minorBidi"/>
      <w:sz w:val="24"/>
      <w:szCs w:val="22"/>
    </w:rPr>
  </w:style>
  <w:style w:type="character" w:customStyle="1" w:styleId="Heading1Char">
    <w:name w:val="Heading 1 Char"/>
    <w:basedOn w:val="DefaultParagraphFont"/>
    <w:link w:val="Heading1"/>
    <w:uiPriority w:val="9"/>
    <w:rsid w:val="00C822A6"/>
    <w:rPr>
      <w:rFonts w:eastAsiaTheme="majorEastAsia"/>
      <w:sz w:val="24"/>
      <w:szCs w:val="24"/>
    </w:rPr>
  </w:style>
  <w:style w:type="character" w:customStyle="1" w:styleId="Heading2Char">
    <w:name w:val="Heading 2 Char"/>
    <w:basedOn w:val="DefaultParagraphFont"/>
    <w:link w:val="Heading2"/>
    <w:uiPriority w:val="9"/>
    <w:rsid w:val="00C822A6"/>
    <w:rPr>
      <w:rFonts w:eastAsiaTheme="majorEastAsia"/>
      <w:sz w:val="24"/>
      <w:szCs w:val="24"/>
    </w:rPr>
  </w:style>
  <w:style w:type="character" w:customStyle="1" w:styleId="Heading3Char">
    <w:name w:val="Heading 3 Char"/>
    <w:basedOn w:val="DefaultParagraphFont"/>
    <w:link w:val="Heading3"/>
    <w:uiPriority w:val="9"/>
    <w:rsid w:val="00C822A6"/>
    <w:rPr>
      <w:rFonts w:eastAsiaTheme="majorEastAsia"/>
      <w:sz w:val="24"/>
      <w:szCs w:val="24"/>
    </w:rPr>
  </w:style>
  <w:style w:type="character" w:styleId="Hyperlink">
    <w:name w:val="Hyperlink"/>
    <w:basedOn w:val="DefaultParagraphFont"/>
    <w:uiPriority w:val="99"/>
    <w:unhideWhenUsed/>
    <w:rsid w:val="00C822A6"/>
    <w:rPr>
      <w:color w:val="0000FF" w:themeColor="hyperlink"/>
      <w:u w:val="single"/>
    </w:rPr>
  </w:style>
  <w:style w:type="paragraph" w:customStyle="1" w:styleId="ReferenceList">
    <w:name w:val="Reference List"/>
    <w:basedOn w:val="FootnoteText"/>
    <w:link w:val="ReferenceListChar"/>
    <w:autoRedefine/>
    <w:qFormat/>
    <w:rsid w:val="00C822A6"/>
    <w:rPr>
      <w:sz w:val="20"/>
    </w:rPr>
  </w:style>
  <w:style w:type="paragraph" w:customStyle="1" w:styleId="TableandFigureFootnotes">
    <w:name w:val="Table and Figure Footnotes"/>
    <w:basedOn w:val="Normal"/>
    <w:qFormat/>
    <w:rsid w:val="00C822A6"/>
    <w:rPr>
      <w:sz w:val="20"/>
      <w:szCs w:val="20"/>
    </w:rPr>
  </w:style>
  <w:style w:type="paragraph" w:styleId="TOC2">
    <w:name w:val="toc 2"/>
    <w:basedOn w:val="Normal"/>
    <w:next w:val="Normal"/>
    <w:autoRedefine/>
    <w:uiPriority w:val="39"/>
    <w:unhideWhenUsed/>
    <w:rsid w:val="00C822A6"/>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C822A6"/>
    <w:pPr>
      <w:tabs>
        <w:tab w:val="left" w:pos="1170"/>
        <w:tab w:val="right" w:leader="dot" w:pos="8990"/>
      </w:tabs>
      <w:spacing w:after="100"/>
      <w:ind w:left="440"/>
    </w:pPr>
  </w:style>
  <w:style w:type="paragraph" w:styleId="TOC4">
    <w:name w:val="toc 4"/>
    <w:basedOn w:val="Normal"/>
    <w:next w:val="Normal"/>
    <w:autoRedefine/>
    <w:uiPriority w:val="39"/>
    <w:unhideWhenUsed/>
    <w:rsid w:val="00C822A6"/>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C822A6"/>
    <w:rPr>
      <w:rFonts w:eastAsiaTheme="minorHAnsi" w:cstheme="minorBidi"/>
      <w:sz w:val="16"/>
    </w:rPr>
  </w:style>
  <w:style w:type="character" w:customStyle="1" w:styleId="ReferenceListChar">
    <w:name w:val="Reference List Char"/>
    <w:basedOn w:val="DefaultParagraphFont"/>
    <w:link w:val="ReferenceList"/>
    <w:rsid w:val="00C822A6"/>
    <w:rPr>
      <w:rFonts w:eastAsiaTheme="minorHAnsi" w:cstheme="minorBidi"/>
    </w:rPr>
  </w:style>
  <w:style w:type="paragraph" w:customStyle="1" w:styleId="ReferenceList0">
    <w:name w:val="ReferenceList"/>
    <w:basedOn w:val="BodyText"/>
    <w:link w:val="ReferenceListChar0"/>
    <w:rsid w:val="00C822A6"/>
    <w:pPr>
      <w:spacing w:after="0"/>
      <w:ind w:left="360" w:hanging="360"/>
    </w:pPr>
  </w:style>
  <w:style w:type="character" w:customStyle="1" w:styleId="ReferenceListChar0">
    <w:name w:val="ReferenceList Char"/>
    <w:basedOn w:val="BodyTextChar"/>
    <w:link w:val="ReferenceList0"/>
    <w:rsid w:val="00C822A6"/>
    <w:rPr>
      <w:rFonts w:eastAsiaTheme="minorHAnsi"/>
      <w:sz w:val="24"/>
      <w:szCs w:val="24"/>
    </w:rPr>
  </w:style>
  <w:style w:type="paragraph" w:styleId="TableofFigures">
    <w:name w:val="table of figures"/>
    <w:basedOn w:val="Normal"/>
    <w:next w:val="Normal"/>
    <w:uiPriority w:val="99"/>
    <w:unhideWhenUsed/>
    <w:rsid w:val="00C822A6"/>
  </w:style>
  <w:style w:type="paragraph" w:customStyle="1" w:styleId="MTDisplayEquation">
    <w:name w:val="MTDisplayEquation"/>
    <w:basedOn w:val="BodyText"/>
    <w:next w:val="Normal"/>
    <w:link w:val="MTDisplayEquationChar"/>
    <w:rsid w:val="00C822A6"/>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C822A6"/>
    <w:rPr>
      <w:rFonts w:eastAsiaTheme="minorHAnsi"/>
      <w:bCs/>
      <w:sz w:val="24"/>
      <w:szCs w:val="24"/>
    </w:rPr>
  </w:style>
  <w:style w:type="character" w:customStyle="1" w:styleId="TitleChar">
    <w:name w:val="Title Char"/>
    <w:aliases w:val="Title-Lab Char"/>
    <w:link w:val="Title"/>
    <w:uiPriority w:val="10"/>
    <w:rsid w:val="00C822A6"/>
    <w:rPr>
      <w:b/>
      <w:sz w:val="24"/>
      <w:szCs w:val="24"/>
    </w:rPr>
  </w:style>
  <w:style w:type="paragraph" w:customStyle="1" w:styleId="Table">
    <w:name w:val="Table"/>
    <w:basedOn w:val="Caption"/>
    <w:qFormat/>
    <w:rsid w:val="00C822A6"/>
    <w:pPr>
      <w:ind w:left="0"/>
    </w:pPr>
  </w:style>
  <w:style w:type="character" w:customStyle="1" w:styleId="MTEquationSection">
    <w:name w:val="MTEquationSection"/>
    <w:basedOn w:val="DefaultParagraphFont"/>
    <w:rsid w:val="00C822A6"/>
    <w:rPr>
      <w:vanish/>
      <w:color w:val="FF0000"/>
    </w:rPr>
  </w:style>
  <w:style w:type="paragraph" w:customStyle="1" w:styleId="Eqn">
    <w:name w:val="Eqn"/>
    <w:basedOn w:val="MTDisplayEquation"/>
    <w:link w:val="EqnChar"/>
    <w:qFormat/>
    <w:rsid w:val="00C822A6"/>
    <w:pPr>
      <w:spacing w:before="240" w:after="240"/>
      <w:jc w:val="right"/>
    </w:pPr>
  </w:style>
  <w:style w:type="character" w:customStyle="1" w:styleId="EqnChar">
    <w:name w:val="Eqn Char"/>
    <w:basedOn w:val="MTDisplayEquationChar"/>
    <w:link w:val="Eqn"/>
    <w:rsid w:val="00C822A6"/>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3943">
      <w:bodyDiv w:val="1"/>
      <w:marLeft w:val="0"/>
      <w:marRight w:val="0"/>
      <w:marTop w:val="0"/>
      <w:marBottom w:val="0"/>
      <w:divBdr>
        <w:top w:val="none" w:sz="0" w:space="0" w:color="auto"/>
        <w:left w:val="none" w:sz="0" w:space="0" w:color="auto"/>
        <w:bottom w:val="none" w:sz="0" w:space="0" w:color="auto"/>
        <w:right w:val="none" w:sz="0" w:space="0" w:color="auto"/>
      </w:divBdr>
    </w:div>
    <w:div w:id="522279725">
      <w:bodyDiv w:val="1"/>
      <w:marLeft w:val="0"/>
      <w:marRight w:val="0"/>
      <w:marTop w:val="0"/>
      <w:marBottom w:val="0"/>
      <w:divBdr>
        <w:top w:val="none" w:sz="0" w:space="0" w:color="auto"/>
        <w:left w:val="none" w:sz="0" w:space="0" w:color="auto"/>
        <w:bottom w:val="none" w:sz="0" w:space="0" w:color="auto"/>
        <w:right w:val="none" w:sz="0" w:space="0" w:color="auto"/>
      </w:divBdr>
    </w:div>
    <w:div w:id="1057239882">
      <w:bodyDiv w:val="1"/>
      <w:marLeft w:val="0"/>
      <w:marRight w:val="0"/>
      <w:marTop w:val="0"/>
      <w:marBottom w:val="0"/>
      <w:divBdr>
        <w:top w:val="none" w:sz="0" w:space="0" w:color="auto"/>
        <w:left w:val="none" w:sz="0" w:space="0" w:color="auto"/>
        <w:bottom w:val="none" w:sz="0" w:space="0" w:color="auto"/>
        <w:right w:val="none" w:sz="0" w:space="0" w:color="auto"/>
      </w:divBdr>
    </w:div>
    <w:div w:id="1756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0B4A0-3B96-4FEA-B2DB-F18CA522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168</TotalTime>
  <Pages>8</Pages>
  <Words>2622</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SOP 31 Scale Plate Calibration</vt:lpstr>
    </vt:vector>
  </TitlesOfParts>
  <Company>NIST</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31 Scale Plate Calibration</dc:title>
  <dc:subject>volume calibration</dc:subject>
  <dc:creator>Georgia Harris;Val Miller</dc:creator>
  <cp:keywords>graduation accuracy, scale plate calibration</cp:keywords>
  <dc:description/>
  <cp:lastModifiedBy>Harris, Georgia L. (Fed)</cp:lastModifiedBy>
  <cp:revision>12</cp:revision>
  <cp:lastPrinted>2016-01-23T19:36:00Z</cp:lastPrinted>
  <dcterms:created xsi:type="dcterms:W3CDTF">2019-03-27T17:55:00Z</dcterms:created>
  <dcterms:modified xsi:type="dcterms:W3CDTF">2019-05-08T21:27:00Z</dcterms:modified>
  <cp:category>volume calibration, scale plate calibration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Eqn. (#E1)</vt:lpwstr>
  </property>
  <property fmtid="{D5CDD505-2E9C-101B-9397-08002B2CF9AE}" pid="4" name="MTCustomEquationNumber">
    <vt:lpwstr>1</vt:lpwstr>
  </property>
  <property fmtid="{D5CDD505-2E9C-101B-9397-08002B2CF9AE}" pid="5" name="MTEquationSection">
    <vt:lpwstr>1</vt:lpwstr>
  </property>
</Properties>
</file>