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8769A" w14:textId="77777777" w:rsidR="00F80AFB" w:rsidRDefault="00F80AFB" w:rsidP="00A506E0">
      <w:pPr>
        <w:pStyle w:val="Title"/>
        <w:spacing w:after="0"/>
      </w:pPr>
      <w:r>
        <w:t>SOP 9</w:t>
      </w:r>
    </w:p>
    <w:p w14:paraId="4ECAB4EE" w14:textId="77777777" w:rsidR="00A506E0" w:rsidRPr="00A506E0" w:rsidRDefault="00A506E0" w:rsidP="00A506E0">
      <w:pPr>
        <w:jc w:val="center"/>
      </w:pPr>
    </w:p>
    <w:p w14:paraId="518BF723" w14:textId="77777777" w:rsidR="00F80AFB" w:rsidRDefault="00F80AFB" w:rsidP="00A506E0">
      <w:pPr>
        <w:pStyle w:val="Title"/>
        <w:spacing w:after="0"/>
      </w:pPr>
      <w:r>
        <w:t>Recommended Standard Operating Procedure</w:t>
      </w:r>
    </w:p>
    <w:p w14:paraId="0194CA0B" w14:textId="77777777" w:rsidR="00F80AFB" w:rsidRDefault="00F80AFB" w:rsidP="00A506E0">
      <w:pPr>
        <w:pStyle w:val="Title"/>
        <w:spacing w:after="0"/>
      </w:pPr>
      <w:r>
        <w:t>for</w:t>
      </w:r>
    </w:p>
    <w:p w14:paraId="4417B0AF" w14:textId="77777777" w:rsidR="00F80AFB" w:rsidRDefault="00F80AFB" w:rsidP="0004559F">
      <w:pPr>
        <w:pStyle w:val="Title"/>
      </w:pPr>
      <w:r>
        <w:t>Control Charts for Calibration of Mass Standards</w:t>
      </w:r>
    </w:p>
    <w:p w14:paraId="5BE1F540" w14:textId="77777777" w:rsidR="00F80AFB" w:rsidRDefault="00F80AFB" w:rsidP="007F3534">
      <w:pPr>
        <w:pStyle w:val="Heading1"/>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jc w:val="both"/>
      </w:pPr>
      <w:r>
        <w:t xml:space="preserve">Introduction  </w:t>
      </w:r>
    </w:p>
    <w:p w14:paraId="068A8F17" w14:textId="77777777" w:rsidR="0029681A" w:rsidRPr="005A5EFA" w:rsidRDefault="00F80AFB" w:rsidP="00362195">
      <w:pPr>
        <w:pStyle w:val="Heading2"/>
      </w:pPr>
      <w:r w:rsidRPr="005A5EFA">
        <w:t>This SOP describe</w:t>
      </w:r>
      <w:r w:rsidR="00A4254C" w:rsidRPr="005A5EFA">
        <w:t>s</w:t>
      </w:r>
      <w:r w:rsidRPr="005A5EFA">
        <w:t xml:space="preserve"> procedures for the development of control charts and their use for demonstrating attainment of statistical control of a mass calibration process</w:t>
      </w:r>
      <w:r w:rsidR="0087417D" w:rsidRPr="005A5EFA">
        <w:t xml:space="preserve">. </w:t>
      </w:r>
      <w:r w:rsidR="00E3244B" w:rsidRPr="005A5EFA">
        <w:t xml:space="preserve">The procedure may be applied to other calibration processes. </w:t>
      </w:r>
      <w:r w:rsidR="00312DCD" w:rsidRPr="005A5EFA">
        <w:t>See also NISTIR 6969, SOP 30 and NISTIR 7383, SOP 17 and 20.</w:t>
      </w:r>
    </w:p>
    <w:p w14:paraId="0CA01BFB" w14:textId="77777777" w:rsidR="00F80AFB" w:rsidRDefault="00F80AFB" w:rsidP="005A5EFA">
      <w:pPr>
        <w:pStyle w:val="Heading2"/>
      </w:pPr>
      <w:r>
        <w:t>Prerequisites</w:t>
      </w:r>
    </w:p>
    <w:p w14:paraId="755E2F9E" w14:textId="77777777" w:rsidR="00F80AFB" w:rsidRDefault="00F80AFB" w:rsidP="00362195">
      <w:pPr>
        <w:pStyle w:val="BodyText"/>
        <w:ind w:left="1440"/>
      </w:pPr>
      <w:r>
        <w:t>The use of this SOP requires that appropriate apparatus, methodology, and standards are available, and that the laboratory thoroughly under</w:t>
      </w:r>
      <w:r>
        <w:softHyphen/>
        <w:t>stands the basic principles of the measurement process used and has had sufficient experience to perform the necessary operations required for the measurements of concern.</w:t>
      </w:r>
    </w:p>
    <w:p w14:paraId="3955AC85" w14:textId="77777777" w:rsidR="00F80AFB" w:rsidRDefault="00F80AFB" w:rsidP="00362195">
      <w:pPr>
        <w:pStyle w:val="Heading1"/>
      </w:pPr>
      <w:r>
        <w:t xml:space="preserve">Summary </w:t>
      </w:r>
    </w:p>
    <w:p w14:paraId="26C8485A" w14:textId="2A16D75F" w:rsidR="00F80AFB" w:rsidRDefault="00F80AFB" w:rsidP="00362195">
      <w:pPr>
        <w:pStyle w:val="BodyText"/>
        <w:ind w:left="720"/>
      </w:pPr>
      <w:r>
        <w:t xml:space="preserve">An appropriate check standard (or control standard) is incorporated into the measurement process and weighed at established </w:t>
      </w:r>
      <w:r w:rsidR="0087417D">
        <w:t>intervals;</w:t>
      </w:r>
      <w:r>
        <w:t xml:space="preserve"> the results are plotted on an </w:t>
      </w:r>
      <w:r w:rsidR="000F4B0D">
        <w:rPr>
          <w:position w:val="-6"/>
        </w:rPr>
        <w:object w:dxaOrig="220" w:dyaOrig="340" w14:anchorId="1E7FC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6.5pt" o:ole="" fillcolor="window">
            <v:imagedata r:id="rId8" o:title=""/>
          </v:shape>
          <o:OLEObject Type="Embed" ProgID="Equation.DSMT4" ShapeID="_x0000_i1034" DrawAspect="Content" ObjectID="_1618660228" r:id="rId9"/>
        </w:object>
      </w:r>
      <w:r>
        <w:rPr>
          <w:rFonts w:ascii="WP TypographicSymbols" w:hAnsi="WP TypographicSymbols"/>
        </w:rPr>
        <w:softHyphen/>
      </w:r>
      <w:r>
        <w:t xml:space="preserve"> (</w:t>
      </w:r>
      <w:r w:rsidR="000F4B0D" w:rsidRPr="000F4B0D">
        <w:rPr>
          <w:i/>
        </w:rPr>
        <w:t>x</w:t>
      </w:r>
      <w:r w:rsidRPr="000F4B0D">
        <w:rPr>
          <w:i/>
        </w:rPr>
        <w:t>-bar</w:t>
      </w:r>
      <w:r>
        <w:t>) chart</w:t>
      </w:r>
      <w:r w:rsidR="00F928D9">
        <w:t xml:space="preserve">. </w:t>
      </w:r>
      <w:r>
        <w:t>The abscissa (</w:t>
      </w:r>
      <w:r>
        <w:rPr>
          <w:i/>
          <w:iCs/>
        </w:rPr>
        <w:t>x</w:t>
      </w:r>
      <w:r>
        <w:t>) represents the sequence of measurements and the ordinate (</w:t>
      </w:r>
      <w:r>
        <w:rPr>
          <w:i/>
          <w:iCs/>
        </w:rPr>
        <w:t>y</w:t>
      </w:r>
      <w:r>
        <w:t>) the measured values</w:t>
      </w:r>
      <w:r w:rsidR="00F928D9">
        <w:t xml:space="preserve">. </w:t>
      </w:r>
      <w:r>
        <w:t>A central line is drawn, indicating the mean (</w:t>
      </w:r>
      <w:r w:rsidR="000F4B0D">
        <w:rPr>
          <w:position w:val="-6"/>
        </w:rPr>
        <w:object w:dxaOrig="220" w:dyaOrig="340" w14:anchorId="5099747E">
          <v:shape id="_x0000_i1036" type="#_x0000_t75" style="width:11.25pt;height:16.5pt" o:ole="" fillcolor="window">
            <v:imagedata r:id="rId8" o:title=""/>
          </v:shape>
          <o:OLEObject Type="Embed" ProgID="Equation.DSMT4" ShapeID="_x0000_i1036" DrawAspect="Content" ObjectID="_1618660229" r:id="rId10"/>
        </w:object>
      </w:r>
      <w:r>
        <w:t>) of the measured values and control limits are indicated within which the results of measurements are expected to be randomly distributed, based on statistical considerations</w:t>
      </w:r>
      <w:r w:rsidR="00F928D9">
        <w:t xml:space="preserve">. </w:t>
      </w:r>
      <w:r>
        <w:t xml:space="preserve">The system is in statistical control when the individual values are within the designated </w:t>
      </w:r>
      <w:r w:rsidR="002B4DBC">
        <w:t xml:space="preserve">statistical </w:t>
      </w:r>
      <w:r>
        <w:t>limits</w:t>
      </w:r>
      <w:r w:rsidR="00F928D9">
        <w:t xml:space="preserve">. </w:t>
      </w:r>
      <w:r>
        <w:t>The system is out of control if values are present outside established limits</w:t>
      </w:r>
      <w:r w:rsidR="00F97B56">
        <w:t xml:space="preserve"> for which no reasonable and correctable cause ha</w:t>
      </w:r>
      <w:r w:rsidR="00BF3D83">
        <w:t>ve</w:t>
      </w:r>
      <w:r w:rsidR="00F97B56">
        <w:t xml:space="preserve"> been determined</w:t>
      </w:r>
      <w:r w:rsidR="004213FC">
        <w:t xml:space="preserve"> and corrected</w:t>
      </w:r>
      <w:r>
        <w:t>, unusual trends are observed, or if the mean exceeds the control limits</w:t>
      </w:r>
      <w:r w:rsidR="00F928D9">
        <w:t xml:space="preserve">. </w:t>
      </w:r>
      <w:r>
        <w:t>The statistical information on which the control limits are based can be used to calculate confidence limits for measurements made while the system is demonstrated to be stable and in a state of statistical control.</w:t>
      </w:r>
    </w:p>
    <w:p w14:paraId="6C8C7CF5" w14:textId="77777777" w:rsidR="00F80AFB" w:rsidRDefault="00F80AFB" w:rsidP="00362195">
      <w:pPr>
        <w:pStyle w:val="Heading1"/>
      </w:pPr>
      <w:r>
        <w:t>Procedure</w:t>
      </w:r>
    </w:p>
    <w:p w14:paraId="64A2C228" w14:textId="77777777" w:rsidR="00F80AFB" w:rsidRDefault="00F80AFB" w:rsidP="00362195">
      <w:pPr>
        <w:pStyle w:val="Heading2"/>
      </w:pPr>
      <w:r>
        <w:t>Defin</w:t>
      </w:r>
      <w:r w:rsidR="00C35485">
        <w:t>e the Calibration Process</w:t>
      </w:r>
      <w:r>
        <w:t xml:space="preserve"> </w:t>
      </w:r>
    </w:p>
    <w:p w14:paraId="52FF5BCF" w14:textId="77777777" w:rsidR="00F80AFB" w:rsidRDefault="00F80AFB" w:rsidP="00362195">
      <w:pPr>
        <w:pStyle w:val="BodyText"/>
        <w:ind w:left="1440"/>
      </w:pPr>
      <w:r>
        <w:t>The monitored system is considered to consist of the balance, the standard operating procedure, the laboratory environment, the check standard or control standard, the operator, and any other sources that contribute to the variance or bias of the measurement data</w:t>
      </w:r>
      <w:r w:rsidR="00F928D9">
        <w:t xml:space="preserve">. </w:t>
      </w:r>
      <w:r>
        <w:t xml:space="preserve">Any of the above that can </w:t>
      </w:r>
      <w:r w:rsidR="0029681A">
        <w:t>show</w:t>
      </w:r>
      <w:r w:rsidR="007F702C">
        <w:t xml:space="preserve"> to be </w:t>
      </w:r>
      <w:r>
        <w:t xml:space="preserve">constant or negligible variance </w:t>
      </w:r>
      <w:r w:rsidR="00D4662F">
        <w:t xml:space="preserve">contributions </w:t>
      </w:r>
      <w:r>
        <w:t>may be consolidated and monitored by a single control chart</w:t>
      </w:r>
      <w:r w:rsidR="00F928D9">
        <w:t xml:space="preserve">. </w:t>
      </w:r>
      <w:r>
        <w:t xml:space="preserve">Any that cannot be so considered (for example:  different standard, different balance, different SOP) </w:t>
      </w:r>
      <w:r w:rsidR="00353963">
        <w:t xml:space="preserve">typically </w:t>
      </w:r>
      <w:r>
        <w:t>require separate control charts.</w:t>
      </w:r>
    </w:p>
    <w:p w14:paraId="297207E4" w14:textId="77777777" w:rsidR="002B4DBC" w:rsidRDefault="00F80AFB" w:rsidP="009F4FFC">
      <w:pPr>
        <w:pStyle w:val="BodyText"/>
        <w:ind w:left="1440"/>
      </w:pPr>
      <w:r>
        <w:lastRenderedPageBreak/>
        <w:t xml:space="preserve">The variability of balance precision </w:t>
      </w:r>
      <w:r w:rsidR="002B4DBC">
        <w:t xml:space="preserve">may be </w:t>
      </w:r>
      <w:r>
        <w:t xml:space="preserve">load dependent </w:t>
      </w:r>
      <w:r w:rsidR="002B4DBC">
        <w:t xml:space="preserve">and </w:t>
      </w:r>
      <w:r>
        <w:t>must be considered</w:t>
      </w:r>
      <w:r w:rsidR="00F928D9">
        <w:t xml:space="preserve">. </w:t>
      </w:r>
      <w:r>
        <w:t xml:space="preserve">For many balances, precision is a function of load, and a distinct control chart </w:t>
      </w:r>
      <w:r w:rsidR="002B4DBC">
        <w:t xml:space="preserve">may be </w:t>
      </w:r>
      <w:r>
        <w:t>required (</w:t>
      </w:r>
      <w:r w:rsidR="00E3244B">
        <w:t>according to the SOP</w:t>
      </w:r>
      <w:r>
        <w:t>) for every load tested</w:t>
      </w:r>
      <w:r w:rsidR="00E3244B">
        <w:t xml:space="preserve">. An F-test may be used to assess the standard deviations at varying loads to minimize the number of charts that are required in the laboratory when multiple loads have no significant difference in the standard deviation of the measurement process. </w:t>
      </w:r>
    </w:p>
    <w:p w14:paraId="16A57AB1" w14:textId="77777777" w:rsidR="00F80AFB" w:rsidRDefault="00704B03" w:rsidP="009F4FFC">
      <w:pPr>
        <w:pStyle w:val="BodyText"/>
        <w:ind w:left="1440"/>
      </w:pPr>
      <w:r>
        <w:t xml:space="preserve">In the </w:t>
      </w:r>
      <w:r w:rsidR="00F80AFB">
        <w:t xml:space="preserve">case of SOP 5 or 28 </w:t>
      </w:r>
      <w:r>
        <w:t xml:space="preserve">(NISTIR 5672) </w:t>
      </w:r>
      <w:r w:rsidR="00F80AFB">
        <w:t>check standards are incorporated into the measurement process</w:t>
      </w:r>
      <w:r>
        <w:t xml:space="preserve"> and designated charts will be required</w:t>
      </w:r>
      <w:r w:rsidR="00F80AFB">
        <w:t xml:space="preserve">. Hence, control charts used for measurement assurance and evaluation of measurement uncertainty are generally satisfactory if developed using data from check standards at </w:t>
      </w:r>
      <w:r w:rsidR="00A4254C">
        <w:t xml:space="preserve">two or three </w:t>
      </w:r>
      <w:r w:rsidR="00F80AFB">
        <w:t>intervals for each balance appropriately spaced within the range of balance use, or at least with one check standard for each decade. On balances where few nominal values (loads) are tested, a control chart should be established for each load.</w:t>
      </w:r>
    </w:p>
    <w:p w14:paraId="65608901" w14:textId="079BF242" w:rsidR="00704B03" w:rsidRDefault="002B4DBC" w:rsidP="009F4FFC">
      <w:pPr>
        <w:pStyle w:val="BodyText"/>
        <w:ind w:left="1440"/>
      </w:pPr>
      <w:r>
        <w:t xml:space="preserve">In the case of SOP 4, 7, or 8, where check standards are not required at every nominal value (per this SOP, Table 1), see Section 4 in each of these procedures regarding measurement assurance. When </w:t>
      </w:r>
      <w:r w:rsidR="00704B03">
        <w:t xml:space="preserve">a check standard is not used to monitor each reference or working standard, more frequent monitoring or calibration </w:t>
      </w:r>
      <w:r>
        <w:t xml:space="preserve">is essential </w:t>
      </w:r>
      <w:r w:rsidR="00AE7FE8">
        <w:t xml:space="preserve">to </w:t>
      </w:r>
      <w:r w:rsidR="00704B03">
        <w:t>assur</w:t>
      </w:r>
      <w:r w:rsidR="005073BE">
        <w:t xml:space="preserve">e </w:t>
      </w:r>
      <w:r w:rsidR="00704B03">
        <w:t xml:space="preserve">the </w:t>
      </w:r>
      <w:r>
        <w:t xml:space="preserve">accuracy and stability of the mass standards and the </w:t>
      </w:r>
      <w:r w:rsidR="00704B03">
        <w:t>laboratory measurement result</w:t>
      </w:r>
      <w:r w:rsidR="005073BE">
        <w:t>s</w:t>
      </w:r>
      <w:r w:rsidR="00704B03">
        <w:t>.</w:t>
      </w:r>
    </w:p>
    <w:p w14:paraId="4374C7C0" w14:textId="77777777" w:rsidR="00F80AFB" w:rsidRDefault="00EF1B92" w:rsidP="009F4FFC">
      <w:pPr>
        <w:pStyle w:val="Heading2"/>
        <w:keepNext w:val="0"/>
        <w:keepLines w:val="0"/>
      </w:pPr>
      <w:r>
        <w:t xml:space="preserve">Define Type and Number of </w:t>
      </w:r>
      <w:r w:rsidR="00F80AFB">
        <w:t>Check Standards</w:t>
      </w:r>
    </w:p>
    <w:p w14:paraId="721FE92A" w14:textId="7C92D7DD" w:rsidR="00F80AFB" w:rsidRDefault="00A4254C" w:rsidP="009F4FFC">
      <w:pPr>
        <w:pStyle w:val="Heading3"/>
        <w:keepNext w:val="0"/>
        <w:keepLines w:val="0"/>
      </w:pPr>
      <w:r>
        <w:t xml:space="preserve">A </w:t>
      </w:r>
      <w:r w:rsidR="00F80AFB">
        <w:t xml:space="preserve">check standard must be stable and </w:t>
      </w:r>
      <w:r w:rsidR="00704B03">
        <w:t xml:space="preserve">is </w:t>
      </w:r>
      <w:r w:rsidR="00F80AFB">
        <w:t xml:space="preserve">normally comparable to </w:t>
      </w:r>
      <w:r>
        <w:t xml:space="preserve">the </w:t>
      </w:r>
      <w:r w:rsidR="00704B03">
        <w:t xml:space="preserve">reference </w:t>
      </w:r>
      <w:r w:rsidR="00F80AFB">
        <w:t xml:space="preserve">standard or to the typical </w:t>
      </w:r>
      <w:r w:rsidR="00704B03">
        <w:t xml:space="preserve">item submitted for </w:t>
      </w:r>
      <w:r w:rsidR="00F80AFB">
        <w:t>calibration, depending on what is being monitored</w:t>
      </w:r>
      <w:r w:rsidR="00704B03">
        <w:t xml:space="preserve"> (standards or process)</w:t>
      </w:r>
      <w:r w:rsidR="00F928D9">
        <w:t xml:space="preserve">. </w:t>
      </w:r>
      <w:r w:rsidR="00F80AFB">
        <w:t xml:space="preserve">For lower order calibrations, </w:t>
      </w:r>
      <w:r w:rsidR="00B169AA">
        <w:t xml:space="preserve">the </w:t>
      </w:r>
      <w:r w:rsidR="00F80AFB">
        <w:t xml:space="preserve">check standard should simulate the laboratory's </w:t>
      </w:r>
      <w:r w:rsidR="00704B03">
        <w:t xml:space="preserve">reference or working </w:t>
      </w:r>
      <w:r w:rsidR="00F80AFB">
        <w:t>standard</w:t>
      </w:r>
      <w:r>
        <w:t>s</w:t>
      </w:r>
      <w:r w:rsidR="00F80AFB">
        <w:t xml:space="preserve"> to the extent feasible</w:t>
      </w:r>
      <w:r w:rsidR="00F928D9">
        <w:t xml:space="preserve">. </w:t>
      </w:r>
      <w:r w:rsidR="00B169AA">
        <w:t xml:space="preserve">It </w:t>
      </w:r>
      <w:r w:rsidR="00F80AFB">
        <w:t xml:space="preserve">should be calibrated </w:t>
      </w:r>
      <w:r w:rsidR="003473A3">
        <w:t xml:space="preserve">using a better procedure than the one being monitored to ensure that the </w:t>
      </w:r>
      <w:r w:rsidR="00F80AFB">
        <w:t xml:space="preserve">expanded uncertainty </w:t>
      </w:r>
      <w:r w:rsidR="003473A3">
        <w:t xml:space="preserve">is </w:t>
      </w:r>
      <w:r w:rsidR="00F80AFB">
        <w:t xml:space="preserve">equal to or better than the </w:t>
      </w:r>
      <w:r w:rsidR="003473A3">
        <w:t xml:space="preserve">uncertainty achievable with </w:t>
      </w:r>
      <w:r w:rsidR="00F80AFB">
        <w:t>the process being monitored</w:t>
      </w:r>
      <w:r w:rsidR="00F928D9">
        <w:t xml:space="preserve">. </w:t>
      </w:r>
      <w:r w:rsidR="003473A3">
        <w:t xml:space="preserve">As the uncertainty of the check standard </w:t>
      </w:r>
      <w:r w:rsidR="004C6E1E">
        <w:t xml:space="preserve">value </w:t>
      </w:r>
      <w:r w:rsidR="003473A3">
        <w:t xml:space="preserve">increases relative to the measurement process, it </w:t>
      </w:r>
      <w:r w:rsidR="004E7554">
        <w:t>becomes more difficult</w:t>
      </w:r>
      <w:r w:rsidR="003473A3">
        <w:t xml:space="preserve"> to monitor control, drift, and potential bias. </w:t>
      </w:r>
      <w:r>
        <w:t>All c</w:t>
      </w:r>
      <w:r w:rsidR="00F80AFB">
        <w:t xml:space="preserve">heck standards should be cared for in the same way as </w:t>
      </w:r>
      <w:r w:rsidR="00704B03">
        <w:t xml:space="preserve">reference </w:t>
      </w:r>
      <w:r w:rsidR="00F80AFB">
        <w:t>standards to prevent their damage or deterioration</w:t>
      </w:r>
      <w:r w:rsidR="00F928D9">
        <w:t xml:space="preserve">. </w:t>
      </w:r>
      <w:r w:rsidR="00F80AFB">
        <w:t xml:space="preserve">Lower order check standards should be recalibrated at regular intervals according to </w:t>
      </w:r>
      <w:r w:rsidR="00704B03">
        <w:t xml:space="preserve">NISTIR 6969, </w:t>
      </w:r>
      <w:r w:rsidR="00F80AFB">
        <w:t>Good Measurement Practice (GMP) 11 on Setting and Adjusting Calibration Intervals.</w:t>
      </w:r>
    </w:p>
    <w:p w14:paraId="4D40D6FC" w14:textId="77777777" w:rsidR="00FE2628" w:rsidRDefault="00FE2628" w:rsidP="009F4FFC">
      <w:pPr>
        <w:pStyle w:val="Heading3"/>
        <w:keepNext w:val="0"/>
        <w:keepLines w:val="0"/>
      </w:pPr>
      <w:r>
        <w:t xml:space="preserve">Select check standards for mass calibration procedures as shown in </w:t>
      </w:r>
      <w:r w:rsidR="0099347C">
        <w:t xml:space="preserve">in the applicable SOP or as in </w:t>
      </w:r>
      <w:r>
        <w:t>Table 1</w:t>
      </w:r>
      <w:r w:rsidR="0099347C">
        <w:t xml:space="preserve"> in this SOP</w:t>
      </w:r>
      <w:r w:rsidR="00BC059D">
        <w:t xml:space="preserve">. </w:t>
      </w:r>
      <w:r>
        <w:t>Take care to consider balance load and variability as noted in section 3.1 to ensure that standard deviations of the measurement processes are consistent at different nominal values</w:t>
      </w:r>
      <w:r w:rsidR="00BC059D">
        <w:t xml:space="preserve">. </w:t>
      </w:r>
      <w:r>
        <w:t>Use the next larger standard deviation of the measurement process in uncertainty calculations for intermediate nominal values</w:t>
      </w:r>
      <w:r w:rsidR="00BC059D">
        <w:t xml:space="preserve">. </w:t>
      </w:r>
      <w:r>
        <w:t xml:space="preserve">When a check standard is not used at each nominal value, additional monitoring of the </w:t>
      </w:r>
      <w:r>
        <w:lastRenderedPageBreak/>
        <w:t>working standards is required</w:t>
      </w:r>
      <w:r w:rsidR="002B4DBC">
        <w:t xml:space="preserve"> and more frequent calibrations may be required</w:t>
      </w:r>
      <w:r>
        <w:t xml:space="preserve">. </w:t>
      </w:r>
    </w:p>
    <w:p w14:paraId="4B845C96" w14:textId="28702FAC" w:rsidR="009F4FFC" w:rsidRDefault="009F4FFC" w:rsidP="003473A3">
      <w:pPr>
        <w:pStyle w:val="Caption"/>
        <w:keepNext/>
        <w:keepLines/>
        <w:ind w:left="0"/>
      </w:pPr>
      <w:r>
        <w:t xml:space="preserve">Table </w:t>
      </w:r>
      <w:r w:rsidR="00B76D79">
        <w:rPr>
          <w:noProof/>
        </w:rPr>
        <w:fldChar w:fldCharType="begin"/>
      </w:r>
      <w:r w:rsidR="00B76D79">
        <w:rPr>
          <w:noProof/>
        </w:rPr>
        <w:instrText xml:space="preserve"> SEQ Table \* ARABIC </w:instrText>
      </w:r>
      <w:r w:rsidR="00B76D79">
        <w:rPr>
          <w:noProof/>
        </w:rPr>
        <w:fldChar w:fldCharType="separate"/>
      </w:r>
      <w:r w:rsidR="00FE53DB">
        <w:rPr>
          <w:noProof/>
        </w:rPr>
        <w:t>1</w:t>
      </w:r>
      <w:r w:rsidR="00B76D79">
        <w:rPr>
          <w:noProof/>
        </w:rPr>
        <w:fldChar w:fldCharType="end"/>
      </w:r>
      <w:r>
        <w:t xml:space="preserve">. </w:t>
      </w:r>
      <w:r w:rsidRPr="0087550D">
        <w:t xml:space="preserve">Recommended check standards for typical </w:t>
      </w:r>
      <w:r w:rsidR="0099347C">
        <w:t>calibrations</w:t>
      </w:r>
      <w:r w:rsidRPr="0087550D">
        <w:t>.</w:t>
      </w:r>
    </w:p>
    <w:tbl>
      <w:tblPr>
        <w:tblW w:w="9309" w:type="dxa"/>
        <w:jc w:val="center"/>
        <w:tblLayout w:type="fixed"/>
        <w:tblCellMar>
          <w:left w:w="25" w:type="dxa"/>
          <w:right w:w="25" w:type="dxa"/>
        </w:tblCellMar>
        <w:tblLook w:val="0000" w:firstRow="0" w:lastRow="0" w:firstColumn="0" w:lastColumn="0" w:noHBand="0" w:noVBand="0"/>
        <w:tblCaption w:val="Table 1. Recommended check standards for typical test situations."/>
        <w:tblDescription w:val="Recommended mass check standards for different ranges and balances based on calibration procedure. Echelon III (Class F) &#10;SOP 7, 8  5000 lb to 0.001 lb or &#10;2268 kg to 1 mg 2 to 3 values per balance OR &#10;1 chart per load&#10;Echelon II&#10;SOP 3, 4, 6, 7 5000 lb to 0.001 lb&#10;and 1000 kg to 1 mg 2 to 3 values per balance&#10;OR 1 check standard per decade&#10;SOP 5 typically 1 kg to 1 mg each nominal value incorporates a check standard&#10;SOP 28 typically 1 kg to 1 mg 1 check standard per decade &#10;(e.g., 1 kg, 100 g, 10 g, 1 g, 100 mg, 10 mg, 1 mg)&#10;"/>
      </w:tblPr>
      <w:tblGrid>
        <w:gridCol w:w="2594"/>
        <w:gridCol w:w="3457"/>
        <w:gridCol w:w="3258"/>
      </w:tblGrid>
      <w:tr w:rsidR="00F80AFB" w14:paraId="5815356D" w14:textId="77777777" w:rsidTr="00FE53DB">
        <w:trPr>
          <w:cantSplit/>
          <w:trHeight w:val="370"/>
          <w:tblHeader/>
          <w:jc w:val="center"/>
        </w:trPr>
        <w:tc>
          <w:tcPr>
            <w:tcW w:w="2594" w:type="dxa"/>
            <w:tcBorders>
              <w:top w:val="double" w:sz="7" w:space="0" w:color="000000"/>
              <w:left w:val="double" w:sz="7" w:space="0" w:color="000000"/>
              <w:bottom w:val="single" w:sz="6" w:space="0" w:color="FFFFFF"/>
              <w:right w:val="single" w:sz="6" w:space="0" w:color="FFFFFF"/>
            </w:tcBorders>
            <w:vAlign w:val="center"/>
          </w:tcPr>
          <w:p w14:paraId="2FE0B492" w14:textId="77777777" w:rsidR="00F80AFB" w:rsidRPr="00666DC5" w:rsidRDefault="00FE2628"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jc w:val="center"/>
              <w:rPr>
                <w:b/>
                <w:sz w:val="22"/>
              </w:rPr>
            </w:pPr>
            <w:r w:rsidRPr="00666DC5">
              <w:rPr>
                <w:b/>
                <w:sz w:val="22"/>
              </w:rPr>
              <w:t>Procedure</w:t>
            </w:r>
          </w:p>
        </w:tc>
        <w:tc>
          <w:tcPr>
            <w:tcW w:w="3457" w:type="dxa"/>
            <w:tcBorders>
              <w:top w:val="double" w:sz="7" w:space="0" w:color="000000"/>
              <w:left w:val="single" w:sz="7" w:space="0" w:color="000000"/>
              <w:bottom w:val="single" w:sz="6" w:space="0" w:color="FFFFFF"/>
              <w:right w:val="single" w:sz="6" w:space="0" w:color="FFFFFF"/>
            </w:tcBorders>
            <w:vAlign w:val="center"/>
          </w:tcPr>
          <w:p w14:paraId="5A7C02DB"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jc w:val="center"/>
              <w:rPr>
                <w:b/>
                <w:sz w:val="22"/>
              </w:rPr>
            </w:pPr>
            <w:r w:rsidRPr="00666DC5">
              <w:rPr>
                <w:b/>
                <w:sz w:val="22"/>
              </w:rPr>
              <w:t>Range of Measurement</w:t>
            </w:r>
          </w:p>
        </w:tc>
        <w:tc>
          <w:tcPr>
            <w:tcW w:w="3258" w:type="dxa"/>
            <w:tcBorders>
              <w:top w:val="double" w:sz="7" w:space="0" w:color="000000"/>
              <w:left w:val="single" w:sz="7" w:space="0" w:color="000000"/>
              <w:bottom w:val="single" w:sz="6" w:space="0" w:color="FFFFFF"/>
              <w:right w:val="double" w:sz="7" w:space="0" w:color="000000"/>
            </w:tcBorders>
            <w:vAlign w:val="center"/>
          </w:tcPr>
          <w:p w14:paraId="62865FC7"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jc w:val="center"/>
              <w:rPr>
                <w:b/>
                <w:sz w:val="22"/>
              </w:rPr>
            </w:pPr>
            <w:r w:rsidRPr="00666DC5">
              <w:rPr>
                <w:b/>
                <w:sz w:val="22"/>
              </w:rPr>
              <w:t>Check Standard(s)</w:t>
            </w:r>
          </w:p>
        </w:tc>
      </w:tr>
      <w:tr w:rsidR="00F80AFB" w14:paraId="326F7FD3" w14:textId="77777777" w:rsidTr="00FE53DB">
        <w:trPr>
          <w:cantSplit/>
          <w:trHeight w:val="561"/>
          <w:jc w:val="center"/>
        </w:trPr>
        <w:tc>
          <w:tcPr>
            <w:tcW w:w="2594" w:type="dxa"/>
            <w:tcBorders>
              <w:top w:val="double" w:sz="7" w:space="0" w:color="000000"/>
              <w:left w:val="double" w:sz="7" w:space="0" w:color="000000"/>
              <w:bottom w:val="single" w:sz="6" w:space="0" w:color="FFFFFF"/>
              <w:right w:val="single" w:sz="6" w:space="0" w:color="FFFFFF"/>
            </w:tcBorders>
            <w:vAlign w:val="center"/>
          </w:tcPr>
          <w:p w14:paraId="40AF7229"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 xml:space="preserve">Echelon III (Class F) </w:t>
            </w:r>
          </w:p>
          <w:p w14:paraId="25BB6763"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 xml:space="preserve">SOP 7, 8 </w:t>
            </w:r>
          </w:p>
        </w:tc>
        <w:tc>
          <w:tcPr>
            <w:tcW w:w="3457" w:type="dxa"/>
            <w:tcBorders>
              <w:top w:val="double" w:sz="7" w:space="0" w:color="000000"/>
              <w:left w:val="single" w:sz="7" w:space="0" w:color="000000"/>
              <w:bottom w:val="single" w:sz="6" w:space="0" w:color="FFFFFF"/>
              <w:right w:val="single" w:sz="6" w:space="0" w:color="FFFFFF"/>
            </w:tcBorders>
            <w:vAlign w:val="center"/>
          </w:tcPr>
          <w:p w14:paraId="217A084C"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5000 lb to 0.001 lb</w:t>
            </w:r>
            <w:r w:rsidR="00353963" w:rsidRPr="00666DC5">
              <w:rPr>
                <w:sz w:val="22"/>
              </w:rPr>
              <w:t xml:space="preserve"> or </w:t>
            </w:r>
          </w:p>
          <w:p w14:paraId="619D2273" w14:textId="77777777" w:rsidR="00353963" w:rsidRPr="00666DC5" w:rsidRDefault="00353963"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2268 kg to 1 mg</w:t>
            </w:r>
          </w:p>
        </w:tc>
        <w:tc>
          <w:tcPr>
            <w:tcW w:w="3258" w:type="dxa"/>
            <w:tcBorders>
              <w:top w:val="double" w:sz="7" w:space="0" w:color="000000"/>
              <w:left w:val="single" w:sz="7" w:space="0" w:color="000000"/>
              <w:bottom w:val="single" w:sz="6" w:space="0" w:color="FFFFFF"/>
              <w:right w:val="double" w:sz="7" w:space="0" w:color="000000"/>
            </w:tcBorders>
            <w:vAlign w:val="center"/>
          </w:tcPr>
          <w:p w14:paraId="643F839F" w14:textId="7B215629" w:rsidR="0099347C" w:rsidRDefault="0099347C"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Pr>
                <w:sz w:val="22"/>
              </w:rPr>
              <w:t xml:space="preserve">SOP: </w:t>
            </w:r>
            <w:r w:rsidR="004C6E1E">
              <w:rPr>
                <w:sz w:val="22"/>
              </w:rPr>
              <w:t xml:space="preserve">Use </w:t>
            </w:r>
            <w:r>
              <w:rPr>
                <w:sz w:val="22"/>
              </w:rPr>
              <w:t>1 chart per nominal value</w:t>
            </w:r>
          </w:p>
          <w:p w14:paraId="415D46BC" w14:textId="5B41F8A1" w:rsidR="00F80AFB" w:rsidRPr="00666DC5" w:rsidRDefault="0099347C"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Pr>
                <w:sz w:val="22"/>
              </w:rPr>
              <w:t xml:space="preserve">Optional: </w:t>
            </w:r>
            <w:r w:rsidR="00F80AFB" w:rsidRPr="00666DC5">
              <w:rPr>
                <w:sz w:val="22"/>
              </w:rPr>
              <w:t xml:space="preserve">2 to 3 values per balance </w:t>
            </w:r>
          </w:p>
        </w:tc>
      </w:tr>
      <w:tr w:rsidR="00F80AFB" w14:paraId="6E4DA1CD" w14:textId="77777777" w:rsidTr="00FE53DB">
        <w:trPr>
          <w:cantSplit/>
          <w:trHeight w:val="529"/>
          <w:jc w:val="center"/>
        </w:trPr>
        <w:tc>
          <w:tcPr>
            <w:tcW w:w="2594" w:type="dxa"/>
            <w:tcBorders>
              <w:top w:val="single" w:sz="7" w:space="0" w:color="000000"/>
              <w:left w:val="double" w:sz="7" w:space="0" w:color="000000"/>
              <w:bottom w:val="single" w:sz="6" w:space="0" w:color="FFFFFF"/>
              <w:right w:val="single" w:sz="6" w:space="0" w:color="FFFFFF"/>
            </w:tcBorders>
            <w:vAlign w:val="center"/>
          </w:tcPr>
          <w:p w14:paraId="7A87A035"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lang w:val="fr-FR"/>
              </w:rPr>
            </w:pPr>
            <w:r w:rsidRPr="00666DC5">
              <w:rPr>
                <w:sz w:val="22"/>
                <w:lang w:val="fr-FR"/>
              </w:rPr>
              <w:t>Echelon II</w:t>
            </w:r>
          </w:p>
          <w:p w14:paraId="401A1A4C"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lang w:val="fr-FR"/>
              </w:rPr>
            </w:pPr>
            <w:r w:rsidRPr="00666DC5">
              <w:rPr>
                <w:sz w:val="22"/>
                <w:lang w:val="fr-FR"/>
              </w:rPr>
              <w:t>SOP 3, 4, 6, 7</w:t>
            </w:r>
          </w:p>
        </w:tc>
        <w:tc>
          <w:tcPr>
            <w:tcW w:w="3457" w:type="dxa"/>
            <w:tcBorders>
              <w:top w:val="single" w:sz="7" w:space="0" w:color="000000"/>
              <w:left w:val="single" w:sz="7" w:space="0" w:color="000000"/>
              <w:bottom w:val="single" w:sz="6" w:space="0" w:color="FFFFFF"/>
              <w:right w:val="single" w:sz="6" w:space="0" w:color="FFFFFF"/>
            </w:tcBorders>
            <w:vAlign w:val="center"/>
          </w:tcPr>
          <w:p w14:paraId="446FB7FE"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5000 lb to 0.001 lb</w:t>
            </w:r>
          </w:p>
          <w:p w14:paraId="0CF251B6"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and 1000 kg to 1 mg</w:t>
            </w:r>
          </w:p>
        </w:tc>
        <w:tc>
          <w:tcPr>
            <w:tcW w:w="3258" w:type="dxa"/>
            <w:tcBorders>
              <w:top w:val="single" w:sz="7" w:space="0" w:color="000000"/>
              <w:left w:val="single" w:sz="7" w:space="0" w:color="000000"/>
              <w:bottom w:val="single" w:sz="6" w:space="0" w:color="FFFFFF"/>
              <w:right w:val="double" w:sz="7" w:space="0" w:color="000000"/>
            </w:tcBorders>
            <w:vAlign w:val="center"/>
          </w:tcPr>
          <w:p w14:paraId="47355CB4" w14:textId="47C1E2EC" w:rsidR="0099347C" w:rsidRDefault="0099347C"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Pr>
                <w:sz w:val="22"/>
              </w:rPr>
              <w:t xml:space="preserve">SOP: </w:t>
            </w:r>
            <w:r w:rsidR="004C6E1E">
              <w:rPr>
                <w:sz w:val="22"/>
              </w:rPr>
              <w:t xml:space="preserve">Use </w:t>
            </w:r>
            <w:r>
              <w:rPr>
                <w:sz w:val="22"/>
              </w:rPr>
              <w:t>1 chart per nominal value</w:t>
            </w:r>
          </w:p>
          <w:p w14:paraId="5299B8A6" w14:textId="526981A0" w:rsidR="00F80AFB" w:rsidRPr="00666DC5" w:rsidRDefault="0099347C"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Pr>
                <w:sz w:val="22"/>
              </w:rPr>
              <w:t xml:space="preserve">Optional: </w:t>
            </w:r>
            <w:r w:rsidRPr="00666DC5">
              <w:rPr>
                <w:sz w:val="22"/>
              </w:rPr>
              <w:t>2 to 3 values per balance</w:t>
            </w:r>
          </w:p>
        </w:tc>
      </w:tr>
      <w:tr w:rsidR="00F80AFB" w14:paraId="0A2BC012" w14:textId="77777777" w:rsidTr="00FE53DB">
        <w:trPr>
          <w:cantSplit/>
          <w:trHeight w:val="545"/>
          <w:jc w:val="center"/>
        </w:trPr>
        <w:tc>
          <w:tcPr>
            <w:tcW w:w="2594" w:type="dxa"/>
            <w:tcBorders>
              <w:top w:val="single" w:sz="7" w:space="0" w:color="000000"/>
              <w:left w:val="double" w:sz="7" w:space="0" w:color="000000"/>
              <w:bottom w:val="single" w:sz="4" w:space="0" w:color="auto"/>
              <w:right w:val="single" w:sz="6" w:space="0" w:color="FFFFFF"/>
            </w:tcBorders>
            <w:vAlign w:val="center"/>
          </w:tcPr>
          <w:p w14:paraId="33452C16"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SOP 5</w:t>
            </w:r>
          </w:p>
        </w:tc>
        <w:tc>
          <w:tcPr>
            <w:tcW w:w="3457" w:type="dxa"/>
            <w:tcBorders>
              <w:top w:val="single" w:sz="7" w:space="0" w:color="000000"/>
              <w:left w:val="single" w:sz="7" w:space="0" w:color="000000"/>
              <w:bottom w:val="single" w:sz="4" w:space="0" w:color="auto"/>
              <w:right w:val="single" w:sz="6" w:space="0" w:color="FFFFFF"/>
            </w:tcBorders>
            <w:vAlign w:val="center"/>
          </w:tcPr>
          <w:p w14:paraId="7FB91025" w14:textId="77777777" w:rsidR="00F80AFB" w:rsidRPr="00666DC5" w:rsidRDefault="0099347C"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T</w:t>
            </w:r>
            <w:r w:rsidR="00F80AFB" w:rsidRPr="00666DC5">
              <w:rPr>
                <w:sz w:val="22"/>
              </w:rPr>
              <w:t>ypically</w:t>
            </w:r>
            <w:r>
              <w:rPr>
                <w:sz w:val="22"/>
              </w:rPr>
              <w:t>,</w:t>
            </w:r>
            <w:r w:rsidR="00F80AFB" w:rsidRPr="00666DC5">
              <w:rPr>
                <w:sz w:val="22"/>
              </w:rPr>
              <w:t xml:space="preserve"> 1 kg to 1 mg</w:t>
            </w:r>
          </w:p>
        </w:tc>
        <w:tc>
          <w:tcPr>
            <w:tcW w:w="3258" w:type="dxa"/>
            <w:tcBorders>
              <w:top w:val="single" w:sz="7" w:space="0" w:color="000000"/>
              <w:left w:val="single" w:sz="7" w:space="0" w:color="000000"/>
              <w:bottom w:val="single" w:sz="4" w:space="0" w:color="auto"/>
              <w:right w:val="double" w:sz="7" w:space="0" w:color="000000"/>
            </w:tcBorders>
            <w:vAlign w:val="center"/>
          </w:tcPr>
          <w:p w14:paraId="79AD5892" w14:textId="349EA979" w:rsidR="00F80AFB" w:rsidRPr="00666DC5" w:rsidRDefault="0099347C"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Pr>
                <w:sz w:val="22"/>
              </w:rPr>
              <w:t>E</w:t>
            </w:r>
            <w:r w:rsidR="00F80AFB" w:rsidRPr="00666DC5">
              <w:rPr>
                <w:sz w:val="22"/>
              </w:rPr>
              <w:t>ach nominal value incorporates a check standard</w:t>
            </w:r>
          </w:p>
        </w:tc>
      </w:tr>
      <w:tr w:rsidR="00F80AFB" w14:paraId="620AA235" w14:textId="77777777" w:rsidTr="00FE53DB">
        <w:trPr>
          <w:cantSplit/>
          <w:trHeight w:val="818"/>
          <w:jc w:val="center"/>
        </w:trPr>
        <w:tc>
          <w:tcPr>
            <w:tcW w:w="2594" w:type="dxa"/>
            <w:tcBorders>
              <w:top w:val="single" w:sz="4" w:space="0" w:color="auto"/>
              <w:left w:val="double" w:sz="4" w:space="0" w:color="auto"/>
              <w:bottom w:val="double" w:sz="4" w:space="0" w:color="auto"/>
              <w:right w:val="single" w:sz="4" w:space="0" w:color="auto"/>
            </w:tcBorders>
            <w:vAlign w:val="center"/>
          </w:tcPr>
          <w:p w14:paraId="4B741CB9"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SOP 28</w:t>
            </w:r>
          </w:p>
        </w:tc>
        <w:tc>
          <w:tcPr>
            <w:tcW w:w="3457" w:type="dxa"/>
            <w:tcBorders>
              <w:top w:val="single" w:sz="4" w:space="0" w:color="auto"/>
              <w:left w:val="single" w:sz="4" w:space="0" w:color="auto"/>
              <w:bottom w:val="double" w:sz="4" w:space="0" w:color="auto"/>
              <w:right w:val="single" w:sz="4" w:space="0" w:color="auto"/>
            </w:tcBorders>
            <w:vAlign w:val="center"/>
          </w:tcPr>
          <w:p w14:paraId="407EC929" w14:textId="77777777" w:rsidR="00F80AFB" w:rsidRPr="00666DC5" w:rsidRDefault="0099347C"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T</w:t>
            </w:r>
            <w:r w:rsidR="00F80AFB" w:rsidRPr="00666DC5">
              <w:rPr>
                <w:sz w:val="22"/>
              </w:rPr>
              <w:t>ypically</w:t>
            </w:r>
            <w:r>
              <w:rPr>
                <w:sz w:val="22"/>
              </w:rPr>
              <w:t>,</w:t>
            </w:r>
            <w:r w:rsidR="00F80AFB" w:rsidRPr="00666DC5">
              <w:rPr>
                <w:sz w:val="22"/>
              </w:rPr>
              <w:t xml:space="preserve"> 1 kg to 1 mg</w:t>
            </w:r>
          </w:p>
        </w:tc>
        <w:tc>
          <w:tcPr>
            <w:tcW w:w="3258" w:type="dxa"/>
            <w:tcBorders>
              <w:top w:val="single" w:sz="4" w:space="0" w:color="auto"/>
              <w:left w:val="single" w:sz="4" w:space="0" w:color="auto"/>
              <w:bottom w:val="double" w:sz="4" w:space="0" w:color="auto"/>
              <w:right w:val="double" w:sz="4" w:space="0" w:color="auto"/>
            </w:tcBorders>
            <w:vAlign w:val="center"/>
          </w:tcPr>
          <w:p w14:paraId="5AF80F92" w14:textId="2B5B9DAA" w:rsidR="00F80AFB" w:rsidRPr="00666DC5" w:rsidRDefault="004C6E1E"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Pr>
                <w:sz w:val="22"/>
              </w:rPr>
              <w:t xml:space="preserve">Use </w:t>
            </w:r>
            <w:r w:rsidR="00F80AFB" w:rsidRPr="00666DC5">
              <w:rPr>
                <w:sz w:val="22"/>
              </w:rPr>
              <w:t xml:space="preserve">1 check standard per decade </w:t>
            </w:r>
          </w:p>
          <w:p w14:paraId="797A4088" w14:textId="77777777" w:rsidR="00F80AFB" w:rsidRPr="00666DC5" w:rsidRDefault="00F80AFB" w:rsidP="003473A3">
            <w:pPr>
              <w:keepNext/>
              <w:keepLines/>
              <w:tabs>
                <w:tab w:val="left" w:pos="-1440"/>
                <w:tab w:val="left" w:pos="-1104"/>
                <w:tab w:val="left" w:pos="-552"/>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rPr>
                <w:sz w:val="22"/>
              </w:rPr>
            </w:pPr>
            <w:r w:rsidRPr="00666DC5">
              <w:rPr>
                <w:sz w:val="22"/>
              </w:rPr>
              <w:t>(e.g., 1 kg, 100 g, 10 g, 1 g, 100 mg, 10 mg, 1 mg)</w:t>
            </w:r>
          </w:p>
        </w:tc>
      </w:tr>
    </w:tbl>
    <w:p w14:paraId="4CFDAE62" w14:textId="77777777" w:rsidR="00F80AFB" w:rsidRDefault="00EF1B92" w:rsidP="003473A3">
      <w:pPr>
        <w:pStyle w:val="Heading2"/>
        <w:keepNext w:val="0"/>
        <w:keepLines w:val="0"/>
        <w:spacing w:before="240"/>
      </w:pPr>
      <w:r>
        <w:t xml:space="preserve">Measure – Perform Initial Measurements to Establish </w:t>
      </w:r>
      <w:r w:rsidR="00F80AFB">
        <w:t>Control Chart</w:t>
      </w:r>
      <w:r>
        <w:t>s</w:t>
      </w:r>
      <w:r w:rsidR="00F80AFB">
        <w:t xml:space="preserve"> </w:t>
      </w:r>
    </w:p>
    <w:p w14:paraId="3B17CB5B" w14:textId="7D4D5425" w:rsidR="00F80AFB" w:rsidRDefault="001E2E1B" w:rsidP="003473A3">
      <w:pPr>
        <w:pStyle w:val="Heading3"/>
        <w:keepNext w:val="0"/>
        <w:keepLines w:val="0"/>
      </w:pPr>
      <w:r>
        <w:t>To establish a new control chart, m</w:t>
      </w:r>
      <w:r w:rsidR="00F80AFB">
        <w:t xml:space="preserve">ake at least </w:t>
      </w:r>
      <w:r w:rsidR="00A4254C">
        <w:t xml:space="preserve">seven </w:t>
      </w:r>
      <w:r w:rsidR="00F80AFB">
        <w:t xml:space="preserve">(minimum number) and preferably 12 </w:t>
      </w:r>
      <w:r w:rsidR="00A4254C">
        <w:t xml:space="preserve">or more, </w:t>
      </w:r>
      <w:r w:rsidR="00F80AFB">
        <w:t xml:space="preserve">independent measurements of the check standard </w:t>
      </w:r>
      <w:r w:rsidR="00EF1B92">
        <w:t xml:space="preserve">using the same standards, equipment, procedure, and </w:t>
      </w:r>
      <w:r w:rsidR="00F80AFB">
        <w:t>under the same conditions that will be used to make routine measurements</w:t>
      </w:r>
      <w:r w:rsidR="00F928D9">
        <w:t xml:space="preserve">. </w:t>
      </w:r>
      <w:r w:rsidR="00F80AFB">
        <w:t xml:space="preserve">No two measurements </w:t>
      </w:r>
      <w:r w:rsidR="005876FE">
        <w:t xml:space="preserve">may </w:t>
      </w:r>
      <w:r w:rsidR="00F80AFB">
        <w:t xml:space="preserve">be made </w:t>
      </w:r>
      <w:r w:rsidR="00A4254C">
        <w:t>o</w:t>
      </w:r>
      <w:r w:rsidR="00F80AFB">
        <w:t>n the same day</w:t>
      </w:r>
      <w:r w:rsidR="005876FE">
        <w:t>.</w:t>
      </w:r>
      <w:r w:rsidR="00353963">
        <w:t xml:space="preserve"> </w:t>
      </w:r>
      <w:r w:rsidR="005876FE">
        <w:t>T</w:t>
      </w:r>
      <w:r w:rsidR="00353963">
        <w:t>he time of day should be varied as would be typical during routine laboratory operations</w:t>
      </w:r>
      <w:r w:rsidR="00F928D9">
        <w:t xml:space="preserve">. </w:t>
      </w:r>
      <w:r w:rsidR="00F80AFB">
        <w:t>This is necessary to estimate the long-term standard deviation to the extent feasible</w:t>
      </w:r>
      <w:r w:rsidR="00F928D9">
        <w:t xml:space="preserve">. </w:t>
      </w:r>
      <w:r w:rsidR="00F80AFB">
        <w:t>To make statistically valid decisions or calculate uncertainties based on this data, 25 to 30 points are necessary.</w:t>
      </w:r>
    </w:p>
    <w:p w14:paraId="1AE12F2A" w14:textId="77777777" w:rsidR="00EF1B92" w:rsidRDefault="00EF1B92" w:rsidP="003473A3">
      <w:pPr>
        <w:pStyle w:val="Heading2"/>
        <w:keepNext w:val="0"/>
        <w:keepLines w:val="0"/>
      </w:pPr>
      <w:r>
        <w:t>Analyze Data – Perform Statistical Analysis</w:t>
      </w:r>
    </w:p>
    <w:p w14:paraId="4BDB0E36" w14:textId="1AA20874" w:rsidR="00EF1B92" w:rsidRDefault="00670E4C" w:rsidP="003473A3">
      <w:pPr>
        <w:pStyle w:val="Heading3"/>
        <w:keepNext w:val="0"/>
        <w:keepLines w:val="0"/>
      </w:pPr>
      <w:r>
        <w:t>Create a control chart using the data and the statistics associated with the initial measurement results</w:t>
      </w:r>
      <w:r w:rsidR="00BC059D">
        <w:t xml:space="preserve">. </w:t>
      </w:r>
      <w:r w:rsidR="00EF1B92">
        <w:t>The control chart parameters consist of the central line, and control (or “action”) and warning limits that represent probabilistic limits for the distribu</w:t>
      </w:r>
      <w:r w:rsidR="00EF1B92">
        <w:softHyphen/>
        <w:t xml:space="preserve">tion of results around the central line. These parameters are evaluated </w:t>
      </w:r>
      <w:r w:rsidR="00AE7FE8">
        <w:t>based on</w:t>
      </w:r>
      <w:r w:rsidR="00EF1B92">
        <w:t xml:space="preserve"> a reasonable number of initial measurements and updated as additional measurement data are accumulated.</w:t>
      </w:r>
      <w:r w:rsidR="00D4662F">
        <w:t xml:space="preserve"> </w:t>
      </w:r>
      <w:r w:rsidR="00D4662F" w:rsidRPr="00D4662F">
        <w:t xml:space="preserve">A known value is based on a higher-level calibration of the check standard that is preferably independent of the measurement system being monitored. The central line is established by the mean of measurements. If no higher-level calibration is available, the central line may be used as the known value, but this is not recommended since it will </w:t>
      </w:r>
      <w:r w:rsidR="00BC059D">
        <w:t xml:space="preserve">allow </w:t>
      </w:r>
      <w:r w:rsidR="00D4662F" w:rsidRPr="00D4662F">
        <w:t xml:space="preserve">no evaluation of measurement </w:t>
      </w:r>
      <w:r w:rsidR="00BC059D">
        <w:t xml:space="preserve">accuracy or </w:t>
      </w:r>
      <w:r w:rsidR="00D4662F" w:rsidRPr="00D4662F">
        <w:t>bias</w:t>
      </w:r>
      <w:r w:rsidR="00BC059D">
        <w:t xml:space="preserve">. </w:t>
      </w:r>
      <w:r w:rsidR="00D4662F">
        <w:t>Upper and lower control limits should be fixed, and adjusted after periodic evaluation when/if appropriate.</w:t>
      </w:r>
    </w:p>
    <w:p w14:paraId="2DBD110C" w14:textId="4364DD96" w:rsidR="00FD391F" w:rsidRDefault="00F80AFB" w:rsidP="001A0F98">
      <w:pPr>
        <w:pStyle w:val="Heading3"/>
      </w:pPr>
      <w:r>
        <w:lastRenderedPageBreak/>
        <w:t xml:space="preserve">Calculate the mean, </w:t>
      </w:r>
      <w:r w:rsidR="000F4B0D">
        <w:rPr>
          <w:position w:val="-6"/>
        </w:rPr>
        <w:object w:dxaOrig="220" w:dyaOrig="340" w14:anchorId="49C2882C">
          <v:shape id="_x0000_i1038" type="#_x0000_t75" style="width:11.25pt;height:16.5pt" o:ole="" fillcolor="window">
            <v:imagedata r:id="rId8" o:title=""/>
          </v:shape>
          <o:OLEObject Type="Embed" ProgID="Equation.DSMT4" ShapeID="_x0000_i1038" DrawAspect="Content" ObjectID="_1618660230" r:id="rId11"/>
        </w:object>
      </w:r>
      <w:r w:rsidR="000F4B0D">
        <w:t xml:space="preserve">, </w:t>
      </w:r>
      <w:r>
        <w:t xml:space="preserve">and the estimate of the standard deviation, </w:t>
      </w:r>
      <w:r w:rsidRPr="00BC059D">
        <w:rPr>
          <w:i/>
        </w:rPr>
        <w:t>s</w:t>
      </w:r>
      <w:r>
        <w:t xml:space="preserve"> in the conventional manner.</w:t>
      </w:r>
    </w:p>
    <w:p w14:paraId="4943D49F" w14:textId="77777777" w:rsidR="00F80AFB" w:rsidRDefault="00F80AFB" w:rsidP="00FD391F">
      <w:pPr>
        <w:pStyle w:val="Heading3"/>
      </w:pPr>
      <w:r>
        <w:t>Establish the control chart parameters as follows:</w:t>
      </w:r>
    </w:p>
    <w:p w14:paraId="4A40BABE" w14:textId="2E1BE00B" w:rsidR="00F80AFB" w:rsidRPr="001A0F98" w:rsidRDefault="00F80AFB" w:rsidP="00FD391F">
      <w:pPr>
        <w:pStyle w:val="BodyText"/>
        <w:tabs>
          <w:tab w:val="center" w:pos="5040"/>
          <w:tab w:val="left" w:pos="5760"/>
        </w:tabs>
        <w:spacing w:after="0"/>
        <w:ind w:left="2160"/>
      </w:pPr>
      <w:r w:rsidRPr="001A0F98">
        <w:t>Central Line</w:t>
      </w:r>
      <w:r w:rsidR="001A0F98" w:rsidRPr="001A0F98">
        <w:tab/>
      </w:r>
      <w:r w:rsidR="00FD391F">
        <w:tab/>
      </w:r>
      <w:r w:rsidRPr="001A0F98">
        <w:t xml:space="preserve">= </w:t>
      </w:r>
      <w:r w:rsidR="000F4B0D">
        <w:rPr>
          <w:position w:val="-6"/>
        </w:rPr>
        <w:object w:dxaOrig="220" w:dyaOrig="340" w14:anchorId="7BC42066">
          <v:shape id="_x0000_i1039" type="#_x0000_t75" style="width:11.25pt;height:16.5pt" o:ole="" fillcolor="window">
            <v:imagedata r:id="rId8" o:title=""/>
          </v:shape>
          <o:OLEObject Type="Embed" ProgID="Equation.DSMT4" ShapeID="_x0000_i1039" DrawAspect="Content" ObjectID="_1618660231" r:id="rId12"/>
        </w:object>
      </w:r>
    </w:p>
    <w:p w14:paraId="3048E2D7" w14:textId="4EAFD119" w:rsidR="00F80AFB" w:rsidRPr="001A0F98" w:rsidRDefault="00F80AFB" w:rsidP="00FD391F">
      <w:pPr>
        <w:pStyle w:val="BodyText"/>
        <w:tabs>
          <w:tab w:val="center" w:pos="5040"/>
          <w:tab w:val="left" w:pos="5760"/>
        </w:tabs>
        <w:spacing w:after="0"/>
        <w:ind w:left="2160"/>
      </w:pPr>
      <w:r w:rsidRPr="001A0F98">
        <w:t>Upper Control/Action Limit</w:t>
      </w:r>
      <w:r w:rsidR="00FD391F">
        <w:tab/>
      </w:r>
      <w:r w:rsidR="00FD391F">
        <w:tab/>
      </w:r>
      <w:r w:rsidRPr="001A0F98">
        <w:t xml:space="preserve">= </w:t>
      </w:r>
      <w:r w:rsidR="000F4B0D">
        <w:rPr>
          <w:position w:val="-6"/>
        </w:rPr>
        <w:object w:dxaOrig="220" w:dyaOrig="340" w14:anchorId="7B5D8B24">
          <v:shape id="_x0000_i1040" type="#_x0000_t75" style="width:11.25pt;height:16.5pt" o:ole="" fillcolor="window">
            <v:imagedata r:id="rId8" o:title=""/>
          </v:shape>
          <o:OLEObject Type="Embed" ProgID="Equation.DSMT4" ShapeID="_x0000_i1040" DrawAspect="Content" ObjectID="_1618660232" r:id="rId13"/>
        </w:object>
      </w:r>
      <w:r w:rsidRPr="001A0F98">
        <w:t xml:space="preserve">+ 3 </w:t>
      </w:r>
      <w:r w:rsidRPr="00BC059D">
        <w:rPr>
          <w:i/>
        </w:rPr>
        <w:t>s</w:t>
      </w:r>
    </w:p>
    <w:p w14:paraId="77332772" w14:textId="734326FC" w:rsidR="00F80AFB" w:rsidRPr="001A0F98" w:rsidRDefault="00F80AFB" w:rsidP="00FD391F">
      <w:pPr>
        <w:pStyle w:val="BodyText"/>
        <w:tabs>
          <w:tab w:val="center" w:pos="5040"/>
          <w:tab w:val="left" w:pos="5760"/>
        </w:tabs>
        <w:spacing w:after="0"/>
        <w:ind w:left="2160"/>
      </w:pPr>
      <w:r w:rsidRPr="001A0F98">
        <w:t xml:space="preserve">Upper Warning Limit </w:t>
      </w:r>
      <w:r w:rsidR="001A0F98" w:rsidRPr="001A0F98">
        <w:tab/>
      </w:r>
      <w:r w:rsidR="00FD391F">
        <w:tab/>
      </w:r>
      <w:r w:rsidRPr="001A0F98">
        <w:t xml:space="preserve">= </w:t>
      </w:r>
      <w:r w:rsidR="000F4B0D">
        <w:rPr>
          <w:position w:val="-6"/>
        </w:rPr>
        <w:object w:dxaOrig="220" w:dyaOrig="340" w14:anchorId="6CC8ED43">
          <v:shape id="_x0000_i1041" type="#_x0000_t75" style="width:11.25pt;height:16.5pt" o:ole="" fillcolor="window">
            <v:imagedata r:id="rId8" o:title=""/>
          </v:shape>
          <o:OLEObject Type="Embed" ProgID="Equation.DSMT4" ShapeID="_x0000_i1041" DrawAspect="Content" ObjectID="_1618660233" r:id="rId14"/>
        </w:object>
      </w:r>
      <w:r w:rsidRPr="001A0F98">
        <w:t xml:space="preserve">+ 2 </w:t>
      </w:r>
      <w:r w:rsidRPr="00BC059D">
        <w:rPr>
          <w:i/>
        </w:rPr>
        <w:t>s</w:t>
      </w:r>
    </w:p>
    <w:p w14:paraId="007D3C5A" w14:textId="0007F74B" w:rsidR="00F80AFB" w:rsidRPr="001A0F98" w:rsidRDefault="00F80AFB" w:rsidP="00FD391F">
      <w:pPr>
        <w:pStyle w:val="BodyText"/>
        <w:tabs>
          <w:tab w:val="center" w:pos="5040"/>
          <w:tab w:val="left" w:pos="5760"/>
        </w:tabs>
        <w:spacing w:after="0"/>
        <w:ind w:left="2160"/>
      </w:pPr>
      <w:r w:rsidRPr="001A0F98">
        <w:t>Lower Warning Limit</w:t>
      </w:r>
      <w:r w:rsidR="001A0F98" w:rsidRPr="001A0F98">
        <w:tab/>
      </w:r>
      <w:r w:rsidR="00FD391F">
        <w:tab/>
      </w:r>
      <w:r w:rsidRPr="001A0F98">
        <w:t xml:space="preserve">= </w:t>
      </w:r>
      <w:r w:rsidR="000F4B0D">
        <w:rPr>
          <w:position w:val="-6"/>
        </w:rPr>
        <w:object w:dxaOrig="220" w:dyaOrig="340" w14:anchorId="7327FAED">
          <v:shape id="_x0000_i1042" type="#_x0000_t75" style="width:11.25pt;height:16.5pt" o:ole="" fillcolor="window">
            <v:imagedata r:id="rId8" o:title=""/>
          </v:shape>
          <o:OLEObject Type="Embed" ProgID="Equation.DSMT4" ShapeID="_x0000_i1042" DrawAspect="Content" ObjectID="_1618660234" r:id="rId15"/>
        </w:object>
      </w:r>
      <w:r w:rsidR="000F4B0D">
        <w:t>–</w:t>
      </w:r>
      <w:r w:rsidRPr="001A0F98">
        <w:t xml:space="preserve"> 2 </w:t>
      </w:r>
      <w:r w:rsidRPr="00BC059D">
        <w:rPr>
          <w:i/>
        </w:rPr>
        <w:t>s</w:t>
      </w:r>
    </w:p>
    <w:p w14:paraId="5F80E697" w14:textId="2FA99A4E" w:rsidR="00F80AFB" w:rsidRPr="001A0F98" w:rsidRDefault="00F80AFB" w:rsidP="00FD391F">
      <w:pPr>
        <w:pStyle w:val="BodyText"/>
        <w:tabs>
          <w:tab w:val="center" w:pos="5040"/>
          <w:tab w:val="left" w:pos="5760"/>
        </w:tabs>
        <w:ind w:left="2160"/>
      </w:pPr>
      <w:r w:rsidRPr="001A0F98">
        <w:t>Lower Control/Action Limit</w:t>
      </w:r>
      <w:r w:rsidR="001A0F98" w:rsidRPr="001A0F98">
        <w:tab/>
      </w:r>
      <w:r w:rsidR="00FD391F">
        <w:tab/>
      </w:r>
      <w:r w:rsidRPr="001A0F98">
        <w:t xml:space="preserve">= </w:t>
      </w:r>
      <w:r w:rsidR="000F4B0D">
        <w:rPr>
          <w:position w:val="-6"/>
        </w:rPr>
        <w:object w:dxaOrig="220" w:dyaOrig="340" w14:anchorId="4EAE67B8">
          <v:shape id="_x0000_i1043" type="#_x0000_t75" style="width:11.25pt;height:16.5pt" o:ole="" fillcolor="window">
            <v:imagedata r:id="rId8" o:title=""/>
          </v:shape>
          <o:OLEObject Type="Embed" ProgID="Equation.DSMT4" ShapeID="_x0000_i1043" DrawAspect="Content" ObjectID="_1618660235" r:id="rId16"/>
        </w:object>
      </w:r>
      <w:r w:rsidR="000F4B0D">
        <w:t>–</w:t>
      </w:r>
      <w:r w:rsidRPr="001A0F98">
        <w:t xml:space="preserve"> 3 </w:t>
      </w:r>
      <w:r w:rsidRPr="00BC059D">
        <w:rPr>
          <w:i/>
        </w:rPr>
        <w:t>s</w:t>
      </w:r>
    </w:p>
    <w:p w14:paraId="6F1B1AE7" w14:textId="77777777" w:rsidR="00F80AFB" w:rsidRDefault="00F80AFB" w:rsidP="00FD391F">
      <w:pPr>
        <w:pStyle w:val="Heading3"/>
        <w:tabs>
          <w:tab w:val="center" w:pos="5760"/>
        </w:tabs>
      </w:pPr>
      <w:r>
        <w:t>Control chart parameters for Echelon III (Class F or other) may be completed as follows to track practical limits</w:t>
      </w:r>
      <w:r w:rsidR="00BC059D">
        <w:t>, although this approach may not show potential trends as well as statistical limits show</w:t>
      </w:r>
      <w:r>
        <w:t>:</w:t>
      </w:r>
    </w:p>
    <w:p w14:paraId="7DE3F25F" w14:textId="0DA08B33" w:rsidR="00F80AFB" w:rsidRDefault="00F80AFB" w:rsidP="00FD391F">
      <w:pPr>
        <w:pStyle w:val="BodyText"/>
        <w:tabs>
          <w:tab w:val="center" w:pos="5040"/>
          <w:tab w:val="left" w:pos="5760"/>
        </w:tabs>
        <w:spacing w:after="0"/>
        <w:ind w:left="2160"/>
      </w:pPr>
      <w:r>
        <w:t>Central Line</w:t>
      </w:r>
      <w:r>
        <w:tab/>
      </w:r>
      <w:r w:rsidR="001A0F98">
        <w:tab/>
      </w:r>
      <w:r>
        <w:t xml:space="preserve">= </w:t>
      </w:r>
      <w:r w:rsidR="000F4B0D">
        <w:rPr>
          <w:position w:val="-6"/>
        </w:rPr>
        <w:object w:dxaOrig="220" w:dyaOrig="340" w14:anchorId="377138E5">
          <v:shape id="_x0000_i1044" type="#_x0000_t75" style="width:11.25pt;height:16.5pt" o:ole="" fillcolor="window">
            <v:imagedata r:id="rId8" o:title=""/>
          </v:shape>
          <o:OLEObject Type="Embed" ProgID="Equation.DSMT4" ShapeID="_x0000_i1044" DrawAspect="Content" ObjectID="_1618660236" r:id="rId17"/>
        </w:object>
      </w:r>
    </w:p>
    <w:p w14:paraId="2CD61A6D" w14:textId="47C430DC" w:rsidR="00F80AFB" w:rsidRPr="00FD391F" w:rsidRDefault="00F80AFB" w:rsidP="00FD391F">
      <w:pPr>
        <w:pStyle w:val="BodyText"/>
        <w:tabs>
          <w:tab w:val="center" w:pos="5040"/>
          <w:tab w:val="left" w:pos="5760"/>
        </w:tabs>
        <w:spacing w:after="0"/>
        <w:ind w:left="2160"/>
        <w:rPr>
          <w:iCs/>
        </w:rPr>
      </w:pPr>
      <w:r>
        <w:t xml:space="preserve">Upper Control/Action Limit </w:t>
      </w:r>
      <w:r w:rsidR="001A0F98">
        <w:tab/>
      </w:r>
      <w:r>
        <w:tab/>
        <w:t xml:space="preserve">= </w:t>
      </w:r>
      <w:r w:rsidR="000F4B0D">
        <w:rPr>
          <w:position w:val="-6"/>
        </w:rPr>
        <w:object w:dxaOrig="220" w:dyaOrig="340" w14:anchorId="688B6C3C">
          <v:shape id="_x0000_i1045" type="#_x0000_t75" style="width:11.25pt;height:16.5pt" o:ole="" fillcolor="window">
            <v:imagedata r:id="rId8" o:title=""/>
          </v:shape>
          <o:OLEObject Type="Embed" ProgID="Equation.DSMT4" ShapeID="_x0000_i1045" DrawAspect="Content" ObjectID="_1618660237" r:id="rId18"/>
        </w:object>
      </w:r>
      <w:r>
        <w:rPr>
          <w:i/>
          <w:iCs/>
        </w:rPr>
        <w:t xml:space="preserve">+ 1/4 </w:t>
      </w:r>
      <w:r w:rsidRPr="00FD391F">
        <w:rPr>
          <w:iCs/>
        </w:rPr>
        <w:t>tolerance</w:t>
      </w:r>
    </w:p>
    <w:p w14:paraId="2CC0A170" w14:textId="45F424DD" w:rsidR="00F80AFB" w:rsidRDefault="00F80AFB" w:rsidP="00FD391F">
      <w:pPr>
        <w:pStyle w:val="BodyText"/>
        <w:tabs>
          <w:tab w:val="center" w:pos="5040"/>
          <w:tab w:val="left" w:pos="5760"/>
        </w:tabs>
        <w:spacing w:after="0"/>
        <w:ind w:left="2160"/>
      </w:pPr>
      <w:r>
        <w:t xml:space="preserve">Upper Warning Limit </w:t>
      </w:r>
      <w:r w:rsidR="001A0F98">
        <w:tab/>
      </w:r>
      <w:r>
        <w:tab/>
        <w:t xml:space="preserve">= </w:t>
      </w:r>
      <w:r w:rsidR="000F4B0D">
        <w:rPr>
          <w:position w:val="-6"/>
        </w:rPr>
        <w:object w:dxaOrig="220" w:dyaOrig="340" w14:anchorId="4629A036">
          <v:shape id="_x0000_i1046" type="#_x0000_t75" style="width:11.25pt;height:16.5pt" o:ole="" fillcolor="window">
            <v:imagedata r:id="rId8" o:title=""/>
          </v:shape>
          <o:OLEObject Type="Embed" ProgID="Equation.DSMT4" ShapeID="_x0000_i1046" DrawAspect="Content" ObjectID="_1618660238" r:id="rId19"/>
        </w:object>
      </w:r>
      <w:r>
        <w:rPr>
          <w:i/>
          <w:iCs/>
        </w:rPr>
        <w:t xml:space="preserve">+ 1/10 </w:t>
      </w:r>
      <w:r w:rsidRPr="00FD391F">
        <w:rPr>
          <w:iCs/>
        </w:rPr>
        <w:t>tolerance</w:t>
      </w:r>
    </w:p>
    <w:p w14:paraId="74FE175B" w14:textId="20417CED" w:rsidR="00F80AFB" w:rsidRDefault="00F80AFB" w:rsidP="00FD391F">
      <w:pPr>
        <w:pStyle w:val="BodyText"/>
        <w:tabs>
          <w:tab w:val="center" w:pos="5040"/>
          <w:tab w:val="left" w:pos="5760"/>
        </w:tabs>
        <w:spacing w:after="0"/>
        <w:ind w:left="2160"/>
      </w:pPr>
      <w:r>
        <w:t xml:space="preserve">Lower Warning Limit </w:t>
      </w:r>
      <w:r w:rsidR="001A0F98">
        <w:tab/>
      </w:r>
      <w:r>
        <w:tab/>
        <w:t xml:space="preserve">= </w:t>
      </w:r>
      <w:r w:rsidR="000F4B0D">
        <w:rPr>
          <w:position w:val="-6"/>
        </w:rPr>
        <w:object w:dxaOrig="220" w:dyaOrig="340" w14:anchorId="53E1C46B">
          <v:shape id="_x0000_i1047" type="#_x0000_t75" style="width:11.25pt;height:16.5pt" o:ole="" fillcolor="window">
            <v:imagedata r:id="rId8" o:title=""/>
          </v:shape>
          <o:OLEObject Type="Embed" ProgID="Equation.DSMT4" ShapeID="_x0000_i1047" DrawAspect="Content" ObjectID="_1618660239" r:id="rId20"/>
        </w:object>
      </w:r>
      <w:r w:rsidR="000F4B0D">
        <w:t>–</w:t>
      </w:r>
      <w:r>
        <w:rPr>
          <w:i/>
          <w:iCs/>
        </w:rPr>
        <w:t xml:space="preserve"> 1/10 </w:t>
      </w:r>
      <w:r w:rsidRPr="00FD391F">
        <w:rPr>
          <w:iCs/>
        </w:rPr>
        <w:t>tolerance</w:t>
      </w:r>
    </w:p>
    <w:p w14:paraId="52D2FDCF" w14:textId="58089F0F" w:rsidR="00F80AFB" w:rsidRDefault="00F80AFB" w:rsidP="00FD391F">
      <w:pPr>
        <w:pStyle w:val="BodyText"/>
        <w:tabs>
          <w:tab w:val="center" w:pos="5040"/>
          <w:tab w:val="left" w:pos="5760"/>
        </w:tabs>
        <w:ind w:left="2160"/>
      </w:pPr>
      <w:r>
        <w:t xml:space="preserve">Lower Control/Action Limit </w:t>
      </w:r>
      <w:r>
        <w:tab/>
      </w:r>
      <w:r w:rsidR="001A0F98">
        <w:tab/>
      </w:r>
      <w:r>
        <w:t xml:space="preserve">= </w:t>
      </w:r>
      <w:r w:rsidR="000F4B0D">
        <w:rPr>
          <w:position w:val="-6"/>
        </w:rPr>
        <w:object w:dxaOrig="220" w:dyaOrig="340" w14:anchorId="2F1DBB17">
          <v:shape id="_x0000_i1048" type="#_x0000_t75" style="width:11.25pt;height:16.5pt" o:ole="" fillcolor="window">
            <v:imagedata r:id="rId8" o:title=""/>
          </v:shape>
          <o:OLEObject Type="Embed" ProgID="Equation.DSMT4" ShapeID="_x0000_i1048" DrawAspect="Content" ObjectID="_1618660240" r:id="rId21"/>
        </w:object>
      </w:r>
      <w:r w:rsidR="000F4B0D">
        <w:t>–</w:t>
      </w:r>
      <w:r w:rsidR="000F4B0D">
        <w:t xml:space="preserve"> </w:t>
      </w:r>
      <w:r>
        <w:rPr>
          <w:i/>
          <w:iCs/>
        </w:rPr>
        <w:t xml:space="preserve">1/4 </w:t>
      </w:r>
      <w:r w:rsidRPr="00FD391F">
        <w:rPr>
          <w:iCs/>
        </w:rPr>
        <w:t>tolerance</w:t>
      </w:r>
    </w:p>
    <w:p w14:paraId="035FE2DE" w14:textId="380E7D09" w:rsidR="00F80AFB" w:rsidRDefault="00EF1B92" w:rsidP="00FE53DB">
      <w:pPr>
        <w:pStyle w:val="Heading2"/>
      </w:pPr>
      <w:r>
        <w:t>Analyz</w:t>
      </w:r>
      <w:r w:rsidR="00C1751B">
        <w:t xml:space="preserve">e </w:t>
      </w:r>
      <w:r w:rsidR="00F80AFB">
        <w:t>a Measurement Process</w:t>
      </w:r>
      <w:r w:rsidR="00670E4C">
        <w:t xml:space="preserve"> on a</w:t>
      </w:r>
      <w:r w:rsidR="000F4B0D">
        <w:t xml:space="preserve"> </w:t>
      </w:r>
      <w:r w:rsidR="00670E4C">
        <w:t>Control Chart</w:t>
      </w:r>
    </w:p>
    <w:p w14:paraId="108F0B02" w14:textId="77777777" w:rsidR="00F80AFB" w:rsidRDefault="00F80AFB" w:rsidP="00FE53DB">
      <w:pPr>
        <w:pStyle w:val="BodyText"/>
        <w:ind w:left="1440"/>
      </w:pPr>
      <w:r>
        <w:t xml:space="preserve">Use the following criteria to </w:t>
      </w:r>
      <w:r w:rsidR="00670E4C">
        <w:t xml:space="preserve">analyze </w:t>
      </w:r>
      <w:r>
        <w:t>control chart</w:t>
      </w:r>
      <w:r w:rsidR="00670E4C">
        <w:t>s</w:t>
      </w:r>
      <w:r w:rsidR="00BC059D">
        <w:t xml:space="preserve">. </w:t>
      </w:r>
      <w:r w:rsidR="00B86028">
        <w:t xml:space="preserve">Limits </w:t>
      </w:r>
      <w:r w:rsidR="00034BD8">
        <w:t xml:space="preserve">on control charts </w:t>
      </w:r>
      <w:r w:rsidR="00B86028">
        <w:t>should be fixed</w:t>
      </w:r>
      <w:r w:rsidR="00034BD8">
        <w:t xml:space="preserve"> at this time to avoid shifting limits as data continues to be collected and entered.</w:t>
      </w:r>
      <w:r w:rsidR="00BC059D">
        <w:t xml:space="preserve"> Moving limits may indicate in control status of a process and not show potential trends as well. If uncertainty values are determined at fixed intervals, the evaluation and fixing of limits in control charts should be completed at the same time. </w:t>
      </w:r>
      <w:r w:rsidR="00034BD8">
        <w:t>During the control phase, a</w:t>
      </w:r>
      <w:r w:rsidR="00B86028">
        <w:t xml:space="preserve">fter analysis </w:t>
      </w:r>
      <w:r w:rsidR="00034BD8">
        <w:t xml:space="preserve">(e.g., F-test and t-test) </w:t>
      </w:r>
      <w:r w:rsidR="00B86028">
        <w:t xml:space="preserve">determines </w:t>
      </w:r>
      <w:r w:rsidR="00034BD8">
        <w:t xml:space="preserve">data consistency, data may be pooled and all data included in setting new limits. </w:t>
      </w:r>
    </w:p>
    <w:p w14:paraId="5AA61395" w14:textId="552B0B1A" w:rsidR="00F80AFB" w:rsidRDefault="00F80AFB" w:rsidP="00BC059D">
      <w:pPr>
        <w:pStyle w:val="Heading3"/>
        <w:keepNext w:val="0"/>
        <w:keepLines w:val="0"/>
      </w:pPr>
      <w:r>
        <w:t>If plotted points are stable and randomly distributed within the warning limits, the system is in control.</w:t>
      </w:r>
      <w:r w:rsidR="008F4116" w:rsidRPr="008F4116">
        <w:t xml:space="preserve"> If the process is in control (and the process statistic is normal), 99.73</w:t>
      </w:r>
      <w:r w:rsidR="00876A0E">
        <w:t> %</w:t>
      </w:r>
      <w:r w:rsidR="008F4116" w:rsidRPr="008F4116">
        <w:t xml:space="preserve"> of the points will fall </w:t>
      </w:r>
      <w:r w:rsidR="008F4116">
        <w:t xml:space="preserve">within </w:t>
      </w:r>
      <w:r w:rsidR="008F4116" w:rsidRPr="008F4116">
        <w:t>the control</w:t>
      </w:r>
      <w:r w:rsidR="008F4116">
        <w:t xml:space="preserve">/action </w:t>
      </w:r>
      <w:r w:rsidR="008F4116" w:rsidRPr="008F4116">
        <w:t xml:space="preserve">limits. </w:t>
      </w:r>
      <w:r w:rsidR="008F4116">
        <w:t>O</w:t>
      </w:r>
      <w:r w:rsidR="008F4116" w:rsidRPr="008F4116">
        <w:t xml:space="preserve">bservations outside the limits, or systematic patterns within, </w:t>
      </w:r>
      <w:r w:rsidR="008F4116">
        <w:t>should be investigated</w:t>
      </w:r>
      <w:r w:rsidR="00704B03">
        <w:t xml:space="preserve"> and corrected </w:t>
      </w:r>
      <w:r w:rsidR="00F92221">
        <w:t xml:space="preserve">as </w:t>
      </w:r>
      <w:r w:rsidR="00312DCD">
        <w:t xml:space="preserve">appropriate or </w:t>
      </w:r>
      <w:r w:rsidR="00704B03">
        <w:t>possible</w:t>
      </w:r>
      <w:r w:rsidR="008F4116">
        <w:t>.</w:t>
      </w:r>
    </w:p>
    <w:p w14:paraId="304A1C63" w14:textId="77777777" w:rsidR="00F80AFB" w:rsidRDefault="00F80AFB" w:rsidP="00BC059D">
      <w:pPr>
        <w:pStyle w:val="Heading3"/>
        <w:keepNext w:val="0"/>
        <w:keepLines w:val="0"/>
      </w:pPr>
      <w:r>
        <w:t>If a plotted point is outside the warning limits but within the control limits, investigate the presence of calculation errors</w:t>
      </w:r>
      <w:r w:rsidR="00F928D9">
        <w:t xml:space="preserve">. </w:t>
      </w:r>
      <w:r>
        <w:t>If none were made, re-measure the check standard</w:t>
      </w:r>
      <w:r w:rsidR="00F928D9">
        <w:t xml:space="preserve">. </w:t>
      </w:r>
      <w:r>
        <w:t>The re-measured value must be within the warning limits to merit the decision of "in control"</w:t>
      </w:r>
      <w:r w:rsidR="00F928D9">
        <w:t xml:space="preserve">. </w:t>
      </w:r>
      <w:r>
        <w:t xml:space="preserve">If the </w:t>
      </w:r>
      <w:r w:rsidR="00BC059D">
        <w:t xml:space="preserve">re-measured </w:t>
      </w:r>
      <w:r>
        <w:t>results are not within limits, consider the measurement process "out of control"</w:t>
      </w:r>
      <w:r w:rsidR="00BC059D">
        <w:t xml:space="preserve"> (See </w:t>
      </w:r>
      <w:r w:rsidR="00BC059D">
        <w:fldChar w:fldCharType="begin"/>
      </w:r>
      <w:r w:rsidR="00BC059D">
        <w:instrText xml:space="preserve"> REF _Ref535164308 \r \h </w:instrText>
      </w:r>
      <w:r w:rsidR="00BC059D">
        <w:fldChar w:fldCharType="separate"/>
      </w:r>
      <w:r w:rsidR="00BC059D">
        <w:t>3.5.3.2</w:t>
      </w:r>
      <w:r w:rsidR="00BC059D">
        <w:fldChar w:fldCharType="end"/>
      </w:r>
      <w:r w:rsidR="00BC059D">
        <w:t>)</w:t>
      </w:r>
      <w:r w:rsidR="00F928D9">
        <w:t xml:space="preserve">. </w:t>
      </w:r>
      <w:r>
        <w:t xml:space="preserve">Reject all data obtained since </w:t>
      </w:r>
      <w:r w:rsidR="00C744CB">
        <w:t xml:space="preserve">the </w:t>
      </w:r>
      <w:r>
        <w:t>last "in-control" measurement and take corrective action (hence “action” limit)</w:t>
      </w:r>
      <w:r w:rsidR="00BC059D">
        <w:t xml:space="preserve">. Keep the </w:t>
      </w:r>
      <w:r w:rsidR="00C744CB">
        <w:t xml:space="preserve">“out of control” </w:t>
      </w:r>
      <w:r w:rsidR="00BC059D">
        <w:t>data in the chart and flag it as problematic</w:t>
      </w:r>
      <w:r w:rsidR="00F928D9">
        <w:t xml:space="preserve">. </w:t>
      </w:r>
      <w:r>
        <w:t xml:space="preserve">Accept no further data until the system is demonstrated to be in-control as indicated by </w:t>
      </w:r>
      <w:r>
        <w:lastRenderedPageBreak/>
        <w:t>at least two successive measurements of the check standard within the warning limits.</w:t>
      </w:r>
    </w:p>
    <w:p w14:paraId="262FD2F7" w14:textId="77777777" w:rsidR="00F80AFB" w:rsidRDefault="00F80AFB" w:rsidP="00BC059D">
      <w:pPr>
        <w:pStyle w:val="BodyText"/>
        <w:ind w:left="2160"/>
      </w:pPr>
      <w:r>
        <w:t xml:space="preserve">If a plotted point is outside the control limits and arithmetically correct, the system </w:t>
      </w:r>
      <w:r w:rsidR="00670E4C">
        <w:t>is</w:t>
      </w:r>
      <w:r>
        <w:t xml:space="preserve"> out of control</w:t>
      </w:r>
      <w:r w:rsidR="00F928D9">
        <w:t xml:space="preserve">. </w:t>
      </w:r>
      <w:r>
        <w:t>Data are rejected, corrective actions must be taken and re-attainment of statistical control demonstrated, as above, before data may be accepted.</w:t>
      </w:r>
    </w:p>
    <w:p w14:paraId="13BD0EC5" w14:textId="77777777" w:rsidR="004213FC" w:rsidRDefault="004213FC" w:rsidP="00FE53DB">
      <w:pPr>
        <w:pStyle w:val="Heading3"/>
      </w:pPr>
      <w:r>
        <w:t>Additional guidelines for the evaluation of control charts based on probability statistics should be used to evaluate the presence of drift, shifts, and possible bias</w:t>
      </w:r>
      <w:r w:rsidR="00F928D9">
        <w:t xml:space="preserve">. </w:t>
      </w:r>
      <w:r>
        <w:t>Examples for further evaluation include:</w:t>
      </w:r>
    </w:p>
    <w:p w14:paraId="56EC6884" w14:textId="77777777" w:rsidR="004213FC" w:rsidRPr="00262A48" w:rsidRDefault="00F928D9" w:rsidP="00FE53DB">
      <w:pPr>
        <w:pStyle w:val="Heading4"/>
      </w:pPr>
      <w:r w:rsidRPr="00262A48">
        <w:t>A</w:t>
      </w:r>
      <w:r w:rsidR="004213FC" w:rsidRPr="00262A48">
        <w:t>ny single point or series of points outside of three standard deviations (keeping in mind the probability that a three standard deviation limit could reasonably expect to allow three points out of one thousand to be outside these limits);</w:t>
      </w:r>
    </w:p>
    <w:p w14:paraId="46727EB2" w14:textId="77777777" w:rsidR="004213FC" w:rsidRPr="0029681A" w:rsidRDefault="00F928D9" w:rsidP="00FE53DB">
      <w:pPr>
        <w:pStyle w:val="Heading4"/>
      </w:pPr>
      <w:bookmarkStart w:id="0" w:name="_Ref535164308"/>
      <w:r w:rsidRPr="0029681A">
        <w:t>T</w:t>
      </w:r>
      <w:r w:rsidR="004213FC" w:rsidRPr="0029681A">
        <w:t xml:space="preserve">wo of the last three points </w:t>
      </w:r>
      <w:r w:rsidR="00AE7FE8" w:rsidRPr="0029681A">
        <w:t xml:space="preserve">are </w:t>
      </w:r>
      <w:r w:rsidR="004213FC" w:rsidRPr="0029681A">
        <w:t>above (or below) two standard deviations;</w:t>
      </w:r>
      <w:bookmarkEnd w:id="0"/>
      <w:r w:rsidR="004213FC" w:rsidRPr="0029681A">
        <w:t xml:space="preserve"> </w:t>
      </w:r>
    </w:p>
    <w:p w14:paraId="31735E56" w14:textId="77777777" w:rsidR="004213FC" w:rsidRPr="0029681A" w:rsidRDefault="00F928D9" w:rsidP="00FE53DB">
      <w:pPr>
        <w:pStyle w:val="Heading4"/>
      </w:pPr>
      <w:r w:rsidRPr="0029681A">
        <w:t>F</w:t>
      </w:r>
      <w:r w:rsidR="004213FC" w:rsidRPr="0029681A">
        <w:t xml:space="preserve">our of the last five points </w:t>
      </w:r>
      <w:r w:rsidR="00AE7FE8" w:rsidRPr="0029681A">
        <w:t xml:space="preserve">are </w:t>
      </w:r>
      <w:r w:rsidR="004213FC" w:rsidRPr="0029681A">
        <w:t>above (or below) one standard deviation;</w:t>
      </w:r>
    </w:p>
    <w:p w14:paraId="31F6E3C2" w14:textId="77777777" w:rsidR="004213FC" w:rsidRPr="0029681A" w:rsidRDefault="00F928D9" w:rsidP="00FE53DB">
      <w:pPr>
        <w:pStyle w:val="Heading4"/>
      </w:pPr>
      <w:r w:rsidRPr="0029681A">
        <w:t>E</w:t>
      </w:r>
      <w:r w:rsidR="004213FC" w:rsidRPr="0029681A">
        <w:t xml:space="preserve">ight consecutive points </w:t>
      </w:r>
      <w:r w:rsidR="00AE7FE8" w:rsidRPr="0029681A">
        <w:t xml:space="preserve">are </w:t>
      </w:r>
      <w:r w:rsidR="004213FC" w:rsidRPr="0029681A">
        <w:t xml:space="preserve">on one side of the mean or reference value; </w:t>
      </w:r>
    </w:p>
    <w:p w14:paraId="678C4D22" w14:textId="77777777" w:rsidR="004213FC" w:rsidRPr="0029681A" w:rsidRDefault="00F928D9" w:rsidP="00FE53DB">
      <w:pPr>
        <w:pStyle w:val="Heading4"/>
      </w:pPr>
      <w:r w:rsidRPr="0029681A">
        <w:t>S</w:t>
      </w:r>
      <w:r w:rsidR="004213FC" w:rsidRPr="0029681A">
        <w:t xml:space="preserve">ix points in a row </w:t>
      </w:r>
      <w:r w:rsidR="00AE7FE8" w:rsidRPr="0029681A">
        <w:t xml:space="preserve">are </w:t>
      </w:r>
      <w:r w:rsidR="004213FC" w:rsidRPr="0029681A">
        <w:t xml:space="preserve">trending up (or down); and </w:t>
      </w:r>
    </w:p>
    <w:p w14:paraId="0C781262" w14:textId="77777777" w:rsidR="008A0C24" w:rsidRPr="0029681A" w:rsidRDefault="00F928D9" w:rsidP="00FE53DB">
      <w:pPr>
        <w:pStyle w:val="Heading4"/>
      </w:pPr>
      <w:r w:rsidRPr="0029681A">
        <w:t>F</w:t>
      </w:r>
      <w:r w:rsidR="004213FC" w:rsidRPr="0029681A">
        <w:t xml:space="preserve">ourteen points </w:t>
      </w:r>
      <w:r w:rsidR="00AE7FE8" w:rsidRPr="0029681A">
        <w:t xml:space="preserve">are </w:t>
      </w:r>
      <w:r w:rsidR="004213FC" w:rsidRPr="0029681A">
        <w:t>alternating up and down</w:t>
      </w:r>
      <w:r w:rsidR="00C744CB">
        <w:t xml:space="preserve"> (sawtooth pattern) about the mean or reference value</w:t>
      </w:r>
      <w:r w:rsidR="004213FC" w:rsidRPr="0029681A">
        <w:t>.</w:t>
      </w:r>
    </w:p>
    <w:p w14:paraId="7565E4D5" w14:textId="77777777" w:rsidR="00A62C3C" w:rsidRDefault="00EF1B92" w:rsidP="00FE53DB">
      <w:pPr>
        <w:pStyle w:val="Heading2"/>
      </w:pPr>
      <w:r>
        <w:t>Analyz</w:t>
      </w:r>
      <w:r w:rsidR="00C1751B">
        <w:t xml:space="preserve">e </w:t>
      </w:r>
      <w:r w:rsidR="00A62C3C">
        <w:t>Reference Value</w:t>
      </w:r>
      <w:r w:rsidR="00C1751B">
        <w:t>s</w:t>
      </w:r>
    </w:p>
    <w:p w14:paraId="6108B829" w14:textId="77777777" w:rsidR="002169A0" w:rsidRDefault="002169A0" w:rsidP="00FE53DB">
      <w:pPr>
        <w:pStyle w:val="Heading3"/>
      </w:pPr>
      <w:r>
        <w:t>Absence of a significant difference between the central line and the accepted reference value for the check standard may be considered evidence of insignificant bias at the level of confidence of the statistical test used. This conclusion is valid, if the system remains in control. On occasion, small differences (less than one standard deviation) from unknown sources will be</w:t>
      </w:r>
      <w:r w:rsidR="006D55DC">
        <w:t>come</w:t>
      </w:r>
      <w:r>
        <w:t xml:space="preserve"> obvious over time and the value observed for the bias </w:t>
      </w:r>
      <w:r w:rsidR="00670E4C">
        <w:t xml:space="preserve">may </w:t>
      </w:r>
      <w:r>
        <w:t>be incorporated into the uncertainty per SOP 29.</w:t>
      </w:r>
    </w:p>
    <w:p w14:paraId="268DF59B" w14:textId="77777777" w:rsidR="002169A0" w:rsidRDefault="00EF1B92" w:rsidP="00FE53DB">
      <w:pPr>
        <w:pStyle w:val="BodyText"/>
        <w:ind w:left="2160"/>
      </w:pPr>
      <w:r>
        <w:t xml:space="preserve">Note: this assessment should be conducted during the initial creation of the control chart and periodically thereafter during monitoring and control of the process. </w:t>
      </w:r>
    </w:p>
    <w:p w14:paraId="2F1406B0" w14:textId="590A0442" w:rsidR="008F4116" w:rsidRDefault="00A62C3C" w:rsidP="00FE53DB">
      <w:pPr>
        <w:pStyle w:val="Heading3"/>
        <w:keepNext w:val="0"/>
        <w:keepLines w:val="0"/>
      </w:pPr>
      <w:r>
        <w:t xml:space="preserve">When a Reference Value for the check standard is </w:t>
      </w:r>
      <w:r w:rsidR="00B07383">
        <w:t xml:space="preserve">more than </w:t>
      </w:r>
      <w:r>
        <w:t xml:space="preserve"> one standard deviation </w:t>
      </w:r>
      <w:r w:rsidR="00B07383">
        <w:t xml:space="preserve">from </w:t>
      </w:r>
      <w:r>
        <w:t>the mean value, it may necessitate obtaining an updated calibration</w:t>
      </w:r>
      <w:r w:rsidR="00312DCD">
        <w:t xml:space="preserve"> or evaluating the bias or deviation further to determine the cause </w:t>
      </w:r>
      <w:r w:rsidR="00312DCD">
        <w:lastRenderedPageBreak/>
        <w:t>and correct it</w:t>
      </w:r>
      <w:r w:rsidR="00F928D9">
        <w:t xml:space="preserve">. </w:t>
      </w:r>
      <w:r>
        <w:t>The deviation or offset must be considered with respect to the reported uncertainty for the reference value as well as the measurement process being used to evaluate the value</w:t>
      </w:r>
      <w:r w:rsidR="00F928D9">
        <w:t xml:space="preserve">. </w:t>
      </w:r>
      <w:r>
        <w:t>In some cases, such as with very large tolerances, a measurement process</w:t>
      </w:r>
      <w:r w:rsidR="00F51A6C">
        <w:t xml:space="preserve"> offset</w:t>
      </w:r>
      <w:r>
        <w:t xml:space="preserve"> might be quite small compared to the </w:t>
      </w:r>
      <w:r w:rsidR="00F51A6C">
        <w:t>tolerance</w:t>
      </w:r>
      <w:r>
        <w:t>, in which case the offset can be used as an uncorrected systematic error in the uncertainty calculations</w:t>
      </w:r>
      <w:r w:rsidR="00F928D9">
        <w:t xml:space="preserve">. </w:t>
      </w:r>
      <w:r>
        <w:t>Where tolerances are small or uncertainty re</w:t>
      </w:r>
      <w:r w:rsidR="001515CB">
        <w:t>q</w:t>
      </w:r>
      <w:r>
        <w:t>uirements stringent, updated calibrations may be required.</w:t>
      </w:r>
      <w:r w:rsidR="008F4116">
        <w:t xml:space="preserve"> </w:t>
      </w:r>
    </w:p>
    <w:p w14:paraId="2E515D70" w14:textId="77777777" w:rsidR="00824C40" w:rsidRDefault="002B4DBC" w:rsidP="00FE53DB">
      <w:pPr>
        <w:pStyle w:val="Heading3"/>
      </w:pPr>
      <w:r>
        <w:t xml:space="preserve">The Normalized Error, </w:t>
      </w:r>
      <w:r w:rsidR="00824C40">
        <w:rPr>
          <w:i/>
        </w:rPr>
        <w:t>E</w:t>
      </w:r>
      <w:r w:rsidR="00824C40">
        <w:rPr>
          <w:i/>
          <w:vertAlign w:val="subscript"/>
        </w:rPr>
        <w:t>n</w:t>
      </w:r>
      <w:r>
        <w:t xml:space="preserve">, may be used </w:t>
      </w:r>
      <w:r w:rsidR="00824C40">
        <w:t xml:space="preserve">to compare the mean mass value of the check standard, </w:t>
      </w:r>
      <w:r w:rsidR="002169A0">
        <w:rPr>
          <w:i/>
        </w:rPr>
        <w:t>S</w:t>
      </w:r>
      <w:r w:rsidR="002169A0" w:rsidRPr="00635DB8">
        <w:rPr>
          <w:i/>
          <w:vertAlign w:val="subscript"/>
        </w:rPr>
        <w:t>c</w:t>
      </w:r>
      <w:r w:rsidR="00824C40">
        <w:t xml:space="preserve"> to the calibrated reference value</w:t>
      </w:r>
      <w:r w:rsidR="002169A0">
        <w:t>,</w:t>
      </w:r>
      <w:r w:rsidR="00824C40">
        <w:t xml:space="preserve"> </w:t>
      </w:r>
      <w:r w:rsidR="002169A0">
        <w:rPr>
          <w:i/>
        </w:rPr>
        <w:t>S</w:t>
      </w:r>
      <w:r w:rsidR="002169A0" w:rsidRPr="00635DB8">
        <w:rPr>
          <w:i/>
          <w:vertAlign w:val="subscript"/>
        </w:rPr>
        <w:t>c(cal)</w:t>
      </w:r>
      <w:r w:rsidR="00824C40">
        <w:t xml:space="preserve"> </w:t>
      </w:r>
      <w:r w:rsidR="002169A0">
        <w:t xml:space="preserve">taking care to ensure </w:t>
      </w:r>
      <w:r w:rsidR="00824C40">
        <w:t>adequate metrological traceability</w:t>
      </w:r>
      <w:r w:rsidR="002169A0">
        <w:t xml:space="preserve"> </w:t>
      </w:r>
      <w:r w:rsidR="00824C40">
        <w:t xml:space="preserve">for </w:t>
      </w:r>
      <w:r w:rsidR="00F51A6C">
        <w:t xml:space="preserve">the </w:t>
      </w:r>
      <w:r w:rsidR="002169A0">
        <w:t>reference value</w:t>
      </w:r>
      <w:r w:rsidR="00BC059D">
        <w:t xml:space="preserve">. </w:t>
      </w:r>
      <w:r w:rsidR="002169A0">
        <w:t xml:space="preserve">The </w:t>
      </w:r>
      <w:r w:rsidR="00BC059D">
        <w:t xml:space="preserve">expanded </w:t>
      </w:r>
      <w:r w:rsidR="002169A0">
        <w:t xml:space="preserve">uncertainty of the reference value is taken from the calibration certificate and the uncertainty of the mean value is determined using the following equation, </w:t>
      </w:r>
      <w:r w:rsidR="00F51A6C">
        <w:t>based on</w:t>
      </w:r>
      <w:r w:rsidR="002169A0">
        <w:t xml:space="preserve"> the standard deviation of the process from the control chart, </w:t>
      </w:r>
      <w:r w:rsidR="002169A0" w:rsidRPr="00635DB8">
        <w:rPr>
          <w:i/>
        </w:rPr>
        <w:t>s</w:t>
      </w:r>
      <w:r w:rsidR="002169A0" w:rsidRPr="00635DB8">
        <w:rPr>
          <w:i/>
          <w:vertAlign w:val="subscript"/>
        </w:rPr>
        <w:t>p</w:t>
      </w:r>
      <w:r w:rsidR="002169A0">
        <w:t xml:space="preserve">, where </w:t>
      </w:r>
      <w:r w:rsidR="002169A0" w:rsidRPr="00635DB8">
        <w:rPr>
          <w:i/>
        </w:rPr>
        <w:t>n</w:t>
      </w:r>
      <w:r w:rsidR="002169A0">
        <w:t xml:space="preserve"> is the number of relevant data points; other components are the uncertainty for the standards, </w:t>
      </w:r>
      <w:r w:rsidR="002169A0" w:rsidRPr="00635DB8">
        <w:rPr>
          <w:i/>
        </w:rPr>
        <w:t>u</w:t>
      </w:r>
      <w:r w:rsidR="002169A0" w:rsidRPr="00635DB8">
        <w:rPr>
          <w:i/>
          <w:vertAlign w:val="subscript"/>
        </w:rPr>
        <w:t>s</w:t>
      </w:r>
      <w:r w:rsidR="002169A0">
        <w:t xml:space="preserve">, and any other critical components to be considered, </w:t>
      </w:r>
      <w:r w:rsidR="002169A0" w:rsidRPr="00635DB8">
        <w:rPr>
          <w:i/>
        </w:rPr>
        <w:t>u</w:t>
      </w:r>
      <w:r w:rsidR="002169A0" w:rsidRPr="00635DB8">
        <w:rPr>
          <w:i/>
          <w:vertAlign w:val="subscript"/>
        </w:rPr>
        <w:t>o</w:t>
      </w:r>
      <w:r w:rsidR="00BC059D">
        <w:t xml:space="preserve">. </w:t>
      </w:r>
      <w:r w:rsidR="002169A0">
        <w:t xml:space="preserve">The coverage factor, </w:t>
      </w:r>
      <w:r w:rsidR="002169A0" w:rsidRPr="00FE53DB">
        <w:rPr>
          <w:i/>
        </w:rPr>
        <w:t>k</w:t>
      </w:r>
      <w:r w:rsidR="002169A0">
        <w:t xml:space="preserve">, is determined based on </w:t>
      </w:r>
      <w:r w:rsidR="00F51A6C">
        <w:t xml:space="preserve">the </w:t>
      </w:r>
      <w:r w:rsidR="002169A0">
        <w:t xml:space="preserve">desired level of confidence and the associated </w:t>
      </w:r>
      <w:r w:rsidR="007970B9">
        <w:t xml:space="preserve">effective </w:t>
      </w:r>
      <w:r w:rsidR="002169A0">
        <w:t xml:space="preserve">degrees of freedom. </w:t>
      </w:r>
    </w:p>
    <w:p w14:paraId="027A60D1" w14:textId="77777777" w:rsidR="002169A0" w:rsidRPr="00FE53DB" w:rsidRDefault="00B90732" w:rsidP="00FE53DB">
      <w:pPr>
        <w:pStyle w:val="BodyText"/>
        <w:tabs>
          <w:tab w:val="center" w:pos="5040"/>
        </w:tabs>
        <w:jc w:val="right"/>
      </w:pPr>
      <w:r w:rsidRPr="00FE53DB">
        <w:t xml:space="preserve"> </w:t>
      </w:r>
      <w:r w:rsidR="00B76D79" w:rsidRPr="00FE53DB">
        <w:object w:dxaOrig="2340" w:dyaOrig="1160" w14:anchorId="6454198F">
          <v:shape id="_x0000_i1028" type="#_x0000_t75" alt="Equation for combined and expanded uncertainty for a mean value in a control chart.  See also SOP 29 for combined uncertainty by root sum square. Primary difference is that the standard deviation of the process is divided by n observations (standard deviation of the mean)" style="width:117pt;height:57.75pt" o:ole="">
            <v:imagedata r:id="rId22" o:title=""/>
          </v:shape>
          <o:OLEObject Type="Embed" ProgID="Equation.3" ShapeID="_x0000_i1028" DrawAspect="Content" ObjectID="_1618660241" r:id="rId23"/>
        </w:object>
      </w:r>
      <w:r w:rsidR="00FE53DB" w:rsidRPr="00FE53DB">
        <w:tab/>
      </w:r>
      <w:r w:rsidR="00FE53DB">
        <w:fldChar w:fldCharType="begin"/>
      </w:r>
      <w:r w:rsidR="00FE53DB">
        <w:instrText xml:space="preserve"> MACROBUTTON MTPlaceRef \* MERGEFORMAT </w:instrText>
      </w:r>
      <w:r w:rsidR="00FE53DB">
        <w:fldChar w:fldCharType="begin"/>
      </w:r>
      <w:r w:rsidR="00FE53DB">
        <w:instrText xml:space="preserve"> SEQ MTEqn \h \* MERGEFORMAT </w:instrText>
      </w:r>
      <w:r w:rsidR="00FE53DB">
        <w:fldChar w:fldCharType="end"/>
      </w:r>
      <w:r w:rsidR="00FE53DB">
        <w:instrText>Eqn. (</w:instrText>
      </w:r>
      <w:r w:rsidR="00B76D79">
        <w:rPr>
          <w:noProof/>
        </w:rPr>
        <w:fldChar w:fldCharType="begin"/>
      </w:r>
      <w:r w:rsidR="00B76D79">
        <w:rPr>
          <w:noProof/>
        </w:rPr>
        <w:instrText xml:space="preserve"> SEQ MTEqn \c \* Arabic \* MERGEFORMAT </w:instrText>
      </w:r>
      <w:r w:rsidR="00B76D79">
        <w:rPr>
          <w:noProof/>
        </w:rPr>
        <w:fldChar w:fldCharType="separate"/>
      </w:r>
      <w:r w:rsidR="00FE53DB">
        <w:rPr>
          <w:noProof/>
        </w:rPr>
        <w:instrText>1</w:instrText>
      </w:r>
      <w:r w:rsidR="00B76D79">
        <w:rPr>
          <w:noProof/>
        </w:rPr>
        <w:fldChar w:fldCharType="end"/>
      </w:r>
      <w:r w:rsidR="00FE53DB">
        <w:instrText>)</w:instrText>
      </w:r>
      <w:r w:rsidR="00FE53DB">
        <w:fldChar w:fldCharType="end"/>
      </w:r>
    </w:p>
    <w:p w14:paraId="2BE0DE36" w14:textId="77777777" w:rsidR="002169A0" w:rsidRDefault="002169A0" w:rsidP="00FE53DB">
      <w:pPr>
        <w:pStyle w:val="BodyText"/>
        <w:ind w:left="2160"/>
      </w:pPr>
      <w:r w:rsidRPr="00635DB8">
        <w:rPr>
          <w:i/>
        </w:rPr>
        <w:t>E</w:t>
      </w:r>
      <w:r w:rsidRPr="00635DB8">
        <w:rPr>
          <w:i/>
          <w:vertAlign w:val="subscript"/>
        </w:rPr>
        <w:t>n</w:t>
      </w:r>
      <w:r>
        <w:t xml:space="preserve"> is calculated using the following equation:</w:t>
      </w:r>
    </w:p>
    <w:p w14:paraId="6CB97E81" w14:textId="77777777" w:rsidR="00824C40" w:rsidRDefault="00B76D79" w:rsidP="00FE53DB">
      <w:pPr>
        <w:pStyle w:val="BodyText"/>
        <w:tabs>
          <w:tab w:val="center" w:pos="5040"/>
        </w:tabs>
        <w:jc w:val="right"/>
      </w:pPr>
      <w:r w:rsidRPr="00635DB8">
        <w:object w:dxaOrig="2000" w:dyaOrig="940" w14:anchorId="0965773E">
          <v:shape id="_x0000_i1029" type="#_x0000_t75" alt="Normalized error equation for the mean value versus a calibrated reference standard.  Ratio of offset in numerator to combined expanded uncertainties.&#10;&#10;Numerator: Mean of Sc minus Calibrated Value of Sc&#10;Denominator: Root Sum Square of Uncertainty associated with each value in the numerator" style="width:99.75pt;height:46.5pt;mso-position-vertical:absolute" o:ole="">
            <v:imagedata r:id="rId24" o:title=""/>
          </v:shape>
          <o:OLEObject Type="Embed" ProgID="Equation.3" ShapeID="_x0000_i1029" DrawAspect="Content" ObjectID="_1618660242" r:id="rId25"/>
        </w:object>
      </w:r>
      <w:r w:rsidR="00FE53DB">
        <w:tab/>
      </w:r>
      <w:r w:rsidR="00FE53DB">
        <w:fldChar w:fldCharType="begin"/>
      </w:r>
      <w:r w:rsidR="00FE53DB">
        <w:instrText xml:space="preserve"> MACROBUTTON MTPlaceRef \* MERGEFORMAT </w:instrText>
      </w:r>
      <w:r w:rsidR="00FE53DB">
        <w:fldChar w:fldCharType="begin"/>
      </w:r>
      <w:r w:rsidR="00FE53DB">
        <w:instrText xml:space="preserve"> SEQ MTEqn \h \* MERGEFORMAT </w:instrText>
      </w:r>
      <w:r w:rsidR="00FE53DB">
        <w:fldChar w:fldCharType="end"/>
      </w:r>
      <w:r w:rsidR="00FE53DB">
        <w:instrText>Eqn. (</w:instrText>
      </w:r>
      <w:r>
        <w:rPr>
          <w:noProof/>
        </w:rPr>
        <w:fldChar w:fldCharType="begin"/>
      </w:r>
      <w:r>
        <w:rPr>
          <w:noProof/>
        </w:rPr>
        <w:instrText xml:space="preserve"> SEQ MTEqn \c \* Arabic \* MERGEFORMAT </w:instrText>
      </w:r>
      <w:r>
        <w:rPr>
          <w:noProof/>
        </w:rPr>
        <w:fldChar w:fldCharType="separate"/>
      </w:r>
      <w:r w:rsidR="00FE53DB">
        <w:rPr>
          <w:noProof/>
        </w:rPr>
        <w:instrText>2</w:instrText>
      </w:r>
      <w:r>
        <w:rPr>
          <w:noProof/>
        </w:rPr>
        <w:fldChar w:fldCharType="end"/>
      </w:r>
      <w:r w:rsidR="00FE53DB">
        <w:instrText>)</w:instrText>
      </w:r>
      <w:r w:rsidR="00FE53DB">
        <w:fldChar w:fldCharType="end"/>
      </w:r>
    </w:p>
    <w:p w14:paraId="2337173F" w14:textId="77777777" w:rsidR="00042736" w:rsidRDefault="00042736" w:rsidP="00FE53DB">
      <w:pPr>
        <w:pStyle w:val="BodyText"/>
        <w:ind w:left="2160"/>
      </w:pPr>
      <w:r>
        <w:t xml:space="preserve">The </w:t>
      </w:r>
      <w:r>
        <w:rPr>
          <w:i/>
        </w:rPr>
        <w:t>E</w:t>
      </w:r>
      <w:r>
        <w:rPr>
          <w:i/>
          <w:vertAlign w:val="subscript"/>
        </w:rPr>
        <w:t>n</w:t>
      </w:r>
      <w:r>
        <w:rPr>
          <w:vertAlign w:val="subscript"/>
        </w:rPr>
        <w:t xml:space="preserve"> </w:t>
      </w:r>
      <w:r>
        <w:t>value must be less than one to pass</w:t>
      </w:r>
      <w:r w:rsidR="00BC059D">
        <w:t xml:space="preserve">. </w:t>
      </w:r>
      <w:r w:rsidR="002169A0">
        <w:t xml:space="preserve">If the </w:t>
      </w:r>
      <w:r w:rsidR="002169A0" w:rsidRPr="00635DB8">
        <w:rPr>
          <w:i/>
        </w:rPr>
        <w:t>E</w:t>
      </w:r>
      <w:r w:rsidR="002169A0" w:rsidRPr="00635DB8">
        <w:rPr>
          <w:i/>
          <w:vertAlign w:val="subscript"/>
        </w:rPr>
        <w:t>n</w:t>
      </w:r>
      <w:r w:rsidR="002169A0">
        <w:t xml:space="preserve"> is greater than one, corrective action is required.</w:t>
      </w:r>
    </w:p>
    <w:p w14:paraId="13839372" w14:textId="77777777" w:rsidR="00A62C3C" w:rsidRDefault="008F4116" w:rsidP="00FE53DB">
      <w:pPr>
        <w:pStyle w:val="BodyText"/>
        <w:ind w:left="2160"/>
      </w:pPr>
      <w:r>
        <w:t>Note: the reference value may exceed acceptable limits even when a measurement process appears statistically in control.</w:t>
      </w:r>
      <w:r w:rsidR="00A62C3C">
        <w:t xml:space="preserve"> </w:t>
      </w:r>
      <w:r w:rsidR="00F928D9">
        <w:t>When tolerances are large compared to process variability, reference value offsets may simply be noted.</w:t>
      </w:r>
    </w:p>
    <w:p w14:paraId="39BC41CC" w14:textId="77777777" w:rsidR="00EF1B92" w:rsidRDefault="00EF1B92" w:rsidP="00FE53DB">
      <w:pPr>
        <w:pStyle w:val="Heading2"/>
      </w:pPr>
      <w:r>
        <w:t>Improve</w:t>
      </w:r>
      <w:r w:rsidR="00C1751B">
        <w:t xml:space="preserve"> the Process</w:t>
      </w:r>
    </w:p>
    <w:p w14:paraId="06351098" w14:textId="77777777" w:rsidR="00670E4C" w:rsidRDefault="00670E4C" w:rsidP="00FE53DB">
      <w:pPr>
        <w:pStyle w:val="BodyText"/>
        <w:ind w:left="1440"/>
      </w:pPr>
      <w:r>
        <w:t>During analysis</w:t>
      </w:r>
      <w:r w:rsidR="00300100">
        <w:t xml:space="preserve"> of the measurement process or the reference and check standards</w:t>
      </w:r>
      <w:r>
        <w:t xml:space="preserve">, opportunities for corrective action and improvement action </w:t>
      </w:r>
      <w:r w:rsidR="00300100">
        <w:t xml:space="preserve">may </w:t>
      </w:r>
      <w:r>
        <w:t>be identified</w:t>
      </w:r>
      <w:r w:rsidR="00BC059D">
        <w:t xml:space="preserve">. </w:t>
      </w:r>
      <w:r w:rsidR="00300100">
        <w:t>Control charts or values that do not have normal distributions or which have significant differences between observed measurement results and reference values are cause for action of some type</w:t>
      </w:r>
      <w:r w:rsidR="00BC059D">
        <w:t xml:space="preserve">. </w:t>
      </w:r>
      <w:r w:rsidR="00300100">
        <w:t xml:space="preserve">During review of the charts, the first step is to </w:t>
      </w:r>
      <w:r w:rsidR="00300100">
        <w:lastRenderedPageBreak/>
        <w:t>identify the source/cause of the concern</w:t>
      </w:r>
      <w:r w:rsidR="00854447">
        <w:t>,</w:t>
      </w:r>
      <w:r w:rsidR="00300100">
        <w:t xml:space="preserve"> and </w:t>
      </w:r>
      <w:r w:rsidR="00854447">
        <w:t xml:space="preserve">the </w:t>
      </w:r>
      <w:r w:rsidR="00300100">
        <w:t>associated actions will generally follow</w:t>
      </w:r>
      <w:r w:rsidR="00BC059D">
        <w:t xml:space="preserve">. </w:t>
      </w:r>
      <w:r w:rsidR="00300100">
        <w:t>The following table can provide some ideas.</w:t>
      </w:r>
    </w:p>
    <w:p w14:paraId="3CCA56C2" w14:textId="77777777" w:rsidR="00FE53DB" w:rsidRDefault="00FE53DB" w:rsidP="00FE53DB">
      <w:pPr>
        <w:pStyle w:val="Caption"/>
        <w:keepNext/>
        <w:keepLines/>
        <w:ind w:left="0"/>
      </w:pPr>
      <w:r>
        <w:t xml:space="preserve">Table </w:t>
      </w:r>
      <w:r w:rsidR="00D574C4">
        <w:rPr>
          <w:noProof/>
        </w:rPr>
        <w:fldChar w:fldCharType="begin"/>
      </w:r>
      <w:r w:rsidR="00D574C4">
        <w:rPr>
          <w:noProof/>
        </w:rPr>
        <w:instrText xml:space="preserve"> SEQ Table \* ARABIC </w:instrText>
      </w:r>
      <w:r w:rsidR="00D574C4">
        <w:rPr>
          <w:noProof/>
        </w:rPr>
        <w:fldChar w:fldCharType="separate"/>
      </w:r>
      <w:r>
        <w:rPr>
          <w:noProof/>
        </w:rPr>
        <w:t>2</w:t>
      </w:r>
      <w:r w:rsidR="00D574C4">
        <w:rPr>
          <w:noProof/>
        </w:rPr>
        <w:fldChar w:fldCharType="end"/>
      </w:r>
      <w:r>
        <w:t xml:space="preserve">. </w:t>
      </w:r>
      <w:r w:rsidRPr="00460595">
        <w:t>Assignable causes and example action items.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2. Assignable causes and example action items."/>
        <w:tblDescription w:val="Identifies common causes of control chart problems with associated possible corrective actions. Standard deviation has increased after new staff member is hired Staff might need training, instruction, or oversight; uncertainties may need to be increased&#10;Standard deviation has increased over the past year Balances may need service; uncertainties may need to be increased&#10;Standard deviation has gotten smaller over the past few months (due to staff training or balance service) Uncertainties may benefit from being reduced (may also not matter if tolerances are large enough)&#10;Observed values of the check standards suddenly changed. Possibilities might be standards were switched, standards were damaged, values of standards after calibration were not updated properly, new software was implemented without proper validation, standards recently returned from calibration and the provider cleaned them.   Identify root cause – then take appropriate action.&#10;For example, replace standards, updated values of standards, validate software, contact calibration provider. &#10;Standard values are demonstrating a drift over time. Possibilities may be that standards were not equilibrated long enough before being placed into service; standard or check standard type and design might be inherently unstable. Allow standards to equilibrate longer; replace unstable standards or check standards.&#10;"/>
      </w:tblPr>
      <w:tblGrid>
        <w:gridCol w:w="4667"/>
        <w:gridCol w:w="4663"/>
      </w:tblGrid>
      <w:tr w:rsidR="00300100" w14:paraId="0C3031BA" w14:textId="77777777" w:rsidTr="00FE53DB">
        <w:trPr>
          <w:cantSplit/>
          <w:tblHeader/>
          <w:jc w:val="center"/>
        </w:trPr>
        <w:tc>
          <w:tcPr>
            <w:tcW w:w="4667" w:type="dxa"/>
            <w:tcBorders>
              <w:top w:val="double" w:sz="4" w:space="0" w:color="auto"/>
              <w:bottom w:val="double" w:sz="4" w:space="0" w:color="auto"/>
            </w:tcBorders>
            <w:shd w:val="clear" w:color="auto" w:fill="auto"/>
            <w:vAlign w:val="center"/>
          </w:tcPr>
          <w:p w14:paraId="396F2B84"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center"/>
              <w:rPr>
                <w:b/>
                <w:sz w:val="22"/>
              </w:rPr>
            </w:pPr>
            <w:r w:rsidRPr="00C1751B">
              <w:rPr>
                <w:b/>
                <w:sz w:val="22"/>
              </w:rPr>
              <w:t>Assignable Cause – Source of Problem</w:t>
            </w:r>
          </w:p>
        </w:tc>
        <w:tc>
          <w:tcPr>
            <w:tcW w:w="4663" w:type="dxa"/>
            <w:tcBorders>
              <w:top w:val="double" w:sz="4" w:space="0" w:color="auto"/>
              <w:bottom w:val="double" w:sz="4" w:space="0" w:color="auto"/>
            </w:tcBorders>
            <w:shd w:val="clear" w:color="auto" w:fill="auto"/>
            <w:vAlign w:val="center"/>
          </w:tcPr>
          <w:p w14:paraId="78E53506"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center"/>
              <w:rPr>
                <w:b/>
                <w:sz w:val="22"/>
              </w:rPr>
            </w:pPr>
            <w:r w:rsidRPr="00C1751B">
              <w:rPr>
                <w:b/>
                <w:sz w:val="22"/>
              </w:rPr>
              <w:t>Example Action Item</w:t>
            </w:r>
          </w:p>
        </w:tc>
      </w:tr>
      <w:tr w:rsidR="00300100" w14:paraId="75123662" w14:textId="77777777" w:rsidTr="00FE53DB">
        <w:trPr>
          <w:jc w:val="center"/>
        </w:trPr>
        <w:tc>
          <w:tcPr>
            <w:tcW w:w="4667" w:type="dxa"/>
            <w:tcBorders>
              <w:top w:val="double" w:sz="4" w:space="0" w:color="auto"/>
            </w:tcBorders>
            <w:shd w:val="clear" w:color="auto" w:fill="auto"/>
            <w:vAlign w:val="center"/>
          </w:tcPr>
          <w:p w14:paraId="2FF05A81"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Standard deviation has increased after new staff member is hired</w:t>
            </w:r>
          </w:p>
        </w:tc>
        <w:tc>
          <w:tcPr>
            <w:tcW w:w="4663" w:type="dxa"/>
            <w:tcBorders>
              <w:top w:val="double" w:sz="4" w:space="0" w:color="auto"/>
            </w:tcBorders>
            <w:shd w:val="clear" w:color="auto" w:fill="auto"/>
            <w:vAlign w:val="center"/>
          </w:tcPr>
          <w:p w14:paraId="32CCC79A"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Staff might need training, instruction, or oversight; uncertainties may need to be increased</w:t>
            </w:r>
          </w:p>
        </w:tc>
      </w:tr>
      <w:tr w:rsidR="00300100" w14:paraId="2C0C18C8" w14:textId="77777777" w:rsidTr="00FE53DB">
        <w:trPr>
          <w:jc w:val="center"/>
        </w:trPr>
        <w:tc>
          <w:tcPr>
            <w:tcW w:w="4667" w:type="dxa"/>
            <w:shd w:val="clear" w:color="auto" w:fill="auto"/>
            <w:vAlign w:val="center"/>
          </w:tcPr>
          <w:p w14:paraId="56BD4CD4"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Standard deviation has increased over the past year</w:t>
            </w:r>
          </w:p>
        </w:tc>
        <w:tc>
          <w:tcPr>
            <w:tcW w:w="4663" w:type="dxa"/>
            <w:shd w:val="clear" w:color="auto" w:fill="auto"/>
            <w:vAlign w:val="center"/>
          </w:tcPr>
          <w:p w14:paraId="37394B57"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b/>
                <w:sz w:val="22"/>
              </w:rPr>
            </w:pPr>
            <w:r w:rsidRPr="00C1751B">
              <w:rPr>
                <w:sz w:val="22"/>
              </w:rPr>
              <w:t>Balances may need service; uncertainties may need to be increased</w:t>
            </w:r>
          </w:p>
        </w:tc>
      </w:tr>
      <w:tr w:rsidR="00300100" w14:paraId="3FD48DAC" w14:textId="77777777" w:rsidTr="00FE53DB">
        <w:trPr>
          <w:jc w:val="center"/>
        </w:trPr>
        <w:tc>
          <w:tcPr>
            <w:tcW w:w="4667" w:type="dxa"/>
            <w:shd w:val="clear" w:color="auto" w:fill="auto"/>
            <w:vAlign w:val="center"/>
          </w:tcPr>
          <w:p w14:paraId="671F71C4"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Standard deviation has gotten smaller over the past few months (due to staff training or balance service)</w:t>
            </w:r>
          </w:p>
        </w:tc>
        <w:tc>
          <w:tcPr>
            <w:tcW w:w="4663" w:type="dxa"/>
            <w:shd w:val="clear" w:color="auto" w:fill="auto"/>
            <w:vAlign w:val="center"/>
          </w:tcPr>
          <w:p w14:paraId="3C5C667D"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Uncertainties may benefit from being reduced (may also not matter if tolerances are large enough)</w:t>
            </w:r>
          </w:p>
        </w:tc>
      </w:tr>
      <w:tr w:rsidR="00300100" w14:paraId="5DAA0BAD" w14:textId="77777777" w:rsidTr="00FE53DB">
        <w:trPr>
          <w:jc w:val="center"/>
        </w:trPr>
        <w:tc>
          <w:tcPr>
            <w:tcW w:w="4667" w:type="dxa"/>
            <w:shd w:val="clear" w:color="auto" w:fill="auto"/>
            <w:vAlign w:val="center"/>
          </w:tcPr>
          <w:p w14:paraId="584BC52B"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Observed values of the check standards suddenly changed. Possibilities might be standards were switched, standards were damaged, values of standards after calibration were not updated properly, new software was implemented without proper validation, standards recently returned from calibration and the provider cleaned them</w:t>
            </w:r>
            <w:r w:rsidR="00BC059D">
              <w:rPr>
                <w:sz w:val="22"/>
              </w:rPr>
              <w:t xml:space="preserve">. </w:t>
            </w:r>
          </w:p>
        </w:tc>
        <w:tc>
          <w:tcPr>
            <w:tcW w:w="4663" w:type="dxa"/>
            <w:shd w:val="clear" w:color="auto" w:fill="auto"/>
            <w:vAlign w:val="center"/>
          </w:tcPr>
          <w:p w14:paraId="6DD7D99C"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Identify root cause – then take appropriate action.</w:t>
            </w:r>
          </w:p>
          <w:p w14:paraId="0CC43175" w14:textId="70523CFA"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 xml:space="preserve">For example, replace standards, update values of standards, validate software, contact calibration provider. </w:t>
            </w:r>
            <w:r w:rsidR="00B07383">
              <w:rPr>
                <w:sz w:val="22"/>
              </w:rPr>
              <w:t>Evaluate whether the shift corresponds in direction and magnitude to changes in the calibration value of standards used.</w:t>
            </w:r>
          </w:p>
        </w:tc>
      </w:tr>
      <w:tr w:rsidR="00300100" w14:paraId="231FC7CE" w14:textId="77777777" w:rsidTr="00FE53DB">
        <w:trPr>
          <w:jc w:val="center"/>
        </w:trPr>
        <w:tc>
          <w:tcPr>
            <w:tcW w:w="4667" w:type="dxa"/>
            <w:shd w:val="clear" w:color="auto" w:fill="auto"/>
            <w:vAlign w:val="center"/>
          </w:tcPr>
          <w:p w14:paraId="5F8ED233"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Standard values are demonstrating a drift over time. Possibilities may be that standards were no</w:t>
            </w:r>
            <w:r w:rsidR="00902B09" w:rsidRPr="00C1751B">
              <w:rPr>
                <w:sz w:val="22"/>
              </w:rPr>
              <w:t>t</w:t>
            </w:r>
            <w:r w:rsidRPr="00C1751B">
              <w:rPr>
                <w:sz w:val="22"/>
              </w:rPr>
              <w:t xml:space="preserve"> equilibrated long enough before being placed into service; standard or check standard type and design might be inherently unstable.</w:t>
            </w:r>
          </w:p>
        </w:tc>
        <w:tc>
          <w:tcPr>
            <w:tcW w:w="4663" w:type="dxa"/>
            <w:shd w:val="clear" w:color="auto" w:fill="auto"/>
            <w:vAlign w:val="center"/>
          </w:tcPr>
          <w:p w14:paraId="0522CD04" w14:textId="77777777" w:rsidR="00300100" w:rsidRPr="00C1751B" w:rsidRDefault="00300100" w:rsidP="00FE53DB">
            <w:pPr>
              <w:keepNext/>
              <w:keepLines/>
              <w:tabs>
                <w:tab w:val="left" w:pos="-1440"/>
                <w:tab w:val="left" w:pos="-1104"/>
                <w:tab w:val="left" w:pos="-552"/>
                <w:tab w:val="left" w:pos="0"/>
                <w:tab w:val="left" w:pos="552"/>
                <w:tab w:val="left" w:pos="1104"/>
                <w:tab w:val="left" w:pos="1440"/>
                <w:tab w:val="left" w:pos="3312"/>
                <w:tab w:val="left" w:pos="3864"/>
                <w:tab w:val="left" w:pos="4416"/>
                <w:tab w:val="left" w:pos="5040"/>
                <w:tab w:val="left" w:pos="5520"/>
                <w:tab w:val="left" w:pos="6072"/>
                <w:tab w:val="left" w:pos="6624"/>
                <w:tab w:val="left" w:pos="7200"/>
                <w:tab w:val="left" w:pos="7920"/>
                <w:tab w:val="left" w:pos="8640"/>
                <w:tab w:val="left" w:pos="9360"/>
              </w:tabs>
              <w:jc w:val="both"/>
              <w:rPr>
                <w:sz w:val="22"/>
              </w:rPr>
            </w:pPr>
            <w:r w:rsidRPr="00C1751B">
              <w:rPr>
                <w:sz w:val="22"/>
              </w:rPr>
              <w:t>Allow standards to equilibrate longer; replace unstable standards or check standards.</w:t>
            </w:r>
          </w:p>
        </w:tc>
      </w:tr>
    </w:tbl>
    <w:p w14:paraId="1540E9E7" w14:textId="77777777" w:rsidR="00EF1B92" w:rsidRDefault="00EF1B92" w:rsidP="00FE53DB">
      <w:pPr>
        <w:pStyle w:val="Heading2"/>
        <w:spacing w:before="240"/>
      </w:pPr>
      <w:r>
        <w:t>Control</w:t>
      </w:r>
      <w:r w:rsidR="00670E4C">
        <w:t xml:space="preserve"> – Updating Control Chart Parameters</w:t>
      </w:r>
    </w:p>
    <w:p w14:paraId="765A0201" w14:textId="77777777" w:rsidR="00EF1B92" w:rsidRDefault="00EF1B92" w:rsidP="00FE53DB">
      <w:pPr>
        <w:pStyle w:val="BodyText"/>
        <w:ind w:left="1440"/>
      </w:pPr>
      <w:r>
        <w:t>Update control chart parameters when a significant amount of additional data is available or when the previously determined parameters are no longer pertinent due to changes in the system.</w:t>
      </w:r>
    </w:p>
    <w:p w14:paraId="760BDE51" w14:textId="77777777" w:rsidR="00EF1B92" w:rsidRDefault="00EF1B92" w:rsidP="00FE53DB">
      <w:pPr>
        <w:pStyle w:val="BodyText"/>
        <w:ind w:left="1440"/>
      </w:pPr>
      <w:r>
        <w:t xml:space="preserve">Note:  Ordinarily, updating is merited when the amount of new data is equal to that already used to establish the parameters in use, or when at least seven additional data points have been recorded. </w:t>
      </w:r>
      <w:r w:rsidR="00D574C4">
        <w:t>Periodic review of control charts on a quarterly basis, and no longer than an annual basis, is common with a workload that supports ongoing staff proficiency. Performing fewer than seven control measurements in any given year in related measurement parameters raises the question of whether there are adequate measurements being made to maintain staff proficiency. Pooling of related processes and quantities may be considered when determining the best frequency for updating control chart parameters.</w:t>
      </w:r>
    </w:p>
    <w:p w14:paraId="405CB04D" w14:textId="7DEA8FC7" w:rsidR="00EF1B92" w:rsidRDefault="00EF1B92" w:rsidP="00FE53DB">
      <w:pPr>
        <w:pStyle w:val="BodyText"/>
        <w:ind w:left="1440"/>
      </w:pPr>
      <w:r>
        <w:t xml:space="preserve">Calculate </w:t>
      </w:r>
      <w:r w:rsidR="000F4B0D">
        <w:rPr>
          <w:position w:val="-6"/>
        </w:rPr>
        <w:object w:dxaOrig="220" w:dyaOrig="340" w14:anchorId="5C7E8CC0">
          <v:shape id="_x0000_i1050" type="#_x0000_t75" style="width:11.25pt;height:16.5pt" o:ole="" fillcolor="window">
            <v:imagedata r:id="rId8" o:title=""/>
          </v:shape>
          <o:OLEObject Type="Embed" ProgID="Equation.DSMT4" ShapeID="_x0000_i1050" DrawAspect="Content" ObjectID="_1618660243" r:id="rId26"/>
        </w:object>
      </w:r>
      <w:r>
        <w:t xml:space="preserve"> and </w:t>
      </w:r>
      <w:r>
        <w:rPr>
          <w:i/>
          <w:iCs/>
        </w:rPr>
        <w:t>s</w:t>
      </w:r>
      <w:r>
        <w:t xml:space="preserve"> for the new set of data and examine for significant differences from the former using the t-test and F-test, respectively. If the tests fail and results are significantly different, determine the reason for the difference, if possible, and decide whether corrective action is required. If data do not agree within statistical limits, establish new parameters</w:t>
      </w:r>
      <w:r w:rsidR="00034BD8">
        <w:t xml:space="preserve"> and limits</w:t>
      </w:r>
      <w:r>
        <w:t xml:space="preserve"> using the most recent data and note the reasons for not using previous data or correct the causes of variation. </w:t>
      </w:r>
      <w:r w:rsidR="00D574C4">
        <w:t xml:space="preserve">If portions of the process or standard variations pass, be sure to note the degrees of freedom to support uncertainty analyses and coverage factors. </w:t>
      </w:r>
      <w:r>
        <w:t xml:space="preserve">If no significant differences </w:t>
      </w:r>
      <w:r>
        <w:lastRenderedPageBreak/>
        <w:t>between the data sets are found, pool all data and calculate new control chart parameters based on all existing data.</w:t>
      </w:r>
    </w:p>
    <w:p w14:paraId="3EE462F3" w14:textId="77777777" w:rsidR="00EF1B92" w:rsidRDefault="00670E4C" w:rsidP="00FE53DB">
      <w:pPr>
        <w:pStyle w:val="Heading2"/>
      </w:pPr>
      <w:r>
        <w:t xml:space="preserve">Control the Process – </w:t>
      </w:r>
      <w:r w:rsidR="00EF1B92">
        <w:t>Frequency of Measurement</w:t>
      </w:r>
    </w:p>
    <w:p w14:paraId="5AB4CA1C" w14:textId="77777777" w:rsidR="00EF1B92" w:rsidRDefault="00EF1B92" w:rsidP="00FE53DB">
      <w:pPr>
        <w:pStyle w:val="BodyText"/>
        <w:ind w:left="1440"/>
      </w:pPr>
      <w:r>
        <w:t>The check standard should be measured and plotted with sufficient frequency to minimize the risk of loss of data during the period from last-known-in to first-known-out of control condition. It is good practice to measure the check standard at least once during each period when a set of test measurements is made. For critical calibrations or those of highest accuracy, it is desirable to alternate measurements of test items and check standards, but for real-time evaluation it is preferable to incorporate the check standard in the calibration design as in SOP 5 or SOP 28.</w:t>
      </w:r>
    </w:p>
    <w:p w14:paraId="64BA7919" w14:textId="77777777" w:rsidR="00EF1B92" w:rsidRDefault="00EF1B92" w:rsidP="00FE53DB">
      <w:pPr>
        <w:pStyle w:val="BodyText"/>
        <w:ind w:left="1440"/>
      </w:pPr>
      <w:r>
        <w:t>Whenever there has been a long period of inactivity, it is good practice to make a series of measurements of the check standard and to plot the results on a control chart to demonstrate attainment of statistical control prior to resuming measurements with that specific calibration system.</w:t>
      </w:r>
    </w:p>
    <w:p w14:paraId="60C4A79F" w14:textId="77777777" w:rsidR="00EF1B92" w:rsidRDefault="00EC7006" w:rsidP="00FE53DB">
      <w:pPr>
        <w:pStyle w:val="BodyText"/>
        <w:ind w:left="1440"/>
      </w:pPr>
      <w:r>
        <w:t>Check standard measurements should be plotted in c</w:t>
      </w:r>
      <w:r w:rsidR="00EF1B92">
        <w:t xml:space="preserve">ontrol charts as close to real time as feasible to effectively monitor the measurement process </w:t>
      </w:r>
      <w:r w:rsidR="00566179">
        <w:t xml:space="preserve">and </w:t>
      </w:r>
      <w:r w:rsidR="00EF1B92">
        <w:t>to prevent the possible release of questionable data that may result in the recall of laboratory work.</w:t>
      </w:r>
    </w:p>
    <w:p w14:paraId="735F5C0B" w14:textId="77777777" w:rsidR="00F80AFB" w:rsidRDefault="00F80AFB" w:rsidP="00FE53DB">
      <w:pPr>
        <w:pStyle w:val="Heading1"/>
      </w:pPr>
      <w:r>
        <w:t>Transfer of Measurement Statistics</w:t>
      </w:r>
    </w:p>
    <w:p w14:paraId="2C5B17AB" w14:textId="77777777" w:rsidR="00F80AFB" w:rsidRDefault="00F80AFB" w:rsidP="00FE53DB">
      <w:pPr>
        <w:pStyle w:val="BodyText"/>
        <w:ind w:left="720"/>
      </w:pPr>
      <w:r>
        <w:t xml:space="preserve">The estimate of the standard deviation of the process, </w:t>
      </w:r>
      <w:r w:rsidRPr="008A0C24">
        <w:rPr>
          <w:i/>
          <w:iCs/>
        </w:rPr>
        <w:t>s</w:t>
      </w:r>
      <w:r w:rsidRPr="008A0C24">
        <w:rPr>
          <w:i/>
          <w:iCs/>
          <w:vertAlign w:val="subscript"/>
        </w:rPr>
        <w:t>p</w:t>
      </w:r>
      <w:r>
        <w:t>, used to establish the control limits may be used to calculate confidence intervals for all pertinent measurements made while the system is in control</w:t>
      </w:r>
      <w:r w:rsidR="00F928D9">
        <w:t xml:space="preserve">. </w:t>
      </w:r>
      <w:r>
        <w:t xml:space="preserve">However, see </w:t>
      </w:r>
      <w:r w:rsidR="002169A0">
        <w:t xml:space="preserve">each SOP </w:t>
      </w:r>
      <w:r>
        <w:t xml:space="preserve">for calculation of measurement uncertainty using the process variability, </w:t>
      </w:r>
      <w:r w:rsidRPr="008A0C24">
        <w:rPr>
          <w:i/>
          <w:iCs/>
        </w:rPr>
        <w:t>s</w:t>
      </w:r>
      <w:r w:rsidRPr="008A0C24">
        <w:rPr>
          <w:i/>
          <w:iCs/>
          <w:vertAlign w:val="subscript"/>
        </w:rPr>
        <w:t>p</w:t>
      </w:r>
      <w:r w:rsidR="00F928D9">
        <w:t xml:space="preserve">. </w:t>
      </w:r>
      <w:r>
        <w:t xml:space="preserve">The value of the weight </w:t>
      </w:r>
      <w:r w:rsidR="002169A0">
        <w:t xml:space="preserve">being calibrated </w:t>
      </w:r>
      <w:r>
        <w:t>is said to be within the limits</w:t>
      </w:r>
      <w:r w:rsidR="00FE53DB">
        <w:t xml:space="preserve"> </w:t>
      </w:r>
      <w:r w:rsidR="00461741">
        <w:t>i</w:t>
      </w:r>
      <w:r w:rsidR="00FE53DB">
        <w:t xml:space="preserve">f the </w:t>
      </w:r>
      <w:r w:rsidR="004C1529">
        <w:t xml:space="preserve">combined </w:t>
      </w:r>
      <w:r w:rsidR="00FE53DB">
        <w:t>mean of the measurements on the test weights and the uncertainty</w:t>
      </w:r>
      <w:r w:rsidR="000A6F7E">
        <w:t>,</w:t>
      </w:r>
      <w:r w:rsidR="00FE53DB">
        <w:t xml:space="preserve"> </w:t>
      </w:r>
      <w:r w:rsidR="000A6F7E">
        <w:t xml:space="preserve">which </w:t>
      </w:r>
      <w:r w:rsidR="00FE53DB">
        <w:t>is expanded following SOP 29</w:t>
      </w:r>
      <w:r w:rsidR="000A6F7E">
        <w:t>,</w:t>
      </w:r>
      <w:r w:rsidR="004C1529">
        <w:t xml:space="preserve"> are within limits</w:t>
      </w:r>
      <w:r w:rsidR="00FE53DB">
        <w:t>.</w:t>
      </w:r>
    </w:p>
    <w:p w14:paraId="3DA7D6C2" w14:textId="77777777" w:rsidR="008F4116" w:rsidRPr="00FE53DB" w:rsidRDefault="008F4116" w:rsidP="00666DC5">
      <w:pPr>
        <w:pStyle w:val="Heading1"/>
        <w:numPr>
          <w:ilvl w:val="0"/>
          <w:numId w:val="0"/>
        </w:numPr>
        <w:jc w:val="center"/>
        <w:rPr>
          <w:b/>
        </w:rPr>
      </w:pPr>
      <w:r w:rsidRPr="00FE53DB">
        <w:rPr>
          <w:rStyle w:val="BodyTextChar"/>
        </w:rPr>
        <w:br w:type="page"/>
      </w:r>
      <w:r w:rsidRPr="00FE53DB">
        <w:rPr>
          <w:b/>
        </w:rPr>
        <w:lastRenderedPageBreak/>
        <w:t xml:space="preserve">Appendix A - Checklist for </w:t>
      </w:r>
      <w:r w:rsidR="00380E1F" w:rsidRPr="00FE53DB">
        <w:rPr>
          <w:b/>
        </w:rPr>
        <w:t xml:space="preserve">Creation </w:t>
      </w:r>
      <w:r w:rsidR="00312DCD" w:rsidRPr="00FE53DB">
        <w:rPr>
          <w:b/>
        </w:rPr>
        <w:t xml:space="preserve">or Evaluation </w:t>
      </w:r>
      <w:r w:rsidR="00380E1F" w:rsidRPr="00FE53DB">
        <w:rPr>
          <w:b/>
        </w:rPr>
        <w:t xml:space="preserve">of </w:t>
      </w:r>
      <w:r w:rsidRPr="00FE53DB">
        <w:rPr>
          <w:b/>
        </w:rPr>
        <w:t>Control Chart</w:t>
      </w:r>
      <w:r w:rsidR="00380E1F" w:rsidRPr="00FE53DB">
        <w:rPr>
          <w:b/>
        </w:rPr>
        <w:t>s</w:t>
      </w:r>
    </w:p>
    <w:p w14:paraId="6AE6AFEF" w14:textId="402A6F74" w:rsidR="00312DCD" w:rsidRDefault="00312DCD" w:rsidP="00C1751B">
      <w:r w:rsidRPr="00312DCD">
        <w:t xml:space="preserve">This checklist may be used </w:t>
      </w:r>
      <w:r>
        <w:t xml:space="preserve">as design criteria or </w:t>
      </w:r>
      <w:r w:rsidRPr="00312DCD">
        <w:t>to assess the quality of control chart construction</w:t>
      </w:r>
      <w:r w:rsidR="00C1751B">
        <w:t xml:space="preserve"> during an internal audit</w:t>
      </w:r>
      <w:r w:rsidRPr="00312DCD">
        <w:t>.</w:t>
      </w:r>
      <w:r w:rsidR="000F4B0D">
        <w:t xml:space="preserve"> It does not evaluate the control status of control charts. Additional evaluations are required for evaluation of stability and trends.</w:t>
      </w:r>
    </w:p>
    <w:p w14:paraId="37028E88" w14:textId="77777777" w:rsidR="000F4B0D" w:rsidRPr="00312DCD" w:rsidRDefault="000F4B0D" w:rsidP="00C1751B">
      <w:bookmarkStart w:id="1" w:name="_GoBack"/>
      <w:bookmarkEnd w:id="1"/>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Appendix A - Checklist for Creation or Evaluation of Control Charts"/>
        <w:tblDescription w:val="Checklist to evaluate control charts to ensure that they are well designed and complete."/>
      </w:tblPr>
      <w:tblGrid>
        <w:gridCol w:w="893"/>
        <w:gridCol w:w="8437"/>
      </w:tblGrid>
      <w:tr w:rsidR="00380E1F" w:rsidRPr="002D7232" w14:paraId="06BE195A" w14:textId="77777777" w:rsidTr="00C1751B">
        <w:tc>
          <w:tcPr>
            <w:tcW w:w="9330" w:type="dxa"/>
            <w:gridSpan w:val="2"/>
            <w:shd w:val="clear" w:color="auto" w:fill="auto"/>
          </w:tcPr>
          <w:p w14:paraId="2EF84D66" w14:textId="77777777" w:rsidR="00380E1F" w:rsidRPr="00FE53DB" w:rsidRDefault="00380E1F" w:rsidP="00C1751B">
            <w:pPr>
              <w:rPr>
                <w:sz w:val="22"/>
              </w:rPr>
            </w:pPr>
            <w:r w:rsidRPr="00FE53DB">
              <w:rPr>
                <w:sz w:val="22"/>
              </w:rPr>
              <w:t xml:space="preserve">Control Charts cover entire scope (are available for each measurement parameter). </w:t>
            </w:r>
          </w:p>
        </w:tc>
      </w:tr>
      <w:tr w:rsidR="00380E1F" w:rsidRPr="002D7232" w14:paraId="474B082E" w14:textId="77777777" w:rsidTr="00C1751B">
        <w:tc>
          <w:tcPr>
            <w:tcW w:w="893" w:type="dxa"/>
            <w:shd w:val="clear" w:color="auto" w:fill="auto"/>
          </w:tcPr>
          <w:p w14:paraId="45DF3643" w14:textId="77777777" w:rsidR="00380E1F" w:rsidRPr="002D7232" w:rsidRDefault="00380E1F" w:rsidP="00C1751B"/>
        </w:tc>
        <w:tc>
          <w:tcPr>
            <w:tcW w:w="8437" w:type="dxa"/>
            <w:shd w:val="clear" w:color="auto" w:fill="auto"/>
          </w:tcPr>
          <w:p w14:paraId="1F317465" w14:textId="77777777" w:rsidR="00380E1F" w:rsidRPr="00FE53DB" w:rsidRDefault="00380E1F" w:rsidP="00C1751B">
            <w:pPr>
              <w:rPr>
                <w:sz w:val="22"/>
              </w:rPr>
            </w:pPr>
          </w:p>
        </w:tc>
      </w:tr>
      <w:tr w:rsidR="00380E1F" w:rsidRPr="002D7232" w14:paraId="34E91131" w14:textId="77777777" w:rsidTr="00C1751B">
        <w:tc>
          <w:tcPr>
            <w:tcW w:w="9330" w:type="dxa"/>
            <w:gridSpan w:val="2"/>
            <w:shd w:val="clear" w:color="auto" w:fill="auto"/>
          </w:tcPr>
          <w:p w14:paraId="24859D1C" w14:textId="77777777" w:rsidR="00380E1F" w:rsidRPr="00FE53DB" w:rsidRDefault="00380E1F" w:rsidP="00C1751B">
            <w:pPr>
              <w:rPr>
                <w:sz w:val="22"/>
              </w:rPr>
            </w:pPr>
            <w:r w:rsidRPr="00FE53DB">
              <w:rPr>
                <w:sz w:val="22"/>
              </w:rPr>
              <w:t xml:space="preserve">Control charts have titles (or otherwise include)  </w:t>
            </w:r>
          </w:p>
        </w:tc>
      </w:tr>
      <w:tr w:rsidR="00380E1F" w:rsidRPr="002D7232" w14:paraId="446A0278" w14:textId="77777777" w:rsidTr="00C1751B">
        <w:tc>
          <w:tcPr>
            <w:tcW w:w="893" w:type="dxa"/>
            <w:shd w:val="clear" w:color="auto" w:fill="auto"/>
          </w:tcPr>
          <w:p w14:paraId="6C454C5B" w14:textId="77777777" w:rsidR="00380E1F" w:rsidRPr="002D7232" w:rsidRDefault="00380E1F" w:rsidP="00C1751B"/>
        </w:tc>
        <w:tc>
          <w:tcPr>
            <w:tcW w:w="8437" w:type="dxa"/>
            <w:shd w:val="clear" w:color="auto" w:fill="auto"/>
          </w:tcPr>
          <w:p w14:paraId="398F2ACE" w14:textId="77777777" w:rsidR="00380E1F" w:rsidRPr="00FE53DB" w:rsidRDefault="00380E1F" w:rsidP="00C1751B">
            <w:pPr>
              <w:rPr>
                <w:sz w:val="22"/>
              </w:rPr>
            </w:pPr>
            <w:r w:rsidRPr="00FE53DB">
              <w:rPr>
                <w:sz w:val="22"/>
              </w:rPr>
              <w:t xml:space="preserve">Laboratory name or other identifying information </w:t>
            </w:r>
          </w:p>
        </w:tc>
      </w:tr>
      <w:tr w:rsidR="00380E1F" w:rsidRPr="002D7232" w14:paraId="07ADDE12" w14:textId="77777777" w:rsidTr="00C1751B">
        <w:tc>
          <w:tcPr>
            <w:tcW w:w="893" w:type="dxa"/>
            <w:shd w:val="clear" w:color="auto" w:fill="auto"/>
          </w:tcPr>
          <w:p w14:paraId="31ED8312" w14:textId="77777777" w:rsidR="00380E1F" w:rsidRPr="002D7232" w:rsidRDefault="00380E1F" w:rsidP="00C1751B"/>
        </w:tc>
        <w:tc>
          <w:tcPr>
            <w:tcW w:w="8437" w:type="dxa"/>
            <w:shd w:val="clear" w:color="auto" w:fill="auto"/>
          </w:tcPr>
          <w:p w14:paraId="7FCA1C55" w14:textId="77777777" w:rsidR="00380E1F" w:rsidRPr="00FE53DB" w:rsidRDefault="00380E1F" w:rsidP="00C1751B">
            <w:pPr>
              <w:rPr>
                <w:sz w:val="22"/>
              </w:rPr>
            </w:pPr>
            <w:r w:rsidRPr="00FE53DB">
              <w:rPr>
                <w:sz w:val="22"/>
              </w:rPr>
              <w:t xml:space="preserve">SOP(s) </w:t>
            </w:r>
            <w:r w:rsidR="006D756A">
              <w:rPr>
                <w:sz w:val="22"/>
              </w:rPr>
              <w:t>used to generate measurement result</w:t>
            </w:r>
          </w:p>
        </w:tc>
      </w:tr>
      <w:tr w:rsidR="00380E1F" w:rsidRPr="002D7232" w14:paraId="0E282335" w14:textId="77777777" w:rsidTr="00C1751B">
        <w:tc>
          <w:tcPr>
            <w:tcW w:w="893" w:type="dxa"/>
            <w:shd w:val="clear" w:color="auto" w:fill="auto"/>
          </w:tcPr>
          <w:p w14:paraId="342D0F50" w14:textId="77777777" w:rsidR="00380E1F" w:rsidRPr="002D7232" w:rsidRDefault="00380E1F" w:rsidP="00C1751B"/>
        </w:tc>
        <w:tc>
          <w:tcPr>
            <w:tcW w:w="8437" w:type="dxa"/>
            <w:shd w:val="clear" w:color="auto" w:fill="auto"/>
          </w:tcPr>
          <w:p w14:paraId="3FB1416F" w14:textId="77777777" w:rsidR="00380E1F" w:rsidRPr="00FE53DB" w:rsidRDefault="00380E1F" w:rsidP="00C1751B">
            <w:pPr>
              <w:rPr>
                <w:sz w:val="22"/>
              </w:rPr>
            </w:pPr>
            <w:r w:rsidRPr="00FE53DB">
              <w:rPr>
                <w:sz w:val="22"/>
              </w:rPr>
              <w:t xml:space="preserve">Balance/Other equipment </w:t>
            </w:r>
          </w:p>
        </w:tc>
      </w:tr>
      <w:tr w:rsidR="00380E1F" w:rsidRPr="002D7232" w14:paraId="602E8497" w14:textId="77777777" w:rsidTr="00C1751B">
        <w:tc>
          <w:tcPr>
            <w:tcW w:w="893" w:type="dxa"/>
            <w:shd w:val="clear" w:color="auto" w:fill="auto"/>
          </w:tcPr>
          <w:p w14:paraId="34DB609A" w14:textId="77777777" w:rsidR="00380E1F" w:rsidRPr="002D7232" w:rsidRDefault="00380E1F" w:rsidP="00C1751B"/>
        </w:tc>
        <w:tc>
          <w:tcPr>
            <w:tcW w:w="8437" w:type="dxa"/>
            <w:shd w:val="clear" w:color="auto" w:fill="auto"/>
          </w:tcPr>
          <w:p w14:paraId="5F15BE33" w14:textId="240F98C2" w:rsidR="00380E1F" w:rsidRPr="00FE53DB" w:rsidRDefault="00380E1F" w:rsidP="00C1751B">
            <w:pPr>
              <w:rPr>
                <w:sz w:val="22"/>
              </w:rPr>
            </w:pPr>
            <w:r w:rsidRPr="00FE53DB">
              <w:rPr>
                <w:sz w:val="22"/>
              </w:rPr>
              <w:t>Standard I</w:t>
            </w:r>
            <w:r w:rsidR="0099347C">
              <w:rPr>
                <w:sz w:val="22"/>
              </w:rPr>
              <w:t>dentification</w:t>
            </w:r>
            <w:r w:rsidRPr="00FE53DB">
              <w:rPr>
                <w:sz w:val="22"/>
              </w:rPr>
              <w:t>, Check standard I</w:t>
            </w:r>
            <w:r w:rsidR="0099347C">
              <w:rPr>
                <w:sz w:val="22"/>
              </w:rPr>
              <w:t>dentification</w:t>
            </w:r>
            <w:r w:rsidRPr="00FE53DB">
              <w:rPr>
                <w:sz w:val="22"/>
              </w:rPr>
              <w:t xml:space="preserve"> </w:t>
            </w:r>
          </w:p>
        </w:tc>
      </w:tr>
      <w:tr w:rsidR="00380E1F" w:rsidRPr="002D7232" w14:paraId="19DE320C" w14:textId="77777777" w:rsidTr="00C1751B">
        <w:tc>
          <w:tcPr>
            <w:tcW w:w="893" w:type="dxa"/>
            <w:shd w:val="clear" w:color="auto" w:fill="auto"/>
          </w:tcPr>
          <w:p w14:paraId="73A17B6E" w14:textId="77777777" w:rsidR="00380E1F" w:rsidRPr="002D7232" w:rsidRDefault="00380E1F" w:rsidP="00C1751B"/>
        </w:tc>
        <w:tc>
          <w:tcPr>
            <w:tcW w:w="8437" w:type="dxa"/>
            <w:shd w:val="clear" w:color="auto" w:fill="auto"/>
          </w:tcPr>
          <w:p w14:paraId="15091E5A" w14:textId="77777777" w:rsidR="00380E1F" w:rsidRPr="00FE53DB" w:rsidRDefault="00380E1F" w:rsidP="00C1751B">
            <w:pPr>
              <w:rPr>
                <w:sz w:val="22"/>
              </w:rPr>
            </w:pPr>
            <w:r w:rsidRPr="00FE53DB">
              <w:rPr>
                <w:sz w:val="22"/>
              </w:rPr>
              <w:t xml:space="preserve">Nominal load/value  </w:t>
            </w:r>
          </w:p>
        </w:tc>
      </w:tr>
      <w:tr w:rsidR="00380E1F" w:rsidRPr="002D7232" w14:paraId="79FE95F6" w14:textId="77777777" w:rsidTr="00C1751B">
        <w:tc>
          <w:tcPr>
            <w:tcW w:w="893" w:type="dxa"/>
            <w:shd w:val="clear" w:color="auto" w:fill="auto"/>
          </w:tcPr>
          <w:p w14:paraId="7C32B78B" w14:textId="77777777" w:rsidR="00380E1F" w:rsidRPr="002D7232" w:rsidRDefault="00380E1F" w:rsidP="00C1751B"/>
        </w:tc>
        <w:tc>
          <w:tcPr>
            <w:tcW w:w="8437" w:type="dxa"/>
            <w:shd w:val="clear" w:color="auto" w:fill="auto"/>
          </w:tcPr>
          <w:p w14:paraId="40B850BF" w14:textId="77777777" w:rsidR="00380E1F" w:rsidRPr="00FE53DB" w:rsidRDefault="00380E1F" w:rsidP="00C1751B">
            <w:pPr>
              <w:rPr>
                <w:sz w:val="22"/>
              </w:rPr>
            </w:pPr>
            <w:r w:rsidRPr="00FE53DB">
              <w:rPr>
                <w:sz w:val="22"/>
              </w:rPr>
              <w:t xml:space="preserve">Dates/chronology/time periods if not used on the x axis </w:t>
            </w:r>
          </w:p>
        </w:tc>
      </w:tr>
      <w:tr w:rsidR="00380E1F" w:rsidRPr="002D7232" w14:paraId="16D67C35" w14:textId="77777777" w:rsidTr="00C1751B">
        <w:tc>
          <w:tcPr>
            <w:tcW w:w="893" w:type="dxa"/>
            <w:shd w:val="clear" w:color="auto" w:fill="auto"/>
          </w:tcPr>
          <w:p w14:paraId="36CBF1C2" w14:textId="77777777" w:rsidR="00380E1F" w:rsidRPr="002D7232" w:rsidRDefault="00380E1F" w:rsidP="00C1751B"/>
        </w:tc>
        <w:tc>
          <w:tcPr>
            <w:tcW w:w="8437" w:type="dxa"/>
            <w:shd w:val="clear" w:color="auto" w:fill="auto"/>
          </w:tcPr>
          <w:p w14:paraId="49066ED3" w14:textId="77777777" w:rsidR="00380E1F" w:rsidRPr="00FE53DB" w:rsidRDefault="00380E1F" w:rsidP="00C1751B">
            <w:pPr>
              <w:rPr>
                <w:sz w:val="22"/>
              </w:rPr>
            </w:pPr>
            <w:r w:rsidRPr="00FE53DB">
              <w:rPr>
                <w:sz w:val="22"/>
              </w:rPr>
              <w:t xml:space="preserve">Legends if multiple series and extra information are plotted; to avoid confusion </w:t>
            </w:r>
          </w:p>
        </w:tc>
      </w:tr>
      <w:tr w:rsidR="00380E1F" w:rsidRPr="002D7232" w14:paraId="2417292B" w14:textId="77777777" w:rsidTr="00C1751B">
        <w:tc>
          <w:tcPr>
            <w:tcW w:w="893" w:type="dxa"/>
            <w:shd w:val="clear" w:color="auto" w:fill="auto"/>
          </w:tcPr>
          <w:p w14:paraId="3D67B1C7" w14:textId="77777777" w:rsidR="00380E1F" w:rsidRPr="002D7232" w:rsidRDefault="00380E1F" w:rsidP="00C1751B"/>
        </w:tc>
        <w:tc>
          <w:tcPr>
            <w:tcW w:w="8437" w:type="dxa"/>
            <w:shd w:val="clear" w:color="auto" w:fill="auto"/>
          </w:tcPr>
          <w:p w14:paraId="4E1C05CB" w14:textId="77777777" w:rsidR="00380E1F" w:rsidRPr="00FE53DB" w:rsidRDefault="00380E1F" w:rsidP="00C1751B">
            <w:pPr>
              <w:rPr>
                <w:sz w:val="22"/>
              </w:rPr>
            </w:pPr>
          </w:p>
        </w:tc>
      </w:tr>
      <w:tr w:rsidR="00380E1F" w:rsidRPr="002D7232" w14:paraId="53C29B88" w14:textId="77777777" w:rsidTr="00C1751B">
        <w:tc>
          <w:tcPr>
            <w:tcW w:w="9330" w:type="dxa"/>
            <w:gridSpan w:val="2"/>
            <w:shd w:val="clear" w:color="auto" w:fill="auto"/>
          </w:tcPr>
          <w:p w14:paraId="27932A18" w14:textId="77777777" w:rsidR="00380E1F" w:rsidRPr="00FE53DB" w:rsidRDefault="00380E1F" w:rsidP="00C1751B">
            <w:pPr>
              <w:rPr>
                <w:sz w:val="22"/>
              </w:rPr>
            </w:pPr>
            <w:r w:rsidRPr="00FE53DB">
              <w:rPr>
                <w:sz w:val="22"/>
              </w:rPr>
              <w:t xml:space="preserve">Control charts have x and y axis with labels and  </w:t>
            </w:r>
          </w:p>
        </w:tc>
      </w:tr>
      <w:tr w:rsidR="00380E1F" w:rsidRPr="002D7232" w14:paraId="4E56D6BE" w14:textId="77777777" w:rsidTr="00C1751B">
        <w:tc>
          <w:tcPr>
            <w:tcW w:w="893" w:type="dxa"/>
            <w:shd w:val="clear" w:color="auto" w:fill="auto"/>
          </w:tcPr>
          <w:p w14:paraId="6BD58ED0" w14:textId="77777777" w:rsidR="00380E1F" w:rsidRPr="002D7232" w:rsidRDefault="00380E1F" w:rsidP="00C1751B"/>
        </w:tc>
        <w:tc>
          <w:tcPr>
            <w:tcW w:w="8437" w:type="dxa"/>
            <w:shd w:val="clear" w:color="auto" w:fill="auto"/>
          </w:tcPr>
          <w:p w14:paraId="7AD4BCAB" w14:textId="77777777" w:rsidR="00380E1F" w:rsidRPr="00FE53DB" w:rsidRDefault="00380E1F" w:rsidP="00C1751B">
            <w:pPr>
              <w:rPr>
                <w:sz w:val="22"/>
              </w:rPr>
            </w:pPr>
            <w:r w:rsidRPr="00FE53DB">
              <w:rPr>
                <w:sz w:val="22"/>
              </w:rPr>
              <w:t xml:space="preserve">All measurement values have units of measure associated with them </w:t>
            </w:r>
          </w:p>
        </w:tc>
      </w:tr>
      <w:tr w:rsidR="00380E1F" w:rsidRPr="002D7232" w14:paraId="2B55E0DE" w14:textId="77777777" w:rsidTr="00C1751B">
        <w:tc>
          <w:tcPr>
            <w:tcW w:w="893" w:type="dxa"/>
            <w:shd w:val="clear" w:color="auto" w:fill="auto"/>
          </w:tcPr>
          <w:p w14:paraId="74792324" w14:textId="77777777" w:rsidR="00380E1F" w:rsidRPr="002D7232" w:rsidRDefault="00380E1F" w:rsidP="00C1751B"/>
        </w:tc>
        <w:tc>
          <w:tcPr>
            <w:tcW w:w="8437" w:type="dxa"/>
            <w:shd w:val="clear" w:color="auto" w:fill="auto"/>
          </w:tcPr>
          <w:p w14:paraId="66462066" w14:textId="77777777" w:rsidR="00380E1F" w:rsidRPr="00FE53DB" w:rsidRDefault="00380E1F" w:rsidP="00C1751B">
            <w:pPr>
              <w:rPr>
                <w:sz w:val="22"/>
              </w:rPr>
            </w:pPr>
          </w:p>
        </w:tc>
      </w:tr>
      <w:tr w:rsidR="00380E1F" w:rsidRPr="002D7232" w14:paraId="5CEE17F0" w14:textId="77777777" w:rsidTr="00C1751B">
        <w:tc>
          <w:tcPr>
            <w:tcW w:w="9330" w:type="dxa"/>
            <w:gridSpan w:val="2"/>
            <w:shd w:val="clear" w:color="auto" w:fill="auto"/>
          </w:tcPr>
          <w:p w14:paraId="18A06923" w14:textId="77777777" w:rsidR="00380E1F" w:rsidRPr="00FE53DB" w:rsidRDefault="00380E1F" w:rsidP="00C1751B">
            <w:pPr>
              <w:rPr>
                <w:sz w:val="22"/>
              </w:rPr>
            </w:pPr>
            <w:r w:rsidRPr="00FE53DB">
              <w:rPr>
                <w:sz w:val="22"/>
              </w:rPr>
              <w:t xml:space="preserve">Control charts have  </w:t>
            </w:r>
          </w:p>
        </w:tc>
      </w:tr>
      <w:tr w:rsidR="00380E1F" w:rsidRPr="002D7232" w14:paraId="33501996" w14:textId="77777777" w:rsidTr="00C1751B">
        <w:tc>
          <w:tcPr>
            <w:tcW w:w="893" w:type="dxa"/>
            <w:shd w:val="clear" w:color="auto" w:fill="auto"/>
          </w:tcPr>
          <w:p w14:paraId="3519432E" w14:textId="77777777" w:rsidR="00380E1F" w:rsidRPr="002D7232" w:rsidRDefault="00380E1F" w:rsidP="00C1751B"/>
        </w:tc>
        <w:tc>
          <w:tcPr>
            <w:tcW w:w="8437" w:type="dxa"/>
            <w:shd w:val="clear" w:color="auto" w:fill="auto"/>
          </w:tcPr>
          <w:p w14:paraId="25331241" w14:textId="77777777" w:rsidR="00380E1F" w:rsidRPr="00FE53DB" w:rsidRDefault="00380E1F" w:rsidP="00C1751B">
            <w:pPr>
              <w:rPr>
                <w:sz w:val="22"/>
              </w:rPr>
            </w:pPr>
            <w:r w:rsidRPr="00FE53DB">
              <w:rPr>
                <w:sz w:val="22"/>
              </w:rPr>
              <w:t xml:space="preserve">Mean value (and units) </w:t>
            </w:r>
          </w:p>
        </w:tc>
      </w:tr>
      <w:tr w:rsidR="00380E1F" w:rsidRPr="002D7232" w14:paraId="192F9D94" w14:textId="77777777" w:rsidTr="00C1751B">
        <w:tc>
          <w:tcPr>
            <w:tcW w:w="893" w:type="dxa"/>
            <w:shd w:val="clear" w:color="auto" w:fill="auto"/>
          </w:tcPr>
          <w:p w14:paraId="22F25E65" w14:textId="77777777" w:rsidR="00380E1F" w:rsidRPr="002D7232" w:rsidRDefault="00380E1F" w:rsidP="00C1751B"/>
        </w:tc>
        <w:tc>
          <w:tcPr>
            <w:tcW w:w="8437" w:type="dxa"/>
            <w:shd w:val="clear" w:color="auto" w:fill="auto"/>
          </w:tcPr>
          <w:p w14:paraId="471C066F" w14:textId="77777777" w:rsidR="00380E1F" w:rsidRPr="00FE53DB" w:rsidRDefault="00380E1F" w:rsidP="00C1751B">
            <w:pPr>
              <w:rPr>
                <w:sz w:val="22"/>
              </w:rPr>
            </w:pPr>
            <w:r w:rsidRPr="00FE53DB">
              <w:rPr>
                <w:sz w:val="22"/>
              </w:rPr>
              <w:t xml:space="preserve">Standard deviation (and units) </w:t>
            </w:r>
          </w:p>
        </w:tc>
      </w:tr>
      <w:tr w:rsidR="00380E1F" w:rsidRPr="002D7232" w14:paraId="1F95BC5C" w14:textId="77777777" w:rsidTr="00C1751B">
        <w:tc>
          <w:tcPr>
            <w:tcW w:w="893" w:type="dxa"/>
            <w:shd w:val="clear" w:color="auto" w:fill="auto"/>
          </w:tcPr>
          <w:p w14:paraId="52BCF4A8" w14:textId="77777777" w:rsidR="00380E1F" w:rsidRPr="002D7232" w:rsidRDefault="00380E1F" w:rsidP="00C1751B"/>
        </w:tc>
        <w:tc>
          <w:tcPr>
            <w:tcW w:w="8437" w:type="dxa"/>
            <w:shd w:val="clear" w:color="auto" w:fill="auto"/>
          </w:tcPr>
          <w:p w14:paraId="3602AC38" w14:textId="77777777" w:rsidR="00380E1F" w:rsidRPr="00FE53DB" w:rsidRDefault="00380E1F" w:rsidP="00C1751B">
            <w:pPr>
              <w:rPr>
                <w:sz w:val="22"/>
              </w:rPr>
            </w:pPr>
            <w:r w:rsidRPr="00FE53DB">
              <w:rPr>
                <w:sz w:val="22"/>
              </w:rPr>
              <w:t xml:space="preserve">Degrees of freedom or number of points noted (if not obvious or if small number) </w:t>
            </w:r>
          </w:p>
        </w:tc>
      </w:tr>
      <w:tr w:rsidR="00380E1F" w:rsidRPr="002D7232" w14:paraId="75F0AC65" w14:textId="77777777" w:rsidTr="00C1751B">
        <w:tc>
          <w:tcPr>
            <w:tcW w:w="893" w:type="dxa"/>
            <w:shd w:val="clear" w:color="auto" w:fill="auto"/>
          </w:tcPr>
          <w:p w14:paraId="4E67CAFF" w14:textId="77777777" w:rsidR="00380E1F" w:rsidRPr="002D7232" w:rsidRDefault="00380E1F" w:rsidP="00C1751B"/>
        </w:tc>
        <w:tc>
          <w:tcPr>
            <w:tcW w:w="8437" w:type="dxa"/>
            <w:shd w:val="clear" w:color="auto" w:fill="auto"/>
          </w:tcPr>
          <w:p w14:paraId="7EE36D9A" w14:textId="77777777" w:rsidR="00380E1F" w:rsidRPr="00FE53DB" w:rsidRDefault="00380E1F" w:rsidP="00C1751B">
            <w:pPr>
              <w:rPr>
                <w:sz w:val="22"/>
              </w:rPr>
            </w:pPr>
            <w:r w:rsidRPr="00FE53DB">
              <w:rPr>
                <w:sz w:val="22"/>
              </w:rPr>
              <w:t xml:space="preserve">Alternative summaries of this information and suitable references (e.g., tables)  </w:t>
            </w:r>
          </w:p>
        </w:tc>
      </w:tr>
      <w:tr w:rsidR="00380E1F" w:rsidRPr="002D7232" w14:paraId="76C67513" w14:textId="77777777" w:rsidTr="00C1751B">
        <w:tc>
          <w:tcPr>
            <w:tcW w:w="893" w:type="dxa"/>
            <w:shd w:val="clear" w:color="auto" w:fill="auto"/>
          </w:tcPr>
          <w:p w14:paraId="2D129DD9" w14:textId="77777777" w:rsidR="00380E1F" w:rsidRPr="002D7232" w:rsidRDefault="00380E1F" w:rsidP="00C1751B"/>
        </w:tc>
        <w:tc>
          <w:tcPr>
            <w:tcW w:w="8437" w:type="dxa"/>
            <w:shd w:val="clear" w:color="auto" w:fill="auto"/>
          </w:tcPr>
          <w:p w14:paraId="3E3E4AC0" w14:textId="77777777" w:rsidR="00380E1F" w:rsidRPr="00FE53DB" w:rsidRDefault="00380E1F" w:rsidP="00C1751B">
            <w:pPr>
              <w:rPr>
                <w:sz w:val="22"/>
              </w:rPr>
            </w:pPr>
            <w:r w:rsidRPr="00FE53DB">
              <w:rPr>
                <w:sz w:val="22"/>
              </w:rPr>
              <w:t xml:space="preserve">Printed summary reports of control data with the charts </w:t>
            </w:r>
          </w:p>
        </w:tc>
      </w:tr>
      <w:tr w:rsidR="00380E1F" w:rsidRPr="002D7232" w14:paraId="79FB498E" w14:textId="77777777" w:rsidTr="00C1751B">
        <w:tc>
          <w:tcPr>
            <w:tcW w:w="893" w:type="dxa"/>
            <w:shd w:val="clear" w:color="auto" w:fill="auto"/>
          </w:tcPr>
          <w:p w14:paraId="36864520" w14:textId="77777777" w:rsidR="00380E1F" w:rsidRPr="002D7232" w:rsidRDefault="00380E1F" w:rsidP="00C1751B"/>
        </w:tc>
        <w:tc>
          <w:tcPr>
            <w:tcW w:w="8437" w:type="dxa"/>
            <w:shd w:val="clear" w:color="auto" w:fill="auto"/>
          </w:tcPr>
          <w:p w14:paraId="5816B3C4" w14:textId="77777777" w:rsidR="00380E1F" w:rsidRPr="00FE53DB" w:rsidRDefault="00380E1F" w:rsidP="00C1751B">
            <w:pPr>
              <w:rPr>
                <w:sz w:val="22"/>
              </w:rPr>
            </w:pPr>
            <w:r w:rsidRPr="00FE53DB">
              <w:rPr>
                <w:sz w:val="22"/>
              </w:rPr>
              <w:t xml:space="preserve">Reference values and source and bias if appropriate/available </w:t>
            </w:r>
          </w:p>
        </w:tc>
      </w:tr>
      <w:tr w:rsidR="00380E1F" w:rsidRPr="002D7232" w14:paraId="720DBD6F" w14:textId="77777777" w:rsidTr="00C1751B">
        <w:tc>
          <w:tcPr>
            <w:tcW w:w="893" w:type="dxa"/>
            <w:shd w:val="clear" w:color="auto" w:fill="auto"/>
          </w:tcPr>
          <w:p w14:paraId="3841C73F" w14:textId="77777777" w:rsidR="00380E1F" w:rsidRPr="002D7232" w:rsidRDefault="00380E1F" w:rsidP="00C1751B"/>
        </w:tc>
        <w:tc>
          <w:tcPr>
            <w:tcW w:w="8437" w:type="dxa"/>
            <w:shd w:val="clear" w:color="auto" w:fill="auto"/>
          </w:tcPr>
          <w:p w14:paraId="4E857CB3" w14:textId="77777777" w:rsidR="00380E1F" w:rsidRPr="00FE53DB" w:rsidRDefault="00380E1F" w:rsidP="00C1751B">
            <w:pPr>
              <w:rPr>
                <w:sz w:val="22"/>
              </w:rPr>
            </w:pPr>
          </w:p>
        </w:tc>
      </w:tr>
      <w:tr w:rsidR="00380E1F" w:rsidRPr="002D7232" w14:paraId="0E7FD496" w14:textId="77777777" w:rsidTr="00C1751B">
        <w:tc>
          <w:tcPr>
            <w:tcW w:w="9330" w:type="dxa"/>
            <w:gridSpan w:val="2"/>
            <w:shd w:val="clear" w:color="auto" w:fill="auto"/>
          </w:tcPr>
          <w:p w14:paraId="1429466F" w14:textId="77777777" w:rsidR="00380E1F" w:rsidRPr="00FE53DB" w:rsidRDefault="00380E1F" w:rsidP="00C1751B">
            <w:pPr>
              <w:rPr>
                <w:sz w:val="22"/>
              </w:rPr>
            </w:pPr>
            <w:r w:rsidRPr="00FE53DB">
              <w:rPr>
                <w:sz w:val="22"/>
              </w:rPr>
              <w:t xml:space="preserve">Control charts have limits that are based on  </w:t>
            </w:r>
          </w:p>
        </w:tc>
      </w:tr>
      <w:tr w:rsidR="00380E1F" w:rsidRPr="002D7232" w14:paraId="50616406" w14:textId="77777777" w:rsidTr="00C1751B">
        <w:tc>
          <w:tcPr>
            <w:tcW w:w="893" w:type="dxa"/>
            <w:shd w:val="clear" w:color="auto" w:fill="auto"/>
          </w:tcPr>
          <w:p w14:paraId="590B442D" w14:textId="77777777" w:rsidR="00380E1F" w:rsidRPr="002D7232" w:rsidRDefault="00380E1F" w:rsidP="00C1751B"/>
        </w:tc>
        <w:tc>
          <w:tcPr>
            <w:tcW w:w="8437" w:type="dxa"/>
            <w:shd w:val="clear" w:color="auto" w:fill="auto"/>
          </w:tcPr>
          <w:p w14:paraId="20434957" w14:textId="05640AC5" w:rsidR="00380E1F" w:rsidRPr="00FE53DB" w:rsidRDefault="00380E1F" w:rsidP="00C1751B">
            <w:pPr>
              <w:rPr>
                <w:sz w:val="22"/>
              </w:rPr>
            </w:pPr>
            <w:r w:rsidRPr="00FE53DB">
              <w:rPr>
                <w:sz w:val="22"/>
              </w:rPr>
              <w:t xml:space="preserve">Statistical controls </w:t>
            </w:r>
            <w:r w:rsidR="0099347C" w:rsidRPr="00FE53DB">
              <w:rPr>
                <w:sz w:val="22"/>
              </w:rPr>
              <w:t>of</w:t>
            </w:r>
            <w:r w:rsidR="0099347C">
              <w:rPr>
                <w:sz w:val="22"/>
              </w:rPr>
              <w:t>:</w:t>
            </w:r>
          </w:p>
        </w:tc>
      </w:tr>
      <w:tr w:rsidR="00380E1F" w:rsidRPr="002D7232" w14:paraId="2D0CD9DD" w14:textId="77777777" w:rsidTr="00C1751B">
        <w:tc>
          <w:tcPr>
            <w:tcW w:w="893" w:type="dxa"/>
            <w:shd w:val="clear" w:color="auto" w:fill="auto"/>
          </w:tcPr>
          <w:p w14:paraId="434716B7" w14:textId="77777777" w:rsidR="00380E1F" w:rsidRPr="002D7232" w:rsidRDefault="00380E1F" w:rsidP="00C1751B"/>
        </w:tc>
        <w:tc>
          <w:tcPr>
            <w:tcW w:w="8437" w:type="dxa"/>
            <w:shd w:val="clear" w:color="auto" w:fill="auto"/>
          </w:tcPr>
          <w:p w14:paraId="193F50D6" w14:textId="77777777" w:rsidR="00380E1F" w:rsidRPr="00FE53DB" w:rsidRDefault="00380E1F" w:rsidP="0099347C">
            <w:pPr>
              <w:tabs>
                <w:tab w:val="left" w:pos="571"/>
              </w:tabs>
              <w:ind w:left="571"/>
              <w:rPr>
                <w:sz w:val="22"/>
              </w:rPr>
            </w:pPr>
            <w:r w:rsidRPr="00FE53DB">
              <w:rPr>
                <w:sz w:val="22"/>
              </w:rPr>
              <w:t xml:space="preserve">Warning limits (i.e., two standard deviations) and  </w:t>
            </w:r>
          </w:p>
        </w:tc>
      </w:tr>
      <w:tr w:rsidR="00380E1F" w:rsidRPr="002D7232" w14:paraId="67A49243" w14:textId="77777777" w:rsidTr="00C1751B">
        <w:tc>
          <w:tcPr>
            <w:tcW w:w="893" w:type="dxa"/>
            <w:shd w:val="clear" w:color="auto" w:fill="auto"/>
          </w:tcPr>
          <w:p w14:paraId="610ECEFF" w14:textId="77777777" w:rsidR="00380E1F" w:rsidRPr="002D7232" w:rsidRDefault="00380E1F" w:rsidP="00C1751B"/>
        </w:tc>
        <w:tc>
          <w:tcPr>
            <w:tcW w:w="8437" w:type="dxa"/>
            <w:shd w:val="clear" w:color="auto" w:fill="auto"/>
          </w:tcPr>
          <w:p w14:paraId="1027F311" w14:textId="77777777" w:rsidR="00380E1F" w:rsidRPr="00FE53DB" w:rsidRDefault="00380E1F" w:rsidP="0099347C">
            <w:pPr>
              <w:ind w:left="601"/>
              <w:rPr>
                <w:sz w:val="22"/>
              </w:rPr>
            </w:pPr>
            <w:r w:rsidRPr="00FE53DB">
              <w:rPr>
                <w:sz w:val="22"/>
              </w:rPr>
              <w:t>Action/control limits (i.e., three standard deviations)</w:t>
            </w:r>
          </w:p>
        </w:tc>
      </w:tr>
      <w:tr w:rsidR="00380E1F" w:rsidRPr="002D7232" w14:paraId="346FE44B" w14:textId="77777777" w:rsidTr="00C1751B">
        <w:tc>
          <w:tcPr>
            <w:tcW w:w="893" w:type="dxa"/>
            <w:shd w:val="clear" w:color="auto" w:fill="auto"/>
          </w:tcPr>
          <w:p w14:paraId="2F8C124C" w14:textId="77777777" w:rsidR="00380E1F" w:rsidRPr="002D7232" w:rsidRDefault="00380E1F" w:rsidP="00C1751B"/>
        </w:tc>
        <w:tc>
          <w:tcPr>
            <w:tcW w:w="8437" w:type="dxa"/>
            <w:shd w:val="clear" w:color="auto" w:fill="auto"/>
          </w:tcPr>
          <w:p w14:paraId="2BA6AE0D" w14:textId="77777777" w:rsidR="00380E1F" w:rsidRPr="00FE53DB" w:rsidRDefault="00380E1F" w:rsidP="00C1751B">
            <w:pPr>
              <w:rPr>
                <w:sz w:val="22"/>
              </w:rPr>
            </w:pPr>
            <w:r w:rsidRPr="00FE53DB">
              <w:rPr>
                <w:sz w:val="22"/>
              </w:rPr>
              <w:t>Or</w:t>
            </w:r>
            <w:r w:rsidR="0099347C">
              <w:rPr>
                <w:sz w:val="22"/>
              </w:rPr>
              <w:t>,</w:t>
            </w:r>
            <w:r w:rsidRPr="00FE53DB">
              <w:rPr>
                <w:sz w:val="22"/>
              </w:rPr>
              <w:t xml:space="preserve"> specification limits (e.g., tolerances or smaller ratios of tolerances)  </w:t>
            </w:r>
          </w:p>
        </w:tc>
      </w:tr>
      <w:tr w:rsidR="00380E1F" w:rsidRPr="002D7232" w14:paraId="069F3680" w14:textId="77777777" w:rsidTr="00C1751B">
        <w:tc>
          <w:tcPr>
            <w:tcW w:w="893" w:type="dxa"/>
            <w:shd w:val="clear" w:color="auto" w:fill="auto"/>
          </w:tcPr>
          <w:p w14:paraId="4395D43B" w14:textId="77777777" w:rsidR="00380E1F" w:rsidRPr="002D7232" w:rsidRDefault="00380E1F" w:rsidP="00C1751B"/>
        </w:tc>
        <w:tc>
          <w:tcPr>
            <w:tcW w:w="8437" w:type="dxa"/>
            <w:shd w:val="clear" w:color="auto" w:fill="auto"/>
          </w:tcPr>
          <w:p w14:paraId="65FBC41B" w14:textId="77777777" w:rsidR="00380E1F" w:rsidRPr="00FE53DB" w:rsidRDefault="00380E1F" w:rsidP="00C1751B">
            <w:pPr>
              <w:rPr>
                <w:sz w:val="22"/>
              </w:rPr>
            </w:pPr>
          </w:p>
        </w:tc>
      </w:tr>
      <w:tr w:rsidR="00380E1F" w:rsidRPr="002D7232" w14:paraId="376E7E1E" w14:textId="77777777" w:rsidTr="00C1751B">
        <w:tc>
          <w:tcPr>
            <w:tcW w:w="9330" w:type="dxa"/>
            <w:gridSpan w:val="2"/>
            <w:shd w:val="clear" w:color="auto" w:fill="auto"/>
          </w:tcPr>
          <w:p w14:paraId="24FA7530" w14:textId="77777777" w:rsidR="00380E1F" w:rsidRPr="00FE53DB" w:rsidRDefault="00380E1F" w:rsidP="00C1751B">
            <w:pPr>
              <w:rPr>
                <w:sz w:val="22"/>
              </w:rPr>
            </w:pPr>
            <w:r w:rsidRPr="00FE53DB">
              <w:rPr>
                <w:sz w:val="22"/>
              </w:rPr>
              <w:t xml:space="preserve">Good Items (on chart or in spreadsheet or database table summaries). Control charts have (when applicable and meaningful if not otherwise noted, e.g., in a table) </w:t>
            </w:r>
          </w:p>
        </w:tc>
      </w:tr>
      <w:tr w:rsidR="00380E1F" w:rsidRPr="002D7232" w14:paraId="4C1B3AAA" w14:textId="77777777" w:rsidTr="00C1751B">
        <w:tc>
          <w:tcPr>
            <w:tcW w:w="893" w:type="dxa"/>
            <w:shd w:val="clear" w:color="auto" w:fill="auto"/>
          </w:tcPr>
          <w:p w14:paraId="24E909E9" w14:textId="77777777" w:rsidR="00380E1F" w:rsidRPr="002D7232" w:rsidRDefault="00380E1F" w:rsidP="00C1751B"/>
        </w:tc>
        <w:tc>
          <w:tcPr>
            <w:tcW w:w="8437" w:type="dxa"/>
            <w:shd w:val="clear" w:color="auto" w:fill="auto"/>
          </w:tcPr>
          <w:p w14:paraId="1B2DEE4A" w14:textId="77777777" w:rsidR="00380E1F" w:rsidRPr="00FE53DB" w:rsidRDefault="00380E1F" w:rsidP="00C1751B">
            <w:pPr>
              <w:rPr>
                <w:sz w:val="22"/>
              </w:rPr>
            </w:pPr>
            <w:r w:rsidRPr="00FE53DB">
              <w:rPr>
                <w:sz w:val="22"/>
              </w:rPr>
              <w:t xml:space="preserve">Tolerances: when applicable </w:t>
            </w:r>
          </w:p>
        </w:tc>
      </w:tr>
      <w:tr w:rsidR="00380E1F" w:rsidRPr="002D7232" w14:paraId="7E298DFC" w14:textId="77777777" w:rsidTr="00C1751B">
        <w:tc>
          <w:tcPr>
            <w:tcW w:w="893" w:type="dxa"/>
            <w:shd w:val="clear" w:color="auto" w:fill="auto"/>
          </w:tcPr>
          <w:p w14:paraId="4BA664EC" w14:textId="77777777" w:rsidR="00380E1F" w:rsidRPr="002D7232" w:rsidRDefault="00380E1F" w:rsidP="00C1751B"/>
        </w:tc>
        <w:tc>
          <w:tcPr>
            <w:tcW w:w="8437" w:type="dxa"/>
            <w:shd w:val="clear" w:color="auto" w:fill="auto"/>
          </w:tcPr>
          <w:p w14:paraId="497A916B" w14:textId="77777777" w:rsidR="00380E1F" w:rsidRPr="00FE53DB" w:rsidRDefault="00380E1F" w:rsidP="00C1751B">
            <w:pPr>
              <w:rPr>
                <w:sz w:val="22"/>
              </w:rPr>
            </w:pPr>
            <w:r w:rsidRPr="00FE53DB">
              <w:rPr>
                <w:sz w:val="22"/>
              </w:rPr>
              <w:t xml:space="preserve">Uncertainties: for </w:t>
            </w:r>
            <w:r w:rsidR="004C601F" w:rsidRPr="00FE53DB">
              <w:rPr>
                <w:sz w:val="22"/>
              </w:rPr>
              <w:t xml:space="preserve">the </w:t>
            </w:r>
            <w:r w:rsidRPr="00FE53DB">
              <w:rPr>
                <w:sz w:val="22"/>
              </w:rPr>
              <w:t xml:space="preserve">reference value, check standard, and the process output  </w:t>
            </w:r>
          </w:p>
        </w:tc>
      </w:tr>
      <w:tr w:rsidR="00380E1F" w:rsidRPr="002D7232" w14:paraId="746CE55C" w14:textId="77777777" w:rsidTr="00C1751B">
        <w:tc>
          <w:tcPr>
            <w:tcW w:w="893" w:type="dxa"/>
            <w:shd w:val="clear" w:color="auto" w:fill="auto"/>
          </w:tcPr>
          <w:p w14:paraId="1B38EDC4" w14:textId="77777777" w:rsidR="00380E1F" w:rsidRPr="002D7232" w:rsidRDefault="00380E1F" w:rsidP="00C1751B"/>
        </w:tc>
        <w:tc>
          <w:tcPr>
            <w:tcW w:w="8437" w:type="dxa"/>
            <w:shd w:val="clear" w:color="auto" w:fill="auto"/>
          </w:tcPr>
          <w:p w14:paraId="72063D5C" w14:textId="77777777" w:rsidR="00380E1F" w:rsidRPr="00FE53DB" w:rsidRDefault="00380E1F" w:rsidP="00C1751B">
            <w:pPr>
              <w:rPr>
                <w:sz w:val="22"/>
              </w:rPr>
            </w:pPr>
            <w:r w:rsidRPr="00FE53DB">
              <w:rPr>
                <w:sz w:val="22"/>
              </w:rPr>
              <w:t xml:space="preserve">Equipment information: device readability, configuration (stability settings/timing) </w:t>
            </w:r>
          </w:p>
        </w:tc>
      </w:tr>
      <w:tr w:rsidR="00380E1F" w:rsidRPr="002D7232" w14:paraId="4887387D" w14:textId="77777777" w:rsidTr="00C1751B">
        <w:tc>
          <w:tcPr>
            <w:tcW w:w="893" w:type="dxa"/>
            <w:shd w:val="clear" w:color="auto" w:fill="auto"/>
          </w:tcPr>
          <w:p w14:paraId="10A7ECD7" w14:textId="77777777" w:rsidR="00380E1F" w:rsidRPr="002D7232" w:rsidRDefault="00380E1F" w:rsidP="00C1751B"/>
        </w:tc>
        <w:tc>
          <w:tcPr>
            <w:tcW w:w="8437" w:type="dxa"/>
            <w:shd w:val="clear" w:color="auto" w:fill="auto"/>
          </w:tcPr>
          <w:p w14:paraId="1535B5AC" w14:textId="77777777" w:rsidR="00380E1F" w:rsidRPr="00FE53DB" w:rsidRDefault="00380E1F" w:rsidP="00C1751B">
            <w:pPr>
              <w:rPr>
                <w:sz w:val="22"/>
              </w:rPr>
            </w:pPr>
            <w:r w:rsidRPr="00FE53DB">
              <w:rPr>
                <w:sz w:val="22"/>
              </w:rPr>
              <w:t xml:space="preserve">Standard information:  calibration date and interval information </w:t>
            </w:r>
          </w:p>
        </w:tc>
      </w:tr>
      <w:tr w:rsidR="00380E1F" w:rsidRPr="002D7232" w14:paraId="1ACD3BB7" w14:textId="77777777" w:rsidTr="00C1751B">
        <w:tc>
          <w:tcPr>
            <w:tcW w:w="893" w:type="dxa"/>
            <w:shd w:val="clear" w:color="auto" w:fill="auto"/>
          </w:tcPr>
          <w:p w14:paraId="068EE550" w14:textId="77777777" w:rsidR="00380E1F" w:rsidRPr="002D7232" w:rsidRDefault="00380E1F" w:rsidP="00C1751B"/>
        </w:tc>
        <w:tc>
          <w:tcPr>
            <w:tcW w:w="8437" w:type="dxa"/>
            <w:shd w:val="clear" w:color="auto" w:fill="auto"/>
          </w:tcPr>
          <w:p w14:paraId="32FFCFA2" w14:textId="77777777" w:rsidR="00380E1F" w:rsidRPr="00FE53DB" w:rsidRDefault="00380E1F" w:rsidP="00C1751B">
            <w:pPr>
              <w:rPr>
                <w:sz w:val="22"/>
              </w:rPr>
            </w:pPr>
            <w:r w:rsidRPr="00FE53DB">
              <w:rPr>
                <w:sz w:val="22"/>
              </w:rPr>
              <w:t xml:space="preserve">Responsible staff: need on chart or in database </w:t>
            </w:r>
          </w:p>
        </w:tc>
      </w:tr>
      <w:tr w:rsidR="00380E1F" w:rsidRPr="002D7232" w14:paraId="6D10E52B" w14:textId="77777777" w:rsidTr="00C1751B">
        <w:tc>
          <w:tcPr>
            <w:tcW w:w="893" w:type="dxa"/>
            <w:shd w:val="clear" w:color="auto" w:fill="auto"/>
          </w:tcPr>
          <w:p w14:paraId="4E78A85B" w14:textId="77777777" w:rsidR="00380E1F" w:rsidRPr="002D7232" w:rsidRDefault="00380E1F" w:rsidP="00C1751B"/>
        </w:tc>
        <w:tc>
          <w:tcPr>
            <w:tcW w:w="8437" w:type="dxa"/>
            <w:shd w:val="clear" w:color="auto" w:fill="auto"/>
          </w:tcPr>
          <w:p w14:paraId="05DF92D7" w14:textId="77777777" w:rsidR="00380E1F" w:rsidRPr="00FE53DB" w:rsidRDefault="00380E1F" w:rsidP="00C1751B">
            <w:pPr>
              <w:rPr>
                <w:sz w:val="22"/>
              </w:rPr>
            </w:pPr>
            <w:r w:rsidRPr="00FE53DB">
              <w:rPr>
                <w:sz w:val="22"/>
              </w:rPr>
              <w:t>Status of control: in control, out of control with latest date of review</w:t>
            </w:r>
          </w:p>
        </w:tc>
      </w:tr>
      <w:tr w:rsidR="00380E1F" w14:paraId="4AE7B2FA" w14:textId="77777777" w:rsidTr="00C1751B">
        <w:tc>
          <w:tcPr>
            <w:tcW w:w="893" w:type="dxa"/>
            <w:shd w:val="clear" w:color="auto" w:fill="auto"/>
          </w:tcPr>
          <w:p w14:paraId="3C34A320" w14:textId="77777777" w:rsidR="00380E1F" w:rsidRPr="002D7232" w:rsidRDefault="00380E1F" w:rsidP="00C1751B"/>
        </w:tc>
        <w:tc>
          <w:tcPr>
            <w:tcW w:w="8437" w:type="dxa"/>
            <w:shd w:val="clear" w:color="auto" w:fill="auto"/>
          </w:tcPr>
          <w:p w14:paraId="4A62C9E2" w14:textId="77777777" w:rsidR="00380E1F" w:rsidRPr="00FE53DB" w:rsidRDefault="00380E1F" w:rsidP="00C1751B">
            <w:pPr>
              <w:rPr>
                <w:sz w:val="22"/>
              </w:rPr>
            </w:pPr>
            <w:r w:rsidRPr="00FE53DB">
              <w:rPr>
                <w:sz w:val="22"/>
              </w:rPr>
              <w:t>History:  previous limits and history of the chart/data with F-test and/or t-test results</w:t>
            </w:r>
          </w:p>
        </w:tc>
      </w:tr>
    </w:tbl>
    <w:p w14:paraId="35C9EC6D" w14:textId="77777777" w:rsidR="004544AB" w:rsidRDefault="004544AB" w:rsidP="00380E1F"/>
    <w:sectPr w:rsidR="004544AB" w:rsidSect="0017454B">
      <w:headerReference w:type="default" r:id="rId27"/>
      <w:footerReference w:type="default" r:id="rId2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8720" w14:textId="77777777" w:rsidR="000F53FD" w:rsidRDefault="000F53FD">
      <w:r>
        <w:separator/>
      </w:r>
    </w:p>
  </w:endnote>
  <w:endnote w:type="continuationSeparator" w:id="0">
    <w:p w14:paraId="1930FBB2" w14:textId="77777777" w:rsidR="000F53FD" w:rsidRDefault="000F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AC2C" w14:textId="77777777" w:rsidR="00EF1B92" w:rsidRPr="00C1751B" w:rsidRDefault="00EF1B92">
    <w:pPr>
      <w:spacing w:line="240" w:lineRule="exact"/>
      <w:rPr>
        <w:sz w:val="22"/>
      </w:rPr>
    </w:pPr>
    <w:r w:rsidRPr="00C1751B">
      <w:rPr>
        <w:sz w:val="22"/>
      </w:rPr>
      <w:t>SOP 9</w:t>
    </w:r>
    <w:r w:rsidR="00C1751B" w:rsidRPr="00C1751B">
      <w:rPr>
        <w:sz w:val="22"/>
      </w:rPr>
      <w:t xml:space="preserve"> – 201</w:t>
    </w:r>
    <w:r w:rsidR="00FE53DB">
      <w:rPr>
        <w:sz w:val="22"/>
      </w:rPr>
      <w:t>9</w:t>
    </w:r>
    <w:r w:rsidR="00C1751B" w:rsidRPr="00C1751B">
      <w:rPr>
        <w:sz w:val="22"/>
      </w:rPr>
      <w:t xml:space="preserve"> </w:t>
    </w:r>
    <w:r w:rsidRPr="00C1751B">
      <w:rPr>
        <w:sz w:val="22"/>
      </w:rPr>
      <w:tab/>
    </w:r>
    <w:r w:rsidRPr="00C1751B">
      <w:rPr>
        <w:sz w:val="22"/>
      </w:rPr>
      <w:tab/>
    </w:r>
    <w:r w:rsidRPr="00C1751B">
      <w:rPr>
        <w:sz w:val="22"/>
      </w:rPr>
      <w:tab/>
    </w:r>
    <w:r w:rsidRPr="00C1751B">
      <w:rPr>
        <w:sz w:val="22"/>
      </w:rPr>
      <w:tab/>
    </w:r>
    <w:r w:rsidRPr="00C1751B">
      <w:rPr>
        <w:sz w:val="22"/>
      </w:rPr>
      <w:tab/>
      <w:t xml:space="preserve">Page </w:t>
    </w:r>
    <w:r w:rsidRPr="00C1751B">
      <w:rPr>
        <w:sz w:val="22"/>
      </w:rPr>
      <w:fldChar w:fldCharType="begin"/>
    </w:r>
    <w:r w:rsidRPr="00C1751B">
      <w:rPr>
        <w:sz w:val="22"/>
      </w:rPr>
      <w:instrText xml:space="preserve"> PAGE </w:instrText>
    </w:r>
    <w:r w:rsidRPr="00C1751B">
      <w:rPr>
        <w:sz w:val="22"/>
      </w:rPr>
      <w:fldChar w:fldCharType="separate"/>
    </w:r>
    <w:r w:rsidR="0047276C">
      <w:rPr>
        <w:noProof/>
        <w:sz w:val="22"/>
      </w:rPr>
      <w:t>9</w:t>
    </w:r>
    <w:r w:rsidRPr="00C1751B">
      <w:rPr>
        <w:sz w:val="22"/>
      </w:rPr>
      <w:fldChar w:fldCharType="end"/>
    </w:r>
    <w:r w:rsidRPr="00C1751B">
      <w:rPr>
        <w:sz w:val="22"/>
      </w:rPr>
      <w:t xml:space="preserve"> of </w:t>
    </w:r>
    <w:r w:rsidRPr="00C1751B">
      <w:rPr>
        <w:sz w:val="22"/>
      </w:rPr>
      <w:fldChar w:fldCharType="begin"/>
    </w:r>
    <w:r w:rsidRPr="00C1751B">
      <w:rPr>
        <w:sz w:val="22"/>
      </w:rPr>
      <w:instrText xml:space="preserve"> NUMPAGES </w:instrText>
    </w:r>
    <w:r w:rsidRPr="00C1751B">
      <w:rPr>
        <w:sz w:val="22"/>
      </w:rPr>
      <w:fldChar w:fldCharType="separate"/>
    </w:r>
    <w:r w:rsidR="0047276C">
      <w:rPr>
        <w:noProof/>
        <w:sz w:val="22"/>
      </w:rPr>
      <w:t>9</w:t>
    </w:r>
    <w:r w:rsidRPr="00C1751B">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575FD" w14:textId="77777777" w:rsidR="000F53FD" w:rsidRDefault="000F53FD">
      <w:r>
        <w:separator/>
      </w:r>
    </w:p>
  </w:footnote>
  <w:footnote w:type="continuationSeparator" w:id="0">
    <w:p w14:paraId="268091D5" w14:textId="77777777" w:rsidR="000F53FD" w:rsidRDefault="000F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26A6" w14:textId="77777777" w:rsidR="00FE53DB" w:rsidRDefault="00FE53DB">
    <w:pPr>
      <w:pStyle w:val="Header"/>
    </w:pPr>
    <w:r>
      <w:rPr>
        <w:noProof/>
      </w:rPr>
      <mc:AlternateContent>
        <mc:Choice Requires="wps">
          <w:drawing>
            <wp:anchor distT="0" distB="0" distL="114300" distR="114300" simplePos="0" relativeHeight="251658240" behindDoc="0" locked="0" layoutInCell="1" allowOverlap="1" wp14:anchorId="2BE84678" wp14:editId="08E43D84">
              <wp:simplePos x="0" y="0"/>
              <wp:positionH relativeFrom="column">
                <wp:posOffset>-342900</wp:posOffset>
              </wp:positionH>
              <wp:positionV relativeFrom="paragraph">
                <wp:posOffset>476250</wp:posOffset>
              </wp:positionV>
              <wp:extent cx="0" cy="822960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03CE0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7.5pt" to="-27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" strokecolor="#a5a5a5 [2092]" strokeweight=".5pt">
              <v:stroke joinstyle="miter"/>
            </v:line>
          </w:pict>
        </mc:Fallback>
      </mc:AlternateContent>
    </w:r>
    <w:r>
      <w:rPr>
        <w:rFonts w:eastAsia="Times New Roman" w:cs="Times New Roman"/>
        <w:noProof/>
        <w:szCs w:val="24"/>
      </w:rPr>
      <mc:AlternateContent>
        <mc:Choice Requires="wps">
          <w:drawing>
            <wp:anchor distT="0" distB="0" distL="114300" distR="114300" simplePos="0" relativeHeight="251659264" behindDoc="1" locked="0" layoutInCell="1" allowOverlap="1" wp14:anchorId="3718B537" wp14:editId="49ECC4AA">
              <wp:simplePos x="0" y="0"/>
              <wp:positionH relativeFrom="column">
                <wp:posOffset>-828675</wp:posOffset>
              </wp:positionH>
              <wp:positionV relativeFrom="page">
                <wp:posOffset>628650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84C1" w14:textId="77777777" w:rsidR="00FE53DB" w:rsidRPr="000D6AE7" w:rsidRDefault="00FE53DB" w:rsidP="00FE53DB">
                          <w:pPr>
                            <w:jc w:val="center"/>
                            <w:rPr>
                              <w:rFonts w:ascii="Arial" w:hAnsi="Arial" w:cs="Arial"/>
                              <w:color w:val="A6A6A6" w:themeColor="background1" w:themeShade="A6"/>
                              <w:sz w:val="20"/>
                              <w:szCs w:val="20"/>
                            </w:rPr>
                          </w:pPr>
                          <w:r w:rsidRPr="000D6AE7">
                            <w:rPr>
                              <w:rFonts w:ascii="Arial" w:hAnsi="Arial" w:cs="Arial"/>
                              <w:color w:val="A6A6A6" w:themeColor="background1" w:themeShade="A6"/>
                              <w:sz w:val="20"/>
                              <w:szCs w:val="20"/>
                            </w:rPr>
                            <w:t>This publication is available free of charge from: https://doi.org/10.6028/NIST.IR.6969-2019</w:t>
                          </w:r>
                        </w:p>
                        <w:p w14:paraId="3B8E8F2B" w14:textId="77777777" w:rsidR="00FE53DB" w:rsidRPr="000D6AE7" w:rsidRDefault="00FE53DB" w:rsidP="00FE53DB">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8B537" id="_x0000_t202" coordsize="21600,21600" o:spt="202" path="m,l,21600r21600,l21600,xe">
              <v:stroke joinstyle="miter"/>
              <v:path gradientshapeok="t" o:connecttype="rect"/>
            </v:shapetype>
            <v:shape id="Text Box 2" o:spid="_x0000_s1026" type="#_x0000_t202" style="position:absolute;margin-left:-65.25pt;margin-top:49.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" fillcolor="white [3201]" stroked="f" strokeweight=".5pt">
              <v:textbox style="layout-flow:vertical">
                <w:txbxContent>
                  <w:p w14:paraId="1B4184C1" w14:textId="77777777" w:rsidR="00FE53DB" w:rsidRPr="000D6AE7" w:rsidRDefault="00FE53DB" w:rsidP="00FE53DB">
                    <w:pPr>
                      <w:jc w:val="center"/>
                      <w:rPr>
                        <w:rFonts w:ascii="Arial" w:hAnsi="Arial" w:cs="Arial"/>
                        <w:color w:val="A6A6A6" w:themeColor="background1" w:themeShade="A6"/>
                        <w:sz w:val="20"/>
                        <w:szCs w:val="20"/>
                      </w:rPr>
                    </w:pPr>
                    <w:r w:rsidRPr="000D6AE7">
                      <w:rPr>
                        <w:rFonts w:ascii="Arial" w:hAnsi="Arial" w:cs="Arial"/>
                        <w:color w:val="A6A6A6" w:themeColor="background1" w:themeShade="A6"/>
                        <w:sz w:val="20"/>
                        <w:szCs w:val="20"/>
                      </w:rPr>
                      <w:t>This publication is available free of charge from: https://doi.org/10.6028/NIST.IR.6969-2019</w:t>
                    </w:r>
                  </w:p>
                  <w:p w14:paraId="3B8E8F2B" w14:textId="77777777" w:rsidR="00FE53DB" w:rsidRPr="000D6AE7" w:rsidRDefault="00FE53DB" w:rsidP="00FE53DB">
                    <w:pPr>
                      <w:jc w:val="center"/>
                      <w:rPr>
                        <w:rFonts w:ascii="Arial" w:hAnsi="Arial" w:cs="Arial"/>
                        <w:color w:val="A6A6A6" w:themeColor="background1" w:themeShade="A6"/>
                        <w:sz w:val="20"/>
                        <w:szCs w:val="20"/>
                      </w:rPr>
                    </w:pP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E641AF"/>
    <w:multiLevelType w:val="multilevel"/>
    <w:tmpl w:val="2FDC84B2"/>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5E2F7D"/>
    <w:multiLevelType w:val="multilevel"/>
    <w:tmpl w:val="0EA05A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B62187"/>
    <w:multiLevelType w:val="multilevel"/>
    <w:tmpl w:val="77903E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026532"/>
    <w:multiLevelType w:val="multilevel"/>
    <w:tmpl w:val="9E5E2A36"/>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1245"/>
        </w:tabs>
        <w:ind w:left="1245" w:hanging="52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13A2FF0"/>
    <w:multiLevelType w:val="multilevel"/>
    <w:tmpl w:val="6DE205A2"/>
    <w:lvl w:ilvl="0">
      <w:start w:val="4"/>
      <w:numFmt w:val="decimal"/>
      <w:lvlText w:val="%1"/>
      <w:lvlJc w:val="left"/>
      <w:pPr>
        <w:tabs>
          <w:tab w:val="num" w:pos="765"/>
        </w:tabs>
        <w:ind w:left="765" w:hanging="765"/>
      </w:pPr>
      <w:rPr>
        <w:rFonts w:hint="default"/>
      </w:rPr>
    </w:lvl>
    <w:lvl w:ilvl="1">
      <w:start w:val="2"/>
      <w:numFmt w:val="decimal"/>
      <w:lvlText w:val="%1.%2"/>
      <w:lvlJc w:val="left"/>
      <w:pPr>
        <w:tabs>
          <w:tab w:val="num" w:pos="1485"/>
        </w:tabs>
        <w:ind w:left="1485" w:hanging="765"/>
      </w:pPr>
      <w:rPr>
        <w:rFonts w:hint="default"/>
      </w:rPr>
    </w:lvl>
    <w:lvl w:ilvl="2">
      <w:start w:val="2"/>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534A35"/>
    <w:multiLevelType w:val="multilevel"/>
    <w:tmpl w:val="9C0CDE3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474EDA"/>
    <w:multiLevelType w:val="multilevel"/>
    <w:tmpl w:val="F6C8EEFE"/>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1245"/>
        </w:tabs>
        <w:ind w:left="1245" w:hanging="52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767107"/>
    <w:multiLevelType w:val="multilevel"/>
    <w:tmpl w:val="DDDE116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D4B1454"/>
    <w:multiLevelType w:val="multilevel"/>
    <w:tmpl w:val="0D0E3810"/>
    <w:lvl w:ilvl="0">
      <w:start w:val="4"/>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283764"/>
    <w:multiLevelType w:val="multilevel"/>
    <w:tmpl w:val="4B14D66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7"/>
  </w:num>
  <w:num w:numId="3">
    <w:abstractNumId w:val="2"/>
  </w:num>
  <w:num w:numId="4">
    <w:abstractNumId w:val="5"/>
  </w:num>
  <w:num w:numId="5">
    <w:abstractNumId w:val="12"/>
  </w:num>
  <w:num w:numId="6">
    <w:abstractNumId w:val="18"/>
  </w:num>
  <w:num w:numId="7">
    <w:abstractNumId w:val="20"/>
  </w:num>
  <w:num w:numId="8">
    <w:abstractNumId w:val="1"/>
  </w:num>
  <w:num w:numId="9">
    <w:abstractNumId w:val="11"/>
  </w:num>
  <w:num w:numId="10">
    <w:abstractNumId w:val="4"/>
  </w:num>
  <w:num w:numId="11">
    <w:abstractNumId w:val="4"/>
  </w:num>
  <w:num w:numId="12">
    <w:abstractNumId w:val="16"/>
  </w:num>
  <w:num w:numId="13">
    <w:abstractNumId w:val="8"/>
  </w:num>
  <w:num w:numId="14">
    <w:abstractNumId w:val="19"/>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9"/>
  </w:num>
  <w:num w:numId="20">
    <w:abstractNumId w:val="6"/>
  </w:num>
  <w:num w:numId="21">
    <w:abstractNumId w:val="13"/>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65"/>
    <w:rsid w:val="000224D2"/>
    <w:rsid w:val="000313BF"/>
    <w:rsid w:val="00034BD8"/>
    <w:rsid w:val="00042736"/>
    <w:rsid w:val="0004559F"/>
    <w:rsid w:val="000A6F7E"/>
    <w:rsid w:val="000C767C"/>
    <w:rsid w:val="000D6AE7"/>
    <w:rsid w:val="000F4B0D"/>
    <w:rsid w:val="000F53FD"/>
    <w:rsid w:val="001515CB"/>
    <w:rsid w:val="0015765B"/>
    <w:rsid w:val="0017454B"/>
    <w:rsid w:val="001759FD"/>
    <w:rsid w:val="001A0F98"/>
    <w:rsid w:val="001A181B"/>
    <w:rsid w:val="001B0F54"/>
    <w:rsid w:val="001E2E1B"/>
    <w:rsid w:val="00203D9E"/>
    <w:rsid w:val="002169A0"/>
    <w:rsid w:val="002205D3"/>
    <w:rsid w:val="00221C89"/>
    <w:rsid w:val="0022731D"/>
    <w:rsid w:val="00227748"/>
    <w:rsid w:val="00235F9A"/>
    <w:rsid w:val="00262A48"/>
    <w:rsid w:val="002843C4"/>
    <w:rsid w:val="00285927"/>
    <w:rsid w:val="00286BC4"/>
    <w:rsid w:val="0029681A"/>
    <w:rsid w:val="002B4DBC"/>
    <w:rsid w:val="002D758B"/>
    <w:rsid w:val="00300100"/>
    <w:rsid w:val="003109C7"/>
    <w:rsid w:val="00312DCD"/>
    <w:rsid w:val="003254B9"/>
    <w:rsid w:val="0033130A"/>
    <w:rsid w:val="00334046"/>
    <w:rsid w:val="003473A3"/>
    <w:rsid w:val="00353963"/>
    <w:rsid w:val="00360109"/>
    <w:rsid w:val="00362195"/>
    <w:rsid w:val="00380E1F"/>
    <w:rsid w:val="003C75AF"/>
    <w:rsid w:val="003E36D5"/>
    <w:rsid w:val="00411475"/>
    <w:rsid w:val="004213FC"/>
    <w:rsid w:val="004544AB"/>
    <w:rsid w:val="00456065"/>
    <w:rsid w:val="00461741"/>
    <w:rsid w:val="0047276C"/>
    <w:rsid w:val="004974F8"/>
    <w:rsid w:val="004B155D"/>
    <w:rsid w:val="004C1529"/>
    <w:rsid w:val="004C45AC"/>
    <w:rsid w:val="004C601F"/>
    <w:rsid w:val="004C6E1E"/>
    <w:rsid w:val="004C7514"/>
    <w:rsid w:val="004E7554"/>
    <w:rsid w:val="004F6D91"/>
    <w:rsid w:val="005073BE"/>
    <w:rsid w:val="0051620B"/>
    <w:rsid w:val="00530129"/>
    <w:rsid w:val="00532F40"/>
    <w:rsid w:val="0056051C"/>
    <w:rsid w:val="00566179"/>
    <w:rsid w:val="00573937"/>
    <w:rsid w:val="005876FE"/>
    <w:rsid w:val="005A5EFA"/>
    <w:rsid w:val="005B6967"/>
    <w:rsid w:val="005C3F8D"/>
    <w:rsid w:val="005C6ADD"/>
    <w:rsid w:val="005E015A"/>
    <w:rsid w:val="005F3A7F"/>
    <w:rsid w:val="00635C3B"/>
    <w:rsid w:val="00635DB8"/>
    <w:rsid w:val="00655C9E"/>
    <w:rsid w:val="00666DC5"/>
    <w:rsid w:val="00670E4C"/>
    <w:rsid w:val="006843F9"/>
    <w:rsid w:val="006B3147"/>
    <w:rsid w:val="006C10D4"/>
    <w:rsid w:val="006D29E4"/>
    <w:rsid w:val="006D55DC"/>
    <w:rsid w:val="006D756A"/>
    <w:rsid w:val="00704B03"/>
    <w:rsid w:val="0075664D"/>
    <w:rsid w:val="007663AE"/>
    <w:rsid w:val="00775B09"/>
    <w:rsid w:val="00793AF0"/>
    <w:rsid w:val="007970B9"/>
    <w:rsid w:val="007A5451"/>
    <w:rsid w:val="007A7D34"/>
    <w:rsid w:val="007B3D11"/>
    <w:rsid w:val="007B5444"/>
    <w:rsid w:val="007D6F73"/>
    <w:rsid w:val="007E5173"/>
    <w:rsid w:val="007E5A8E"/>
    <w:rsid w:val="007F702C"/>
    <w:rsid w:val="00803813"/>
    <w:rsid w:val="00824C40"/>
    <w:rsid w:val="008259BE"/>
    <w:rsid w:val="00854447"/>
    <w:rsid w:val="0087417D"/>
    <w:rsid w:val="00876A0E"/>
    <w:rsid w:val="00881593"/>
    <w:rsid w:val="008A0C24"/>
    <w:rsid w:val="008A7968"/>
    <w:rsid w:val="008C64CB"/>
    <w:rsid w:val="008E69B7"/>
    <w:rsid w:val="008F4116"/>
    <w:rsid w:val="00902B09"/>
    <w:rsid w:val="00912DB4"/>
    <w:rsid w:val="00915B80"/>
    <w:rsid w:val="00937360"/>
    <w:rsid w:val="00943E8E"/>
    <w:rsid w:val="009458C9"/>
    <w:rsid w:val="0099347C"/>
    <w:rsid w:val="009A1BA3"/>
    <w:rsid w:val="009C4BCE"/>
    <w:rsid w:val="009F4FFC"/>
    <w:rsid w:val="00A07DE0"/>
    <w:rsid w:val="00A26D21"/>
    <w:rsid w:val="00A365D8"/>
    <w:rsid w:val="00A4254C"/>
    <w:rsid w:val="00A506E0"/>
    <w:rsid w:val="00A62C3C"/>
    <w:rsid w:val="00AB2568"/>
    <w:rsid w:val="00AC778E"/>
    <w:rsid w:val="00AE7FE8"/>
    <w:rsid w:val="00AF50FE"/>
    <w:rsid w:val="00B07383"/>
    <w:rsid w:val="00B169AA"/>
    <w:rsid w:val="00B33DC9"/>
    <w:rsid w:val="00B67781"/>
    <w:rsid w:val="00B76D79"/>
    <w:rsid w:val="00B86028"/>
    <w:rsid w:val="00B90732"/>
    <w:rsid w:val="00BC059D"/>
    <w:rsid w:val="00BF3D83"/>
    <w:rsid w:val="00C10E78"/>
    <w:rsid w:val="00C161C0"/>
    <w:rsid w:val="00C1751B"/>
    <w:rsid w:val="00C35485"/>
    <w:rsid w:val="00C5348F"/>
    <w:rsid w:val="00C744CB"/>
    <w:rsid w:val="00C75152"/>
    <w:rsid w:val="00CC40C2"/>
    <w:rsid w:val="00D24473"/>
    <w:rsid w:val="00D4662F"/>
    <w:rsid w:val="00D574C4"/>
    <w:rsid w:val="00DC7B62"/>
    <w:rsid w:val="00DD23ED"/>
    <w:rsid w:val="00DE1556"/>
    <w:rsid w:val="00DF4DA8"/>
    <w:rsid w:val="00E3244B"/>
    <w:rsid w:val="00E4730A"/>
    <w:rsid w:val="00E50ACB"/>
    <w:rsid w:val="00E5750B"/>
    <w:rsid w:val="00E57C52"/>
    <w:rsid w:val="00E80199"/>
    <w:rsid w:val="00E94049"/>
    <w:rsid w:val="00EB777A"/>
    <w:rsid w:val="00EC7006"/>
    <w:rsid w:val="00ED5DFD"/>
    <w:rsid w:val="00EF1B92"/>
    <w:rsid w:val="00F40660"/>
    <w:rsid w:val="00F51A6C"/>
    <w:rsid w:val="00F722CD"/>
    <w:rsid w:val="00F80AFB"/>
    <w:rsid w:val="00F83F8A"/>
    <w:rsid w:val="00F92221"/>
    <w:rsid w:val="00F928D9"/>
    <w:rsid w:val="00F97B56"/>
    <w:rsid w:val="00FA0E46"/>
    <w:rsid w:val="00FA18D5"/>
    <w:rsid w:val="00FA3DCB"/>
    <w:rsid w:val="00FD391F"/>
    <w:rsid w:val="00FE2628"/>
    <w:rsid w:val="00FE265C"/>
    <w:rsid w:val="00FE5220"/>
    <w:rsid w:val="00FE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6AEB34"/>
  <w15:chartTrackingRefBased/>
  <w15:docId w15:val="{B991CA40-62F0-46FF-98CC-900372B0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4B0D"/>
    <w:rPr>
      <w:rFonts w:eastAsiaTheme="minorHAnsi" w:cstheme="minorBidi"/>
      <w:sz w:val="24"/>
      <w:szCs w:val="22"/>
    </w:rPr>
  </w:style>
  <w:style w:type="paragraph" w:styleId="Heading1">
    <w:name w:val="heading 1"/>
    <w:basedOn w:val="Normal"/>
    <w:next w:val="Normal"/>
    <w:link w:val="Heading1Char"/>
    <w:uiPriority w:val="9"/>
    <w:qFormat/>
    <w:rsid w:val="000F4B0D"/>
    <w:pPr>
      <w:keepNext/>
      <w:keepLines/>
      <w:numPr>
        <w:numId w:val="23"/>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0F4B0D"/>
    <w:pPr>
      <w:keepNext/>
      <w:keepLines/>
      <w:numPr>
        <w:ilvl w:val="1"/>
        <w:numId w:val="23"/>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0F4B0D"/>
    <w:pPr>
      <w:keepNext/>
      <w:keepLines/>
      <w:numPr>
        <w:ilvl w:val="2"/>
        <w:numId w:val="23"/>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0F4B0D"/>
    <w:pPr>
      <w:keepNext/>
      <w:keepLines/>
      <w:numPr>
        <w:ilvl w:val="3"/>
        <w:numId w:val="23"/>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0F4B0D"/>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0F4B0D"/>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0F4B0D"/>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0F4B0D"/>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F4B0D"/>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F4B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4B0D"/>
  </w:style>
  <w:style w:type="character" w:styleId="FootnoteReference">
    <w:name w:val="footnote reference"/>
    <w:basedOn w:val="DefaultParagraphFont"/>
    <w:semiHidden/>
    <w:unhideWhenUsed/>
    <w:rsid w:val="000F4B0D"/>
    <w:rPr>
      <w:vertAlign w:val="superscript"/>
    </w:rPr>
  </w:style>
  <w:style w:type="paragraph" w:styleId="BodyTextIndent">
    <w:name w:val="Body Text Indent"/>
    <w:basedOn w:val="Normal"/>
    <w:pPr>
      <w:tabs>
        <w:tab w:val="left" w:pos="-1440"/>
        <w:tab w:val="left" w:pos="-1104"/>
        <w:tab w:val="left" w:pos="-552"/>
        <w:tab w:val="left" w:pos="0"/>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ind w:left="1440" w:hanging="888"/>
      <w:jc w:val="both"/>
    </w:pPr>
  </w:style>
  <w:style w:type="paragraph" w:styleId="BodyTextIndent2">
    <w:name w:val="Body Text Indent 2"/>
    <w:basedOn w:val="Normal"/>
    <w:pPr>
      <w:tabs>
        <w:tab w:val="left" w:pos="-1440"/>
        <w:tab w:val="left" w:pos="-1104"/>
        <w:tab w:val="left" w:pos="-552"/>
        <w:tab w:val="left" w:pos="0"/>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ind w:left="1440"/>
      <w:jc w:val="both"/>
    </w:pPr>
  </w:style>
  <w:style w:type="paragraph" w:styleId="BodyTextIndent3">
    <w:name w:val="Body Text Indent 3"/>
    <w:basedOn w:val="Normal"/>
    <w:pPr>
      <w:tabs>
        <w:tab w:val="left" w:pos="-1440"/>
        <w:tab w:val="left" w:pos="-1104"/>
        <w:tab w:val="left" w:pos="-552"/>
        <w:tab w:val="left" w:pos="0"/>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920"/>
        <w:tab w:val="left" w:pos="8640"/>
        <w:tab w:val="left" w:pos="9360"/>
      </w:tabs>
      <w:ind w:left="2160"/>
      <w:jc w:val="both"/>
    </w:pPr>
  </w:style>
  <w:style w:type="paragraph" w:styleId="Header">
    <w:name w:val="header"/>
    <w:basedOn w:val="Normal"/>
    <w:link w:val="HeaderChar"/>
    <w:unhideWhenUsed/>
    <w:rsid w:val="000F4B0D"/>
    <w:pPr>
      <w:tabs>
        <w:tab w:val="center" w:pos="4680"/>
        <w:tab w:val="right" w:pos="9360"/>
      </w:tabs>
    </w:pPr>
  </w:style>
  <w:style w:type="paragraph" w:styleId="Footer">
    <w:name w:val="footer"/>
    <w:basedOn w:val="Normal"/>
    <w:link w:val="FooterChar"/>
    <w:uiPriority w:val="99"/>
    <w:unhideWhenUsed/>
    <w:rsid w:val="000F4B0D"/>
    <w:pPr>
      <w:tabs>
        <w:tab w:val="center" w:pos="4680"/>
        <w:tab w:val="right" w:pos="9360"/>
      </w:tabs>
    </w:pPr>
  </w:style>
  <w:style w:type="character" w:styleId="CommentReference">
    <w:name w:val="annotation reference"/>
    <w:basedOn w:val="DefaultParagraphFont"/>
    <w:uiPriority w:val="99"/>
    <w:semiHidden/>
    <w:unhideWhenUsed/>
    <w:rsid w:val="000F4B0D"/>
    <w:rPr>
      <w:sz w:val="16"/>
      <w:szCs w:val="16"/>
    </w:rPr>
  </w:style>
  <w:style w:type="paragraph" w:styleId="CommentText">
    <w:name w:val="annotation text"/>
    <w:basedOn w:val="Normal"/>
    <w:link w:val="CommentTextChar"/>
    <w:uiPriority w:val="99"/>
    <w:semiHidden/>
    <w:unhideWhenUsed/>
    <w:rsid w:val="000F4B0D"/>
    <w:rPr>
      <w:sz w:val="20"/>
      <w:szCs w:val="20"/>
    </w:rPr>
  </w:style>
  <w:style w:type="paragraph" w:styleId="BalloonText">
    <w:name w:val="Balloon Text"/>
    <w:basedOn w:val="Normal"/>
    <w:link w:val="BalloonTextChar"/>
    <w:uiPriority w:val="99"/>
    <w:unhideWhenUsed/>
    <w:rsid w:val="000F4B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F4B0D"/>
    <w:rPr>
      <w:b/>
      <w:bCs/>
    </w:rPr>
  </w:style>
  <w:style w:type="character" w:customStyle="1" w:styleId="CommentTextChar">
    <w:name w:val="Comment Text Char"/>
    <w:basedOn w:val="DefaultParagraphFont"/>
    <w:link w:val="CommentText"/>
    <w:uiPriority w:val="99"/>
    <w:semiHidden/>
    <w:rsid w:val="000F4B0D"/>
    <w:rPr>
      <w:rFonts w:eastAsiaTheme="minorHAnsi" w:cstheme="minorBidi"/>
    </w:rPr>
  </w:style>
  <w:style w:type="character" w:customStyle="1" w:styleId="CommentSubjectChar">
    <w:name w:val="Comment Subject Char"/>
    <w:basedOn w:val="CommentTextChar"/>
    <w:link w:val="CommentSubject"/>
    <w:uiPriority w:val="99"/>
    <w:semiHidden/>
    <w:rsid w:val="000F4B0D"/>
    <w:rPr>
      <w:rFonts w:eastAsiaTheme="minorHAnsi" w:cstheme="minorBidi"/>
      <w:b/>
      <w:bCs/>
    </w:rPr>
  </w:style>
  <w:style w:type="paragraph" w:styleId="Revision">
    <w:name w:val="Revision"/>
    <w:hidden/>
    <w:uiPriority w:val="99"/>
    <w:semiHidden/>
    <w:rsid w:val="001515CB"/>
    <w:rPr>
      <w:snapToGrid w:val="0"/>
      <w:sz w:val="24"/>
    </w:rPr>
  </w:style>
  <w:style w:type="table" w:styleId="TableGrid">
    <w:name w:val="Table Grid"/>
    <w:basedOn w:val="TableNormal"/>
    <w:rsid w:val="000F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Figure and Table Titles)"/>
    <w:basedOn w:val="BodyText"/>
    <w:next w:val="Normal"/>
    <w:uiPriority w:val="35"/>
    <w:unhideWhenUsed/>
    <w:qFormat/>
    <w:rsid w:val="000F4B0D"/>
    <w:pPr>
      <w:spacing w:after="0"/>
      <w:ind w:left="1872"/>
    </w:pPr>
    <w:rPr>
      <w:b/>
      <w:sz w:val="22"/>
    </w:rPr>
  </w:style>
  <w:style w:type="paragraph" w:styleId="ListParagraph">
    <w:name w:val="List Paragraph"/>
    <w:basedOn w:val="Normal"/>
    <w:uiPriority w:val="34"/>
    <w:qFormat/>
    <w:rsid w:val="000F4B0D"/>
    <w:pPr>
      <w:ind w:left="720"/>
      <w:contextualSpacing/>
    </w:pPr>
  </w:style>
  <w:style w:type="character" w:customStyle="1" w:styleId="Heading1Char">
    <w:name w:val="Heading 1 Char"/>
    <w:basedOn w:val="DefaultParagraphFont"/>
    <w:link w:val="Heading1"/>
    <w:uiPriority w:val="9"/>
    <w:rsid w:val="000F4B0D"/>
    <w:rPr>
      <w:rFonts w:eastAsiaTheme="majorEastAsia"/>
      <w:sz w:val="24"/>
      <w:szCs w:val="24"/>
    </w:rPr>
  </w:style>
  <w:style w:type="character" w:customStyle="1" w:styleId="Heading2Char">
    <w:name w:val="Heading 2 Char"/>
    <w:basedOn w:val="DefaultParagraphFont"/>
    <w:link w:val="Heading2"/>
    <w:uiPriority w:val="9"/>
    <w:rsid w:val="000F4B0D"/>
    <w:rPr>
      <w:rFonts w:eastAsiaTheme="majorEastAsia"/>
      <w:sz w:val="24"/>
      <w:szCs w:val="24"/>
    </w:rPr>
  </w:style>
  <w:style w:type="character" w:customStyle="1" w:styleId="Heading3Char">
    <w:name w:val="Heading 3 Char"/>
    <w:basedOn w:val="DefaultParagraphFont"/>
    <w:link w:val="Heading3"/>
    <w:uiPriority w:val="9"/>
    <w:rsid w:val="000F4B0D"/>
    <w:rPr>
      <w:rFonts w:eastAsiaTheme="majorEastAsia"/>
      <w:sz w:val="24"/>
      <w:szCs w:val="24"/>
    </w:rPr>
  </w:style>
  <w:style w:type="character" w:customStyle="1" w:styleId="Heading4Char">
    <w:name w:val="Heading 4 Char"/>
    <w:basedOn w:val="DefaultParagraphFont"/>
    <w:link w:val="Heading4"/>
    <w:uiPriority w:val="9"/>
    <w:rsid w:val="000F4B0D"/>
    <w:rPr>
      <w:rFonts w:eastAsiaTheme="majorEastAsia"/>
      <w:iCs/>
      <w:sz w:val="24"/>
      <w:szCs w:val="24"/>
    </w:rPr>
  </w:style>
  <w:style w:type="paragraph" w:customStyle="1" w:styleId="Table">
    <w:name w:val="Table"/>
    <w:basedOn w:val="Caption"/>
    <w:qFormat/>
    <w:rsid w:val="000F4B0D"/>
    <w:pPr>
      <w:ind w:left="0"/>
    </w:pPr>
  </w:style>
  <w:style w:type="paragraph" w:styleId="Title">
    <w:name w:val="Title"/>
    <w:aliases w:val="Title-Lab"/>
    <w:basedOn w:val="Normal"/>
    <w:next w:val="Normal"/>
    <w:link w:val="TitleChar"/>
    <w:uiPriority w:val="10"/>
    <w:qFormat/>
    <w:rsid w:val="000F4B0D"/>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0F4B0D"/>
    <w:rPr>
      <w:b/>
      <w:sz w:val="24"/>
      <w:szCs w:val="24"/>
    </w:rPr>
  </w:style>
  <w:style w:type="character" w:customStyle="1" w:styleId="Heading5Char">
    <w:name w:val="Heading 5 Char"/>
    <w:basedOn w:val="DefaultParagraphFont"/>
    <w:link w:val="Heading5"/>
    <w:semiHidden/>
    <w:rsid w:val="000F4B0D"/>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0F4B0D"/>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0F4B0D"/>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0F4B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F4B0D"/>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0F4B0D"/>
    <w:rPr>
      <w:rFonts w:ascii="Tahoma" w:eastAsiaTheme="minorHAnsi" w:hAnsi="Tahoma" w:cs="Tahoma"/>
      <w:sz w:val="16"/>
      <w:szCs w:val="16"/>
    </w:rPr>
  </w:style>
  <w:style w:type="paragraph" w:styleId="BodyText">
    <w:name w:val="Body Text"/>
    <w:basedOn w:val="Normal"/>
    <w:link w:val="BodyTextChar"/>
    <w:uiPriority w:val="1"/>
    <w:unhideWhenUsed/>
    <w:qFormat/>
    <w:rsid w:val="000F4B0D"/>
    <w:pPr>
      <w:spacing w:after="180"/>
      <w:jc w:val="both"/>
    </w:pPr>
    <w:rPr>
      <w:rFonts w:cs="Times New Roman"/>
      <w:szCs w:val="24"/>
    </w:rPr>
  </w:style>
  <w:style w:type="character" w:customStyle="1" w:styleId="BodyTextChar">
    <w:name w:val="Body Text Char"/>
    <w:basedOn w:val="DefaultParagraphFont"/>
    <w:link w:val="BodyText"/>
    <w:uiPriority w:val="1"/>
    <w:rsid w:val="000F4B0D"/>
    <w:rPr>
      <w:rFonts w:eastAsiaTheme="minorHAnsi"/>
      <w:sz w:val="24"/>
      <w:szCs w:val="24"/>
    </w:rPr>
  </w:style>
  <w:style w:type="paragraph" w:customStyle="1" w:styleId="Default">
    <w:name w:val="Default"/>
    <w:rsid w:val="000F4B0D"/>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0F4B0D"/>
    <w:rPr>
      <w:color w:val="954F72" w:themeColor="followedHyperlink"/>
      <w:u w:val="single"/>
    </w:rPr>
  </w:style>
  <w:style w:type="character" w:customStyle="1" w:styleId="FooterChar">
    <w:name w:val="Footer Char"/>
    <w:basedOn w:val="DefaultParagraphFont"/>
    <w:link w:val="Footer"/>
    <w:uiPriority w:val="99"/>
    <w:rsid w:val="000F4B0D"/>
    <w:rPr>
      <w:rFonts w:eastAsiaTheme="minorHAnsi" w:cstheme="minorBidi"/>
      <w:sz w:val="24"/>
      <w:szCs w:val="22"/>
    </w:rPr>
  </w:style>
  <w:style w:type="paragraph" w:customStyle="1" w:styleId="FrontMatterTOC">
    <w:name w:val="Front Matter (TOC"/>
    <w:aliases w:val="foreword,preface,etc.)"/>
    <w:basedOn w:val="BodyText"/>
    <w:qFormat/>
    <w:rsid w:val="000F4B0D"/>
    <w:rPr>
      <w:b/>
    </w:rPr>
  </w:style>
  <w:style w:type="character" w:customStyle="1" w:styleId="HeaderChar">
    <w:name w:val="Header Char"/>
    <w:basedOn w:val="DefaultParagraphFont"/>
    <w:link w:val="Header"/>
    <w:rsid w:val="000F4B0D"/>
    <w:rPr>
      <w:rFonts w:eastAsiaTheme="minorHAnsi" w:cstheme="minorBidi"/>
      <w:sz w:val="24"/>
      <w:szCs w:val="22"/>
    </w:rPr>
  </w:style>
  <w:style w:type="character" w:styleId="Hyperlink">
    <w:name w:val="Hyperlink"/>
    <w:basedOn w:val="DefaultParagraphFont"/>
    <w:uiPriority w:val="99"/>
    <w:unhideWhenUsed/>
    <w:rsid w:val="000F4B0D"/>
    <w:rPr>
      <w:color w:val="0563C1" w:themeColor="hyperlink"/>
      <w:u w:val="single"/>
    </w:rPr>
  </w:style>
  <w:style w:type="paragraph" w:styleId="NormalWeb">
    <w:name w:val="Normal (Web)"/>
    <w:basedOn w:val="Normal"/>
    <w:uiPriority w:val="99"/>
    <w:semiHidden/>
    <w:unhideWhenUsed/>
    <w:rsid w:val="000F4B0D"/>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0F4B0D"/>
    <w:rPr>
      <w:sz w:val="20"/>
    </w:rPr>
  </w:style>
  <w:style w:type="paragraph" w:customStyle="1" w:styleId="TableandFigureFootnotes">
    <w:name w:val="Table and Figure Footnotes"/>
    <w:basedOn w:val="Normal"/>
    <w:qFormat/>
    <w:rsid w:val="000F4B0D"/>
    <w:rPr>
      <w:sz w:val="20"/>
      <w:szCs w:val="20"/>
    </w:rPr>
  </w:style>
  <w:style w:type="paragraph" w:styleId="TOC1">
    <w:name w:val="toc 1"/>
    <w:basedOn w:val="Normal"/>
    <w:next w:val="Normal"/>
    <w:autoRedefine/>
    <w:uiPriority w:val="39"/>
    <w:unhideWhenUsed/>
    <w:rsid w:val="000F4B0D"/>
    <w:pPr>
      <w:tabs>
        <w:tab w:val="left" w:pos="440"/>
        <w:tab w:val="right" w:leader="dot" w:pos="8990"/>
      </w:tabs>
      <w:spacing w:after="100"/>
    </w:pPr>
    <w:rPr>
      <w:b/>
    </w:rPr>
  </w:style>
  <w:style w:type="paragraph" w:styleId="TOC2">
    <w:name w:val="toc 2"/>
    <w:basedOn w:val="Normal"/>
    <w:next w:val="Normal"/>
    <w:autoRedefine/>
    <w:uiPriority w:val="39"/>
    <w:unhideWhenUsed/>
    <w:rsid w:val="000F4B0D"/>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0F4B0D"/>
    <w:pPr>
      <w:tabs>
        <w:tab w:val="left" w:pos="1170"/>
        <w:tab w:val="right" w:leader="dot" w:pos="8990"/>
      </w:tabs>
      <w:spacing w:after="100"/>
      <w:ind w:left="440"/>
    </w:pPr>
  </w:style>
  <w:style w:type="paragraph" w:styleId="TOC4">
    <w:name w:val="toc 4"/>
    <w:basedOn w:val="Normal"/>
    <w:next w:val="Normal"/>
    <w:autoRedefine/>
    <w:uiPriority w:val="39"/>
    <w:unhideWhenUsed/>
    <w:rsid w:val="000F4B0D"/>
    <w:pPr>
      <w:tabs>
        <w:tab w:val="left" w:pos="1530"/>
        <w:tab w:val="right" w:leader="dot" w:pos="8990"/>
      </w:tabs>
      <w:spacing w:after="100"/>
      <w:ind w:left="660"/>
    </w:pPr>
    <w:rPr>
      <w:noProof/>
    </w:rPr>
  </w:style>
  <w:style w:type="paragraph" w:styleId="FootnoteText">
    <w:name w:val="footnote text"/>
    <w:basedOn w:val="Normal"/>
    <w:link w:val="FootnoteTextChar"/>
    <w:semiHidden/>
    <w:unhideWhenUsed/>
    <w:rsid w:val="000F4B0D"/>
    <w:rPr>
      <w:sz w:val="16"/>
      <w:szCs w:val="20"/>
    </w:rPr>
  </w:style>
  <w:style w:type="character" w:customStyle="1" w:styleId="FootnoteTextChar">
    <w:name w:val="Footnote Text Char"/>
    <w:basedOn w:val="DefaultParagraphFont"/>
    <w:link w:val="FootnoteText"/>
    <w:semiHidden/>
    <w:rsid w:val="000F4B0D"/>
    <w:rPr>
      <w:rFonts w:eastAsiaTheme="minorHAnsi" w:cstheme="minorBidi"/>
      <w:sz w:val="16"/>
    </w:rPr>
  </w:style>
  <w:style w:type="character" w:customStyle="1" w:styleId="ReferenceListChar">
    <w:name w:val="Reference List Char"/>
    <w:basedOn w:val="DefaultParagraphFont"/>
    <w:link w:val="ReferenceList"/>
    <w:rsid w:val="000F4B0D"/>
    <w:rPr>
      <w:rFonts w:eastAsiaTheme="minorHAnsi" w:cstheme="minorBidi"/>
    </w:rPr>
  </w:style>
  <w:style w:type="paragraph" w:customStyle="1" w:styleId="ReferenceList0">
    <w:name w:val="ReferenceList"/>
    <w:basedOn w:val="BodyText"/>
    <w:link w:val="ReferenceListChar0"/>
    <w:rsid w:val="000F4B0D"/>
    <w:pPr>
      <w:spacing w:after="0"/>
      <w:ind w:left="360" w:hanging="360"/>
    </w:pPr>
  </w:style>
  <w:style w:type="character" w:customStyle="1" w:styleId="ReferenceListChar0">
    <w:name w:val="ReferenceList Char"/>
    <w:basedOn w:val="BodyTextChar"/>
    <w:link w:val="ReferenceList0"/>
    <w:rsid w:val="000F4B0D"/>
    <w:rPr>
      <w:rFonts w:eastAsiaTheme="minorHAnsi"/>
      <w:sz w:val="24"/>
      <w:szCs w:val="24"/>
    </w:rPr>
  </w:style>
  <w:style w:type="paragraph" w:styleId="TableofFigures">
    <w:name w:val="table of figures"/>
    <w:basedOn w:val="Normal"/>
    <w:next w:val="Normal"/>
    <w:uiPriority w:val="99"/>
    <w:unhideWhenUsed/>
    <w:rsid w:val="000F4B0D"/>
  </w:style>
  <w:style w:type="paragraph" w:customStyle="1" w:styleId="MTDisplayEquation">
    <w:name w:val="MTDisplayEquation"/>
    <w:basedOn w:val="BodyText"/>
    <w:next w:val="Normal"/>
    <w:link w:val="MTDisplayEquationChar"/>
    <w:rsid w:val="000F4B0D"/>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0F4B0D"/>
    <w:rPr>
      <w:rFonts w:eastAsiaTheme="minorHAnsi"/>
      <w:bCs/>
      <w:sz w:val="24"/>
      <w:szCs w:val="24"/>
    </w:rPr>
  </w:style>
  <w:style w:type="character" w:customStyle="1" w:styleId="MTEquationSection">
    <w:name w:val="MTEquationSection"/>
    <w:basedOn w:val="DefaultParagraphFont"/>
    <w:rsid w:val="000F4B0D"/>
    <w:rPr>
      <w:vanish/>
      <w:color w:val="FF0000"/>
    </w:rPr>
  </w:style>
  <w:style w:type="paragraph" w:customStyle="1" w:styleId="Eqn">
    <w:name w:val="Eqn"/>
    <w:basedOn w:val="MTDisplayEquation"/>
    <w:link w:val="EqnChar"/>
    <w:qFormat/>
    <w:rsid w:val="000F4B0D"/>
    <w:pPr>
      <w:spacing w:before="240" w:after="240"/>
      <w:jc w:val="right"/>
    </w:pPr>
  </w:style>
  <w:style w:type="character" w:customStyle="1" w:styleId="EqnChar">
    <w:name w:val="Eqn Char"/>
    <w:basedOn w:val="MTDisplayEquationChar"/>
    <w:link w:val="Eqn"/>
    <w:rsid w:val="000F4B0D"/>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4104">
      <w:bodyDiv w:val="1"/>
      <w:marLeft w:val="0"/>
      <w:marRight w:val="0"/>
      <w:marTop w:val="0"/>
      <w:marBottom w:val="0"/>
      <w:divBdr>
        <w:top w:val="none" w:sz="0" w:space="0" w:color="auto"/>
        <w:left w:val="none" w:sz="0" w:space="0" w:color="auto"/>
        <w:bottom w:val="none" w:sz="0" w:space="0" w:color="auto"/>
        <w:right w:val="none" w:sz="0" w:space="0" w:color="auto"/>
      </w:divBdr>
    </w:div>
    <w:div w:id="294288879">
      <w:bodyDiv w:val="1"/>
      <w:marLeft w:val="0"/>
      <w:marRight w:val="0"/>
      <w:marTop w:val="0"/>
      <w:marBottom w:val="0"/>
      <w:divBdr>
        <w:top w:val="none" w:sz="0" w:space="0" w:color="auto"/>
        <w:left w:val="none" w:sz="0" w:space="0" w:color="auto"/>
        <w:bottom w:val="none" w:sz="0" w:space="0" w:color="auto"/>
        <w:right w:val="none" w:sz="0" w:space="0" w:color="auto"/>
      </w:divBdr>
    </w:div>
    <w:div w:id="171615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image" Target="media/image2.w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F470-5FCE-4A7F-8B23-5F263174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79</TotalTime>
  <Pages>9</Pages>
  <Words>3392</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SOP 9 Control Charts for Calibration of Mass Standards</vt:lpstr>
    </vt:vector>
  </TitlesOfParts>
  <Company>NIST</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9 Control Charts for Calibration of Mass Standards</dc:title>
  <dc:subject>measurement assurance, control charts</dc:subject>
  <dc:creator>Georgia Harris;g.harris@nist.gov</dc:creator>
  <cp:keywords>check standards, control charts, mass calibration</cp:keywords>
  <cp:lastModifiedBy>Harris, Georgia L. (Fed)</cp:lastModifiedBy>
  <cp:revision>8</cp:revision>
  <cp:lastPrinted>2018-01-02T20:39:00Z</cp:lastPrinted>
  <dcterms:created xsi:type="dcterms:W3CDTF">2019-03-18T16:00:00Z</dcterms:created>
  <dcterms:modified xsi:type="dcterms:W3CDTF">2019-05-06T19:04:00Z</dcterms:modified>
  <cp:category>control charts, measurement assurance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ies>
</file>