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90" w:rsidRPr="00145A52" w:rsidRDefault="006F33A7" w:rsidP="006F33A7">
      <w:pPr>
        <w:jc w:val="center"/>
        <w:rPr>
          <w:b/>
          <w:sz w:val="32"/>
        </w:rPr>
      </w:pPr>
      <w:r w:rsidRPr="00145A52">
        <w:rPr>
          <w:b/>
          <w:sz w:val="32"/>
        </w:rPr>
        <w:t xml:space="preserve">NIST </w:t>
      </w:r>
      <w:r w:rsidR="009812C7" w:rsidRPr="00145A52">
        <w:rPr>
          <w:b/>
          <w:sz w:val="32"/>
        </w:rPr>
        <w:t>U.S. National Work Group</w:t>
      </w:r>
    </w:p>
    <w:p w:rsidR="00380D23" w:rsidRPr="006F33A7" w:rsidRDefault="00A64FC7" w:rsidP="006F33A7">
      <w:pPr>
        <w:jc w:val="center"/>
        <w:rPr>
          <w:b/>
          <w:bCs/>
          <w:sz w:val="32"/>
        </w:rPr>
      </w:pPr>
      <w:r w:rsidRPr="006F33A7">
        <w:rPr>
          <w:b/>
          <w:sz w:val="32"/>
        </w:rPr>
        <w:t xml:space="preserve">Measuring Systems for Electric Vehicle Fueling </w:t>
      </w:r>
      <w:r w:rsidR="00024EA4" w:rsidRPr="006F33A7">
        <w:rPr>
          <w:b/>
          <w:sz w:val="32"/>
        </w:rPr>
        <w:t>and Submetering</w:t>
      </w:r>
    </w:p>
    <w:p w:rsidR="00B24E90" w:rsidRPr="006F33A7" w:rsidRDefault="00CE081E" w:rsidP="006F33A7">
      <w:pPr>
        <w:jc w:val="center"/>
        <w:rPr>
          <w:b/>
        </w:rPr>
      </w:pPr>
      <w:r>
        <w:rPr>
          <w:b/>
        </w:rPr>
        <w:t>March</w:t>
      </w:r>
      <w:r w:rsidR="0057621B" w:rsidRPr="006F33A7">
        <w:rPr>
          <w:b/>
        </w:rPr>
        <w:t xml:space="preserve"> </w:t>
      </w:r>
      <w:r>
        <w:rPr>
          <w:b/>
        </w:rPr>
        <w:t>26</w:t>
      </w:r>
      <w:r w:rsidR="00B24E90" w:rsidRPr="006F33A7">
        <w:rPr>
          <w:b/>
        </w:rPr>
        <w:t>, 20</w:t>
      </w:r>
      <w:r w:rsidR="007E6C3A" w:rsidRPr="006F33A7">
        <w:rPr>
          <w:b/>
        </w:rPr>
        <w:t>1</w:t>
      </w:r>
      <w:r w:rsidR="0057621B" w:rsidRPr="006F33A7">
        <w:rPr>
          <w:b/>
        </w:rPr>
        <w:t xml:space="preserve">3 </w:t>
      </w:r>
      <w:r w:rsidR="00B24E90" w:rsidRPr="006F33A7">
        <w:rPr>
          <w:b/>
        </w:rPr>
        <w:t>Meeting</w:t>
      </w:r>
    </w:p>
    <w:p w:rsidR="001D7D95" w:rsidRPr="006F33A7" w:rsidRDefault="001D7D95" w:rsidP="006F33A7">
      <w:pPr>
        <w:jc w:val="center"/>
        <w:rPr>
          <w:b/>
          <w:sz w:val="28"/>
        </w:rPr>
      </w:pPr>
    </w:p>
    <w:p w:rsidR="00B24E90" w:rsidRPr="00145A52" w:rsidRDefault="00B94D6E" w:rsidP="006F33A7">
      <w:pPr>
        <w:jc w:val="center"/>
        <w:rPr>
          <w:b/>
          <w:sz w:val="32"/>
        </w:rPr>
      </w:pPr>
      <w:r>
        <w:rPr>
          <w:b/>
          <w:sz w:val="32"/>
        </w:rPr>
        <w:t>M</w:t>
      </w:r>
      <w:r w:rsidR="006F33A7" w:rsidRPr="00145A52">
        <w:rPr>
          <w:b/>
          <w:sz w:val="32"/>
        </w:rPr>
        <w:t>eeting Summary</w:t>
      </w:r>
    </w:p>
    <w:p w:rsidR="00B24E90" w:rsidRDefault="00B24E90" w:rsidP="006F33A7"/>
    <w:p w:rsidR="002E1B27" w:rsidRDefault="00FE792A" w:rsidP="0077094E">
      <w:pPr>
        <w:jc w:val="both"/>
        <w:rPr>
          <w:rFonts w:eastAsia="Times New Roman"/>
          <w:sz w:val="22"/>
          <w:szCs w:val="22"/>
          <w:lang w:eastAsia="en-US"/>
        </w:rPr>
      </w:pPr>
      <w:r w:rsidRPr="00310CCC">
        <w:rPr>
          <w:rFonts w:eastAsia="Times New Roman"/>
          <w:b/>
          <w:sz w:val="22"/>
          <w:szCs w:val="22"/>
          <w:lang w:eastAsia="en-US"/>
        </w:rPr>
        <w:t>Purpose:</w:t>
      </w:r>
      <w:r w:rsidRPr="00FE792A">
        <w:rPr>
          <w:rFonts w:eastAsia="Times New Roman"/>
          <w:sz w:val="22"/>
          <w:szCs w:val="22"/>
          <w:lang w:eastAsia="en-US"/>
        </w:rPr>
        <w:t xml:space="preserve">  The </w:t>
      </w:r>
      <w:r w:rsidR="006F33A7">
        <w:rPr>
          <w:rFonts w:eastAsia="Times New Roman"/>
          <w:sz w:val="22"/>
          <w:szCs w:val="22"/>
          <w:lang w:eastAsia="en-US"/>
        </w:rPr>
        <w:t>NIST</w:t>
      </w:r>
      <w:r w:rsidR="00145A52">
        <w:rPr>
          <w:rFonts w:eastAsia="Times New Roman"/>
          <w:sz w:val="22"/>
          <w:szCs w:val="22"/>
          <w:lang w:eastAsia="en-US"/>
        </w:rPr>
        <w:t xml:space="preserve"> </w:t>
      </w:r>
      <w:r w:rsidRPr="00FE792A">
        <w:rPr>
          <w:rFonts w:eastAsia="Times New Roman"/>
          <w:sz w:val="22"/>
          <w:szCs w:val="22"/>
          <w:lang w:eastAsia="en-US"/>
        </w:rPr>
        <w:t xml:space="preserve">U.S. National Work Group </w:t>
      </w:r>
      <w:r w:rsidR="002425E2">
        <w:rPr>
          <w:rFonts w:eastAsia="Times New Roman"/>
          <w:sz w:val="22"/>
          <w:szCs w:val="22"/>
          <w:lang w:eastAsia="en-US"/>
        </w:rPr>
        <w:t>(</w:t>
      </w:r>
      <w:r w:rsidR="002425E2" w:rsidRPr="00FE792A">
        <w:rPr>
          <w:rFonts w:eastAsia="Times New Roman"/>
          <w:sz w:val="22"/>
          <w:szCs w:val="22"/>
          <w:lang w:eastAsia="en-US"/>
        </w:rPr>
        <w:t>USNWG</w:t>
      </w:r>
      <w:r w:rsidR="002425E2">
        <w:rPr>
          <w:rFonts w:eastAsia="Times New Roman"/>
          <w:sz w:val="22"/>
          <w:szCs w:val="22"/>
          <w:lang w:eastAsia="en-US"/>
        </w:rPr>
        <w:t>)</w:t>
      </w:r>
      <w:r w:rsidR="002425E2" w:rsidRPr="00FE792A">
        <w:rPr>
          <w:rFonts w:eastAsia="Times New Roman"/>
          <w:sz w:val="22"/>
          <w:szCs w:val="22"/>
          <w:lang w:eastAsia="en-US"/>
        </w:rPr>
        <w:t xml:space="preserve"> </w:t>
      </w:r>
      <w:r w:rsidRPr="00FE792A">
        <w:rPr>
          <w:rFonts w:eastAsia="Times New Roman"/>
          <w:sz w:val="22"/>
          <w:szCs w:val="22"/>
          <w:lang w:eastAsia="en-US"/>
        </w:rPr>
        <w:t>on Measuring Systems for Electric Vehicle Fueling</w:t>
      </w:r>
      <w:r w:rsidR="00FA4824">
        <w:rPr>
          <w:rFonts w:eastAsia="Times New Roman"/>
          <w:sz w:val="22"/>
          <w:szCs w:val="22"/>
          <w:lang w:eastAsia="en-US"/>
        </w:rPr>
        <w:t xml:space="preserve"> and Submetering</w:t>
      </w:r>
      <w:r w:rsidRPr="00FE792A">
        <w:rPr>
          <w:rFonts w:eastAsia="Times New Roman"/>
          <w:sz w:val="22"/>
          <w:szCs w:val="22"/>
          <w:lang w:eastAsia="en-US"/>
        </w:rPr>
        <w:t xml:space="preserve"> </w:t>
      </w:r>
      <w:r w:rsidR="00FA4824" w:rsidRPr="00FE792A">
        <w:rPr>
          <w:rFonts w:eastAsia="Times New Roman"/>
          <w:sz w:val="22"/>
          <w:szCs w:val="22"/>
          <w:lang w:eastAsia="en-US"/>
        </w:rPr>
        <w:t>(</w:t>
      </w:r>
      <w:r w:rsidR="00FA4824">
        <w:rPr>
          <w:rFonts w:eastAsia="Times New Roman"/>
          <w:sz w:val="22"/>
          <w:szCs w:val="22"/>
          <w:lang w:eastAsia="en-US"/>
        </w:rPr>
        <w:t>EVF&amp;S</w:t>
      </w:r>
      <w:r w:rsidR="00FA4824" w:rsidRPr="00FE792A">
        <w:rPr>
          <w:rFonts w:eastAsia="Times New Roman"/>
          <w:sz w:val="22"/>
          <w:szCs w:val="22"/>
          <w:lang w:eastAsia="en-US"/>
        </w:rPr>
        <w:t xml:space="preserve">) </w:t>
      </w:r>
      <w:r w:rsidR="00FA4824">
        <w:rPr>
          <w:rFonts w:eastAsia="Times New Roman"/>
          <w:sz w:val="22"/>
          <w:szCs w:val="22"/>
          <w:lang w:eastAsia="en-US"/>
        </w:rPr>
        <w:t>was formed</w:t>
      </w:r>
      <w:r w:rsidRPr="00FE792A">
        <w:rPr>
          <w:rFonts w:eastAsia="Times New Roman"/>
          <w:sz w:val="22"/>
          <w:szCs w:val="22"/>
          <w:lang w:eastAsia="en-US"/>
        </w:rPr>
        <w:t xml:space="preserve"> to develop proposed requirements for commercial </w:t>
      </w:r>
      <w:r w:rsidR="00D22469">
        <w:rPr>
          <w:rFonts w:eastAsia="Times New Roman"/>
          <w:sz w:val="22"/>
          <w:szCs w:val="22"/>
          <w:lang w:eastAsia="en-US"/>
        </w:rPr>
        <w:t>electrical energy</w:t>
      </w:r>
      <w:r w:rsidR="0053099E">
        <w:rPr>
          <w:rFonts w:eastAsia="Times New Roman"/>
          <w:sz w:val="22"/>
          <w:szCs w:val="22"/>
          <w:lang w:eastAsia="en-US"/>
        </w:rPr>
        <w:noBreakHyphen/>
      </w:r>
      <w:r w:rsidRPr="00FE792A">
        <w:rPr>
          <w:rFonts w:eastAsia="Times New Roman"/>
          <w:sz w:val="22"/>
          <w:szCs w:val="22"/>
          <w:lang w:eastAsia="en-US"/>
        </w:rPr>
        <w:t xml:space="preserve">measuring devices (including those used </w:t>
      </w:r>
      <w:r w:rsidR="00FA4824" w:rsidRPr="00FE792A">
        <w:rPr>
          <w:rFonts w:eastAsia="Times New Roman"/>
          <w:sz w:val="22"/>
          <w:szCs w:val="22"/>
          <w:lang w:eastAsia="en-US"/>
        </w:rPr>
        <w:t xml:space="preserve">to measure and sell </w:t>
      </w:r>
      <w:r w:rsidR="00D22469">
        <w:rPr>
          <w:rFonts w:eastAsia="Times New Roman"/>
          <w:sz w:val="22"/>
          <w:szCs w:val="22"/>
          <w:lang w:eastAsia="en-US"/>
        </w:rPr>
        <w:t>electrical energy</w:t>
      </w:r>
      <w:r w:rsidR="00FA4824" w:rsidRPr="00FE792A">
        <w:rPr>
          <w:rFonts w:eastAsia="Times New Roman"/>
          <w:sz w:val="22"/>
          <w:szCs w:val="22"/>
          <w:lang w:eastAsia="en-US"/>
        </w:rPr>
        <w:t xml:space="preserve"> commercially </w:t>
      </w:r>
      <w:r w:rsidR="00FA4824">
        <w:rPr>
          <w:rFonts w:eastAsia="Times New Roman"/>
          <w:sz w:val="22"/>
          <w:szCs w:val="22"/>
          <w:lang w:eastAsia="en-US"/>
        </w:rPr>
        <w:t>delivered</w:t>
      </w:r>
      <w:r w:rsidR="00FA4824" w:rsidRPr="00FE792A">
        <w:rPr>
          <w:rFonts w:eastAsia="Times New Roman"/>
          <w:sz w:val="22"/>
          <w:szCs w:val="22"/>
          <w:lang w:eastAsia="en-US"/>
        </w:rPr>
        <w:t xml:space="preserve"> as vehicle fuel </w:t>
      </w:r>
      <w:r w:rsidR="00FA4824">
        <w:rPr>
          <w:rFonts w:eastAsia="Times New Roman"/>
          <w:sz w:val="22"/>
          <w:szCs w:val="22"/>
          <w:lang w:eastAsia="en-US"/>
        </w:rPr>
        <w:t xml:space="preserve">and those used </w:t>
      </w:r>
      <w:r w:rsidRPr="00FE792A">
        <w:rPr>
          <w:rFonts w:eastAsia="Times New Roman"/>
          <w:sz w:val="22"/>
          <w:szCs w:val="22"/>
          <w:lang w:eastAsia="en-US"/>
        </w:rPr>
        <w:t xml:space="preserve">in submetering </w:t>
      </w:r>
      <w:r w:rsidR="00D22469">
        <w:rPr>
          <w:rFonts w:eastAsia="Times New Roman"/>
          <w:sz w:val="22"/>
          <w:szCs w:val="22"/>
          <w:lang w:eastAsia="en-US"/>
        </w:rPr>
        <w:t>electrical energy</w:t>
      </w:r>
      <w:r w:rsidRPr="00FE792A">
        <w:rPr>
          <w:rFonts w:eastAsia="Times New Roman"/>
          <w:sz w:val="22"/>
          <w:szCs w:val="22"/>
          <w:lang w:eastAsia="en-US"/>
        </w:rPr>
        <w:t xml:space="preserve"> at residential and business location</w:t>
      </w:r>
      <w:r w:rsidR="00FA4824">
        <w:rPr>
          <w:rFonts w:eastAsia="Times New Roman"/>
          <w:sz w:val="22"/>
          <w:szCs w:val="22"/>
          <w:lang w:eastAsia="en-US"/>
        </w:rPr>
        <w:t>s</w:t>
      </w:r>
      <w:r w:rsidRPr="00FE792A">
        <w:rPr>
          <w:rFonts w:eastAsia="Times New Roman"/>
          <w:sz w:val="22"/>
          <w:szCs w:val="22"/>
          <w:lang w:eastAsia="en-US"/>
        </w:rPr>
        <w:t xml:space="preserve">) and to ensure that the prescribed methodologies and standards facilitate measurements that are traceable to the International System of Units (SI). This work is not intended to address utility metering in the home or business where the </w:t>
      </w:r>
      <w:r w:rsidR="00D22469">
        <w:rPr>
          <w:rFonts w:eastAsia="Times New Roman"/>
          <w:sz w:val="22"/>
          <w:szCs w:val="22"/>
          <w:lang w:eastAsia="en-US"/>
        </w:rPr>
        <w:t>electrical energy</w:t>
      </w:r>
      <w:r w:rsidRPr="00FE792A">
        <w:rPr>
          <w:rFonts w:eastAsia="Times New Roman"/>
          <w:sz w:val="22"/>
          <w:szCs w:val="22"/>
          <w:lang w:eastAsia="en-US"/>
        </w:rPr>
        <w:t xml:space="preserve"> meter is</w:t>
      </w:r>
      <w:r w:rsidR="00FA4824" w:rsidRPr="00FA4824">
        <w:t xml:space="preserve"> </w:t>
      </w:r>
      <w:r w:rsidR="00FA4824" w:rsidRPr="00FA4824">
        <w:rPr>
          <w:rFonts w:eastAsia="Times New Roman"/>
          <w:sz w:val="22"/>
          <w:szCs w:val="22"/>
          <w:lang w:eastAsia="en-US"/>
        </w:rPr>
        <w:t xml:space="preserve">used by a public utility in connection with measuring </w:t>
      </w:r>
      <w:r w:rsidR="00D22469">
        <w:rPr>
          <w:rFonts w:eastAsia="Times New Roman"/>
          <w:sz w:val="22"/>
          <w:szCs w:val="22"/>
          <w:lang w:eastAsia="en-US"/>
        </w:rPr>
        <w:t>electrical energy</w:t>
      </w:r>
      <w:r w:rsidR="00FA4824" w:rsidRPr="00FA4824">
        <w:rPr>
          <w:rFonts w:eastAsia="Times New Roman"/>
          <w:sz w:val="22"/>
          <w:szCs w:val="22"/>
          <w:lang w:eastAsia="en-US"/>
        </w:rPr>
        <w:t xml:space="preserve"> subject to the jurisdiction of </w:t>
      </w:r>
      <w:r w:rsidR="00FA4824">
        <w:rPr>
          <w:rFonts w:eastAsia="Times New Roman"/>
          <w:sz w:val="22"/>
          <w:szCs w:val="22"/>
          <w:lang w:eastAsia="en-US"/>
        </w:rPr>
        <w:t>a</w:t>
      </w:r>
      <w:r w:rsidR="00FA4824" w:rsidRPr="00FA4824">
        <w:rPr>
          <w:rFonts w:eastAsia="Times New Roman"/>
          <w:sz w:val="22"/>
          <w:szCs w:val="22"/>
          <w:lang w:eastAsia="en-US"/>
        </w:rPr>
        <w:t xml:space="preserve"> Public Utilities Commission</w:t>
      </w:r>
      <w:r w:rsidR="00FA4824">
        <w:rPr>
          <w:rFonts w:eastAsia="Times New Roman"/>
          <w:sz w:val="22"/>
          <w:szCs w:val="22"/>
          <w:lang w:eastAsia="en-US"/>
        </w:rPr>
        <w:t xml:space="preserve"> or other municipality</w:t>
      </w:r>
      <w:r w:rsidRPr="00FE792A">
        <w:rPr>
          <w:rFonts w:eastAsia="Times New Roman"/>
          <w:sz w:val="22"/>
          <w:szCs w:val="22"/>
          <w:lang w:eastAsia="en-US"/>
        </w:rPr>
        <w:t>.</w:t>
      </w:r>
    </w:p>
    <w:sdt>
      <w:sdtPr>
        <w:rPr>
          <w:rFonts w:ascii="Times New Roman" w:eastAsia="MS Mincho" w:hAnsi="Times New Roman" w:cs="Times New Roman"/>
          <w:b w:val="0"/>
          <w:bCs w:val="0"/>
          <w:color w:val="auto"/>
          <w:sz w:val="22"/>
          <w:szCs w:val="24"/>
        </w:rPr>
        <w:id w:val="219864510"/>
        <w:docPartObj>
          <w:docPartGallery w:val="Table of Contents"/>
          <w:docPartUnique/>
        </w:docPartObj>
      </w:sdtPr>
      <w:sdtEndPr>
        <w:rPr>
          <w:noProof/>
        </w:rPr>
      </w:sdtEndPr>
      <w:sdtContent>
        <w:p w:rsidR="006F33A7" w:rsidRPr="001211B3" w:rsidRDefault="006F33A7" w:rsidP="006F33A7">
          <w:pPr>
            <w:pStyle w:val="TOCHeading"/>
            <w:jc w:val="center"/>
            <w:rPr>
              <w:color w:val="auto"/>
              <w:sz w:val="24"/>
            </w:rPr>
          </w:pPr>
          <w:r w:rsidRPr="001211B3">
            <w:rPr>
              <w:color w:val="auto"/>
              <w:sz w:val="24"/>
            </w:rPr>
            <w:t>Table of Contents</w:t>
          </w:r>
        </w:p>
        <w:p w:rsidR="005C67BC" w:rsidRDefault="006F33A7">
          <w:pPr>
            <w:pStyle w:val="TOC2"/>
            <w:tabs>
              <w:tab w:val="right" w:leader="dot" w:pos="10068"/>
            </w:tabs>
            <w:rPr>
              <w:rFonts w:asciiTheme="minorHAnsi" w:eastAsiaTheme="minorEastAsia" w:hAnsiTheme="minorHAnsi" w:cstheme="minorBidi"/>
              <w:noProof/>
              <w:sz w:val="22"/>
              <w:szCs w:val="22"/>
              <w:lang w:eastAsia="en-US"/>
            </w:rPr>
          </w:pPr>
          <w:r w:rsidRPr="000D26B8">
            <w:rPr>
              <w:sz w:val="20"/>
            </w:rPr>
            <w:fldChar w:fldCharType="begin"/>
          </w:r>
          <w:r w:rsidRPr="000D26B8">
            <w:rPr>
              <w:sz w:val="20"/>
            </w:rPr>
            <w:instrText xml:space="preserve"> TOC \o "1-3" \h \z \u </w:instrText>
          </w:r>
          <w:r w:rsidRPr="000D26B8">
            <w:rPr>
              <w:sz w:val="20"/>
            </w:rPr>
            <w:fldChar w:fldCharType="separate"/>
          </w:r>
          <w:hyperlink w:anchor="_Toc358047811" w:history="1">
            <w:r w:rsidR="005C67BC" w:rsidRPr="00E7492C">
              <w:rPr>
                <w:rStyle w:val="Hyperlink"/>
                <w:noProof/>
              </w:rPr>
              <w:t>1.  Welcome New Members and Introductions</w:t>
            </w:r>
            <w:r w:rsidR="005C67BC">
              <w:rPr>
                <w:noProof/>
                <w:webHidden/>
              </w:rPr>
              <w:tab/>
            </w:r>
            <w:r w:rsidR="005C67BC">
              <w:rPr>
                <w:noProof/>
                <w:webHidden/>
              </w:rPr>
              <w:fldChar w:fldCharType="begin"/>
            </w:r>
            <w:r w:rsidR="005C67BC">
              <w:rPr>
                <w:noProof/>
                <w:webHidden/>
              </w:rPr>
              <w:instrText xml:space="preserve"> PAGEREF _Toc358047811 \h </w:instrText>
            </w:r>
            <w:r w:rsidR="005C67BC">
              <w:rPr>
                <w:noProof/>
                <w:webHidden/>
              </w:rPr>
            </w:r>
            <w:r w:rsidR="005C67BC">
              <w:rPr>
                <w:noProof/>
                <w:webHidden/>
              </w:rPr>
              <w:fldChar w:fldCharType="separate"/>
            </w:r>
            <w:r w:rsidR="00B94D6E">
              <w:rPr>
                <w:noProof/>
                <w:webHidden/>
              </w:rPr>
              <w:t>2</w:t>
            </w:r>
            <w:r w:rsidR="005C67BC">
              <w:rPr>
                <w:noProof/>
                <w:webHidden/>
              </w:rPr>
              <w:fldChar w:fldCharType="end"/>
            </w:r>
          </w:hyperlink>
        </w:p>
        <w:p w:rsidR="005C67BC" w:rsidRDefault="00DD5DB6">
          <w:pPr>
            <w:pStyle w:val="TOC2"/>
            <w:tabs>
              <w:tab w:val="right" w:leader="dot" w:pos="10068"/>
            </w:tabs>
            <w:rPr>
              <w:rFonts w:asciiTheme="minorHAnsi" w:eastAsiaTheme="minorEastAsia" w:hAnsiTheme="minorHAnsi" w:cstheme="minorBidi"/>
              <w:noProof/>
              <w:sz w:val="22"/>
              <w:szCs w:val="22"/>
              <w:lang w:eastAsia="en-US"/>
            </w:rPr>
          </w:pPr>
          <w:hyperlink w:anchor="_Toc358047812" w:history="1">
            <w:r w:rsidR="005C67BC" w:rsidRPr="00E7492C">
              <w:rPr>
                <w:rStyle w:val="Hyperlink"/>
                <w:noProof/>
              </w:rPr>
              <w:t>2.  Summary of January 15-17, 2013 Meeting</w:t>
            </w:r>
            <w:r w:rsidR="005C67BC">
              <w:rPr>
                <w:noProof/>
                <w:webHidden/>
              </w:rPr>
              <w:tab/>
            </w:r>
            <w:r w:rsidR="005C67BC">
              <w:rPr>
                <w:noProof/>
                <w:webHidden/>
              </w:rPr>
              <w:fldChar w:fldCharType="begin"/>
            </w:r>
            <w:r w:rsidR="005C67BC">
              <w:rPr>
                <w:noProof/>
                <w:webHidden/>
              </w:rPr>
              <w:instrText xml:space="preserve"> PAGEREF _Toc358047812 \h </w:instrText>
            </w:r>
            <w:r w:rsidR="005C67BC">
              <w:rPr>
                <w:noProof/>
                <w:webHidden/>
              </w:rPr>
            </w:r>
            <w:r w:rsidR="005C67BC">
              <w:rPr>
                <w:noProof/>
                <w:webHidden/>
              </w:rPr>
              <w:fldChar w:fldCharType="separate"/>
            </w:r>
            <w:r w:rsidR="00B94D6E">
              <w:rPr>
                <w:noProof/>
                <w:webHidden/>
              </w:rPr>
              <w:t>2</w:t>
            </w:r>
            <w:r w:rsidR="005C67BC">
              <w:rPr>
                <w:noProof/>
                <w:webHidden/>
              </w:rPr>
              <w:fldChar w:fldCharType="end"/>
            </w:r>
          </w:hyperlink>
        </w:p>
        <w:p w:rsidR="005C67BC" w:rsidRDefault="00DD5DB6">
          <w:pPr>
            <w:pStyle w:val="TOC2"/>
            <w:tabs>
              <w:tab w:val="right" w:leader="dot" w:pos="10068"/>
            </w:tabs>
            <w:rPr>
              <w:rFonts w:asciiTheme="minorHAnsi" w:eastAsiaTheme="minorEastAsia" w:hAnsiTheme="minorHAnsi" w:cstheme="minorBidi"/>
              <w:noProof/>
              <w:sz w:val="22"/>
              <w:szCs w:val="22"/>
              <w:lang w:eastAsia="en-US"/>
            </w:rPr>
          </w:pPr>
          <w:hyperlink w:anchor="_Toc358047813" w:history="1">
            <w:r w:rsidR="005C67BC" w:rsidRPr="00E7492C">
              <w:rPr>
                <w:rStyle w:val="Hyperlink"/>
                <w:noProof/>
              </w:rPr>
              <w:t>3.  USNWG Operational Guidelines and Agenda Submission Form</w:t>
            </w:r>
            <w:r w:rsidR="005C67BC">
              <w:rPr>
                <w:noProof/>
                <w:webHidden/>
              </w:rPr>
              <w:tab/>
            </w:r>
            <w:r w:rsidR="005C67BC">
              <w:rPr>
                <w:noProof/>
                <w:webHidden/>
              </w:rPr>
              <w:fldChar w:fldCharType="begin"/>
            </w:r>
            <w:r w:rsidR="005C67BC">
              <w:rPr>
                <w:noProof/>
                <w:webHidden/>
              </w:rPr>
              <w:instrText xml:space="preserve"> PAGEREF _Toc358047813 \h </w:instrText>
            </w:r>
            <w:r w:rsidR="005C67BC">
              <w:rPr>
                <w:noProof/>
                <w:webHidden/>
              </w:rPr>
            </w:r>
            <w:r w:rsidR="005C67BC">
              <w:rPr>
                <w:noProof/>
                <w:webHidden/>
              </w:rPr>
              <w:fldChar w:fldCharType="separate"/>
            </w:r>
            <w:r w:rsidR="00B94D6E">
              <w:rPr>
                <w:noProof/>
                <w:webHidden/>
              </w:rPr>
              <w:t>3</w:t>
            </w:r>
            <w:r w:rsidR="005C67BC">
              <w:rPr>
                <w:noProof/>
                <w:webHidden/>
              </w:rPr>
              <w:fldChar w:fldCharType="end"/>
            </w:r>
          </w:hyperlink>
        </w:p>
        <w:p w:rsidR="005C67BC" w:rsidRDefault="00DD5DB6">
          <w:pPr>
            <w:pStyle w:val="TOC2"/>
            <w:tabs>
              <w:tab w:val="right" w:leader="dot" w:pos="10068"/>
            </w:tabs>
            <w:rPr>
              <w:rFonts w:asciiTheme="minorHAnsi" w:eastAsiaTheme="minorEastAsia" w:hAnsiTheme="minorHAnsi" w:cstheme="minorBidi"/>
              <w:noProof/>
              <w:sz w:val="22"/>
              <w:szCs w:val="22"/>
              <w:lang w:eastAsia="en-US"/>
            </w:rPr>
          </w:pPr>
          <w:hyperlink w:anchor="_Toc358047814" w:history="1">
            <w:r w:rsidR="005C67BC" w:rsidRPr="00E7492C">
              <w:rPr>
                <w:rStyle w:val="Hyperlink"/>
                <w:noProof/>
              </w:rPr>
              <w:t>4.  HB 130 Method of Sale Regulation for Electricity as Vehicle Fuel</w:t>
            </w:r>
            <w:r w:rsidR="005C67BC">
              <w:rPr>
                <w:noProof/>
                <w:webHidden/>
              </w:rPr>
              <w:tab/>
            </w:r>
            <w:r w:rsidR="005C67BC">
              <w:rPr>
                <w:noProof/>
                <w:webHidden/>
              </w:rPr>
              <w:fldChar w:fldCharType="begin"/>
            </w:r>
            <w:r w:rsidR="005C67BC">
              <w:rPr>
                <w:noProof/>
                <w:webHidden/>
              </w:rPr>
              <w:instrText xml:space="preserve"> PAGEREF _Toc358047814 \h </w:instrText>
            </w:r>
            <w:r w:rsidR="005C67BC">
              <w:rPr>
                <w:noProof/>
                <w:webHidden/>
              </w:rPr>
            </w:r>
            <w:r w:rsidR="005C67BC">
              <w:rPr>
                <w:noProof/>
                <w:webHidden/>
              </w:rPr>
              <w:fldChar w:fldCharType="separate"/>
            </w:r>
            <w:r w:rsidR="00B94D6E">
              <w:rPr>
                <w:noProof/>
                <w:webHidden/>
              </w:rPr>
              <w:t>4</w:t>
            </w:r>
            <w:r w:rsidR="005C67BC">
              <w:rPr>
                <w:noProof/>
                <w:webHidden/>
              </w:rPr>
              <w:fldChar w:fldCharType="end"/>
            </w:r>
          </w:hyperlink>
        </w:p>
        <w:p w:rsidR="005C67BC" w:rsidRDefault="00DD5DB6">
          <w:pPr>
            <w:pStyle w:val="TOC2"/>
            <w:tabs>
              <w:tab w:val="right" w:leader="dot" w:pos="10068"/>
            </w:tabs>
            <w:rPr>
              <w:rFonts w:asciiTheme="minorHAnsi" w:eastAsiaTheme="minorEastAsia" w:hAnsiTheme="minorHAnsi" w:cstheme="minorBidi"/>
              <w:noProof/>
              <w:sz w:val="22"/>
              <w:szCs w:val="22"/>
              <w:lang w:eastAsia="en-US"/>
            </w:rPr>
          </w:pPr>
          <w:hyperlink w:anchor="_Toc358047815" w:history="1">
            <w:r w:rsidR="005C67BC" w:rsidRPr="00E7492C">
              <w:rPr>
                <w:rStyle w:val="Hyperlink"/>
                <w:noProof/>
              </w:rPr>
              <w:t>5.  USNWG Position Statement on the HB 130 MOS Proposal</w:t>
            </w:r>
            <w:r w:rsidR="005C67BC">
              <w:rPr>
                <w:noProof/>
                <w:webHidden/>
              </w:rPr>
              <w:tab/>
            </w:r>
            <w:r w:rsidR="005C67BC">
              <w:rPr>
                <w:noProof/>
                <w:webHidden/>
              </w:rPr>
              <w:fldChar w:fldCharType="begin"/>
            </w:r>
            <w:r w:rsidR="005C67BC">
              <w:rPr>
                <w:noProof/>
                <w:webHidden/>
              </w:rPr>
              <w:instrText xml:space="preserve"> PAGEREF _Toc358047815 \h </w:instrText>
            </w:r>
            <w:r w:rsidR="005C67BC">
              <w:rPr>
                <w:noProof/>
                <w:webHidden/>
              </w:rPr>
            </w:r>
            <w:r w:rsidR="005C67BC">
              <w:rPr>
                <w:noProof/>
                <w:webHidden/>
              </w:rPr>
              <w:fldChar w:fldCharType="separate"/>
            </w:r>
            <w:r w:rsidR="00B94D6E">
              <w:rPr>
                <w:noProof/>
                <w:webHidden/>
              </w:rPr>
              <w:t>6</w:t>
            </w:r>
            <w:r w:rsidR="005C67BC">
              <w:rPr>
                <w:noProof/>
                <w:webHidden/>
              </w:rPr>
              <w:fldChar w:fldCharType="end"/>
            </w:r>
          </w:hyperlink>
        </w:p>
        <w:p w:rsidR="005C67BC" w:rsidRDefault="00DD5DB6">
          <w:pPr>
            <w:pStyle w:val="TOC2"/>
            <w:tabs>
              <w:tab w:val="right" w:leader="dot" w:pos="10068"/>
            </w:tabs>
            <w:rPr>
              <w:rFonts w:asciiTheme="minorHAnsi" w:eastAsiaTheme="minorEastAsia" w:hAnsiTheme="minorHAnsi" w:cstheme="minorBidi"/>
              <w:noProof/>
              <w:sz w:val="22"/>
              <w:szCs w:val="22"/>
              <w:lang w:eastAsia="en-US"/>
            </w:rPr>
          </w:pPr>
          <w:hyperlink w:anchor="_Toc358047816" w:history="1">
            <w:r w:rsidR="005C67BC" w:rsidRPr="00E7492C">
              <w:rPr>
                <w:rStyle w:val="Hyperlink"/>
                <w:noProof/>
              </w:rPr>
              <w:t>6.  EVSE Meter Test Procedure and Equipment Drafting Subcommittee</w:t>
            </w:r>
            <w:r w:rsidR="005C67BC">
              <w:rPr>
                <w:noProof/>
                <w:webHidden/>
              </w:rPr>
              <w:tab/>
            </w:r>
            <w:r w:rsidR="005C67BC">
              <w:rPr>
                <w:noProof/>
                <w:webHidden/>
              </w:rPr>
              <w:fldChar w:fldCharType="begin"/>
            </w:r>
            <w:r w:rsidR="005C67BC">
              <w:rPr>
                <w:noProof/>
                <w:webHidden/>
              </w:rPr>
              <w:instrText xml:space="preserve"> PAGEREF _Toc358047816 \h </w:instrText>
            </w:r>
            <w:r w:rsidR="005C67BC">
              <w:rPr>
                <w:noProof/>
                <w:webHidden/>
              </w:rPr>
            </w:r>
            <w:r w:rsidR="005C67BC">
              <w:rPr>
                <w:noProof/>
                <w:webHidden/>
              </w:rPr>
              <w:fldChar w:fldCharType="separate"/>
            </w:r>
            <w:r w:rsidR="00B94D6E">
              <w:rPr>
                <w:noProof/>
                <w:webHidden/>
              </w:rPr>
              <w:t>7</w:t>
            </w:r>
            <w:r w:rsidR="005C67BC">
              <w:rPr>
                <w:noProof/>
                <w:webHidden/>
              </w:rPr>
              <w:fldChar w:fldCharType="end"/>
            </w:r>
          </w:hyperlink>
        </w:p>
        <w:p w:rsidR="005C67BC" w:rsidRDefault="00DD5DB6">
          <w:pPr>
            <w:pStyle w:val="TOC2"/>
            <w:tabs>
              <w:tab w:val="right" w:leader="dot" w:pos="10068"/>
            </w:tabs>
            <w:rPr>
              <w:rFonts w:asciiTheme="minorHAnsi" w:eastAsiaTheme="minorEastAsia" w:hAnsiTheme="minorHAnsi" w:cstheme="minorBidi"/>
              <w:noProof/>
              <w:sz w:val="22"/>
              <w:szCs w:val="22"/>
              <w:lang w:eastAsia="en-US"/>
            </w:rPr>
          </w:pPr>
          <w:hyperlink w:anchor="_Toc358047817" w:history="1">
            <w:r w:rsidR="005C67BC" w:rsidRPr="00E7492C">
              <w:rPr>
                <w:rStyle w:val="Hyperlink"/>
                <w:noProof/>
              </w:rPr>
              <w:t>7.  Draft NIST Handbook 44 Code for Electric Vehicle Fueling and Submetering</w:t>
            </w:r>
            <w:r w:rsidR="005C67BC">
              <w:rPr>
                <w:noProof/>
                <w:webHidden/>
              </w:rPr>
              <w:tab/>
            </w:r>
            <w:r w:rsidR="005C67BC">
              <w:rPr>
                <w:noProof/>
                <w:webHidden/>
              </w:rPr>
              <w:fldChar w:fldCharType="begin"/>
            </w:r>
            <w:r w:rsidR="005C67BC">
              <w:rPr>
                <w:noProof/>
                <w:webHidden/>
              </w:rPr>
              <w:instrText xml:space="preserve"> PAGEREF _Toc358047817 \h </w:instrText>
            </w:r>
            <w:r w:rsidR="005C67BC">
              <w:rPr>
                <w:noProof/>
                <w:webHidden/>
              </w:rPr>
            </w:r>
            <w:r w:rsidR="005C67BC">
              <w:rPr>
                <w:noProof/>
                <w:webHidden/>
              </w:rPr>
              <w:fldChar w:fldCharType="separate"/>
            </w:r>
            <w:r w:rsidR="00B94D6E">
              <w:rPr>
                <w:noProof/>
                <w:webHidden/>
              </w:rPr>
              <w:t>8</w:t>
            </w:r>
            <w:r w:rsidR="005C67BC">
              <w:rPr>
                <w:noProof/>
                <w:webHidden/>
              </w:rPr>
              <w:fldChar w:fldCharType="end"/>
            </w:r>
          </w:hyperlink>
        </w:p>
        <w:p w:rsidR="005C67BC" w:rsidRDefault="00DD5DB6">
          <w:pPr>
            <w:pStyle w:val="TOC2"/>
            <w:tabs>
              <w:tab w:val="right" w:leader="dot" w:pos="10068"/>
            </w:tabs>
            <w:rPr>
              <w:rFonts w:asciiTheme="minorHAnsi" w:eastAsiaTheme="minorEastAsia" w:hAnsiTheme="minorHAnsi" w:cstheme="minorBidi"/>
              <w:noProof/>
              <w:sz w:val="22"/>
              <w:szCs w:val="22"/>
              <w:lang w:eastAsia="en-US"/>
            </w:rPr>
          </w:pPr>
          <w:hyperlink w:anchor="_Toc358047818" w:history="1">
            <w:r w:rsidR="005C67BC" w:rsidRPr="00E7492C">
              <w:rPr>
                <w:rStyle w:val="Hyperlink"/>
                <w:noProof/>
              </w:rPr>
              <w:t>8.  Next Meeting</w:t>
            </w:r>
            <w:r w:rsidR="005C67BC">
              <w:rPr>
                <w:noProof/>
                <w:webHidden/>
              </w:rPr>
              <w:tab/>
            </w:r>
            <w:r w:rsidR="005C67BC">
              <w:rPr>
                <w:noProof/>
                <w:webHidden/>
              </w:rPr>
              <w:fldChar w:fldCharType="begin"/>
            </w:r>
            <w:r w:rsidR="005C67BC">
              <w:rPr>
                <w:noProof/>
                <w:webHidden/>
              </w:rPr>
              <w:instrText xml:space="preserve"> PAGEREF _Toc358047818 \h </w:instrText>
            </w:r>
            <w:r w:rsidR="005C67BC">
              <w:rPr>
                <w:noProof/>
                <w:webHidden/>
              </w:rPr>
            </w:r>
            <w:r w:rsidR="005C67BC">
              <w:rPr>
                <w:noProof/>
                <w:webHidden/>
              </w:rPr>
              <w:fldChar w:fldCharType="separate"/>
            </w:r>
            <w:r w:rsidR="00B94D6E">
              <w:rPr>
                <w:noProof/>
                <w:webHidden/>
              </w:rPr>
              <w:t>8</w:t>
            </w:r>
            <w:r w:rsidR="005C67BC">
              <w:rPr>
                <w:noProof/>
                <w:webHidden/>
              </w:rPr>
              <w:fldChar w:fldCharType="end"/>
            </w:r>
          </w:hyperlink>
        </w:p>
        <w:p w:rsidR="006F33A7" w:rsidRPr="000D26B8" w:rsidRDefault="006F33A7">
          <w:pPr>
            <w:rPr>
              <w:sz w:val="22"/>
            </w:rPr>
          </w:pPr>
          <w:r w:rsidRPr="000D26B8">
            <w:rPr>
              <w:b/>
              <w:bCs/>
              <w:noProof/>
              <w:sz w:val="20"/>
            </w:rPr>
            <w:fldChar w:fldCharType="end"/>
          </w:r>
        </w:p>
      </w:sdtContent>
    </w:sdt>
    <w:p w:rsidR="00B044ED" w:rsidRPr="000D20AE" w:rsidRDefault="00B044ED" w:rsidP="006F33A7">
      <w:pPr>
        <w:rPr>
          <w:rFonts w:eastAsia="Times New Roman"/>
          <w:sz w:val="32"/>
          <w:szCs w:val="22"/>
          <w:lang w:eastAsia="en-US"/>
        </w:rPr>
      </w:pPr>
    </w:p>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5270"/>
        <w:gridCol w:w="1023"/>
        <w:gridCol w:w="2909"/>
      </w:tblGrid>
      <w:tr w:rsidR="00B044ED" w:rsidRPr="000D20AE" w:rsidTr="000D20AE">
        <w:tc>
          <w:tcPr>
            <w:tcW w:w="10157" w:type="dxa"/>
            <w:gridSpan w:val="4"/>
            <w:shd w:val="clear" w:color="auto" w:fill="C6D9F1" w:themeFill="text2" w:themeFillTint="33"/>
          </w:tcPr>
          <w:p w:rsidR="00B044ED" w:rsidRPr="000D20AE" w:rsidRDefault="00B044ED" w:rsidP="00B044ED">
            <w:pPr>
              <w:jc w:val="center"/>
              <w:rPr>
                <w:rFonts w:eastAsia="Times New Roman"/>
                <w:b/>
                <w:sz w:val="32"/>
                <w:szCs w:val="22"/>
              </w:rPr>
            </w:pPr>
            <w:r w:rsidRPr="000D20AE">
              <w:rPr>
                <w:sz w:val="32"/>
                <w:szCs w:val="22"/>
              </w:rPr>
              <w:tab/>
            </w:r>
            <w:r w:rsidRPr="000D20AE">
              <w:rPr>
                <w:rFonts w:eastAsia="Times New Roman"/>
                <w:b/>
                <w:sz w:val="32"/>
                <w:szCs w:val="22"/>
              </w:rPr>
              <w:t>Glossary of Acronyms</w:t>
            </w:r>
          </w:p>
        </w:tc>
      </w:tr>
      <w:tr w:rsidR="00552F12" w:rsidRPr="00FE792A" w:rsidTr="00B044ED">
        <w:tc>
          <w:tcPr>
            <w:tcW w:w="955" w:type="dxa"/>
            <w:shd w:val="clear" w:color="auto" w:fill="auto"/>
          </w:tcPr>
          <w:p w:rsidR="00552F12" w:rsidRPr="00FE792A" w:rsidRDefault="00552F12" w:rsidP="00B044ED">
            <w:pPr>
              <w:rPr>
                <w:rFonts w:eastAsia="Times New Roman"/>
                <w:sz w:val="22"/>
                <w:szCs w:val="22"/>
              </w:rPr>
            </w:pPr>
            <w:r>
              <w:rPr>
                <w:rFonts w:eastAsia="Times New Roman"/>
                <w:sz w:val="22"/>
                <w:szCs w:val="22"/>
              </w:rPr>
              <w:t>CFR</w:t>
            </w:r>
          </w:p>
        </w:tc>
        <w:tc>
          <w:tcPr>
            <w:tcW w:w="5270" w:type="dxa"/>
            <w:shd w:val="clear" w:color="auto" w:fill="auto"/>
          </w:tcPr>
          <w:p w:rsidR="00552F12" w:rsidRPr="00FE792A" w:rsidRDefault="00552F12" w:rsidP="00B044ED">
            <w:pPr>
              <w:rPr>
                <w:rFonts w:eastAsia="Times New Roman"/>
                <w:sz w:val="22"/>
                <w:szCs w:val="22"/>
              </w:rPr>
            </w:pPr>
            <w:r>
              <w:rPr>
                <w:rFonts w:eastAsia="Times New Roman"/>
                <w:sz w:val="22"/>
                <w:szCs w:val="22"/>
              </w:rPr>
              <w:t>Code of Federal Regulations</w:t>
            </w:r>
          </w:p>
        </w:tc>
        <w:tc>
          <w:tcPr>
            <w:tcW w:w="1023" w:type="dxa"/>
            <w:shd w:val="clear" w:color="auto" w:fill="auto"/>
          </w:tcPr>
          <w:p w:rsidR="00552F12" w:rsidRDefault="00552F12" w:rsidP="000F38CC">
            <w:pPr>
              <w:rPr>
                <w:rFonts w:eastAsia="Times New Roman"/>
                <w:sz w:val="22"/>
                <w:szCs w:val="22"/>
              </w:rPr>
            </w:pPr>
            <w:r>
              <w:rPr>
                <w:rFonts w:eastAsia="Times New Roman"/>
                <w:sz w:val="22"/>
                <w:szCs w:val="22"/>
              </w:rPr>
              <w:t>MOS</w:t>
            </w:r>
          </w:p>
        </w:tc>
        <w:tc>
          <w:tcPr>
            <w:tcW w:w="2909" w:type="dxa"/>
            <w:shd w:val="clear" w:color="auto" w:fill="auto"/>
          </w:tcPr>
          <w:p w:rsidR="00552F12" w:rsidRDefault="00552F12" w:rsidP="000F38CC">
            <w:pPr>
              <w:rPr>
                <w:rFonts w:eastAsia="Times New Roman"/>
                <w:sz w:val="22"/>
                <w:szCs w:val="22"/>
              </w:rPr>
            </w:pPr>
            <w:r>
              <w:rPr>
                <w:rFonts w:eastAsia="Times New Roman"/>
                <w:sz w:val="22"/>
                <w:szCs w:val="22"/>
              </w:rPr>
              <w:t>Method of Sale</w:t>
            </w:r>
          </w:p>
        </w:tc>
      </w:tr>
      <w:tr w:rsidR="00552F12" w:rsidRPr="00FE792A" w:rsidTr="00B044ED">
        <w:tc>
          <w:tcPr>
            <w:tcW w:w="955" w:type="dxa"/>
            <w:shd w:val="clear" w:color="auto" w:fill="auto"/>
          </w:tcPr>
          <w:p w:rsidR="00552F12" w:rsidRPr="00FE792A" w:rsidRDefault="00552F12" w:rsidP="00145A52">
            <w:pPr>
              <w:rPr>
                <w:rFonts w:eastAsia="Times New Roman"/>
                <w:sz w:val="22"/>
                <w:szCs w:val="22"/>
              </w:rPr>
            </w:pPr>
            <w:r>
              <w:rPr>
                <w:rFonts w:eastAsia="Times New Roman"/>
                <w:sz w:val="22"/>
                <w:szCs w:val="22"/>
              </w:rPr>
              <w:t>EVF&amp;S</w:t>
            </w:r>
          </w:p>
        </w:tc>
        <w:tc>
          <w:tcPr>
            <w:tcW w:w="5270" w:type="dxa"/>
            <w:shd w:val="clear" w:color="auto" w:fill="auto"/>
          </w:tcPr>
          <w:p w:rsidR="00552F12" w:rsidRPr="00FE792A" w:rsidRDefault="00552F12" w:rsidP="00145A52">
            <w:pPr>
              <w:rPr>
                <w:rFonts w:eastAsia="Times New Roman"/>
                <w:sz w:val="22"/>
                <w:szCs w:val="22"/>
              </w:rPr>
            </w:pPr>
            <w:r>
              <w:rPr>
                <w:rFonts w:eastAsia="Times New Roman"/>
                <w:sz w:val="22"/>
                <w:szCs w:val="22"/>
              </w:rPr>
              <w:t>Electric Vehicle Fueling and Submetering</w:t>
            </w:r>
          </w:p>
        </w:tc>
        <w:tc>
          <w:tcPr>
            <w:tcW w:w="1023" w:type="dxa"/>
            <w:shd w:val="clear" w:color="auto" w:fill="auto"/>
          </w:tcPr>
          <w:p w:rsidR="00552F12" w:rsidRPr="00FE792A" w:rsidRDefault="00552F12" w:rsidP="000F38CC">
            <w:pPr>
              <w:rPr>
                <w:rFonts w:eastAsia="Times New Roman"/>
                <w:sz w:val="22"/>
                <w:szCs w:val="22"/>
              </w:rPr>
            </w:pPr>
            <w:r>
              <w:rPr>
                <w:rFonts w:eastAsia="Times New Roman"/>
                <w:sz w:val="22"/>
                <w:szCs w:val="22"/>
              </w:rPr>
              <w:t>NCWM</w:t>
            </w:r>
          </w:p>
        </w:tc>
        <w:tc>
          <w:tcPr>
            <w:tcW w:w="2909" w:type="dxa"/>
            <w:shd w:val="clear" w:color="auto" w:fill="auto"/>
          </w:tcPr>
          <w:p w:rsidR="00552F12" w:rsidRPr="00FE792A" w:rsidRDefault="00552F12" w:rsidP="000F38CC">
            <w:pPr>
              <w:rPr>
                <w:rFonts w:eastAsia="Times New Roman"/>
                <w:sz w:val="22"/>
                <w:szCs w:val="22"/>
              </w:rPr>
            </w:pPr>
            <w:r>
              <w:rPr>
                <w:rFonts w:eastAsia="Times New Roman"/>
                <w:sz w:val="22"/>
                <w:szCs w:val="22"/>
              </w:rPr>
              <w:t>National Conference on Weights and Measures</w:t>
            </w:r>
          </w:p>
        </w:tc>
      </w:tr>
      <w:tr w:rsidR="00552F12" w:rsidRPr="00FE792A" w:rsidTr="00B044ED">
        <w:tc>
          <w:tcPr>
            <w:tcW w:w="955" w:type="dxa"/>
            <w:shd w:val="clear" w:color="auto" w:fill="auto"/>
          </w:tcPr>
          <w:p w:rsidR="00552F12" w:rsidRPr="00FE792A" w:rsidRDefault="00552F12" w:rsidP="00145A52">
            <w:pPr>
              <w:rPr>
                <w:rFonts w:eastAsia="Times New Roman"/>
                <w:sz w:val="22"/>
                <w:szCs w:val="22"/>
              </w:rPr>
            </w:pPr>
            <w:r w:rsidRPr="00FE792A">
              <w:rPr>
                <w:rFonts w:eastAsia="Times New Roman"/>
                <w:sz w:val="22"/>
                <w:szCs w:val="22"/>
              </w:rPr>
              <w:t>EVSE</w:t>
            </w:r>
          </w:p>
        </w:tc>
        <w:tc>
          <w:tcPr>
            <w:tcW w:w="5270" w:type="dxa"/>
            <w:shd w:val="clear" w:color="auto" w:fill="auto"/>
          </w:tcPr>
          <w:p w:rsidR="00552F12" w:rsidRPr="00FE792A" w:rsidRDefault="00552F12" w:rsidP="00145A52">
            <w:pPr>
              <w:rPr>
                <w:rFonts w:eastAsia="Times New Roman"/>
                <w:sz w:val="22"/>
                <w:szCs w:val="22"/>
              </w:rPr>
            </w:pPr>
            <w:r w:rsidRPr="00FE792A">
              <w:rPr>
                <w:rFonts w:eastAsia="Times New Roman"/>
                <w:sz w:val="22"/>
                <w:szCs w:val="22"/>
              </w:rPr>
              <w:t>Electric Vehicle Supply Equipment</w:t>
            </w:r>
          </w:p>
        </w:tc>
        <w:tc>
          <w:tcPr>
            <w:tcW w:w="1023" w:type="dxa"/>
            <w:shd w:val="clear" w:color="auto" w:fill="auto"/>
          </w:tcPr>
          <w:p w:rsidR="00552F12" w:rsidRPr="00FE792A" w:rsidRDefault="00552F12" w:rsidP="000F38CC">
            <w:pPr>
              <w:rPr>
                <w:rFonts w:eastAsia="Times New Roman"/>
                <w:sz w:val="22"/>
                <w:szCs w:val="22"/>
              </w:rPr>
            </w:pPr>
            <w:r>
              <w:rPr>
                <w:rFonts w:eastAsia="Times New Roman"/>
                <w:sz w:val="22"/>
                <w:szCs w:val="22"/>
              </w:rPr>
              <w:t>NEC</w:t>
            </w:r>
          </w:p>
        </w:tc>
        <w:tc>
          <w:tcPr>
            <w:tcW w:w="2909" w:type="dxa"/>
            <w:shd w:val="clear" w:color="auto" w:fill="auto"/>
          </w:tcPr>
          <w:p w:rsidR="00552F12" w:rsidRPr="00FE792A" w:rsidRDefault="00552F12" w:rsidP="000F38CC">
            <w:pPr>
              <w:rPr>
                <w:rFonts w:eastAsia="Times New Roman"/>
                <w:sz w:val="22"/>
                <w:szCs w:val="22"/>
              </w:rPr>
            </w:pPr>
            <w:r>
              <w:rPr>
                <w:rFonts w:eastAsia="Times New Roman"/>
                <w:sz w:val="22"/>
                <w:szCs w:val="22"/>
              </w:rPr>
              <w:t>National Electrical Code</w:t>
            </w:r>
          </w:p>
        </w:tc>
      </w:tr>
      <w:tr w:rsidR="00552F12" w:rsidRPr="00FE792A" w:rsidTr="00B044ED">
        <w:tc>
          <w:tcPr>
            <w:tcW w:w="955" w:type="dxa"/>
            <w:shd w:val="clear" w:color="auto" w:fill="auto"/>
          </w:tcPr>
          <w:p w:rsidR="00552F12" w:rsidRPr="00FE792A" w:rsidRDefault="00552F12" w:rsidP="00145A52">
            <w:pPr>
              <w:rPr>
                <w:rFonts w:eastAsia="Times New Roman"/>
                <w:sz w:val="22"/>
                <w:szCs w:val="22"/>
              </w:rPr>
            </w:pPr>
            <w:r w:rsidRPr="00FE792A">
              <w:rPr>
                <w:rFonts w:eastAsia="Times New Roman"/>
                <w:sz w:val="22"/>
                <w:szCs w:val="22"/>
              </w:rPr>
              <w:t>HB 44</w:t>
            </w:r>
          </w:p>
        </w:tc>
        <w:tc>
          <w:tcPr>
            <w:tcW w:w="5270" w:type="dxa"/>
            <w:shd w:val="clear" w:color="auto" w:fill="auto"/>
          </w:tcPr>
          <w:p w:rsidR="00552F12" w:rsidRPr="00FE792A" w:rsidRDefault="00552F12" w:rsidP="00145A52">
            <w:pPr>
              <w:rPr>
                <w:rFonts w:eastAsia="Times New Roman"/>
                <w:sz w:val="22"/>
                <w:szCs w:val="22"/>
              </w:rPr>
            </w:pPr>
            <w:r w:rsidRPr="00FE792A">
              <w:rPr>
                <w:rFonts w:eastAsia="Times New Roman"/>
                <w:sz w:val="22"/>
                <w:szCs w:val="22"/>
              </w:rPr>
              <w:t xml:space="preserve">NIST Handbook 44 </w:t>
            </w:r>
            <w:r w:rsidRPr="00620EF3">
              <w:rPr>
                <w:rFonts w:eastAsia="Times New Roman"/>
                <w:i/>
                <w:sz w:val="22"/>
                <w:szCs w:val="22"/>
              </w:rPr>
              <w:t>Specifications, Tolerances, and Other Technical Requirements for Weighing and Measuring Devices</w:t>
            </w:r>
          </w:p>
        </w:tc>
        <w:tc>
          <w:tcPr>
            <w:tcW w:w="1023" w:type="dxa"/>
            <w:shd w:val="clear" w:color="auto" w:fill="auto"/>
          </w:tcPr>
          <w:p w:rsidR="00552F12" w:rsidRPr="00FE792A" w:rsidRDefault="00552F12" w:rsidP="00552F12">
            <w:pPr>
              <w:rPr>
                <w:rFonts w:eastAsia="Times New Roman"/>
                <w:sz w:val="22"/>
                <w:szCs w:val="22"/>
              </w:rPr>
            </w:pPr>
            <w:r w:rsidRPr="00FE792A">
              <w:rPr>
                <w:rFonts w:eastAsia="Times New Roman"/>
                <w:sz w:val="22"/>
                <w:szCs w:val="22"/>
              </w:rPr>
              <w:t>NIST</w:t>
            </w:r>
          </w:p>
        </w:tc>
        <w:tc>
          <w:tcPr>
            <w:tcW w:w="2909" w:type="dxa"/>
            <w:shd w:val="clear" w:color="auto" w:fill="auto"/>
          </w:tcPr>
          <w:p w:rsidR="00552F12" w:rsidRPr="00FE792A" w:rsidRDefault="00552F12" w:rsidP="00552F12">
            <w:pPr>
              <w:rPr>
                <w:rFonts w:eastAsia="Times New Roman"/>
                <w:sz w:val="22"/>
                <w:szCs w:val="22"/>
              </w:rPr>
            </w:pPr>
            <w:r w:rsidRPr="00FE792A">
              <w:rPr>
                <w:rFonts w:eastAsia="Times New Roman"/>
                <w:sz w:val="22"/>
                <w:szCs w:val="22"/>
              </w:rPr>
              <w:t>National Institute of Standards and Technology</w:t>
            </w:r>
          </w:p>
        </w:tc>
      </w:tr>
      <w:tr w:rsidR="00552F12" w:rsidRPr="00FE792A" w:rsidTr="00B044ED">
        <w:tc>
          <w:tcPr>
            <w:tcW w:w="955" w:type="dxa"/>
            <w:shd w:val="clear" w:color="auto" w:fill="auto"/>
          </w:tcPr>
          <w:p w:rsidR="00552F12" w:rsidRPr="00FE792A" w:rsidRDefault="00552F12" w:rsidP="00145A52">
            <w:pPr>
              <w:rPr>
                <w:rFonts w:eastAsia="Times New Roman"/>
                <w:sz w:val="22"/>
                <w:szCs w:val="22"/>
              </w:rPr>
            </w:pPr>
            <w:r w:rsidRPr="00FE792A">
              <w:rPr>
                <w:rFonts w:eastAsia="Times New Roman"/>
                <w:sz w:val="22"/>
                <w:szCs w:val="22"/>
              </w:rPr>
              <w:t>HB 130</w:t>
            </w:r>
          </w:p>
        </w:tc>
        <w:tc>
          <w:tcPr>
            <w:tcW w:w="5270" w:type="dxa"/>
            <w:shd w:val="clear" w:color="auto" w:fill="auto"/>
          </w:tcPr>
          <w:p w:rsidR="00552F12" w:rsidRPr="00FE792A" w:rsidRDefault="00552F12" w:rsidP="00145A52">
            <w:pPr>
              <w:rPr>
                <w:rFonts w:eastAsia="Times New Roman"/>
                <w:sz w:val="22"/>
                <w:szCs w:val="22"/>
              </w:rPr>
            </w:pPr>
            <w:r w:rsidRPr="00FE792A">
              <w:rPr>
                <w:rFonts w:eastAsia="Times New Roman"/>
                <w:sz w:val="22"/>
                <w:szCs w:val="22"/>
              </w:rPr>
              <w:t xml:space="preserve">NIST Handbook 130 </w:t>
            </w:r>
            <w:r w:rsidRPr="00620EF3">
              <w:rPr>
                <w:rFonts w:eastAsia="Times New Roman"/>
                <w:i/>
                <w:sz w:val="22"/>
                <w:szCs w:val="22"/>
              </w:rPr>
              <w:t>Uniform Laws and Regulations in the Area of Legal Metrology and Engine Fuel Quality</w:t>
            </w:r>
          </w:p>
        </w:tc>
        <w:tc>
          <w:tcPr>
            <w:tcW w:w="1023" w:type="dxa"/>
            <w:shd w:val="clear" w:color="auto" w:fill="auto"/>
          </w:tcPr>
          <w:p w:rsidR="00552F12" w:rsidRPr="00FE792A" w:rsidRDefault="00552F12" w:rsidP="00552F12">
            <w:pPr>
              <w:rPr>
                <w:rFonts w:eastAsia="Times New Roman"/>
                <w:sz w:val="22"/>
                <w:szCs w:val="22"/>
              </w:rPr>
            </w:pPr>
            <w:r>
              <w:rPr>
                <w:rFonts w:eastAsia="Times New Roman"/>
                <w:sz w:val="22"/>
                <w:szCs w:val="22"/>
              </w:rPr>
              <w:t>OWM</w:t>
            </w:r>
          </w:p>
        </w:tc>
        <w:tc>
          <w:tcPr>
            <w:tcW w:w="2909" w:type="dxa"/>
            <w:shd w:val="clear" w:color="auto" w:fill="auto"/>
          </w:tcPr>
          <w:p w:rsidR="00552F12" w:rsidRPr="00FE792A" w:rsidRDefault="00552F12" w:rsidP="000F38CC">
            <w:pPr>
              <w:rPr>
                <w:rFonts w:eastAsia="Times New Roman"/>
                <w:sz w:val="22"/>
                <w:szCs w:val="22"/>
              </w:rPr>
            </w:pPr>
            <w:r>
              <w:rPr>
                <w:rFonts w:eastAsia="Times New Roman"/>
                <w:sz w:val="22"/>
                <w:szCs w:val="22"/>
              </w:rPr>
              <w:t>Office of Weights and Measures</w:t>
            </w:r>
          </w:p>
        </w:tc>
      </w:tr>
      <w:tr w:rsidR="00552F12" w:rsidRPr="00FE792A" w:rsidTr="00B044ED">
        <w:tc>
          <w:tcPr>
            <w:tcW w:w="955" w:type="dxa"/>
            <w:shd w:val="clear" w:color="auto" w:fill="auto"/>
          </w:tcPr>
          <w:p w:rsidR="00552F12" w:rsidRPr="00FE792A" w:rsidRDefault="00552F12" w:rsidP="00145A52">
            <w:pPr>
              <w:rPr>
                <w:rFonts w:eastAsia="Times New Roman"/>
                <w:sz w:val="22"/>
                <w:szCs w:val="22"/>
              </w:rPr>
            </w:pPr>
            <w:r>
              <w:rPr>
                <w:rFonts w:eastAsia="Times New Roman"/>
                <w:sz w:val="22"/>
                <w:szCs w:val="22"/>
              </w:rPr>
              <w:t>kW</w:t>
            </w:r>
          </w:p>
        </w:tc>
        <w:tc>
          <w:tcPr>
            <w:tcW w:w="5270" w:type="dxa"/>
            <w:shd w:val="clear" w:color="auto" w:fill="auto"/>
          </w:tcPr>
          <w:p w:rsidR="00552F12" w:rsidRPr="00FE792A" w:rsidRDefault="00552F12" w:rsidP="00145A52">
            <w:pPr>
              <w:rPr>
                <w:rFonts w:eastAsia="Times New Roman"/>
                <w:sz w:val="22"/>
                <w:szCs w:val="22"/>
              </w:rPr>
            </w:pPr>
            <w:r>
              <w:rPr>
                <w:rFonts w:eastAsia="Times New Roman"/>
                <w:sz w:val="22"/>
                <w:szCs w:val="22"/>
              </w:rPr>
              <w:t>Kilowatt</w:t>
            </w:r>
          </w:p>
        </w:tc>
        <w:tc>
          <w:tcPr>
            <w:tcW w:w="1023" w:type="dxa"/>
            <w:shd w:val="clear" w:color="auto" w:fill="auto"/>
          </w:tcPr>
          <w:p w:rsidR="00552F12" w:rsidRPr="00FE792A" w:rsidRDefault="00552F12" w:rsidP="00B044ED">
            <w:pPr>
              <w:rPr>
                <w:rFonts w:eastAsia="Times New Roman"/>
                <w:sz w:val="22"/>
                <w:szCs w:val="22"/>
              </w:rPr>
            </w:pPr>
            <w:r>
              <w:rPr>
                <w:rFonts w:eastAsia="Times New Roman"/>
                <w:sz w:val="22"/>
                <w:szCs w:val="22"/>
              </w:rPr>
              <w:t>PEV</w:t>
            </w:r>
          </w:p>
        </w:tc>
        <w:tc>
          <w:tcPr>
            <w:tcW w:w="2909" w:type="dxa"/>
            <w:shd w:val="clear" w:color="auto" w:fill="auto"/>
          </w:tcPr>
          <w:p w:rsidR="00552F12" w:rsidRPr="00FE792A" w:rsidRDefault="00552F12" w:rsidP="00B044ED">
            <w:pPr>
              <w:rPr>
                <w:rFonts w:eastAsia="Times New Roman"/>
                <w:sz w:val="22"/>
                <w:szCs w:val="22"/>
              </w:rPr>
            </w:pPr>
            <w:r>
              <w:rPr>
                <w:rFonts w:eastAsia="Times New Roman"/>
                <w:sz w:val="22"/>
                <w:szCs w:val="22"/>
              </w:rPr>
              <w:t>Plug-in Electric Vehicle</w:t>
            </w:r>
          </w:p>
        </w:tc>
      </w:tr>
      <w:tr w:rsidR="00552F12" w:rsidRPr="00FE792A" w:rsidTr="00B044ED">
        <w:tc>
          <w:tcPr>
            <w:tcW w:w="955" w:type="dxa"/>
            <w:shd w:val="clear" w:color="auto" w:fill="auto"/>
          </w:tcPr>
          <w:p w:rsidR="00552F12" w:rsidRPr="00FE792A" w:rsidRDefault="00552F12" w:rsidP="00145A52">
            <w:pPr>
              <w:rPr>
                <w:rFonts w:eastAsia="Times New Roman"/>
                <w:sz w:val="22"/>
                <w:szCs w:val="22"/>
              </w:rPr>
            </w:pPr>
            <w:r>
              <w:rPr>
                <w:rFonts w:eastAsia="Times New Roman"/>
                <w:sz w:val="22"/>
                <w:szCs w:val="22"/>
              </w:rPr>
              <w:t>kW·h</w:t>
            </w:r>
          </w:p>
        </w:tc>
        <w:tc>
          <w:tcPr>
            <w:tcW w:w="5270" w:type="dxa"/>
            <w:shd w:val="clear" w:color="auto" w:fill="auto"/>
          </w:tcPr>
          <w:p w:rsidR="00552F12" w:rsidRPr="00FE792A" w:rsidRDefault="00552F12" w:rsidP="00145A52">
            <w:pPr>
              <w:rPr>
                <w:rFonts w:eastAsia="Times New Roman"/>
                <w:sz w:val="22"/>
                <w:szCs w:val="22"/>
              </w:rPr>
            </w:pPr>
            <w:r>
              <w:rPr>
                <w:rFonts w:eastAsia="Times New Roman"/>
                <w:sz w:val="22"/>
                <w:szCs w:val="22"/>
              </w:rPr>
              <w:t>Kilowatt hour</w:t>
            </w:r>
          </w:p>
        </w:tc>
        <w:tc>
          <w:tcPr>
            <w:tcW w:w="1023" w:type="dxa"/>
            <w:shd w:val="clear" w:color="auto" w:fill="auto"/>
          </w:tcPr>
          <w:p w:rsidR="00552F12" w:rsidRPr="00FE792A" w:rsidRDefault="00552F12" w:rsidP="00B044ED">
            <w:pPr>
              <w:rPr>
                <w:rFonts w:eastAsia="Times New Roman"/>
                <w:sz w:val="22"/>
                <w:szCs w:val="22"/>
              </w:rPr>
            </w:pPr>
            <w:r w:rsidRPr="00FE792A">
              <w:rPr>
                <w:rFonts w:eastAsia="Times New Roman"/>
                <w:sz w:val="22"/>
                <w:szCs w:val="22"/>
              </w:rPr>
              <w:t>SI</w:t>
            </w:r>
          </w:p>
        </w:tc>
        <w:tc>
          <w:tcPr>
            <w:tcW w:w="2909" w:type="dxa"/>
            <w:shd w:val="clear" w:color="auto" w:fill="auto"/>
          </w:tcPr>
          <w:p w:rsidR="00552F12" w:rsidRPr="00FE792A" w:rsidRDefault="00552F12" w:rsidP="00B044ED">
            <w:pPr>
              <w:rPr>
                <w:rFonts w:eastAsia="Times New Roman"/>
                <w:sz w:val="22"/>
                <w:szCs w:val="22"/>
              </w:rPr>
            </w:pPr>
            <w:r w:rsidRPr="00FE792A">
              <w:rPr>
                <w:rFonts w:eastAsia="Times New Roman"/>
                <w:sz w:val="22"/>
                <w:szCs w:val="22"/>
              </w:rPr>
              <w:t>International System of Units</w:t>
            </w:r>
          </w:p>
        </w:tc>
      </w:tr>
      <w:tr w:rsidR="00552F12" w:rsidRPr="00FE792A" w:rsidTr="00B044ED">
        <w:tc>
          <w:tcPr>
            <w:tcW w:w="955" w:type="dxa"/>
            <w:shd w:val="clear" w:color="auto" w:fill="auto"/>
          </w:tcPr>
          <w:p w:rsidR="00552F12" w:rsidRPr="00FE792A" w:rsidRDefault="00552F12" w:rsidP="000F38CC">
            <w:pPr>
              <w:rPr>
                <w:rFonts w:eastAsia="Times New Roman"/>
                <w:sz w:val="22"/>
                <w:szCs w:val="22"/>
              </w:rPr>
            </w:pPr>
            <w:r>
              <w:rPr>
                <w:rFonts w:eastAsia="Times New Roman"/>
                <w:sz w:val="22"/>
                <w:szCs w:val="22"/>
              </w:rPr>
              <w:t>L&amp;R</w:t>
            </w:r>
          </w:p>
        </w:tc>
        <w:tc>
          <w:tcPr>
            <w:tcW w:w="5270" w:type="dxa"/>
            <w:shd w:val="clear" w:color="auto" w:fill="auto"/>
          </w:tcPr>
          <w:p w:rsidR="00552F12" w:rsidRPr="00FE792A" w:rsidRDefault="00552F12" w:rsidP="000F38CC">
            <w:pPr>
              <w:rPr>
                <w:rFonts w:eastAsia="Times New Roman"/>
                <w:sz w:val="22"/>
                <w:szCs w:val="22"/>
              </w:rPr>
            </w:pPr>
            <w:r>
              <w:rPr>
                <w:rFonts w:eastAsia="Times New Roman"/>
                <w:sz w:val="22"/>
                <w:szCs w:val="22"/>
              </w:rPr>
              <w:t>NCWM Laws and Regulations Committee</w:t>
            </w:r>
          </w:p>
        </w:tc>
        <w:tc>
          <w:tcPr>
            <w:tcW w:w="1023" w:type="dxa"/>
            <w:shd w:val="clear" w:color="auto" w:fill="auto"/>
          </w:tcPr>
          <w:p w:rsidR="00552F12" w:rsidRPr="00FE792A" w:rsidRDefault="00552F12" w:rsidP="00B044ED">
            <w:pPr>
              <w:rPr>
                <w:rFonts w:eastAsia="Times New Roman"/>
                <w:sz w:val="22"/>
                <w:szCs w:val="22"/>
              </w:rPr>
            </w:pPr>
            <w:r w:rsidRPr="00FE792A">
              <w:rPr>
                <w:rFonts w:eastAsia="Times New Roman"/>
                <w:sz w:val="22"/>
                <w:szCs w:val="22"/>
              </w:rPr>
              <w:t>USNWG</w:t>
            </w:r>
          </w:p>
        </w:tc>
        <w:tc>
          <w:tcPr>
            <w:tcW w:w="2909" w:type="dxa"/>
            <w:shd w:val="clear" w:color="auto" w:fill="auto"/>
          </w:tcPr>
          <w:p w:rsidR="00552F12" w:rsidRPr="00FE792A" w:rsidRDefault="00552F12" w:rsidP="00B044ED">
            <w:pPr>
              <w:rPr>
                <w:rFonts w:eastAsia="Times New Roman"/>
                <w:sz w:val="22"/>
                <w:szCs w:val="22"/>
              </w:rPr>
            </w:pPr>
            <w:r w:rsidRPr="00FE792A">
              <w:rPr>
                <w:rFonts w:eastAsia="Times New Roman"/>
                <w:sz w:val="22"/>
                <w:szCs w:val="22"/>
              </w:rPr>
              <w:t>U.S. National Work Group</w:t>
            </w:r>
          </w:p>
        </w:tc>
      </w:tr>
      <w:tr w:rsidR="00552F12" w:rsidRPr="00FE792A" w:rsidTr="00B044ED">
        <w:tc>
          <w:tcPr>
            <w:tcW w:w="10157" w:type="dxa"/>
            <w:gridSpan w:val="4"/>
          </w:tcPr>
          <w:p w:rsidR="00552F12" w:rsidRPr="00FE792A" w:rsidRDefault="00552F12" w:rsidP="00B044ED">
            <w:pPr>
              <w:rPr>
                <w:rFonts w:eastAsia="Times New Roman"/>
                <w:sz w:val="22"/>
                <w:szCs w:val="22"/>
              </w:rPr>
            </w:pPr>
            <w:r w:rsidRPr="00FE792A">
              <w:rPr>
                <w:rFonts w:eastAsia="Times New Roman"/>
                <w:sz w:val="22"/>
                <w:szCs w:val="22"/>
              </w:rPr>
              <w:t xml:space="preserve">This table is meant to assist the reader in the identification of acronyms used in this </w:t>
            </w:r>
            <w:r>
              <w:rPr>
                <w:rFonts w:eastAsia="Times New Roman"/>
                <w:sz w:val="22"/>
                <w:szCs w:val="22"/>
              </w:rPr>
              <w:t>document</w:t>
            </w:r>
            <w:r w:rsidRPr="00FE792A">
              <w:rPr>
                <w:rFonts w:eastAsia="Times New Roman"/>
                <w:sz w:val="22"/>
                <w:szCs w:val="22"/>
              </w:rPr>
              <w:t xml:space="preserve"> and does not imply that these terms are used solely to identify these organizations or technical topics. </w:t>
            </w:r>
          </w:p>
        </w:tc>
      </w:tr>
    </w:tbl>
    <w:p w:rsidR="00B044ED" w:rsidRDefault="00B044ED" w:rsidP="006F33A7">
      <w:pPr>
        <w:rPr>
          <w:rFonts w:eastAsia="Times New Roman"/>
          <w:sz w:val="22"/>
          <w:szCs w:val="22"/>
          <w:lang w:eastAsia="en-US"/>
        </w:rPr>
      </w:pPr>
    </w:p>
    <w:p w:rsidR="00B02C45" w:rsidRDefault="00B02C45" w:rsidP="006F33A7">
      <w:pPr>
        <w:rPr>
          <w:rFonts w:eastAsia="Times New Roman"/>
          <w:sz w:val="22"/>
          <w:szCs w:val="22"/>
          <w:lang w:eastAsia="en-US"/>
        </w:rPr>
      </w:pPr>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161"/>
        <w:gridCol w:w="8100"/>
      </w:tblGrid>
      <w:tr w:rsidR="00F87676" w:rsidRPr="00F87676" w:rsidTr="00F87676">
        <w:trPr>
          <w:trHeight w:val="328"/>
          <w:jc w:val="center"/>
        </w:trPr>
        <w:tc>
          <w:tcPr>
            <w:tcW w:w="1458" w:type="dxa"/>
            <w:shd w:val="clear" w:color="auto" w:fill="C6D9F1" w:themeFill="text2" w:themeFillTint="33"/>
            <w:vAlign w:val="center"/>
          </w:tcPr>
          <w:p w:rsidR="00F87676" w:rsidRPr="00F87676" w:rsidRDefault="00F87676" w:rsidP="00DD2776">
            <w:pPr>
              <w:jc w:val="center"/>
              <w:rPr>
                <w:b/>
              </w:rPr>
            </w:pPr>
            <w:r>
              <w:rPr>
                <w:b/>
              </w:rPr>
              <w:lastRenderedPageBreak/>
              <w:t xml:space="preserve">Attachment </w:t>
            </w:r>
            <w:r w:rsidRPr="00F87676">
              <w:rPr>
                <w:b/>
              </w:rPr>
              <w:t>No.</w:t>
            </w:r>
          </w:p>
        </w:tc>
        <w:tc>
          <w:tcPr>
            <w:tcW w:w="1161" w:type="dxa"/>
            <w:shd w:val="clear" w:color="auto" w:fill="C6D9F1" w:themeFill="text2" w:themeFillTint="33"/>
            <w:vAlign w:val="center"/>
          </w:tcPr>
          <w:p w:rsidR="00F87676" w:rsidRPr="00F87676" w:rsidRDefault="00F87676" w:rsidP="009C4670">
            <w:pPr>
              <w:jc w:val="center"/>
              <w:rPr>
                <w:b/>
              </w:rPr>
            </w:pPr>
            <w:r w:rsidRPr="00F87676">
              <w:rPr>
                <w:b/>
              </w:rPr>
              <w:t>Agenda Item</w:t>
            </w:r>
          </w:p>
        </w:tc>
        <w:tc>
          <w:tcPr>
            <w:tcW w:w="8100" w:type="dxa"/>
            <w:shd w:val="clear" w:color="auto" w:fill="C6D9F1" w:themeFill="text2" w:themeFillTint="33"/>
            <w:vAlign w:val="center"/>
          </w:tcPr>
          <w:p w:rsidR="00F87676" w:rsidRPr="00F87676" w:rsidRDefault="00AE6E27" w:rsidP="00F87676">
            <w:pPr>
              <w:jc w:val="center"/>
              <w:rPr>
                <w:b/>
              </w:rPr>
            </w:pPr>
            <w:r w:rsidRPr="00AE6E27">
              <w:rPr>
                <w:b/>
              </w:rPr>
              <w:t>Meeting Summary Attachments</w:t>
            </w:r>
          </w:p>
        </w:tc>
      </w:tr>
      <w:tr w:rsidR="00F87676" w:rsidRPr="00F87676" w:rsidTr="00F87676">
        <w:trPr>
          <w:trHeight w:val="328"/>
          <w:jc w:val="center"/>
        </w:trPr>
        <w:tc>
          <w:tcPr>
            <w:tcW w:w="1458" w:type="dxa"/>
            <w:vAlign w:val="center"/>
          </w:tcPr>
          <w:p w:rsidR="00F87676" w:rsidRPr="00F87676" w:rsidRDefault="00F87676" w:rsidP="00DD2776">
            <w:pPr>
              <w:jc w:val="center"/>
              <w:rPr>
                <w:b/>
              </w:rPr>
            </w:pPr>
            <w:r w:rsidRPr="00F87676">
              <w:t>1</w:t>
            </w:r>
          </w:p>
        </w:tc>
        <w:tc>
          <w:tcPr>
            <w:tcW w:w="1161" w:type="dxa"/>
            <w:vAlign w:val="center"/>
          </w:tcPr>
          <w:p w:rsidR="00F87676" w:rsidRPr="00F87676" w:rsidRDefault="00F87676" w:rsidP="009C4670">
            <w:pPr>
              <w:jc w:val="center"/>
            </w:pPr>
            <w:r w:rsidRPr="00F87676">
              <w:t>1</w:t>
            </w:r>
          </w:p>
        </w:tc>
        <w:tc>
          <w:tcPr>
            <w:tcW w:w="8100" w:type="dxa"/>
            <w:shd w:val="clear" w:color="auto" w:fill="auto"/>
            <w:vAlign w:val="center"/>
          </w:tcPr>
          <w:p w:rsidR="00F87676" w:rsidRPr="00F87676" w:rsidRDefault="00F87676" w:rsidP="00AE6E27">
            <w:pPr>
              <w:rPr>
                <w:b/>
                <w:lang w:eastAsia="en-US"/>
              </w:rPr>
            </w:pPr>
            <w:r w:rsidRPr="00F87676">
              <w:rPr>
                <w:b/>
              </w:rPr>
              <w:t>USNWG Team Roster</w:t>
            </w:r>
            <w:r w:rsidR="00657856">
              <w:rPr>
                <w:b/>
              </w:rPr>
              <w:t xml:space="preserve"> and 26MAR2013 Meeting Attendees</w:t>
            </w:r>
          </w:p>
        </w:tc>
      </w:tr>
      <w:tr w:rsidR="00F87676" w:rsidRPr="00F87676" w:rsidTr="00F87676">
        <w:trPr>
          <w:trHeight w:val="328"/>
          <w:jc w:val="center"/>
        </w:trPr>
        <w:tc>
          <w:tcPr>
            <w:tcW w:w="1458" w:type="dxa"/>
            <w:vAlign w:val="center"/>
          </w:tcPr>
          <w:p w:rsidR="00F87676" w:rsidRPr="00F87676" w:rsidRDefault="00F87676" w:rsidP="00DD2776">
            <w:pPr>
              <w:jc w:val="center"/>
              <w:rPr>
                <w:b/>
              </w:rPr>
            </w:pPr>
            <w:r w:rsidRPr="00F87676">
              <w:t>2</w:t>
            </w:r>
          </w:p>
        </w:tc>
        <w:tc>
          <w:tcPr>
            <w:tcW w:w="1161" w:type="dxa"/>
            <w:vAlign w:val="center"/>
          </w:tcPr>
          <w:p w:rsidR="00F87676" w:rsidRPr="00F87676" w:rsidRDefault="00F87676" w:rsidP="009C4670">
            <w:pPr>
              <w:jc w:val="center"/>
              <w:rPr>
                <w:lang w:eastAsia="en-US"/>
              </w:rPr>
            </w:pPr>
            <w:r w:rsidRPr="00F87676">
              <w:rPr>
                <w:lang w:eastAsia="en-US"/>
              </w:rPr>
              <w:t>2</w:t>
            </w:r>
          </w:p>
        </w:tc>
        <w:tc>
          <w:tcPr>
            <w:tcW w:w="8100" w:type="dxa"/>
            <w:shd w:val="clear" w:color="auto" w:fill="auto"/>
            <w:vAlign w:val="center"/>
          </w:tcPr>
          <w:p w:rsidR="00F87676" w:rsidRPr="00F87676" w:rsidRDefault="00657856" w:rsidP="00AE6E27">
            <w:pPr>
              <w:rPr>
                <w:b/>
                <w:lang w:eastAsia="en-US"/>
              </w:rPr>
            </w:pPr>
            <w:r>
              <w:rPr>
                <w:b/>
                <w:lang w:eastAsia="en-US"/>
              </w:rPr>
              <w:t xml:space="preserve">Approved </w:t>
            </w:r>
            <w:r w:rsidR="00F87676" w:rsidRPr="00F87676">
              <w:rPr>
                <w:b/>
                <w:lang w:eastAsia="en-US"/>
              </w:rPr>
              <w:t>Summary of the January 15-17, 2013 USNWG Meeting</w:t>
            </w:r>
          </w:p>
        </w:tc>
      </w:tr>
      <w:tr w:rsidR="00F87676" w:rsidRPr="00F87676" w:rsidTr="00F87676">
        <w:trPr>
          <w:trHeight w:val="327"/>
          <w:jc w:val="center"/>
        </w:trPr>
        <w:tc>
          <w:tcPr>
            <w:tcW w:w="1458" w:type="dxa"/>
            <w:vAlign w:val="center"/>
          </w:tcPr>
          <w:p w:rsidR="00F87676" w:rsidRPr="00F87676" w:rsidRDefault="00F87676" w:rsidP="00DD2776">
            <w:pPr>
              <w:jc w:val="center"/>
              <w:rPr>
                <w:b/>
              </w:rPr>
            </w:pPr>
            <w:r w:rsidRPr="00F87676">
              <w:t>3</w:t>
            </w:r>
          </w:p>
        </w:tc>
        <w:tc>
          <w:tcPr>
            <w:tcW w:w="1161" w:type="dxa"/>
            <w:vAlign w:val="center"/>
          </w:tcPr>
          <w:p w:rsidR="00F87676" w:rsidRPr="00F87676" w:rsidRDefault="00F87676" w:rsidP="009C4670">
            <w:pPr>
              <w:jc w:val="center"/>
            </w:pPr>
            <w:r w:rsidRPr="00F87676">
              <w:t>3</w:t>
            </w:r>
          </w:p>
        </w:tc>
        <w:tc>
          <w:tcPr>
            <w:tcW w:w="8100" w:type="dxa"/>
            <w:shd w:val="clear" w:color="auto" w:fill="auto"/>
            <w:vAlign w:val="center"/>
          </w:tcPr>
          <w:p w:rsidR="00F87676" w:rsidRPr="00F87676" w:rsidRDefault="00657856" w:rsidP="00657856">
            <w:pPr>
              <w:rPr>
                <w:b/>
              </w:rPr>
            </w:pPr>
            <w:r>
              <w:rPr>
                <w:b/>
              </w:rPr>
              <w:t xml:space="preserve">Approved </w:t>
            </w:r>
            <w:r w:rsidR="00F87676" w:rsidRPr="00F87676">
              <w:rPr>
                <w:b/>
              </w:rPr>
              <w:t xml:space="preserve">USNWG Operational </w:t>
            </w:r>
            <w:r w:rsidR="00F87676" w:rsidRPr="00AE6E27">
              <w:rPr>
                <w:b/>
              </w:rPr>
              <w:t>Guidelines</w:t>
            </w:r>
          </w:p>
        </w:tc>
      </w:tr>
      <w:tr w:rsidR="00F87676" w:rsidRPr="00F87676" w:rsidTr="00F87676">
        <w:trPr>
          <w:trHeight w:val="327"/>
          <w:jc w:val="center"/>
        </w:trPr>
        <w:tc>
          <w:tcPr>
            <w:tcW w:w="1458" w:type="dxa"/>
            <w:vAlign w:val="center"/>
          </w:tcPr>
          <w:p w:rsidR="00F87676" w:rsidRPr="00F87676" w:rsidRDefault="00F87676" w:rsidP="00DD2776">
            <w:pPr>
              <w:jc w:val="center"/>
              <w:rPr>
                <w:b/>
              </w:rPr>
            </w:pPr>
            <w:r w:rsidRPr="00F87676">
              <w:t>4</w:t>
            </w:r>
          </w:p>
        </w:tc>
        <w:tc>
          <w:tcPr>
            <w:tcW w:w="1161" w:type="dxa"/>
            <w:vAlign w:val="center"/>
          </w:tcPr>
          <w:p w:rsidR="00F87676" w:rsidRPr="00F87676" w:rsidRDefault="00F87676" w:rsidP="009C4670">
            <w:pPr>
              <w:jc w:val="center"/>
            </w:pPr>
            <w:r w:rsidRPr="00F87676">
              <w:t>3</w:t>
            </w:r>
          </w:p>
        </w:tc>
        <w:tc>
          <w:tcPr>
            <w:tcW w:w="8100" w:type="dxa"/>
            <w:shd w:val="clear" w:color="auto" w:fill="auto"/>
            <w:vAlign w:val="center"/>
          </w:tcPr>
          <w:p w:rsidR="00F87676" w:rsidRPr="00F87676" w:rsidRDefault="00657856" w:rsidP="00657856">
            <w:pPr>
              <w:rPr>
                <w:b/>
              </w:rPr>
            </w:pPr>
            <w:r>
              <w:rPr>
                <w:b/>
              </w:rPr>
              <w:t xml:space="preserve">Approved </w:t>
            </w:r>
            <w:r w:rsidR="00F87676" w:rsidRPr="00F87676">
              <w:rPr>
                <w:b/>
              </w:rPr>
              <w:t>USNWG Agenda Submission Form</w:t>
            </w:r>
          </w:p>
        </w:tc>
      </w:tr>
      <w:tr w:rsidR="00F87676" w:rsidRPr="00F87676" w:rsidTr="00F87676">
        <w:trPr>
          <w:trHeight w:val="327"/>
          <w:jc w:val="center"/>
        </w:trPr>
        <w:tc>
          <w:tcPr>
            <w:tcW w:w="1458" w:type="dxa"/>
            <w:vAlign w:val="center"/>
          </w:tcPr>
          <w:p w:rsidR="00F87676" w:rsidRPr="00F87676" w:rsidRDefault="00F87676" w:rsidP="00DD2776">
            <w:pPr>
              <w:jc w:val="center"/>
              <w:rPr>
                <w:b/>
              </w:rPr>
            </w:pPr>
            <w:r w:rsidRPr="00F87676">
              <w:t>5</w:t>
            </w:r>
            <w:r>
              <w:t>*</w:t>
            </w:r>
          </w:p>
        </w:tc>
        <w:tc>
          <w:tcPr>
            <w:tcW w:w="1161" w:type="dxa"/>
            <w:vAlign w:val="center"/>
          </w:tcPr>
          <w:p w:rsidR="00F87676" w:rsidRPr="00F87676" w:rsidRDefault="00F87676" w:rsidP="009C4670">
            <w:pPr>
              <w:jc w:val="center"/>
              <w:rPr>
                <w:lang w:eastAsia="en-US"/>
              </w:rPr>
            </w:pPr>
            <w:r w:rsidRPr="00F87676">
              <w:rPr>
                <w:lang w:eastAsia="en-US"/>
              </w:rPr>
              <w:t>4</w:t>
            </w:r>
            <w:r>
              <w:rPr>
                <w:lang w:eastAsia="en-US"/>
              </w:rPr>
              <w:t>*</w:t>
            </w:r>
          </w:p>
        </w:tc>
        <w:tc>
          <w:tcPr>
            <w:tcW w:w="8100" w:type="dxa"/>
            <w:shd w:val="clear" w:color="auto" w:fill="auto"/>
            <w:vAlign w:val="center"/>
          </w:tcPr>
          <w:p w:rsidR="00F87676" w:rsidRPr="00F87676" w:rsidRDefault="00F87676" w:rsidP="00AE6E27">
            <w:pPr>
              <w:rPr>
                <w:b/>
              </w:rPr>
            </w:pPr>
            <w:r w:rsidRPr="00F87676">
              <w:rPr>
                <w:b/>
              </w:rPr>
              <w:t>NIST Handbook 130 Method of Sale for Electricity as Vehicle Fuel Proposal</w:t>
            </w:r>
          </w:p>
        </w:tc>
      </w:tr>
      <w:tr w:rsidR="00F87676" w:rsidRPr="00F87676" w:rsidTr="00F87676">
        <w:trPr>
          <w:trHeight w:val="327"/>
          <w:jc w:val="center"/>
        </w:trPr>
        <w:tc>
          <w:tcPr>
            <w:tcW w:w="1458" w:type="dxa"/>
            <w:vAlign w:val="center"/>
          </w:tcPr>
          <w:p w:rsidR="00F87676" w:rsidRPr="00F87676" w:rsidRDefault="00F87676" w:rsidP="00DD2776">
            <w:pPr>
              <w:jc w:val="center"/>
            </w:pPr>
            <w:r w:rsidRPr="00F87676">
              <w:t>6</w:t>
            </w:r>
            <w:r>
              <w:t>*</w:t>
            </w:r>
          </w:p>
        </w:tc>
        <w:tc>
          <w:tcPr>
            <w:tcW w:w="1161" w:type="dxa"/>
            <w:vAlign w:val="center"/>
          </w:tcPr>
          <w:p w:rsidR="00F87676" w:rsidRPr="00F87676" w:rsidRDefault="00F87676" w:rsidP="009C4670">
            <w:pPr>
              <w:jc w:val="center"/>
              <w:rPr>
                <w:lang w:eastAsia="en-US"/>
              </w:rPr>
            </w:pPr>
            <w:r w:rsidRPr="00F87676">
              <w:rPr>
                <w:lang w:eastAsia="en-US"/>
              </w:rPr>
              <w:t>4</w:t>
            </w:r>
            <w:r>
              <w:rPr>
                <w:lang w:eastAsia="en-US"/>
              </w:rPr>
              <w:t>*</w:t>
            </w:r>
          </w:p>
        </w:tc>
        <w:tc>
          <w:tcPr>
            <w:tcW w:w="8100" w:type="dxa"/>
            <w:shd w:val="clear" w:color="auto" w:fill="auto"/>
            <w:vAlign w:val="center"/>
          </w:tcPr>
          <w:p w:rsidR="00F87676" w:rsidRPr="00F87676" w:rsidRDefault="00F87676" w:rsidP="00AE6E27">
            <w:pPr>
              <w:rPr>
                <w:b/>
              </w:rPr>
            </w:pPr>
            <w:r w:rsidRPr="00F87676">
              <w:rPr>
                <w:b/>
              </w:rPr>
              <w:t xml:space="preserve">Agenda Submission Form from Andrei Moldoveanu (NEMA) </w:t>
            </w:r>
          </w:p>
        </w:tc>
      </w:tr>
      <w:tr w:rsidR="00F87676" w:rsidRPr="00F87676" w:rsidTr="00F87676">
        <w:trPr>
          <w:trHeight w:val="327"/>
          <w:jc w:val="center"/>
        </w:trPr>
        <w:tc>
          <w:tcPr>
            <w:tcW w:w="1458" w:type="dxa"/>
            <w:vAlign w:val="center"/>
          </w:tcPr>
          <w:p w:rsidR="00F87676" w:rsidRPr="00F87676" w:rsidRDefault="00F87676" w:rsidP="00DD2776">
            <w:pPr>
              <w:jc w:val="center"/>
            </w:pPr>
            <w:r w:rsidRPr="00F87676">
              <w:t>7</w:t>
            </w:r>
            <w:r>
              <w:t>*</w:t>
            </w:r>
          </w:p>
        </w:tc>
        <w:tc>
          <w:tcPr>
            <w:tcW w:w="1161" w:type="dxa"/>
            <w:vAlign w:val="center"/>
          </w:tcPr>
          <w:p w:rsidR="00F87676" w:rsidRPr="00F87676" w:rsidRDefault="00F87676" w:rsidP="009C4670">
            <w:pPr>
              <w:jc w:val="center"/>
              <w:rPr>
                <w:lang w:eastAsia="en-US"/>
              </w:rPr>
            </w:pPr>
            <w:r w:rsidRPr="00F87676">
              <w:rPr>
                <w:lang w:eastAsia="en-US"/>
              </w:rPr>
              <w:t>4</w:t>
            </w:r>
            <w:r>
              <w:rPr>
                <w:lang w:eastAsia="en-US"/>
              </w:rPr>
              <w:t>*</w:t>
            </w:r>
          </w:p>
        </w:tc>
        <w:tc>
          <w:tcPr>
            <w:tcW w:w="8100" w:type="dxa"/>
            <w:shd w:val="clear" w:color="auto" w:fill="auto"/>
            <w:vAlign w:val="center"/>
          </w:tcPr>
          <w:p w:rsidR="00F87676" w:rsidRPr="00F87676" w:rsidRDefault="00F87676" w:rsidP="00AE6E27">
            <w:pPr>
              <w:rPr>
                <w:b/>
              </w:rPr>
            </w:pPr>
            <w:r w:rsidRPr="00F87676">
              <w:rPr>
                <w:b/>
              </w:rPr>
              <w:t xml:space="preserve">NEMA Proposed Changes to NIST Handbook 130 Method of Sale for Electricity as Vehicle Fuel Proposal </w:t>
            </w:r>
          </w:p>
        </w:tc>
      </w:tr>
      <w:tr w:rsidR="00F87676" w:rsidRPr="00F87676" w:rsidTr="00F87676">
        <w:trPr>
          <w:trHeight w:val="327"/>
          <w:jc w:val="center"/>
        </w:trPr>
        <w:tc>
          <w:tcPr>
            <w:tcW w:w="1458" w:type="dxa"/>
            <w:vAlign w:val="center"/>
          </w:tcPr>
          <w:p w:rsidR="00F87676" w:rsidRPr="00F87676" w:rsidRDefault="00F87676" w:rsidP="00DD2776">
            <w:pPr>
              <w:jc w:val="center"/>
              <w:rPr>
                <w:b/>
              </w:rPr>
            </w:pPr>
            <w:r w:rsidRPr="00F87676">
              <w:t>8</w:t>
            </w:r>
            <w:r>
              <w:t>*</w:t>
            </w:r>
          </w:p>
        </w:tc>
        <w:tc>
          <w:tcPr>
            <w:tcW w:w="1161" w:type="dxa"/>
            <w:vAlign w:val="center"/>
          </w:tcPr>
          <w:p w:rsidR="00F87676" w:rsidRPr="00F87676" w:rsidRDefault="00F87676" w:rsidP="009C4670">
            <w:pPr>
              <w:jc w:val="center"/>
              <w:rPr>
                <w:lang w:eastAsia="en-US"/>
              </w:rPr>
            </w:pPr>
            <w:r w:rsidRPr="00F87676">
              <w:rPr>
                <w:lang w:eastAsia="en-US"/>
              </w:rPr>
              <w:t>7</w:t>
            </w:r>
            <w:r>
              <w:rPr>
                <w:lang w:eastAsia="en-US"/>
              </w:rPr>
              <w:t>*</w:t>
            </w:r>
          </w:p>
        </w:tc>
        <w:tc>
          <w:tcPr>
            <w:tcW w:w="8100" w:type="dxa"/>
            <w:shd w:val="clear" w:color="auto" w:fill="auto"/>
            <w:vAlign w:val="center"/>
          </w:tcPr>
          <w:p w:rsidR="00F87676" w:rsidRPr="00F87676" w:rsidRDefault="00F87676" w:rsidP="00AE6E27">
            <w:pPr>
              <w:rPr>
                <w:b/>
                <w:lang w:eastAsia="en-US"/>
              </w:rPr>
            </w:pPr>
            <w:r w:rsidRPr="00F87676">
              <w:rPr>
                <w:b/>
              </w:rPr>
              <w:t>Draft NIST Handbook 44 Device Code Requirements for Electric Vehicle Fueling and Submetering</w:t>
            </w:r>
          </w:p>
        </w:tc>
      </w:tr>
      <w:tr w:rsidR="00F87676" w:rsidRPr="00F87676" w:rsidTr="00F87676">
        <w:trPr>
          <w:trHeight w:val="327"/>
          <w:jc w:val="center"/>
        </w:trPr>
        <w:tc>
          <w:tcPr>
            <w:tcW w:w="1458" w:type="dxa"/>
            <w:vAlign w:val="center"/>
          </w:tcPr>
          <w:p w:rsidR="00F87676" w:rsidRPr="00F87676" w:rsidRDefault="00F87676" w:rsidP="00DD2776">
            <w:pPr>
              <w:jc w:val="center"/>
            </w:pPr>
            <w:r w:rsidRPr="00F87676">
              <w:t>9</w:t>
            </w:r>
            <w:r>
              <w:t>*</w:t>
            </w:r>
          </w:p>
        </w:tc>
        <w:tc>
          <w:tcPr>
            <w:tcW w:w="1161" w:type="dxa"/>
            <w:vAlign w:val="center"/>
          </w:tcPr>
          <w:p w:rsidR="00F87676" w:rsidRPr="00F87676" w:rsidRDefault="00F87676" w:rsidP="009C4670">
            <w:pPr>
              <w:jc w:val="center"/>
              <w:rPr>
                <w:lang w:eastAsia="en-US"/>
              </w:rPr>
            </w:pPr>
            <w:r w:rsidRPr="00F87676">
              <w:rPr>
                <w:lang w:eastAsia="en-US"/>
              </w:rPr>
              <w:t>7</w:t>
            </w:r>
            <w:r>
              <w:rPr>
                <w:lang w:eastAsia="en-US"/>
              </w:rPr>
              <w:t>*</w:t>
            </w:r>
          </w:p>
        </w:tc>
        <w:tc>
          <w:tcPr>
            <w:tcW w:w="8100" w:type="dxa"/>
            <w:shd w:val="clear" w:color="auto" w:fill="auto"/>
            <w:vAlign w:val="center"/>
          </w:tcPr>
          <w:p w:rsidR="00F87676" w:rsidRPr="00F87676" w:rsidRDefault="00F87676" w:rsidP="00AE6E27">
            <w:pPr>
              <w:rPr>
                <w:b/>
                <w:lang w:eastAsia="en-US"/>
              </w:rPr>
            </w:pPr>
            <w:r w:rsidRPr="00F87676">
              <w:rPr>
                <w:b/>
                <w:lang w:eastAsia="en-US"/>
              </w:rPr>
              <w:t>USNWG Combined Comments on Proposal Documents</w:t>
            </w:r>
          </w:p>
        </w:tc>
      </w:tr>
    </w:tbl>
    <w:p w:rsidR="00F87676" w:rsidRDefault="00F87676" w:rsidP="006F33A7">
      <w:pPr>
        <w:rPr>
          <w:rFonts w:eastAsia="Times New Roman"/>
          <w:sz w:val="22"/>
          <w:szCs w:val="22"/>
          <w:lang w:eastAsia="en-US"/>
        </w:rPr>
      </w:pPr>
      <w:r>
        <w:rPr>
          <w:rFonts w:eastAsia="Times New Roman"/>
          <w:sz w:val="22"/>
          <w:szCs w:val="22"/>
          <w:lang w:eastAsia="en-US"/>
        </w:rPr>
        <w:t>*Not fully addressed during the March 26, 2013 meeting.</w:t>
      </w:r>
    </w:p>
    <w:p w:rsidR="00657856" w:rsidRDefault="00657856">
      <w:pPr>
        <w:rPr>
          <w:rFonts w:eastAsia="Times New Roman"/>
          <w:b/>
          <w:sz w:val="28"/>
          <w:szCs w:val="28"/>
          <w:lang w:eastAsia="en-US"/>
        </w:rPr>
      </w:pPr>
    </w:p>
    <w:p w:rsidR="00FE792A" w:rsidRDefault="00FE792A" w:rsidP="006F33A7">
      <w:pPr>
        <w:jc w:val="center"/>
        <w:rPr>
          <w:rFonts w:eastAsia="Times New Roman"/>
          <w:b/>
          <w:sz w:val="28"/>
          <w:szCs w:val="28"/>
          <w:lang w:eastAsia="en-US"/>
        </w:rPr>
      </w:pPr>
      <w:r w:rsidRPr="00FE792A">
        <w:rPr>
          <w:rFonts w:eastAsia="Times New Roman"/>
          <w:b/>
          <w:sz w:val="28"/>
          <w:szCs w:val="28"/>
          <w:lang w:eastAsia="en-US"/>
        </w:rPr>
        <w:t>A</w:t>
      </w:r>
      <w:r w:rsidR="00D938A1">
        <w:rPr>
          <w:rFonts w:eastAsia="Times New Roman"/>
          <w:b/>
          <w:sz w:val="28"/>
          <w:szCs w:val="28"/>
          <w:lang w:eastAsia="en-US"/>
        </w:rPr>
        <w:t>genda</w:t>
      </w:r>
      <w:r w:rsidRPr="00FE792A">
        <w:rPr>
          <w:rFonts w:eastAsia="Times New Roman"/>
          <w:b/>
          <w:sz w:val="28"/>
          <w:szCs w:val="28"/>
          <w:lang w:eastAsia="en-US"/>
        </w:rPr>
        <w:t xml:space="preserve"> T</w:t>
      </w:r>
      <w:r w:rsidR="00D938A1">
        <w:rPr>
          <w:rFonts w:eastAsia="Times New Roman"/>
          <w:b/>
          <w:sz w:val="28"/>
          <w:szCs w:val="28"/>
          <w:lang w:eastAsia="en-US"/>
        </w:rPr>
        <w:t>opics</w:t>
      </w:r>
    </w:p>
    <w:p w:rsidR="00B02C45" w:rsidRDefault="00B02C45" w:rsidP="006F33A7">
      <w:pPr>
        <w:jc w:val="center"/>
        <w:rPr>
          <w:rFonts w:eastAsia="Times New Roman"/>
          <w:b/>
          <w:sz w:val="28"/>
          <w:szCs w:val="28"/>
          <w:lang w:eastAsia="en-US"/>
        </w:rPr>
      </w:pPr>
    </w:p>
    <w:p w:rsidR="00B02C45" w:rsidRPr="00CE081E" w:rsidRDefault="009129D7" w:rsidP="00CE081E">
      <w:pPr>
        <w:pStyle w:val="Heading2"/>
        <w:rPr>
          <w:rFonts w:ascii="Times New Roman" w:hAnsi="Times New Roman" w:cs="Times New Roman"/>
          <w:b w:val="0"/>
          <w:color w:val="auto"/>
          <w:sz w:val="24"/>
          <w:szCs w:val="22"/>
        </w:rPr>
      </w:pPr>
      <w:bookmarkStart w:id="0" w:name="_Toc358047811"/>
      <w:r w:rsidRPr="005E76F7">
        <w:rPr>
          <w:rFonts w:ascii="Times New Roman" w:hAnsi="Times New Roman" w:cs="Times New Roman"/>
          <w:color w:val="auto"/>
          <w:sz w:val="24"/>
          <w:szCs w:val="22"/>
        </w:rPr>
        <w:t>1</w:t>
      </w:r>
      <w:r w:rsidR="00E6096B" w:rsidRPr="005E76F7">
        <w:rPr>
          <w:rFonts w:ascii="Times New Roman" w:hAnsi="Times New Roman" w:cs="Times New Roman"/>
          <w:color w:val="auto"/>
          <w:sz w:val="24"/>
          <w:szCs w:val="22"/>
        </w:rPr>
        <w:t>.</w:t>
      </w:r>
      <w:r w:rsidRPr="005E76F7">
        <w:rPr>
          <w:rFonts w:ascii="Times New Roman" w:hAnsi="Times New Roman" w:cs="Times New Roman"/>
          <w:color w:val="auto"/>
          <w:sz w:val="24"/>
          <w:szCs w:val="22"/>
        </w:rPr>
        <w:t xml:space="preserve">  </w:t>
      </w:r>
      <w:r w:rsidR="007E21CF" w:rsidRPr="007E21CF">
        <w:rPr>
          <w:rFonts w:ascii="Times New Roman" w:hAnsi="Times New Roman" w:cs="Times New Roman"/>
          <w:color w:val="auto"/>
          <w:sz w:val="24"/>
          <w:szCs w:val="22"/>
        </w:rPr>
        <w:t>Welcome New Members and Introductions</w:t>
      </w:r>
      <w:bookmarkEnd w:id="0"/>
    </w:p>
    <w:p w:rsidR="00B02C45" w:rsidRDefault="00B02C45" w:rsidP="009129D7">
      <w:pPr>
        <w:jc w:val="both"/>
        <w:rPr>
          <w:sz w:val="22"/>
          <w:szCs w:val="22"/>
        </w:rPr>
      </w:pPr>
    </w:p>
    <w:p w:rsidR="00FB7975" w:rsidRDefault="00BA43C9" w:rsidP="00FB7975">
      <w:pPr>
        <w:jc w:val="both"/>
        <w:rPr>
          <w:sz w:val="22"/>
          <w:szCs w:val="22"/>
        </w:rPr>
      </w:pPr>
      <w:r>
        <w:rPr>
          <w:sz w:val="22"/>
          <w:szCs w:val="22"/>
        </w:rPr>
        <w:t xml:space="preserve">The Chair </w:t>
      </w:r>
      <w:r w:rsidR="007E21CF">
        <w:rPr>
          <w:sz w:val="22"/>
          <w:szCs w:val="22"/>
        </w:rPr>
        <w:t>called the meeting to order and welcomed new members</w:t>
      </w:r>
      <w:r w:rsidR="008F2F5C">
        <w:rPr>
          <w:sz w:val="22"/>
          <w:szCs w:val="22"/>
        </w:rPr>
        <w:t>.</w:t>
      </w:r>
      <w:r w:rsidR="00FB7975" w:rsidRPr="00FB7975">
        <w:rPr>
          <w:sz w:val="22"/>
          <w:szCs w:val="22"/>
        </w:rPr>
        <w:t xml:space="preserve"> </w:t>
      </w:r>
      <w:r w:rsidR="00E12D1F">
        <w:rPr>
          <w:sz w:val="22"/>
          <w:szCs w:val="22"/>
        </w:rPr>
        <w:t xml:space="preserve"> A quorum of the registered P-members </w:t>
      </w:r>
      <w:r w:rsidR="00DD1AC7">
        <w:rPr>
          <w:sz w:val="22"/>
          <w:szCs w:val="22"/>
        </w:rPr>
        <w:t xml:space="preserve">was present </w:t>
      </w:r>
      <w:r w:rsidR="00E12D1F">
        <w:rPr>
          <w:sz w:val="22"/>
          <w:szCs w:val="22"/>
        </w:rPr>
        <w:t>(14 out of 30</w:t>
      </w:r>
      <w:r w:rsidR="00FB7975">
        <w:rPr>
          <w:sz w:val="22"/>
          <w:szCs w:val="22"/>
        </w:rPr>
        <w:t>,</w:t>
      </w:r>
      <w:r w:rsidR="00E12D1F">
        <w:rPr>
          <w:sz w:val="22"/>
          <w:szCs w:val="22"/>
        </w:rPr>
        <w:t xml:space="preserve"> or 47%)</w:t>
      </w:r>
      <w:r w:rsidR="00FB7975">
        <w:rPr>
          <w:sz w:val="22"/>
          <w:szCs w:val="22"/>
        </w:rPr>
        <w:t>.</w:t>
      </w:r>
      <w:r w:rsidR="00E12D1F">
        <w:rPr>
          <w:sz w:val="22"/>
          <w:szCs w:val="22"/>
        </w:rPr>
        <w:t xml:space="preserve"> </w:t>
      </w:r>
      <w:r w:rsidR="00DD1AC7">
        <w:rPr>
          <w:sz w:val="22"/>
          <w:szCs w:val="22"/>
        </w:rPr>
        <w:t xml:space="preserve"> </w:t>
      </w:r>
      <w:r w:rsidR="000A5ED0">
        <w:rPr>
          <w:sz w:val="22"/>
          <w:szCs w:val="22"/>
        </w:rPr>
        <w:t>T</w:t>
      </w:r>
      <w:r w:rsidR="00E12D1F">
        <w:rPr>
          <w:sz w:val="22"/>
          <w:szCs w:val="22"/>
        </w:rPr>
        <w:t xml:space="preserve">here were a total of 28 attendees.  A complete list of attendees is provided as Attachment </w:t>
      </w:r>
      <w:r w:rsidR="000A5ED0">
        <w:rPr>
          <w:sz w:val="22"/>
          <w:szCs w:val="22"/>
        </w:rPr>
        <w:t>1</w:t>
      </w:r>
      <w:r w:rsidR="00E12D1F">
        <w:rPr>
          <w:sz w:val="22"/>
          <w:szCs w:val="22"/>
        </w:rPr>
        <w:t>.</w:t>
      </w:r>
    </w:p>
    <w:p w:rsidR="009129D7" w:rsidRPr="005E76F7" w:rsidRDefault="009129D7" w:rsidP="00B044ED">
      <w:pPr>
        <w:pStyle w:val="Heading2"/>
        <w:rPr>
          <w:rFonts w:ascii="Times New Roman" w:hAnsi="Times New Roman" w:cs="Times New Roman"/>
          <w:b w:val="0"/>
          <w:color w:val="auto"/>
          <w:sz w:val="24"/>
          <w:szCs w:val="22"/>
        </w:rPr>
      </w:pPr>
      <w:bookmarkStart w:id="1" w:name="_Toc358047812"/>
      <w:r w:rsidRPr="005E76F7">
        <w:rPr>
          <w:rFonts w:ascii="Times New Roman" w:hAnsi="Times New Roman" w:cs="Times New Roman"/>
          <w:color w:val="auto"/>
          <w:sz w:val="24"/>
          <w:szCs w:val="22"/>
        </w:rPr>
        <w:t>2</w:t>
      </w:r>
      <w:r w:rsidR="00E6096B" w:rsidRPr="005E76F7">
        <w:rPr>
          <w:rFonts w:ascii="Times New Roman" w:hAnsi="Times New Roman" w:cs="Times New Roman"/>
          <w:color w:val="auto"/>
          <w:sz w:val="24"/>
          <w:szCs w:val="22"/>
        </w:rPr>
        <w:t>.</w:t>
      </w:r>
      <w:r w:rsidRPr="005E76F7">
        <w:rPr>
          <w:rFonts w:ascii="Times New Roman" w:hAnsi="Times New Roman" w:cs="Times New Roman"/>
          <w:color w:val="auto"/>
          <w:sz w:val="24"/>
          <w:szCs w:val="22"/>
        </w:rPr>
        <w:t xml:space="preserve">  </w:t>
      </w:r>
      <w:r w:rsidR="007E21CF" w:rsidRPr="007E21CF">
        <w:rPr>
          <w:rFonts w:ascii="Times New Roman" w:hAnsi="Times New Roman" w:cs="Times New Roman"/>
          <w:color w:val="auto"/>
          <w:sz w:val="24"/>
          <w:szCs w:val="22"/>
        </w:rPr>
        <w:t>Summary of January 15-17, 2013 Meeting</w:t>
      </w:r>
      <w:bookmarkEnd w:id="1"/>
    </w:p>
    <w:p w:rsidR="002E70F5" w:rsidRDefault="002E70F5" w:rsidP="009129D7">
      <w:pPr>
        <w:jc w:val="both"/>
        <w:rPr>
          <w:b/>
          <w:sz w:val="22"/>
          <w:szCs w:val="22"/>
        </w:rPr>
      </w:pPr>
    </w:p>
    <w:p w:rsidR="002E70F5" w:rsidRPr="006D69CA" w:rsidRDefault="002E70F5" w:rsidP="009129D7">
      <w:pPr>
        <w:jc w:val="both"/>
        <w:rPr>
          <w:sz w:val="22"/>
          <w:szCs w:val="22"/>
        </w:rPr>
      </w:pPr>
      <w:r w:rsidRPr="006D69CA">
        <w:rPr>
          <w:b/>
          <w:sz w:val="22"/>
          <w:szCs w:val="22"/>
        </w:rPr>
        <w:t xml:space="preserve">Background:  </w:t>
      </w:r>
      <w:r w:rsidR="00891390">
        <w:rPr>
          <w:sz w:val="22"/>
          <w:szCs w:val="22"/>
        </w:rPr>
        <w:t>A</w:t>
      </w:r>
      <w:r w:rsidRPr="006D69CA">
        <w:rPr>
          <w:sz w:val="22"/>
          <w:szCs w:val="22"/>
        </w:rPr>
        <w:t xml:space="preserve"> meeting of the USNWG was held on </w:t>
      </w:r>
      <w:r w:rsidR="002B757C" w:rsidRPr="006D69CA">
        <w:rPr>
          <w:sz w:val="22"/>
          <w:szCs w:val="22"/>
        </w:rPr>
        <w:t>January 15-17</w:t>
      </w:r>
      <w:r w:rsidRPr="006D69CA">
        <w:rPr>
          <w:sz w:val="22"/>
          <w:szCs w:val="22"/>
        </w:rPr>
        <w:t>, 201</w:t>
      </w:r>
      <w:r w:rsidR="002B757C" w:rsidRPr="006D69CA">
        <w:rPr>
          <w:sz w:val="22"/>
          <w:szCs w:val="22"/>
        </w:rPr>
        <w:t>3 at the NIST facility in Gaithersburg, MD.  Members were able to participate in person and via web and telephone connections.</w:t>
      </w:r>
      <w:r w:rsidRPr="006D69CA">
        <w:rPr>
          <w:sz w:val="22"/>
          <w:szCs w:val="22"/>
        </w:rPr>
        <w:t xml:space="preserve">  A draft of the </w:t>
      </w:r>
      <w:r w:rsidR="002B757C" w:rsidRPr="006D69CA">
        <w:rPr>
          <w:sz w:val="22"/>
          <w:szCs w:val="22"/>
        </w:rPr>
        <w:t xml:space="preserve">Meeting </w:t>
      </w:r>
      <w:r w:rsidRPr="006D69CA">
        <w:rPr>
          <w:sz w:val="22"/>
          <w:szCs w:val="22"/>
        </w:rPr>
        <w:t xml:space="preserve">Summary was circulated to USNWG members </w:t>
      </w:r>
      <w:r w:rsidR="002B757C" w:rsidRPr="006D69CA">
        <w:rPr>
          <w:sz w:val="22"/>
          <w:szCs w:val="22"/>
        </w:rPr>
        <w:t>as</w:t>
      </w:r>
      <w:r w:rsidR="00891390">
        <w:rPr>
          <w:sz w:val="22"/>
          <w:szCs w:val="22"/>
        </w:rPr>
        <w:t xml:space="preserve"> an</w:t>
      </w:r>
      <w:r w:rsidR="002B757C" w:rsidRPr="006D69CA">
        <w:rPr>
          <w:sz w:val="22"/>
          <w:szCs w:val="22"/>
        </w:rPr>
        <w:t xml:space="preserve"> </w:t>
      </w:r>
      <w:r w:rsidR="00464B31">
        <w:rPr>
          <w:sz w:val="22"/>
          <w:szCs w:val="22"/>
        </w:rPr>
        <w:t>a</w:t>
      </w:r>
      <w:r w:rsidR="002B757C" w:rsidRPr="006D69CA">
        <w:rPr>
          <w:sz w:val="22"/>
          <w:szCs w:val="22"/>
        </w:rPr>
        <w:t>ttachment to the March 26, 2013 USNWG Meeting Agenda</w:t>
      </w:r>
      <w:r w:rsidRPr="006D69CA">
        <w:rPr>
          <w:sz w:val="22"/>
          <w:szCs w:val="22"/>
        </w:rPr>
        <w:t>.</w:t>
      </w:r>
    </w:p>
    <w:p w:rsidR="002E70F5" w:rsidRPr="006D69CA" w:rsidRDefault="002E70F5" w:rsidP="009129D7">
      <w:pPr>
        <w:jc w:val="both"/>
        <w:rPr>
          <w:sz w:val="22"/>
          <w:szCs w:val="22"/>
        </w:rPr>
      </w:pPr>
    </w:p>
    <w:p w:rsidR="002E70F5" w:rsidRPr="00856DEA" w:rsidRDefault="002E70F5" w:rsidP="009129D7">
      <w:pPr>
        <w:jc w:val="both"/>
        <w:rPr>
          <w:sz w:val="22"/>
          <w:szCs w:val="22"/>
        </w:rPr>
      </w:pPr>
      <w:r w:rsidRPr="00856DEA">
        <w:rPr>
          <w:b/>
          <w:sz w:val="22"/>
          <w:szCs w:val="22"/>
        </w:rPr>
        <w:t>Recommendation:</w:t>
      </w:r>
      <w:r w:rsidRPr="00856DEA">
        <w:rPr>
          <w:sz w:val="22"/>
          <w:szCs w:val="22"/>
        </w:rPr>
        <w:t xml:space="preserve">  USNWG members </w:t>
      </w:r>
      <w:r w:rsidR="00550052" w:rsidRPr="00856DEA">
        <w:rPr>
          <w:sz w:val="22"/>
          <w:szCs w:val="22"/>
        </w:rPr>
        <w:t>were</w:t>
      </w:r>
      <w:r w:rsidRPr="00856DEA">
        <w:rPr>
          <w:sz w:val="22"/>
          <w:szCs w:val="22"/>
        </w:rPr>
        <w:t xml:space="preserve"> asked to approve the </w:t>
      </w:r>
      <w:r w:rsidR="00856DEA" w:rsidRPr="00856DEA">
        <w:rPr>
          <w:sz w:val="22"/>
          <w:szCs w:val="22"/>
        </w:rPr>
        <w:t xml:space="preserve">January 15-17, 2013 </w:t>
      </w:r>
      <w:r w:rsidR="006D69CA" w:rsidRPr="00856DEA">
        <w:rPr>
          <w:sz w:val="22"/>
          <w:szCs w:val="22"/>
        </w:rPr>
        <w:t xml:space="preserve">Meeting </w:t>
      </w:r>
      <w:r w:rsidRPr="00856DEA">
        <w:rPr>
          <w:sz w:val="22"/>
          <w:szCs w:val="22"/>
        </w:rPr>
        <w:t>Summary</w:t>
      </w:r>
      <w:r w:rsidR="00550052" w:rsidRPr="00856DEA">
        <w:rPr>
          <w:sz w:val="22"/>
          <w:szCs w:val="22"/>
        </w:rPr>
        <w:t>.</w:t>
      </w:r>
    </w:p>
    <w:p w:rsidR="002E70F5" w:rsidRPr="00856DEA" w:rsidRDefault="002E70F5" w:rsidP="009129D7">
      <w:pPr>
        <w:jc w:val="both"/>
        <w:rPr>
          <w:b/>
          <w:sz w:val="22"/>
          <w:szCs w:val="22"/>
        </w:rPr>
      </w:pPr>
    </w:p>
    <w:p w:rsidR="00CF22CA" w:rsidRPr="00856DEA" w:rsidRDefault="00CF22CA" w:rsidP="009129D7">
      <w:pPr>
        <w:jc w:val="both"/>
        <w:rPr>
          <w:sz w:val="22"/>
          <w:szCs w:val="22"/>
        </w:rPr>
      </w:pPr>
      <w:r w:rsidRPr="00856DEA">
        <w:rPr>
          <w:b/>
          <w:sz w:val="22"/>
          <w:szCs w:val="22"/>
        </w:rPr>
        <w:t xml:space="preserve">Discussion:  </w:t>
      </w:r>
      <w:r w:rsidR="008F4030">
        <w:rPr>
          <w:sz w:val="22"/>
          <w:szCs w:val="22"/>
        </w:rPr>
        <w:t>USNWG m</w:t>
      </w:r>
      <w:r w:rsidRPr="00856DEA">
        <w:rPr>
          <w:sz w:val="22"/>
          <w:szCs w:val="22"/>
        </w:rPr>
        <w:t>embers</w:t>
      </w:r>
      <w:r w:rsidR="006D69CA" w:rsidRPr="00856DEA">
        <w:rPr>
          <w:sz w:val="22"/>
          <w:szCs w:val="22"/>
        </w:rPr>
        <w:t xml:space="preserve"> agreed to make two changes to </w:t>
      </w:r>
      <w:r w:rsidR="00256584">
        <w:rPr>
          <w:sz w:val="22"/>
          <w:szCs w:val="22"/>
        </w:rPr>
        <w:t xml:space="preserve">Agenda Item </w:t>
      </w:r>
      <w:r w:rsidR="00256584" w:rsidRPr="00F32FF8">
        <w:rPr>
          <w:sz w:val="22"/>
          <w:szCs w:val="22"/>
        </w:rPr>
        <w:t>4.b.  Paragraph 2.XX.2. Method of Retail Sale</w:t>
      </w:r>
      <w:r w:rsidR="00256584" w:rsidRPr="00856DEA">
        <w:rPr>
          <w:sz w:val="22"/>
          <w:szCs w:val="22"/>
        </w:rPr>
        <w:t xml:space="preserve"> </w:t>
      </w:r>
      <w:r w:rsidR="00256584">
        <w:rPr>
          <w:sz w:val="22"/>
          <w:szCs w:val="22"/>
        </w:rPr>
        <w:t xml:space="preserve">in </w:t>
      </w:r>
      <w:r w:rsidR="006D69CA" w:rsidRPr="00856DEA">
        <w:rPr>
          <w:sz w:val="22"/>
          <w:szCs w:val="22"/>
        </w:rPr>
        <w:t xml:space="preserve">the </w:t>
      </w:r>
      <w:r w:rsidR="001F7A57">
        <w:rPr>
          <w:sz w:val="22"/>
          <w:szCs w:val="22"/>
        </w:rPr>
        <w:t>d</w:t>
      </w:r>
      <w:r w:rsidR="006D69CA" w:rsidRPr="00856DEA">
        <w:rPr>
          <w:sz w:val="22"/>
          <w:szCs w:val="22"/>
        </w:rPr>
        <w:t>raft Meeting Summary</w:t>
      </w:r>
      <w:r w:rsidR="00891390">
        <w:rPr>
          <w:sz w:val="22"/>
          <w:szCs w:val="22"/>
        </w:rPr>
        <w:t xml:space="preserve"> as outlined below.</w:t>
      </w:r>
    </w:p>
    <w:p w:rsidR="00856DEA" w:rsidRPr="00856DEA" w:rsidRDefault="00856DEA" w:rsidP="009129D7">
      <w:pPr>
        <w:jc w:val="both"/>
        <w:rPr>
          <w:sz w:val="22"/>
          <w:szCs w:val="22"/>
        </w:rPr>
      </w:pPr>
    </w:p>
    <w:p w:rsidR="006D69CA" w:rsidRDefault="00256584" w:rsidP="00F32FF8">
      <w:pPr>
        <w:pStyle w:val="ListParagraph"/>
        <w:numPr>
          <w:ilvl w:val="0"/>
          <w:numId w:val="9"/>
        </w:numPr>
        <w:jc w:val="both"/>
        <w:rPr>
          <w:sz w:val="22"/>
          <w:szCs w:val="22"/>
        </w:rPr>
      </w:pPr>
      <w:r>
        <w:rPr>
          <w:sz w:val="22"/>
          <w:szCs w:val="22"/>
        </w:rPr>
        <w:t>T</w:t>
      </w:r>
      <w:r w:rsidR="006D69CA" w:rsidRPr="00856DEA">
        <w:rPr>
          <w:sz w:val="22"/>
          <w:szCs w:val="22"/>
        </w:rPr>
        <w:t xml:space="preserve">he USNWG agreed that it is not correct to list specific States by name </w:t>
      </w:r>
      <w:r>
        <w:rPr>
          <w:sz w:val="22"/>
          <w:szCs w:val="22"/>
        </w:rPr>
        <w:t>in t</w:t>
      </w:r>
      <w:r w:rsidRPr="00856DEA">
        <w:rPr>
          <w:sz w:val="22"/>
          <w:szCs w:val="22"/>
        </w:rPr>
        <w:t xml:space="preserve">he footnote under the </w:t>
      </w:r>
      <w:r w:rsidR="005B574C">
        <w:rPr>
          <w:sz w:val="22"/>
          <w:szCs w:val="22"/>
        </w:rPr>
        <w:t>“</w:t>
      </w:r>
      <w:r w:rsidRPr="00856DEA">
        <w:rPr>
          <w:sz w:val="22"/>
          <w:szCs w:val="22"/>
        </w:rPr>
        <w:t>Commercial Use Cases</w:t>
      </w:r>
      <w:r w:rsidR="005B574C">
        <w:rPr>
          <w:sz w:val="22"/>
          <w:szCs w:val="22"/>
        </w:rPr>
        <w:t>”</w:t>
      </w:r>
      <w:r w:rsidRPr="00856DEA">
        <w:rPr>
          <w:sz w:val="22"/>
          <w:szCs w:val="22"/>
        </w:rPr>
        <w:t xml:space="preserve"> table on page 10 </w:t>
      </w:r>
      <w:r w:rsidR="006D69CA" w:rsidRPr="00856DEA">
        <w:rPr>
          <w:sz w:val="22"/>
          <w:szCs w:val="22"/>
        </w:rPr>
        <w:t xml:space="preserve">since the USNWG has not yet </w:t>
      </w:r>
      <w:r w:rsidR="00D80EB9" w:rsidRPr="00856DEA">
        <w:rPr>
          <w:sz w:val="22"/>
          <w:szCs w:val="22"/>
        </w:rPr>
        <w:t>verified</w:t>
      </w:r>
      <w:r w:rsidR="006D69CA" w:rsidRPr="00856DEA">
        <w:rPr>
          <w:sz w:val="22"/>
          <w:szCs w:val="22"/>
        </w:rPr>
        <w:t xml:space="preserve"> </w:t>
      </w:r>
      <w:r w:rsidR="005B574C">
        <w:rPr>
          <w:sz w:val="22"/>
          <w:szCs w:val="22"/>
        </w:rPr>
        <w:t>which</w:t>
      </w:r>
      <w:r>
        <w:rPr>
          <w:sz w:val="22"/>
          <w:szCs w:val="22"/>
        </w:rPr>
        <w:t xml:space="preserve"> States prohibit</w:t>
      </w:r>
      <w:r w:rsidR="005B574C">
        <w:rPr>
          <w:sz w:val="22"/>
          <w:szCs w:val="22"/>
        </w:rPr>
        <w:t xml:space="preserve"> and which States permit</w:t>
      </w:r>
      <w:r>
        <w:rPr>
          <w:sz w:val="22"/>
          <w:szCs w:val="22"/>
        </w:rPr>
        <w:t xml:space="preserve"> the </w:t>
      </w:r>
      <w:r w:rsidR="008A443F">
        <w:rPr>
          <w:sz w:val="22"/>
          <w:szCs w:val="22"/>
        </w:rPr>
        <w:t>sale of electrical energy</w:t>
      </w:r>
      <w:r w:rsidR="008A443F" w:rsidRPr="008A443F">
        <w:rPr>
          <w:sz w:val="22"/>
          <w:szCs w:val="22"/>
        </w:rPr>
        <w:t xml:space="preserve"> </w:t>
      </w:r>
      <w:r w:rsidR="008A443F" w:rsidRPr="00856DEA">
        <w:rPr>
          <w:sz w:val="22"/>
          <w:szCs w:val="22"/>
        </w:rPr>
        <w:t>by measure of kW</w:t>
      </w:r>
      <w:r w:rsidR="008A443F">
        <w:rPr>
          <w:sz w:val="22"/>
          <w:szCs w:val="22"/>
        </w:rPr>
        <w:t>·</w:t>
      </w:r>
      <w:r w:rsidR="008A443F" w:rsidRPr="00856DEA">
        <w:rPr>
          <w:sz w:val="22"/>
          <w:szCs w:val="22"/>
        </w:rPr>
        <w:t>h for PEV fueling by other than regulated utilities</w:t>
      </w:r>
      <w:r w:rsidR="006D69CA" w:rsidRPr="00856DEA">
        <w:rPr>
          <w:sz w:val="22"/>
          <w:szCs w:val="22"/>
        </w:rPr>
        <w:t xml:space="preserve">.  </w:t>
      </w:r>
      <w:r w:rsidR="00F32FF8">
        <w:rPr>
          <w:sz w:val="22"/>
          <w:szCs w:val="22"/>
        </w:rPr>
        <w:t xml:space="preserve">Mr. </w:t>
      </w:r>
      <w:r w:rsidR="006D69CA" w:rsidRPr="00856DEA">
        <w:rPr>
          <w:sz w:val="22"/>
          <w:szCs w:val="22"/>
        </w:rPr>
        <w:t xml:space="preserve">Richard Lowenthal </w:t>
      </w:r>
      <w:r w:rsidR="00F32FF8">
        <w:rPr>
          <w:sz w:val="22"/>
          <w:szCs w:val="22"/>
        </w:rPr>
        <w:t xml:space="preserve">(ChargePoint) </w:t>
      </w:r>
      <w:r w:rsidR="00D80EB9" w:rsidRPr="00856DEA">
        <w:rPr>
          <w:sz w:val="22"/>
          <w:szCs w:val="22"/>
        </w:rPr>
        <w:t xml:space="preserve">commented that, as a starting point, </w:t>
      </w:r>
      <w:r w:rsidR="005B574C" w:rsidRPr="00856DEA">
        <w:rPr>
          <w:sz w:val="22"/>
          <w:szCs w:val="22"/>
        </w:rPr>
        <w:t xml:space="preserve">he would provide </w:t>
      </w:r>
      <w:r w:rsidR="00D80EB9" w:rsidRPr="00856DEA">
        <w:rPr>
          <w:sz w:val="22"/>
          <w:szCs w:val="22"/>
        </w:rPr>
        <w:t>the most comprehensive list that he has which names those States</w:t>
      </w:r>
      <w:r w:rsidR="005B574C">
        <w:rPr>
          <w:sz w:val="22"/>
          <w:szCs w:val="22"/>
        </w:rPr>
        <w:t xml:space="preserve"> that prohibit</w:t>
      </w:r>
      <w:r w:rsidR="005B574C" w:rsidRPr="005B574C">
        <w:rPr>
          <w:sz w:val="22"/>
          <w:szCs w:val="22"/>
        </w:rPr>
        <w:t xml:space="preserve"> the sale of electrical energy by measure of kW·h for PEV fueling by other than regulated utilities</w:t>
      </w:r>
      <w:r w:rsidR="00D80EB9" w:rsidRPr="00856DEA">
        <w:rPr>
          <w:sz w:val="22"/>
          <w:szCs w:val="22"/>
        </w:rPr>
        <w:t xml:space="preserve">.  The final version of the footnote approved by the USNWG </w:t>
      </w:r>
      <w:r w:rsidR="001F7A57">
        <w:rPr>
          <w:sz w:val="22"/>
          <w:szCs w:val="22"/>
        </w:rPr>
        <w:t>is</w:t>
      </w:r>
      <w:r w:rsidR="006D69CA" w:rsidRPr="00856DEA">
        <w:rPr>
          <w:sz w:val="22"/>
          <w:szCs w:val="22"/>
        </w:rPr>
        <w:t xml:space="preserve"> shown </w:t>
      </w:r>
      <w:r w:rsidR="001F7A57">
        <w:rPr>
          <w:sz w:val="22"/>
          <w:szCs w:val="22"/>
        </w:rPr>
        <w:t>below</w:t>
      </w:r>
      <w:r w:rsidR="006D69CA" w:rsidRPr="00856DEA">
        <w:rPr>
          <w:sz w:val="22"/>
          <w:szCs w:val="22"/>
        </w:rPr>
        <w:t>:</w:t>
      </w:r>
    </w:p>
    <w:p w:rsidR="00A4066B" w:rsidRPr="00A4066B" w:rsidRDefault="00A4066B" w:rsidP="00A4066B">
      <w:pPr>
        <w:ind w:left="360"/>
        <w:jc w:val="both"/>
        <w:rPr>
          <w:sz w:val="22"/>
          <w:szCs w:val="22"/>
        </w:rPr>
      </w:pPr>
    </w:p>
    <w:p w:rsidR="006D69CA" w:rsidRDefault="006D69CA" w:rsidP="00D80EB9">
      <w:pPr>
        <w:ind w:left="1440"/>
        <w:jc w:val="both"/>
        <w:rPr>
          <w:sz w:val="22"/>
          <w:szCs w:val="22"/>
        </w:rPr>
      </w:pPr>
      <w:r w:rsidRPr="00856DEA">
        <w:rPr>
          <w:sz w:val="22"/>
          <w:szCs w:val="22"/>
        </w:rPr>
        <w:t xml:space="preserve">* Several USNWG members indicated that this practice is currently prohibited in </w:t>
      </w:r>
      <w:r w:rsidRPr="00856DEA">
        <w:rPr>
          <w:b/>
          <w:strike/>
          <w:sz w:val="22"/>
          <w:szCs w:val="22"/>
        </w:rPr>
        <w:t>NY, MD and other</w:t>
      </w:r>
      <w:r w:rsidRPr="00856DEA">
        <w:rPr>
          <w:b/>
          <w:sz w:val="22"/>
          <w:szCs w:val="22"/>
        </w:rPr>
        <w:t xml:space="preserve"> </w:t>
      </w:r>
      <w:r w:rsidRPr="00856DEA">
        <w:rPr>
          <w:b/>
          <w:sz w:val="22"/>
          <w:szCs w:val="22"/>
          <w:u w:val="single"/>
        </w:rPr>
        <w:t>most</w:t>
      </w:r>
      <w:r w:rsidRPr="00856DEA">
        <w:rPr>
          <w:sz w:val="22"/>
          <w:szCs w:val="22"/>
        </w:rPr>
        <w:t xml:space="preserve"> State jurisdictions.  Therefore, businesses offering vehicle charging in these jurisdictions must sell electrical energy by assessing a fee based on the length of time that the EVSE was in use.</w:t>
      </w:r>
    </w:p>
    <w:p w:rsidR="00A4066B" w:rsidRPr="00856DEA" w:rsidRDefault="00A4066B" w:rsidP="00D80EB9">
      <w:pPr>
        <w:ind w:left="1440"/>
        <w:jc w:val="both"/>
        <w:rPr>
          <w:sz w:val="22"/>
          <w:szCs w:val="22"/>
        </w:rPr>
      </w:pPr>
    </w:p>
    <w:p w:rsidR="006D69CA" w:rsidRDefault="008A443F" w:rsidP="006D69CA">
      <w:pPr>
        <w:pStyle w:val="ListParagraph"/>
        <w:numPr>
          <w:ilvl w:val="0"/>
          <w:numId w:val="9"/>
        </w:numPr>
        <w:jc w:val="both"/>
        <w:rPr>
          <w:sz w:val="22"/>
          <w:szCs w:val="22"/>
        </w:rPr>
      </w:pPr>
      <w:r>
        <w:rPr>
          <w:sz w:val="22"/>
          <w:szCs w:val="22"/>
        </w:rPr>
        <w:t xml:space="preserve">In response to </w:t>
      </w:r>
      <w:r w:rsidR="005B574C">
        <w:rPr>
          <w:sz w:val="22"/>
          <w:szCs w:val="22"/>
        </w:rPr>
        <w:t>a</w:t>
      </w:r>
      <w:r>
        <w:rPr>
          <w:sz w:val="22"/>
          <w:szCs w:val="22"/>
        </w:rPr>
        <w:t xml:space="preserve"> request from a </w:t>
      </w:r>
      <w:r w:rsidR="00856DEA" w:rsidRPr="00856DEA">
        <w:rPr>
          <w:sz w:val="22"/>
          <w:szCs w:val="22"/>
        </w:rPr>
        <w:t>USNWG member</w:t>
      </w:r>
      <w:r>
        <w:rPr>
          <w:sz w:val="22"/>
          <w:szCs w:val="22"/>
        </w:rPr>
        <w:t>,</w:t>
      </w:r>
      <w:r w:rsidR="00856DEA" w:rsidRPr="00856DEA">
        <w:rPr>
          <w:sz w:val="22"/>
          <w:szCs w:val="22"/>
        </w:rPr>
        <w:t xml:space="preserve"> the </w:t>
      </w:r>
      <w:r>
        <w:rPr>
          <w:sz w:val="22"/>
          <w:szCs w:val="22"/>
        </w:rPr>
        <w:t xml:space="preserve">USNWG agreed to clarify the </w:t>
      </w:r>
      <w:r w:rsidR="00856DEA" w:rsidRPr="00856DEA">
        <w:rPr>
          <w:sz w:val="22"/>
          <w:szCs w:val="22"/>
        </w:rPr>
        <w:t xml:space="preserve">description of </w:t>
      </w:r>
      <w:r w:rsidR="005B574C">
        <w:rPr>
          <w:sz w:val="22"/>
          <w:szCs w:val="22"/>
        </w:rPr>
        <w:t>“</w:t>
      </w:r>
      <w:r>
        <w:rPr>
          <w:sz w:val="22"/>
          <w:szCs w:val="22"/>
        </w:rPr>
        <w:t>contract</w:t>
      </w:r>
      <w:r w:rsidR="00856DEA" w:rsidRPr="00856DEA">
        <w:rPr>
          <w:sz w:val="22"/>
          <w:szCs w:val="22"/>
        </w:rPr>
        <w:t xml:space="preserve"> services</w:t>
      </w:r>
      <w:r w:rsidR="005B574C">
        <w:rPr>
          <w:sz w:val="22"/>
          <w:szCs w:val="22"/>
        </w:rPr>
        <w:t>”</w:t>
      </w:r>
      <w:r w:rsidR="00856DEA" w:rsidRPr="00856DEA">
        <w:rPr>
          <w:sz w:val="22"/>
          <w:szCs w:val="22"/>
        </w:rPr>
        <w:t xml:space="preserve"> in the second paragraph on page 11.  The final version of the paragraph approved by the USNWG </w:t>
      </w:r>
      <w:r>
        <w:rPr>
          <w:sz w:val="22"/>
          <w:szCs w:val="22"/>
        </w:rPr>
        <w:t>i</w:t>
      </w:r>
      <w:r w:rsidR="00856DEA" w:rsidRPr="00856DEA">
        <w:rPr>
          <w:sz w:val="22"/>
          <w:szCs w:val="22"/>
        </w:rPr>
        <w:t xml:space="preserve">s shown </w:t>
      </w:r>
      <w:r>
        <w:rPr>
          <w:sz w:val="22"/>
          <w:szCs w:val="22"/>
        </w:rPr>
        <w:t>below</w:t>
      </w:r>
      <w:r w:rsidR="00856DEA" w:rsidRPr="00856DEA">
        <w:rPr>
          <w:sz w:val="22"/>
          <w:szCs w:val="22"/>
        </w:rPr>
        <w:t>:</w:t>
      </w:r>
    </w:p>
    <w:p w:rsidR="00A4066B" w:rsidRPr="00A4066B" w:rsidRDefault="00A4066B" w:rsidP="00A4066B">
      <w:pPr>
        <w:ind w:left="360"/>
        <w:jc w:val="both"/>
        <w:rPr>
          <w:sz w:val="22"/>
          <w:szCs w:val="22"/>
        </w:rPr>
      </w:pPr>
    </w:p>
    <w:p w:rsidR="00856DEA" w:rsidRPr="00856DEA" w:rsidRDefault="00856DEA" w:rsidP="00856DEA">
      <w:pPr>
        <w:ind w:left="1440"/>
        <w:jc w:val="both"/>
        <w:rPr>
          <w:sz w:val="22"/>
          <w:szCs w:val="22"/>
        </w:rPr>
      </w:pPr>
      <w:r w:rsidRPr="00856DEA">
        <w:rPr>
          <w:sz w:val="22"/>
          <w:szCs w:val="22"/>
        </w:rPr>
        <w:t xml:space="preserve">Contract (subscription) service must also measure electrical energy as it is delivered or the customer has no basis for value comparison.   For example, a customer may decide to use a publicly available station that is outside the contract system to charge a vehicle, but </w:t>
      </w:r>
      <w:r w:rsidRPr="00856DEA">
        <w:rPr>
          <w:b/>
          <w:sz w:val="22"/>
          <w:szCs w:val="22"/>
          <w:u w:val="single"/>
        </w:rPr>
        <w:t xml:space="preserve">some members commented that </w:t>
      </w:r>
      <w:r w:rsidRPr="00856DEA">
        <w:rPr>
          <w:sz w:val="22"/>
          <w:szCs w:val="22"/>
        </w:rPr>
        <w:t xml:space="preserve">they would have no way to compare the value of that purchase to their contract purchases unless they have some knowledge of how much electrical energy (e.g., how many kW·h) they are receiving </w:t>
      </w:r>
      <w:r w:rsidRPr="006346A9">
        <w:rPr>
          <w:b/>
          <w:strike/>
          <w:sz w:val="22"/>
          <w:szCs w:val="22"/>
        </w:rPr>
        <w:t>from their contract provider</w:t>
      </w:r>
      <w:r w:rsidRPr="00856DEA">
        <w:rPr>
          <w:sz w:val="22"/>
          <w:szCs w:val="22"/>
        </w:rPr>
        <w:t xml:space="preserve"> in exchange for the monthly fee they pay.  Similarly, contract agreements that offer different rate plans that depend on usage thresholds must meet weights and measures requirements when making commercial measurements to determine if a customer has exceeded the allowance for their plan.  Often, weights and measures officials have jurisdiction and respond if there is a complaint about the accuracy of measurement.  One provider shared that their subscriber service offers </w:t>
      </w:r>
      <w:r w:rsidRPr="00856DEA">
        <w:rPr>
          <w:b/>
          <w:strike/>
          <w:sz w:val="22"/>
          <w:szCs w:val="22"/>
        </w:rPr>
        <w:t>fifteen</w:t>
      </w:r>
      <w:r w:rsidRPr="00856DEA">
        <w:rPr>
          <w:sz w:val="22"/>
          <w:szCs w:val="22"/>
        </w:rPr>
        <w:t xml:space="preserve"> </w:t>
      </w:r>
      <w:r w:rsidRPr="00856DEA">
        <w:rPr>
          <w:b/>
          <w:sz w:val="22"/>
          <w:szCs w:val="22"/>
          <w:u w:val="single"/>
        </w:rPr>
        <w:t>many</w:t>
      </w:r>
      <w:r w:rsidRPr="00856DEA">
        <w:rPr>
          <w:sz w:val="22"/>
          <w:szCs w:val="22"/>
        </w:rPr>
        <w:t xml:space="preserve"> different rate plans</w:t>
      </w:r>
      <w:r w:rsidRPr="00856DEA">
        <w:rPr>
          <w:b/>
          <w:strike/>
          <w:sz w:val="22"/>
          <w:szCs w:val="22"/>
        </w:rPr>
        <w:t xml:space="preserve"> in the Mid-Atlantic Region alone</w:t>
      </w:r>
      <w:r w:rsidRPr="00856DEA">
        <w:rPr>
          <w:sz w:val="22"/>
          <w:szCs w:val="22"/>
        </w:rPr>
        <w:t>.</w:t>
      </w:r>
    </w:p>
    <w:p w:rsidR="00CF22CA" w:rsidRPr="00856DEA" w:rsidRDefault="00CF22CA" w:rsidP="009129D7">
      <w:pPr>
        <w:jc w:val="both"/>
        <w:rPr>
          <w:b/>
          <w:sz w:val="22"/>
          <w:szCs w:val="22"/>
        </w:rPr>
      </w:pPr>
    </w:p>
    <w:p w:rsidR="009129D7" w:rsidRPr="008F4030" w:rsidRDefault="002D46C9" w:rsidP="009129D7">
      <w:pPr>
        <w:jc w:val="both"/>
        <w:rPr>
          <w:sz w:val="22"/>
          <w:szCs w:val="22"/>
        </w:rPr>
      </w:pPr>
      <w:r w:rsidRPr="008F4030">
        <w:rPr>
          <w:b/>
          <w:sz w:val="22"/>
          <w:szCs w:val="22"/>
        </w:rPr>
        <w:t xml:space="preserve">Decision:  </w:t>
      </w:r>
      <w:r w:rsidR="008F4030" w:rsidRPr="008F4030">
        <w:rPr>
          <w:sz w:val="22"/>
          <w:szCs w:val="22"/>
        </w:rPr>
        <w:t>USNWG</w:t>
      </w:r>
      <w:r w:rsidR="008F4030">
        <w:rPr>
          <w:b/>
          <w:sz w:val="22"/>
          <w:szCs w:val="22"/>
        </w:rPr>
        <w:t xml:space="preserve"> </w:t>
      </w:r>
      <w:r w:rsidR="008F4030">
        <w:rPr>
          <w:sz w:val="22"/>
          <w:szCs w:val="22"/>
        </w:rPr>
        <w:t>m</w:t>
      </w:r>
      <w:r w:rsidR="009129D7" w:rsidRPr="008F4030">
        <w:rPr>
          <w:sz w:val="22"/>
          <w:szCs w:val="22"/>
        </w:rPr>
        <w:t xml:space="preserve">embers </w:t>
      </w:r>
      <w:r w:rsidR="00A4066B">
        <w:rPr>
          <w:sz w:val="22"/>
          <w:szCs w:val="22"/>
        </w:rPr>
        <w:t xml:space="preserve">unanimously </w:t>
      </w:r>
      <w:r w:rsidR="00BF4C1F">
        <w:rPr>
          <w:sz w:val="22"/>
          <w:szCs w:val="22"/>
        </w:rPr>
        <w:t xml:space="preserve">agreed to </w:t>
      </w:r>
      <w:r w:rsidR="003A52C3" w:rsidRPr="008F4030">
        <w:rPr>
          <w:sz w:val="22"/>
          <w:szCs w:val="22"/>
        </w:rPr>
        <w:t xml:space="preserve">approve the </w:t>
      </w:r>
      <w:r w:rsidR="00BF4C1F" w:rsidRPr="008F4030">
        <w:rPr>
          <w:sz w:val="22"/>
          <w:szCs w:val="22"/>
        </w:rPr>
        <w:t xml:space="preserve">January 15-17, 2013 </w:t>
      </w:r>
      <w:r w:rsidR="002B757C" w:rsidRPr="008F4030">
        <w:rPr>
          <w:sz w:val="22"/>
          <w:szCs w:val="22"/>
        </w:rPr>
        <w:t xml:space="preserve">Meeting </w:t>
      </w:r>
      <w:r w:rsidR="009129D7" w:rsidRPr="008F4030">
        <w:rPr>
          <w:sz w:val="22"/>
          <w:szCs w:val="22"/>
        </w:rPr>
        <w:t xml:space="preserve">Summary </w:t>
      </w:r>
      <w:r w:rsidR="003A52C3" w:rsidRPr="008F4030">
        <w:rPr>
          <w:sz w:val="22"/>
          <w:szCs w:val="22"/>
        </w:rPr>
        <w:t xml:space="preserve">with </w:t>
      </w:r>
      <w:r w:rsidR="005B574C">
        <w:rPr>
          <w:sz w:val="22"/>
          <w:szCs w:val="22"/>
        </w:rPr>
        <w:t xml:space="preserve">the </w:t>
      </w:r>
      <w:r w:rsidR="00856DEA" w:rsidRPr="008F4030">
        <w:rPr>
          <w:sz w:val="22"/>
          <w:szCs w:val="22"/>
        </w:rPr>
        <w:t>two</w:t>
      </w:r>
      <w:r w:rsidR="002B757C" w:rsidRPr="008F4030">
        <w:rPr>
          <w:sz w:val="22"/>
          <w:szCs w:val="22"/>
        </w:rPr>
        <w:t xml:space="preserve"> </w:t>
      </w:r>
      <w:r w:rsidR="00BF4C1F">
        <w:rPr>
          <w:sz w:val="22"/>
          <w:szCs w:val="22"/>
        </w:rPr>
        <w:t>modifications</w:t>
      </w:r>
      <w:r w:rsidR="002B757C" w:rsidRPr="008F4030">
        <w:rPr>
          <w:sz w:val="22"/>
          <w:szCs w:val="22"/>
        </w:rPr>
        <w:t xml:space="preserve"> </w:t>
      </w:r>
      <w:r w:rsidR="00BF4C1F">
        <w:rPr>
          <w:sz w:val="22"/>
          <w:szCs w:val="22"/>
        </w:rPr>
        <w:t>noted above</w:t>
      </w:r>
      <w:r w:rsidR="009129D7" w:rsidRPr="008F4030">
        <w:rPr>
          <w:sz w:val="22"/>
          <w:szCs w:val="22"/>
        </w:rPr>
        <w:t>.</w:t>
      </w:r>
    </w:p>
    <w:p w:rsidR="009129D7" w:rsidRPr="008F4030" w:rsidRDefault="009129D7" w:rsidP="00B044ED">
      <w:pPr>
        <w:pStyle w:val="Heading2"/>
        <w:rPr>
          <w:rFonts w:ascii="Times New Roman" w:hAnsi="Times New Roman" w:cs="Times New Roman"/>
          <w:b w:val="0"/>
          <w:color w:val="auto"/>
          <w:sz w:val="24"/>
          <w:szCs w:val="22"/>
        </w:rPr>
      </w:pPr>
      <w:bookmarkStart w:id="2" w:name="_Toc358047813"/>
      <w:r w:rsidRPr="008F4030">
        <w:rPr>
          <w:rFonts w:ascii="Times New Roman" w:hAnsi="Times New Roman" w:cs="Times New Roman"/>
          <w:color w:val="auto"/>
          <w:sz w:val="24"/>
          <w:szCs w:val="22"/>
        </w:rPr>
        <w:t>3</w:t>
      </w:r>
      <w:r w:rsidR="00E6096B" w:rsidRPr="008F4030">
        <w:rPr>
          <w:rFonts w:ascii="Times New Roman" w:hAnsi="Times New Roman" w:cs="Times New Roman"/>
          <w:color w:val="auto"/>
          <w:sz w:val="24"/>
          <w:szCs w:val="22"/>
        </w:rPr>
        <w:t>.</w:t>
      </w:r>
      <w:r w:rsidRPr="008F4030">
        <w:rPr>
          <w:rFonts w:ascii="Times New Roman" w:hAnsi="Times New Roman" w:cs="Times New Roman"/>
          <w:color w:val="auto"/>
          <w:sz w:val="24"/>
          <w:szCs w:val="22"/>
        </w:rPr>
        <w:t xml:space="preserve">  </w:t>
      </w:r>
      <w:r w:rsidR="007E21CF" w:rsidRPr="008F4030">
        <w:rPr>
          <w:rFonts w:ascii="Times New Roman" w:hAnsi="Times New Roman" w:cs="Times New Roman"/>
          <w:color w:val="auto"/>
          <w:sz w:val="24"/>
          <w:szCs w:val="22"/>
        </w:rPr>
        <w:t>USNWG Operational Guidelines and Agenda Submission Form</w:t>
      </w:r>
      <w:bookmarkEnd w:id="2"/>
    </w:p>
    <w:p w:rsidR="007C4B2A" w:rsidRPr="008F4030" w:rsidRDefault="007C4B2A" w:rsidP="009129D7">
      <w:pPr>
        <w:jc w:val="both"/>
        <w:rPr>
          <w:b/>
          <w:sz w:val="22"/>
          <w:szCs w:val="22"/>
        </w:rPr>
      </w:pPr>
    </w:p>
    <w:p w:rsidR="009129D7" w:rsidRPr="008F4030" w:rsidRDefault="00D938A1" w:rsidP="009129D7">
      <w:pPr>
        <w:jc w:val="both"/>
        <w:rPr>
          <w:sz w:val="22"/>
          <w:szCs w:val="22"/>
        </w:rPr>
      </w:pPr>
      <w:r w:rsidRPr="008F4030">
        <w:rPr>
          <w:b/>
          <w:sz w:val="22"/>
          <w:szCs w:val="22"/>
        </w:rPr>
        <w:t>Background</w:t>
      </w:r>
      <w:r w:rsidR="00BA51CF" w:rsidRPr="008F4030">
        <w:rPr>
          <w:b/>
          <w:sz w:val="22"/>
          <w:szCs w:val="22"/>
        </w:rPr>
        <w:t>:</w:t>
      </w:r>
      <w:r w:rsidR="00BA51CF" w:rsidRPr="008F4030">
        <w:rPr>
          <w:sz w:val="22"/>
          <w:szCs w:val="22"/>
        </w:rPr>
        <w:t xml:space="preserve">  </w:t>
      </w:r>
      <w:r w:rsidR="00BF4C1F">
        <w:rPr>
          <w:sz w:val="22"/>
          <w:szCs w:val="22"/>
        </w:rPr>
        <w:t>D</w:t>
      </w:r>
      <w:r w:rsidR="007C4B2A" w:rsidRPr="008F4030">
        <w:rPr>
          <w:sz w:val="22"/>
          <w:szCs w:val="22"/>
        </w:rPr>
        <w:t xml:space="preserve">raft copies of the USNWG Operational Guidelines and </w:t>
      </w:r>
      <w:r w:rsidR="00BF4C1F">
        <w:rPr>
          <w:sz w:val="22"/>
          <w:szCs w:val="22"/>
        </w:rPr>
        <w:t xml:space="preserve">the </w:t>
      </w:r>
      <w:r w:rsidR="007C4B2A" w:rsidRPr="008F4030">
        <w:rPr>
          <w:sz w:val="22"/>
          <w:szCs w:val="22"/>
        </w:rPr>
        <w:t xml:space="preserve">Agenda Submission Form </w:t>
      </w:r>
      <w:r w:rsidR="00BF4C1F">
        <w:rPr>
          <w:sz w:val="22"/>
          <w:szCs w:val="22"/>
        </w:rPr>
        <w:t xml:space="preserve">were distributed </w:t>
      </w:r>
      <w:r w:rsidR="008F4030" w:rsidRPr="008F4030">
        <w:rPr>
          <w:sz w:val="22"/>
          <w:szCs w:val="22"/>
        </w:rPr>
        <w:t xml:space="preserve">at the January 15-17, 2013 meeting.  The </w:t>
      </w:r>
      <w:r w:rsidR="00BF4C1F">
        <w:rPr>
          <w:sz w:val="22"/>
          <w:szCs w:val="22"/>
        </w:rPr>
        <w:t>USNWG was</w:t>
      </w:r>
      <w:r w:rsidR="008F4030" w:rsidRPr="008F4030">
        <w:rPr>
          <w:sz w:val="22"/>
          <w:szCs w:val="22"/>
        </w:rPr>
        <w:t xml:space="preserve"> asked to </w:t>
      </w:r>
      <w:r w:rsidR="009129D7" w:rsidRPr="008F4030">
        <w:rPr>
          <w:sz w:val="22"/>
          <w:szCs w:val="22"/>
        </w:rPr>
        <w:t>consider</w:t>
      </w:r>
      <w:r w:rsidR="008F4030" w:rsidRPr="008F4030">
        <w:rPr>
          <w:sz w:val="22"/>
          <w:szCs w:val="22"/>
        </w:rPr>
        <w:t xml:space="preserve"> these draft</w:t>
      </w:r>
      <w:r w:rsidR="00BF4C1F">
        <w:rPr>
          <w:sz w:val="22"/>
          <w:szCs w:val="22"/>
        </w:rPr>
        <w:t>s</w:t>
      </w:r>
      <w:r w:rsidR="008F4030" w:rsidRPr="008F4030">
        <w:rPr>
          <w:sz w:val="22"/>
          <w:szCs w:val="22"/>
        </w:rPr>
        <w:t xml:space="preserve"> and to prepare comments for the next USNWG meeting.  Updated drafts with </w:t>
      </w:r>
      <w:r w:rsidR="00BF4C1F">
        <w:rPr>
          <w:sz w:val="22"/>
          <w:szCs w:val="22"/>
        </w:rPr>
        <w:t>minor</w:t>
      </w:r>
      <w:r w:rsidR="008F4030" w:rsidRPr="008F4030">
        <w:rPr>
          <w:sz w:val="22"/>
          <w:szCs w:val="22"/>
        </w:rPr>
        <w:t xml:space="preserve"> editorial changes were distributed </w:t>
      </w:r>
      <w:r w:rsidR="00424ACD">
        <w:rPr>
          <w:sz w:val="22"/>
          <w:szCs w:val="22"/>
        </w:rPr>
        <w:t xml:space="preserve">by e-mail </w:t>
      </w:r>
      <w:r w:rsidR="008F4030" w:rsidRPr="008F4030">
        <w:rPr>
          <w:sz w:val="22"/>
          <w:szCs w:val="22"/>
        </w:rPr>
        <w:t>to USNWG members</w:t>
      </w:r>
      <w:r w:rsidR="008F4030" w:rsidRPr="008F4030">
        <w:t xml:space="preserve"> </w:t>
      </w:r>
      <w:r w:rsidR="008F4030" w:rsidRPr="008F4030">
        <w:rPr>
          <w:sz w:val="22"/>
          <w:szCs w:val="22"/>
        </w:rPr>
        <w:t>on March 19, 2013 for</w:t>
      </w:r>
      <w:r w:rsidR="0053099E">
        <w:rPr>
          <w:sz w:val="22"/>
          <w:szCs w:val="22"/>
        </w:rPr>
        <w:t xml:space="preserve"> </w:t>
      </w:r>
      <w:r w:rsidR="00424ACD">
        <w:rPr>
          <w:sz w:val="22"/>
          <w:szCs w:val="22"/>
        </w:rPr>
        <w:t xml:space="preserve">their </w:t>
      </w:r>
      <w:r w:rsidR="0053099E">
        <w:rPr>
          <w:sz w:val="22"/>
          <w:szCs w:val="22"/>
        </w:rPr>
        <w:t xml:space="preserve">review as </w:t>
      </w:r>
      <w:r w:rsidR="005B574C">
        <w:rPr>
          <w:sz w:val="22"/>
          <w:szCs w:val="22"/>
        </w:rPr>
        <w:t>a</w:t>
      </w:r>
      <w:r w:rsidR="0053099E">
        <w:rPr>
          <w:sz w:val="22"/>
          <w:szCs w:val="22"/>
        </w:rPr>
        <w:t xml:space="preserve">ttachments </w:t>
      </w:r>
      <w:r w:rsidR="008F4030" w:rsidRPr="008F4030">
        <w:rPr>
          <w:sz w:val="22"/>
          <w:szCs w:val="22"/>
        </w:rPr>
        <w:t>to the March 26, 2013 USNWG Meeting Agenda</w:t>
      </w:r>
      <w:r w:rsidR="009129D7" w:rsidRPr="008F4030">
        <w:rPr>
          <w:sz w:val="22"/>
          <w:szCs w:val="22"/>
        </w:rPr>
        <w:t>.</w:t>
      </w:r>
    </w:p>
    <w:p w:rsidR="002E408D" w:rsidRPr="008F4030" w:rsidRDefault="002E408D" w:rsidP="009129D7">
      <w:pPr>
        <w:jc w:val="both"/>
        <w:rPr>
          <w:sz w:val="22"/>
          <w:szCs w:val="22"/>
        </w:rPr>
      </w:pPr>
    </w:p>
    <w:p w:rsidR="009129D7" w:rsidRPr="008F4030" w:rsidRDefault="00A563CB" w:rsidP="009129D7">
      <w:pPr>
        <w:jc w:val="both"/>
        <w:rPr>
          <w:sz w:val="22"/>
          <w:szCs w:val="22"/>
        </w:rPr>
      </w:pPr>
      <w:r w:rsidRPr="008F4030">
        <w:rPr>
          <w:b/>
          <w:sz w:val="22"/>
          <w:szCs w:val="22"/>
        </w:rPr>
        <w:t>Recommendation:</w:t>
      </w:r>
      <w:r w:rsidRPr="008F4030">
        <w:rPr>
          <w:sz w:val="22"/>
          <w:szCs w:val="22"/>
        </w:rPr>
        <w:t xml:space="preserve">  USNWG members were asked to </w:t>
      </w:r>
      <w:r w:rsidR="007E21CF" w:rsidRPr="008F4030">
        <w:rPr>
          <w:sz w:val="22"/>
          <w:szCs w:val="22"/>
        </w:rPr>
        <w:t>approve</w:t>
      </w:r>
      <w:r w:rsidRPr="008F4030">
        <w:rPr>
          <w:sz w:val="22"/>
          <w:szCs w:val="22"/>
        </w:rPr>
        <w:t xml:space="preserve"> the USNWG Operational Guidelines</w:t>
      </w:r>
      <w:r w:rsidR="00BA51CF" w:rsidRPr="008F4030">
        <w:rPr>
          <w:sz w:val="22"/>
          <w:szCs w:val="22"/>
        </w:rPr>
        <w:t xml:space="preserve"> </w:t>
      </w:r>
      <w:r w:rsidRPr="008F4030">
        <w:rPr>
          <w:sz w:val="22"/>
          <w:szCs w:val="22"/>
        </w:rPr>
        <w:t xml:space="preserve">and </w:t>
      </w:r>
      <w:r w:rsidR="002E408D" w:rsidRPr="008F4030">
        <w:rPr>
          <w:sz w:val="22"/>
          <w:szCs w:val="22"/>
        </w:rPr>
        <w:t xml:space="preserve">the </w:t>
      </w:r>
      <w:r w:rsidRPr="008F4030">
        <w:rPr>
          <w:sz w:val="22"/>
          <w:szCs w:val="22"/>
        </w:rPr>
        <w:t>Agenda Submission Form.</w:t>
      </w:r>
    </w:p>
    <w:p w:rsidR="008F4030" w:rsidRPr="008F4030" w:rsidRDefault="008F4030" w:rsidP="009129D7">
      <w:pPr>
        <w:jc w:val="both"/>
        <w:rPr>
          <w:sz w:val="22"/>
          <w:szCs w:val="22"/>
        </w:rPr>
      </w:pPr>
    </w:p>
    <w:p w:rsidR="008F4030" w:rsidRDefault="008F4030" w:rsidP="009129D7">
      <w:pPr>
        <w:jc w:val="both"/>
        <w:rPr>
          <w:sz w:val="22"/>
          <w:szCs w:val="22"/>
        </w:rPr>
      </w:pPr>
      <w:r w:rsidRPr="008F4030">
        <w:rPr>
          <w:b/>
          <w:sz w:val="22"/>
          <w:szCs w:val="22"/>
        </w:rPr>
        <w:t>Discussion:</w:t>
      </w:r>
      <w:r w:rsidRPr="008F4030">
        <w:rPr>
          <w:sz w:val="22"/>
          <w:szCs w:val="22"/>
        </w:rPr>
        <w:t xml:space="preserve">  </w:t>
      </w:r>
      <w:r>
        <w:rPr>
          <w:sz w:val="22"/>
          <w:szCs w:val="22"/>
        </w:rPr>
        <w:t xml:space="preserve">Several constructive suggestions to improve </w:t>
      </w:r>
      <w:r w:rsidR="00027DBC">
        <w:rPr>
          <w:sz w:val="22"/>
          <w:szCs w:val="22"/>
        </w:rPr>
        <w:t xml:space="preserve">and clarify </w:t>
      </w:r>
      <w:r>
        <w:rPr>
          <w:sz w:val="22"/>
          <w:szCs w:val="22"/>
        </w:rPr>
        <w:t xml:space="preserve">the </w:t>
      </w:r>
      <w:r w:rsidR="005B574C">
        <w:rPr>
          <w:sz w:val="22"/>
          <w:szCs w:val="22"/>
        </w:rPr>
        <w:t>“</w:t>
      </w:r>
      <w:r>
        <w:rPr>
          <w:sz w:val="22"/>
          <w:szCs w:val="22"/>
        </w:rPr>
        <w:t>Voting Section</w:t>
      </w:r>
      <w:r w:rsidR="005B574C">
        <w:rPr>
          <w:sz w:val="22"/>
          <w:szCs w:val="22"/>
        </w:rPr>
        <w:t>”</w:t>
      </w:r>
      <w:r>
        <w:rPr>
          <w:sz w:val="22"/>
          <w:szCs w:val="22"/>
        </w:rPr>
        <w:t xml:space="preserve"> of the Operational Guidelines were </w:t>
      </w:r>
      <w:r w:rsidR="00424ACD">
        <w:rPr>
          <w:sz w:val="22"/>
          <w:szCs w:val="22"/>
        </w:rPr>
        <w:t>recommended</w:t>
      </w:r>
      <w:r>
        <w:rPr>
          <w:sz w:val="22"/>
          <w:szCs w:val="22"/>
        </w:rPr>
        <w:t xml:space="preserve"> by </w:t>
      </w:r>
      <w:r w:rsidR="001F7A57">
        <w:rPr>
          <w:sz w:val="22"/>
          <w:szCs w:val="22"/>
        </w:rPr>
        <w:t xml:space="preserve">Mr. </w:t>
      </w:r>
      <w:r w:rsidR="0053099E">
        <w:rPr>
          <w:sz w:val="22"/>
          <w:szCs w:val="22"/>
        </w:rPr>
        <w:t>Andrei Moldoveanu</w:t>
      </w:r>
      <w:r w:rsidR="00424ACD">
        <w:rPr>
          <w:sz w:val="22"/>
          <w:szCs w:val="22"/>
        </w:rPr>
        <w:t xml:space="preserve"> (</w:t>
      </w:r>
      <w:r w:rsidR="00424ACD" w:rsidRPr="00424ACD">
        <w:rPr>
          <w:sz w:val="22"/>
          <w:szCs w:val="22"/>
        </w:rPr>
        <w:t>National Electrical Manufacturer’s Association</w:t>
      </w:r>
      <w:r w:rsidR="00424ACD">
        <w:rPr>
          <w:sz w:val="22"/>
          <w:szCs w:val="22"/>
        </w:rPr>
        <w:t>)</w:t>
      </w:r>
      <w:r>
        <w:rPr>
          <w:sz w:val="22"/>
          <w:szCs w:val="22"/>
        </w:rPr>
        <w:t>.</w:t>
      </w:r>
      <w:r w:rsidR="0048077B">
        <w:rPr>
          <w:sz w:val="22"/>
          <w:szCs w:val="22"/>
        </w:rPr>
        <w:t xml:space="preserve">  </w:t>
      </w:r>
      <w:r w:rsidR="00A4066B">
        <w:rPr>
          <w:sz w:val="22"/>
          <w:szCs w:val="22"/>
        </w:rPr>
        <w:t>Building on the suggestions from Mr. Moldoveanu, t</w:t>
      </w:r>
      <w:r w:rsidR="005B574C">
        <w:rPr>
          <w:sz w:val="22"/>
          <w:szCs w:val="22"/>
        </w:rPr>
        <w:t>he following additions and changes to the</w:t>
      </w:r>
      <w:r w:rsidR="0048077B">
        <w:rPr>
          <w:sz w:val="22"/>
          <w:szCs w:val="22"/>
        </w:rPr>
        <w:t xml:space="preserve"> Voting Section of the USNWG Operational Guidelines </w:t>
      </w:r>
      <w:r w:rsidR="005B574C">
        <w:rPr>
          <w:sz w:val="22"/>
          <w:szCs w:val="22"/>
        </w:rPr>
        <w:t>were proposed</w:t>
      </w:r>
      <w:r w:rsidR="00A4066B">
        <w:rPr>
          <w:sz w:val="22"/>
          <w:szCs w:val="22"/>
        </w:rPr>
        <w:t xml:space="preserve"> and</w:t>
      </w:r>
      <w:r w:rsidR="005B574C">
        <w:rPr>
          <w:sz w:val="22"/>
          <w:szCs w:val="22"/>
        </w:rPr>
        <w:t xml:space="preserve"> discussed </w:t>
      </w:r>
      <w:r w:rsidR="00027DBC">
        <w:rPr>
          <w:sz w:val="22"/>
          <w:szCs w:val="22"/>
        </w:rPr>
        <w:t>during the meeting</w:t>
      </w:r>
      <w:r w:rsidR="005B574C">
        <w:rPr>
          <w:sz w:val="22"/>
          <w:szCs w:val="22"/>
        </w:rPr>
        <w:t>.</w:t>
      </w:r>
    </w:p>
    <w:p w:rsidR="00A4066B" w:rsidRDefault="00A4066B" w:rsidP="009129D7">
      <w:pPr>
        <w:jc w:val="both"/>
        <w:rPr>
          <w:sz w:val="22"/>
          <w:szCs w:val="22"/>
        </w:rPr>
      </w:pPr>
    </w:p>
    <w:p w:rsidR="008D3B16" w:rsidRDefault="0048077B" w:rsidP="0048077B">
      <w:pPr>
        <w:pStyle w:val="ListParagraph"/>
        <w:numPr>
          <w:ilvl w:val="0"/>
          <w:numId w:val="9"/>
        </w:numPr>
        <w:jc w:val="both"/>
        <w:rPr>
          <w:sz w:val="22"/>
          <w:szCs w:val="22"/>
        </w:rPr>
      </w:pPr>
      <w:r>
        <w:rPr>
          <w:sz w:val="22"/>
          <w:szCs w:val="22"/>
        </w:rPr>
        <w:t>A quorum must be present to hold a vot</w:t>
      </w:r>
      <w:r w:rsidR="008D3B16">
        <w:rPr>
          <w:sz w:val="22"/>
          <w:szCs w:val="22"/>
        </w:rPr>
        <w:t>e</w:t>
      </w:r>
      <w:r>
        <w:rPr>
          <w:sz w:val="22"/>
          <w:szCs w:val="22"/>
        </w:rPr>
        <w:t xml:space="preserve"> during a meeting</w:t>
      </w:r>
      <w:r w:rsidR="008D3B16">
        <w:rPr>
          <w:sz w:val="22"/>
          <w:szCs w:val="22"/>
        </w:rPr>
        <w:t>.</w:t>
      </w:r>
    </w:p>
    <w:p w:rsidR="0048077B" w:rsidRDefault="008D3B16" w:rsidP="0048077B">
      <w:pPr>
        <w:pStyle w:val="ListParagraph"/>
        <w:numPr>
          <w:ilvl w:val="0"/>
          <w:numId w:val="9"/>
        </w:numPr>
        <w:jc w:val="both"/>
        <w:rPr>
          <w:sz w:val="22"/>
          <w:szCs w:val="22"/>
        </w:rPr>
      </w:pPr>
      <w:r>
        <w:rPr>
          <w:sz w:val="22"/>
          <w:szCs w:val="22"/>
        </w:rPr>
        <w:t xml:space="preserve">A quorum is </w:t>
      </w:r>
      <w:r w:rsidR="0048077B">
        <w:rPr>
          <w:sz w:val="22"/>
          <w:szCs w:val="22"/>
        </w:rPr>
        <w:t xml:space="preserve">defined as </w:t>
      </w:r>
      <w:r w:rsidR="00B74978">
        <w:rPr>
          <w:sz w:val="22"/>
          <w:szCs w:val="22"/>
        </w:rPr>
        <w:t xml:space="preserve">at least </w:t>
      </w:r>
      <w:r w:rsidR="0048077B">
        <w:rPr>
          <w:sz w:val="22"/>
          <w:szCs w:val="22"/>
        </w:rPr>
        <w:t>25% of the registered P</w:t>
      </w:r>
      <w:r w:rsidR="0048077B">
        <w:rPr>
          <w:sz w:val="22"/>
          <w:szCs w:val="22"/>
        </w:rPr>
        <w:noBreakHyphen/>
        <w:t>members.</w:t>
      </w:r>
    </w:p>
    <w:p w:rsidR="0062041F" w:rsidRDefault="008D3B16" w:rsidP="0048077B">
      <w:pPr>
        <w:pStyle w:val="ListParagraph"/>
        <w:numPr>
          <w:ilvl w:val="0"/>
          <w:numId w:val="9"/>
        </w:numPr>
        <w:jc w:val="both"/>
        <w:rPr>
          <w:sz w:val="22"/>
          <w:szCs w:val="22"/>
        </w:rPr>
      </w:pPr>
      <w:r>
        <w:rPr>
          <w:sz w:val="22"/>
          <w:szCs w:val="22"/>
        </w:rPr>
        <w:t>P-members will be balloted, as needed, electronically or by postal mail ballot.</w:t>
      </w:r>
    </w:p>
    <w:p w:rsidR="0062041F" w:rsidRDefault="0062041F" w:rsidP="0048077B">
      <w:pPr>
        <w:pStyle w:val="ListParagraph"/>
        <w:numPr>
          <w:ilvl w:val="0"/>
          <w:numId w:val="9"/>
        </w:numPr>
        <w:jc w:val="both"/>
        <w:rPr>
          <w:sz w:val="22"/>
          <w:szCs w:val="22"/>
        </w:rPr>
      </w:pPr>
      <w:r>
        <w:rPr>
          <w:sz w:val="22"/>
          <w:szCs w:val="22"/>
        </w:rPr>
        <w:t xml:space="preserve">Final </w:t>
      </w:r>
      <w:r w:rsidR="0053099E">
        <w:rPr>
          <w:sz w:val="22"/>
          <w:szCs w:val="22"/>
        </w:rPr>
        <w:t xml:space="preserve">versions of </w:t>
      </w:r>
      <w:r>
        <w:rPr>
          <w:sz w:val="22"/>
          <w:szCs w:val="22"/>
        </w:rPr>
        <w:t xml:space="preserve">proposals </w:t>
      </w:r>
      <w:r w:rsidR="0053099E">
        <w:rPr>
          <w:sz w:val="22"/>
          <w:szCs w:val="22"/>
        </w:rPr>
        <w:t xml:space="preserve">for inclusion in NIST handbooks </w:t>
      </w:r>
      <w:r>
        <w:rPr>
          <w:sz w:val="22"/>
          <w:szCs w:val="22"/>
        </w:rPr>
        <w:t>should be balloted</w:t>
      </w:r>
      <w:r w:rsidR="0053099E">
        <w:rPr>
          <w:sz w:val="22"/>
          <w:szCs w:val="22"/>
        </w:rPr>
        <w:t xml:space="preserve"> to all P-members</w:t>
      </w:r>
      <w:r>
        <w:rPr>
          <w:sz w:val="22"/>
          <w:szCs w:val="22"/>
        </w:rPr>
        <w:t>.</w:t>
      </w:r>
    </w:p>
    <w:p w:rsidR="00027DBC" w:rsidRDefault="0062041F" w:rsidP="0048077B">
      <w:pPr>
        <w:pStyle w:val="ListParagraph"/>
        <w:numPr>
          <w:ilvl w:val="0"/>
          <w:numId w:val="9"/>
        </w:numPr>
        <w:jc w:val="both"/>
        <w:rPr>
          <w:sz w:val="22"/>
          <w:szCs w:val="22"/>
        </w:rPr>
      </w:pPr>
      <w:r>
        <w:rPr>
          <w:sz w:val="22"/>
          <w:szCs w:val="22"/>
        </w:rPr>
        <w:t xml:space="preserve">Future </w:t>
      </w:r>
      <w:r w:rsidR="001F7A57">
        <w:rPr>
          <w:sz w:val="22"/>
          <w:szCs w:val="22"/>
        </w:rPr>
        <w:t>m</w:t>
      </w:r>
      <w:r>
        <w:rPr>
          <w:sz w:val="22"/>
          <w:szCs w:val="22"/>
        </w:rPr>
        <w:t xml:space="preserve">eeting </w:t>
      </w:r>
      <w:r w:rsidR="001F7A57">
        <w:rPr>
          <w:sz w:val="22"/>
          <w:szCs w:val="22"/>
        </w:rPr>
        <w:t>s</w:t>
      </w:r>
      <w:r>
        <w:rPr>
          <w:sz w:val="22"/>
          <w:szCs w:val="22"/>
        </w:rPr>
        <w:t xml:space="preserve">ummaries will be </w:t>
      </w:r>
      <w:r w:rsidR="0053099E">
        <w:rPr>
          <w:sz w:val="22"/>
          <w:szCs w:val="22"/>
        </w:rPr>
        <w:t xml:space="preserve">circulated as soon as they are available and will be </w:t>
      </w:r>
      <w:r>
        <w:rPr>
          <w:sz w:val="22"/>
          <w:szCs w:val="22"/>
        </w:rPr>
        <w:t>approved by ballot</w:t>
      </w:r>
      <w:r w:rsidR="0053099E">
        <w:rPr>
          <w:sz w:val="22"/>
          <w:szCs w:val="22"/>
        </w:rPr>
        <w:t xml:space="preserve"> instead of during subsequent meetings</w:t>
      </w:r>
      <w:r>
        <w:rPr>
          <w:sz w:val="22"/>
          <w:szCs w:val="22"/>
        </w:rPr>
        <w:t>.</w:t>
      </w:r>
    </w:p>
    <w:p w:rsidR="008D3B16" w:rsidRDefault="008D3B16" w:rsidP="0048077B">
      <w:pPr>
        <w:pStyle w:val="ListParagraph"/>
        <w:numPr>
          <w:ilvl w:val="0"/>
          <w:numId w:val="9"/>
        </w:numPr>
        <w:jc w:val="both"/>
        <w:rPr>
          <w:sz w:val="22"/>
          <w:szCs w:val="22"/>
        </w:rPr>
      </w:pPr>
      <w:r>
        <w:rPr>
          <w:sz w:val="22"/>
          <w:szCs w:val="22"/>
        </w:rPr>
        <w:t>A balloted item is approved if</w:t>
      </w:r>
      <w:r w:rsidR="00025E45">
        <w:rPr>
          <w:sz w:val="22"/>
          <w:szCs w:val="22"/>
        </w:rPr>
        <w:t>,</w:t>
      </w:r>
      <w:r>
        <w:rPr>
          <w:sz w:val="22"/>
          <w:szCs w:val="22"/>
        </w:rPr>
        <w:t xml:space="preserve"> </w:t>
      </w:r>
      <w:r w:rsidR="00025E45">
        <w:rPr>
          <w:sz w:val="22"/>
          <w:szCs w:val="22"/>
        </w:rPr>
        <w:t xml:space="preserve">within 21 calendar days of the ballot being distributed (the required response period), </w:t>
      </w:r>
      <w:r>
        <w:rPr>
          <w:sz w:val="22"/>
          <w:szCs w:val="22"/>
        </w:rPr>
        <w:t>a majority of the votes that are received from P-members are in favor of the item.</w:t>
      </w:r>
    </w:p>
    <w:p w:rsidR="00025E45" w:rsidRDefault="005B574C" w:rsidP="0048077B">
      <w:pPr>
        <w:pStyle w:val="ListParagraph"/>
        <w:numPr>
          <w:ilvl w:val="0"/>
          <w:numId w:val="9"/>
        </w:numPr>
        <w:jc w:val="both"/>
        <w:rPr>
          <w:sz w:val="22"/>
          <w:szCs w:val="22"/>
        </w:rPr>
      </w:pPr>
      <w:r>
        <w:rPr>
          <w:sz w:val="22"/>
          <w:szCs w:val="22"/>
        </w:rPr>
        <w:t>The definition of a proxy vote was clarified.</w:t>
      </w:r>
    </w:p>
    <w:p w:rsidR="00027DBC" w:rsidRDefault="00025E45" w:rsidP="00025E45">
      <w:pPr>
        <w:pStyle w:val="ListParagraph"/>
        <w:numPr>
          <w:ilvl w:val="1"/>
          <w:numId w:val="9"/>
        </w:numPr>
        <w:jc w:val="both"/>
        <w:rPr>
          <w:sz w:val="22"/>
          <w:szCs w:val="22"/>
        </w:rPr>
      </w:pPr>
      <w:r>
        <w:rPr>
          <w:sz w:val="22"/>
          <w:szCs w:val="22"/>
        </w:rPr>
        <w:t>The policy of not accepting proxy votes remains in effect</w:t>
      </w:r>
      <w:r w:rsidR="00027DBC">
        <w:rPr>
          <w:sz w:val="22"/>
          <w:szCs w:val="22"/>
        </w:rPr>
        <w:t>.  However, a</w:t>
      </w:r>
      <w:r w:rsidR="008D3B16">
        <w:rPr>
          <w:sz w:val="22"/>
          <w:szCs w:val="22"/>
        </w:rPr>
        <w:t xml:space="preserve"> proxy vote was </w:t>
      </w:r>
      <w:r w:rsidR="0053099E">
        <w:rPr>
          <w:sz w:val="22"/>
          <w:szCs w:val="22"/>
        </w:rPr>
        <w:t xml:space="preserve">more clearly </w:t>
      </w:r>
      <w:r>
        <w:rPr>
          <w:sz w:val="22"/>
          <w:szCs w:val="22"/>
        </w:rPr>
        <w:t xml:space="preserve">defined </w:t>
      </w:r>
      <w:r w:rsidR="008D3B16">
        <w:rPr>
          <w:sz w:val="22"/>
          <w:szCs w:val="22"/>
        </w:rPr>
        <w:t>as a vote cast by any person from a</w:t>
      </w:r>
      <w:r w:rsidR="0053099E">
        <w:rPr>
          <w:sz w:val="22"/>
          <w:szCs w:val="22"/>
        </w:rPr>
        <w:t>n</w:t>
      </w:r>
      <w:r w:rsidR="008D3B16">
        <w:rPr>
          <w:sz w:val="22"/>
          <w:szCs w:val="22"/>
        </w:rPr>
        <w:t xml:space="preserve"> organization</w:t>
      </w:r>
      <w:r w:rsidR="0053099E">
        <w:rPr>
          <w:sz w:val="22"/>
          <w:szCs w:val="22"/>
        </w:rPr>
        <w:t xml:space="preserve"> that is</w:t>
      </w:r>
      <w:r w:rsidR="008D3B16">
        <w:rPr>
          <w:sz w:val="22"/>
          <w:szCs w:val="22"/>
        </w:rPr>
        <w:t xml:space="preserve"> </w:t>
      </w:r>
      <w:r w:rsidR="0053099E">
        <w:rPr>
          <w:sz w:val="22"/>
          <w:szCs w:val="22"/>
        </w:rPr>
        <w:t xml:space="preserve">different </w:t>
      </w:r>
      <w:r w:rsidR="008D3B16">
        <w:rPr>
          <w:sz w:val="22"/>
          <w:szCs w:val="22"/>
        </w:rPr>
        <w:t xml:space="preserve">than the </w:t>
      </w:r>
      <w:r w:rsidR="00027DBC">
        <w:rPr>
          <w:sz w:val="22"/>
          <w:szCs w:val="22"/>
        </w:rPr>
        <w:t xml:space="preserve">organization of the </w:t>
      </w:r>
      <w:r w:rsidR="008D3B16">
        <w:rPr>
          <w:sz w:val="22"/>
          <w:szCs w:val="22"/>
        </w:rPr>
        <w:t>registered P</w:t>
      </w:r>
      <w:r w:rsidR="008D3B16">
        <w:rPr>
          <w:sz w:val="22"/>
          <w:szCs w:val="22"/>
        </w:rPr>
        <w:noBreakHyphen/>
        <w:t>member</w:t>
      </w:r>
      <w:r w:rsidR="00027DBC">
        <w:rPr>
          <w:sz w:val="22"/>
          <w:szCs w:val="22"/>
        </w:rPr>
        <w:t xml:space="preserve"> in question</w:t>
      </w:r>
      <w:r w:rsidR="008D3B16">
        <w:rPr>
          <w:sz w:val="22"/>
          <w:szCs w:val="22"/>
        </w:rPr>
        <w:t>.</w:t>
      </w:r>
    </w:p>
    <w:p w:rsidR="008D3B16" w:rsidRPr="0048077B" w:rsidRDefault="00027DBC" w:rsidP="00424ACD">
      <w:pPr>
        <w:pStyle w:val="ListParagraph"/>
        <w:numPr>
          <w:ilvl w:val="1"/>
          <w:numId w:val="9"/>
        </w:numPr>
        <w:jc w:val="both"/>
        <w:rPr>
          <w:sz w:val="22"/>
          <w:szCs w:val="22"/>
        </w:rPr>
      </w:pPr>
      <w:r>
        <w:rPr>
          <w:sz w:val="22"/>
          <w:szCs w:val="22"/>
        </w:rPr>
        <w:lastRenderedPageBreak/>
        <w:t xml:space="preserve">Prior to a meeting, </w:t>
      </w:r>
      <w:r w:rsidR="00025E45">
        <w:rPr>
          <w:sz w:val="22"/>
          <w:szCs w:val="22"/>
        </w:rPr>
        <w:t xml:space="preserve">the P-member (entitled to cast a vote) may designate </w:t>
      </w:r>
      <w:r>
        <w:rPr>
          <w:sz w:val="22"/>
          <w:szCs w:val="22"/>
        </w:rPr>
        <w:t>a</w:t>
      </w:r>
      <w:r w:rsidR="008D3B16">
        <w:rPr>
          <w:sz w:val="22"/>
          <w:szCs w:val="22"/>
        </w:rPr>
        <w:t xml:space="preserve">n alternate from the same organization to vote in their </w:t>
      </w:r>
      <w:r w:rsidR="00025E45">
        <w:rPr>
          <w:sz w:val="22"/>
          <w:szCs w:val="22"/>
        </w:rPr>
        <w:t>absence</w:t>
      </w:r>
      <w:r w:rsidR="008D3B16">
        <w:rPr>
          <w:sz w:val="22"/>
          <w:szCs w:val="22"/>
        </w:rPr>
        <w:t xml:space="preserve"> if they will not able to attend the meeting.</w:t>
      </w:r>
      <w:r w:rsidR="0053099E">
        <w:rPr>
          <w:sz w:val="22"/>
          <w:szCs w:val="22"/>
        </w:rPr>
        <w:t xml:space="preserve">  This would </w:t>
      </w:r>
      <w:r w:rsidR="0053099E" w:rsidRPr="00025E45">
        <w:rPr>
          <w:sz w:val="22"/>
          <w:szCs w:val="22"/>
          <w:u w:val="single"/>
        </w:rPr>
        <w:t>not</w:t>
      </w:r>
      <w:r w:rsidR="0053099E">
        <w:rPr>
          <w:sz w:val="22"/>
          <w:szCs w:val="22"/>
        </w:rPr>
        <w:t xml:space="preserve"> </w:t>
      </w:r>
      <w:r w:rsidR="00025E45">
        <w:rPr>
          <w:sz w:val="22"/>
          <w:szCs w:val="22"/>
        </w:rPr>
        <w:t>be considered</w:t>
      </w:r>
      <w:r w:rsidR="0053099E">
        <w:rPr>
          <w:sz w:val="22"/>
          <w:szCs w:val="22"/>
        </w:rPr>
        <w:t xml:space="preserve"> to be a proxy vote.</w:t>
      </w:r>
    </w:p>
    <w:p w:rsidR="008F4030" w:rsidRDefault="008F4030" w:rsidP="009129D7">
      <w:pPr>
        <w:jc w:val="both"/>
        <w:rPr>
          <w:sz w:val="22"/>
          <w:szCs w:val="22"/>
        </w:rPr>
      </w:pPr>
    </w:p>
    <w:p w:rsidR="008F4030" w:rsidRDefault="008F4030" w:rsidP="009129D7">
      <w:pPr>
        <w:jc w:val="both"/>
        <w:rPr>
          <w:sz w:val="22"/>
          <w:szCs w:val="22"/>
        </w:rPr>
      </w:pPr>
      <w:r>
        <w:rPr>
          <w:sz w:val="22"/>
          <w:szCs w:val="22"/>
        </w:rPr>
        <w:t>USNWG members did not have any comments on the latest version of the Agenda Submission Form.</w:t>
      </w:r>
    </w:p>
    <w:p w:rsidR="008F4030" w:rsidRDefault="008F4030" w:rsidP="009129D7">
      <w:pPr>
        <w:jc w:val="both"/>
        <w:rPr>
          <w:sz w:val="22"/>
          <w:szCs w:val="22"/>
        </w:rPr>
      </w:pPr>
    </w:p>
    <w:p w:rsidR="002E408D" w:rsidRDefault="002E408D" w:rsidP="002E408D">
      <w:pPr>
        <w:jc w:val="both"/>
        <w:rPr>
          <w:sz w:val="22"/>
          <w:szCs w:val="22"/>
        </w:rPr>
      </w:pPr>
      <w:r w:rsidRPr="002E408D">
        <w:rPr>
          <w:b/>
          <w:sz w:val="22"/>
          <w:szCs w:val="22"/>
        </w:rPr>
        <w:t>Decision:</w:t>
      </w:r>
      <w:r>
        <w:rPr>
          <w:sz w:val="22"/>
          <w:szCs w:val="22"/>
        </w:rPr>
        <w:t xml:space="preserve">  </w:t>
      </w:r>
      <w:r w:rsidR="009129D7" w:rsidRPr="00B044ED">
        <w:rPr>
          <w:sz w:val="22"/>
          <w:szCs w:val="22"/>
        </w:rPr>
        <w:t xml:space="preserve">USNWG </w:t>
      </w:r>
      <w:r w:rsidR="008F4030">
        <w:rPr>
          <w:sz w:val="22"/>
          <w:szCs w:val="22"/>
        </w:rPr>
        <w:t xml:space="preserve">members </w:t>
      </w:r>
      <w:r w:rsidR="00A4066B">
        <w:rPr>
          <w:sz w:val="22"/>
          <w:szCs w:val="22"/>
        </w:rPr>
        <w:t xml:space="preserve">unanimously </w:t>
      </w:r>
      <w:r w:rsidR="00025E45">
        <w:rPr>
          <w:sz w:val="22"/>
          <w:szCs w:val="22"/>
        </w:rPr>
        <w:t>agreed to approve</w:t>
      </w:r>
      <w:r w:rsidR="008F4030">
        <w:rPr>
          <w:sz w:val="22"/>
          <w:szCs w:val="22"/>
        </w:rPr>
        <w:t xml:space="preserve"> the Operational Guidelines with the </w:t>
      </w:r>
      <w:r w:rsidR="00025E45">
        <w:rPr>
          <w:sz w:val="22"/>
          <w:szCs w:val="22"/>
        </w:rPr>
        <w:t xml:space="preserve">modifications </w:t>
      </w:r>
      <w:r w:rsidR="001A3DEF">
        <w:rPr>
          <w:sz w:val="22"/>
          <w:szCs w:val="22"/>
        </w:rPr>
        <w:t xml:space="preserve">to the Voting Section </w:t>
      </w:r>
      <w:r w:rsidR="00A4066B">
        <w:rPr>
          <w:sz w:val="22"/>
          <w:szCs w:val="22"/>
        </w:rPr>
        <w:t>shown</w:t>
      </w:r>
      <w:r w:rsidR="00025E45">
        <w:rPr>
          <w:sz w:val="22"/>
          <w:szCs w:val="22"/>
        </w:rPr>
        <w:t xml:space="preserve"> </w:t>
      </w:r>
      <w:r w:rsidR="00A4066B">
        <w:rPr>
          <w:sz w:val="22"/>
          <w:szCs w:val="22"/>
        </w:rPr>
        <w:t>below</w:t>
      </w:r>
      <w:r w:rsidR="008F4030">
        <w:rPr>
          <w:sz w:val="22"/>
          <w:szCs w:val="22"/>
        </w:rPr>
        <w:t xml:space="preserve"> and </w:t>
      </w:r>
      <w:r w:rsidR="00025E45">
        <w:rPr>
          <w:sz w:val="22"/>
          <w:szCs w:val="22"/>
        </w:rPr>
        <w:t xml:space="preserve">to </w:t>
      </w:r>
      <w:r w:rsidR="008F4030">
        <w:rPr>
          <w:sz w:val="22"/>
          <w:szCs w:val="22"/>
        </w:rPr>
        <w:t xml:space="preserve">approve the Agenda Submission Form </w:t>
      </w:r>
      <w:r w:rsidR="0048077B">
        <w:rPr>
          <w:sz w:val="22"/>
          <w:szCs w:val="22"/>
        </w:rPr>
        <w:t xml:space="preserve">without </w:t>
      </w:r>
      <w:r w:rsidR="00025E45">
        <w:rPr>
          <w:sz w:val="22"/>
          <w:szCs w:val="22"/>
        </w:rPr>
        <w:t xml:space="preserve">any further </w:t>
      </w:r>
      <w:r w:rsidR="0048077B">
        <w:rPr>
          <w:sz w:val="22"/>
          <w:szCs w:val="22"/>
        </w:rPr>
        <w:t>changes</w:t>
      </w:r>
      <w:r>
        <w:rPr>
          <w:sz w:val="22"/>
          <w:szCs w:val="22"/>
        </w:rPr>
        <w:t>.</w:t>
      </w:r>
      <w:r w:rsidR="0048077B">
        <w:rPr>
          <w:sz w:val="22"/>
          <w:szCs w:val="22"/>
        </w:rPr>
        <w:t xml:space="preserve">  The final versions of both documents are posted on the USNWG website at </w:t>
      </w:r>
      <w:hyperlink r:id="rId9" w:history="1">
        <w:r w:rsidR="001A3DEF" w:rsidRPr="00A71136">
          <w:rPr>
            <w:rStyle w:val="Hyperlink"/>
            <w:sz w:val="22"/>
            <w:szCs w:val="22"/>
          </w:rPr>
          <w:t>http://www.nist.gov/pml/wmd/usnwg</w:t>
        </w:r>
        <w:r w:rsidR="001A3DEF" w:rsidRPr="00A71136">
          <w:rPr>
            <w:rStyle w:val="Hyperlink"/>
            <w:sz w:val="22"/>
            <w:szCs w:val="22"/>
          </w:rPr>
          <w:noBreakHyphen/>
          <w:t>evfs.cfm</w:t>
        </w:r>
      </w:hyperlink>
      <w:r w:rsidR="00025E45">
        <w:rPr>
          <w:sz w:val="22"/>
          <w:szCs w:val="22"/>
        </w:rPr>
        <w:t xml:space="preserve"> and </w:t>
      </w:r>
      <w:r w:rsidR="00991B99">
        <w:rPr>
          <w:sz w:val="22"/>
          <w:szCs w:val="22"/>
        </w:rPr>
        <w:t xml:space="preserve">are </w:t>
      </w:r>
      <w:r w:rsidR="0048077B">
        <w:rPr>
          <w:sz w:val="22"/>
          <w:szCs w:val="22"/>
        </w:rPr>
        <w:t xml:space="preserve">also attached to this Meeting Summary as Attachment </w:t>
      </w:r>
      <w:r w:rsidR="00991B99">
        <w:rPr>
          <w:sz w:val="22"/>
          <w:szCs w:val="22"/>
        </w:rPr>
        <w:t>3</w:t>
      </w:r>
      <w:r w:rsidR="0048077B">
        <w:rPr>
          <w:sz w:val="22"/>
          <w:szCs w:val="22"/>
        </w:rPr>
        <w:t xml:space="preserve"> and </w:t>
      </w:r>
      <w:r w:rsidR="0048077B" w:rsidRPr="0048077B">
        <w:rPr>
          <w:sz w:val="22"/>
          <w:szCs w:val="22"/>
        </w:rPr>
        <w:t xml:space="preserve">Attachment </w:t>
      </w:r>
      <w:r w:rsidR="00991B99">
        <w:rPr>
          <w:sz w:val="22"/>
          <w:szCs w:val="22"/>
        </w:rPr>
        <w:t>4</w:t>
      </w:r>
      <w:r w:rsidR="00C80762">
        <w:rPr>
          <w:sz w:val="22"/>
          <w:szCs w:val="22"/>
        </w:rPr>
        <w:t>, respectively</w:t>
      </w:r>
      <w:r w:rsidR="0048077B">
        <w:rPr>
          <w:sz w:val="22"/>
          <w:szCs w:val="22"/>
        </w:rPr>
        <w:t>.</w:t>
      </w:r>
    </w:p>
    <w:p w:rsidR="00A4066B" w:rsidRDefault="00A4066B" w:rsidP="00A4066B">
      <w:pPr>
        <w:jc w:val="both"/>
        <w:rPr>
          <w:sz w:val="22"/>
          <w:szCs w:val="22"/>
        </w:rPr>
      </w:pPr>
    </w:p>
    <w:p w:rsidR="00A4066B" w:rsidRPr="00BB2AE7" w:rsidRDefault="00A4066B" w:rsidP="00A4066B">
      <w:pPr>
        <w:jc w:val="center"/>
        <w:rPr>
          <w:b/>
          <w:szCs w:val="22"/>
        </w:rPr>
      </w:pPr>
      <w:r w:rsidRPr="00BB2AE7">
        <w:rPr>
          <w:b/>
          <w:szCs w:val="22"/>
        </w:rPr>
        <w:t>Voting</w:t>
      </w:r>
    </w:p>
    <w:p w:rsidR="00A4066B" w:rsidRPr="00BB2AE7" w:rsidRDefault="00A4066B" w:rsidP="00A4066B">
      <w:pPr>
        <w:jc w:val="both"/>
        <w:rPr>
          <w:sz w:val="22"/>
          <w:szCs w:val="22"/>
        </w:rPr>
      </w:pPr>
    </w:p>
    <w:p w:rsidR="00A4066B" w:rsidRPr="00BB2AE7" w:rsidRDefault="00A4066B" w:rsidP="00A4066B">
      <w:pPr>
        <w:ind w:left="720" w:right="718"/>
        <w:jc w:val="both"/>
        <w:rPr>
          <w:sz w:val="22"/>
          <w:szCs w:val="22"/>
        </w:rPr>
      </w:pPr>
      <w:r w:rsidRPr="00BB2AE7">
        <w:rPr>
          <w:sz w:val="22"/>
          <w:szCs w:val="22"/>
        </w:rPr>
        <w:t xml:space="preserve">In the event that a consensus cannot be reached on an issue or when substantial changes are made to a meeting summary or any technical document, then the USNWG must approve that project/action by a vote.  </w:t>
      </w:r>
      <w:r w:rsidRPr="00BB2AE7">
        <w:rPr>
          <w:b/>
          <w:sz w:val="22"/>
          <w:szCs w:val="22"/>
          <w:u w:val="single"/>
        </w:rPr>
        <w:t>A quorum consisting of at least 25% of the registered P-members must be present for a vote.</w:t>
      </w:r>
      <w:r w:rsidRPr="00BB2AE7">
        <w:rPr>
          <w:sz w:val="22"/>
          <w:szCs w:val="22"/>
        </w:rPr>
        <w:t xml:space="preserve">  In the event that a </w:t>
      </w:r>
      <w:r w:rsidRPr="00BB2AE7">
        <w:rPr>
          <w:b/>
          <w:strike/>
          <w:sz w:val="22"/>
          <w:szCs w:val="22"/>
        </w:rPr>
        <w:t>majority of the USNWG P membership</w:t>
      </w:r>
      <w:r>
        <w:rPr>
          <w:sz w:val="22"/>
          <w:szCs w:val="22"/>
        </w:rPr>
        <w:t xml:space="preserve"> </w:t>
      </w:r>
      <w:r w:rsidRPr="00BB2AE7">
        <w:rPr>
          <w:b/>
          <w:sz w:val="22"/>
          <w:szCs w:val="22"/>
          <w:u w:val="single"/>
        </w:rPr>
        <w:t>quorum</w:t>
      </w:r>
      <w:r w:rsidRPr="00BB2AE7">
        <w:rPr>
          <w:sz w:val="22"/>
          <w:szCs w:val="22"/>
        </w:rPr>
        <w:t xml:space="preserve"> is not present for a vote</w:t>
      </w:r>
      <w:r w:rsidRPr="00BB2AE7">
        <w:rPr>
          <w:b/>
          <w:sz w:val="22"/>
          <w:szCs w:val="22"/>
          <w:u w:val="single"/>
        </w:rPr>
        <w:t>,</w:t>
      </w:r>
      <w:r w:rsidRPr="00BB2AE7">
        <w:rPr>
          <w:sz w:val="22"/>
          <w:szCs w:val="22"/>
        </w:rPr>
        <w:t xml:space="preserve"> the Technical Advisor shall ballot the entire USNWG </w:t>
      </w:r>
      <w:r w:rsidRPr="00BB2AE7">
        <w:rPr>
          <w:b/>
          <w:strike/>
          <w:sz w:val="22"/>
          <w:szCs w:val="22"/>
        </w:rPr>
        <w:t>for their vote.</w:t>
      </w:r>
      <w:r w:rsidRPr="00BB2AE7">
        <w:rPr>
          <w:sz w:val="22"/>
          <w:szCs w:val="22"/>
        </w:rPr>
        <w:t xml:space="preserve">  </w:t>
      </w:r>
      <w:r w:rsidRPr="00BB2AE7">
        <w:rPr>
          <w:b/>
          <w:sz w:val="22"/>
          <w:szCs w:val="22"/>
          <w:u w:val="single"/>
        </w:rPr>
        <w:t>P-membership.</w:t>
      </w:r>
      <w:r w:rsidRPr="00BB2AE7">
        <w:rPr>
          <w:sz w:val="22"/>
          <w:szCs w:val="22"/>
        </w:rPr>
        <w:t xml:space="preserve"> </w:t>
      </w:r>
    </w:p>
    <w:p w:rsidR="00A4066B" w:rsidRPr="00BB2AE7" w:rsidRDefault="00A4066B" w:rsidP="00A4066B">
      <w:pPr>
        <w:ind w:left="720" w:right="718"/>
        <w:jc w:val="both"/>
        <w:rPr>
          <w:sz w:val="22"/>
          <w:szCs w:val="22"/>
        </w:rPr>
      </w:pPr>
    </w:p>
    <w:p w:rsidR="00A4066B" w:rsidRPr="00BB2AE7" w:rsidRDefault="00A4066B" w:rsidP="00A4066B">
      <w:pPr>
        <w:ind w:left="720" w:right="718"/>
        <w:jc w:val="both"/>
        <w:rPr>
          <w:sz w:val="22"/>
          <w:szCs w:val="22"/>
        </w:rPr>
      </w:pPr>
      <w:r w:rsidRPr="00BB2AE7">
        <w:rPr>
          <w:sz w:val="22"/>
          <w:szCs w:val="22"/>
        </w:rPr>
        <w:t xml:space="preserve">USNWG members may vote </w:t>
      </w:r>
      <w:r w:rsidRPr="00B407E4">
        <w:rPr>
          <w:b/>
          <w:strike/>
          <w:sz w:val="22"/>
          <w:szCs w:val="22"/>
        </w:rPr>
        <w:t>in-person</w:t>
      </w:r>
      <w:r w:rsidRPr="00BB2AE7">
        <w:rPr>
          <w:sz w:val="22"/>
          <w:szCs w:val="22"/>
        </w:rPr>
        <w:t xml:space="preserve"> during the conduct of a meeting </w:t>
      </w:r>
      <w:r w:rsidRPr="00B407E4">
        <w:rPr>
          <w:b/>
          <w:sz w:val="22"/>
          <w:szCs w:val="22"/>
          <w:u w:val="single"/>
        </w:rPr>
        <w:t>where a quorum is present</w:t>
      </w:r>
      <w:r w:rsidRPr="00BB2AE7">
        <w:rPr>
          <w:sz w:val="22"/>
          <w:szCs w:val="22"/>
        </w:rPr>
        <w:t xml:space="preserve"> or be balloted electronically or by a postal mail ballot.  A majority </w:t>
      </w:r>
      <w:r w:rsidRPr="00B407E4">
        <w:rPr>
          <w:b/>
          <w:strike/>
          <w:sz w:val="22"/>
          <w:szCs w:val="22"/>
        </w:rPr>
        <w:t>vote</w:t>
      </w:r>
      <w:r>
        <w:rPr>
          <w:sz w:val="22"/>
          <w:szCs w:val="22"/>
        </w:rPr>
        <w:t xml:space="preserve"> </w:t>
      </w:r>
      <w:r w:rsidRPr="00B407E4">
        <w:rPr>
          <w:b/>
          <w:sz w:val="22"/>
          <w:szCs w:val="22"/>
          <w:u w:val="single"/>
        </w:rPr>
        <w:t xml:space="preserve">of the votes cast within 21 calendar days of the ballot being sent </w:t>
      </w:r>
      <w:r w:rsidRPr="00BB2AE7">
        <w:rPr>
          <w:sz w:val="22"/>
          <w:szCs w:val="22"/>
        </w:rPr>
        <w:t xml:space="preserve">is required to approve a project/action </w:t>
      </w:r>
      <w:r w:rsidRPr="00B407E4">
        <w:rPr>
          <w:b/>
          <w:strike/>
          <w:sz w:val="22"/>
          <w:szCs w:val="22"/>
        </w:rPr>
        <w:t>under these circumstances</w:t>
      </w:r>
      <w:r w:rsidRPr="00BB2AE7">
        <w:rPr>
          <w:sz w:val="22"/>
          <w:szCs w:val="22"/>
        </w:rPr>
        <w:t xml:space="preserve">.  </w:t>
      </w:r>
      <w:r w:rsidRPr="00B407E4">
        <w:rPr>
          <w:b/>
          <w:sz w:val="22"/>
          <w:szCs w:val="22"/>
          <w:u w:val="single"/>
        </w:rPr>
        <w:t>Members shall include an explanation of their reason(s) (and alternative language, when appropriate) when casting a negative ballot.</w:t>
      </w:r>
    </w:p>
    <w:p w:rsidR="00A4066B" w:rsidRPr="00BB2AE7" w:rsidRDefault="00A4066B" w:rsidP="00A4066B">
      <w:pPr>
        <w:ind w:left="720" w:right="718"/>
        <w:jc w:val="both"/>
        <w:rPr>
          <w:sz w:val="22"/>
          <w:szCs w:val="22"/>
        </w:rPr>
      </w:pPr>
    </w:p>
    <w:p w:rsidR="00A4066B" w:rsidRPr="00B407E4" w:rsidRDefault="00A4066B" w:rsidP="00A4066B">
      <w:pPr>
        <w:ind w:left="720" w:right="718"/>
        <w:jc w:val="both"/>
        <w:rPr>
          <w:b/>
          <w:sz w:val="22"/>
          <w:szCs w:val="22"/>
        </w:rPr>
      </w:pPr>
      <w:r w:rsidRPr="00BB2AE7">
        <w:rPr>
          <w:sz w:val="22"/>
          <w:szCs w:val="22"/>
        </w:rPr>
        <w:t xml:space="preserve">Each entity (company, agency, organization, etc.) represented on the USNWG has one vote.  </w:t>
      </w:r>
      <w:r w:rsidRPr="00B407E4">
        <w:rPr>
          <w:b/>
          <w:strike/>
          <w:sz w:val="22"/>
          <w:szCs w:val="22"/>
        </w:rPr>
        <w:t>A response from a majority of the USNWG P-members is necessary for a valid vote.</w:t>
      </w:r>
      <w:r w:rsidRPr="00BB2AE7">
        <w:rPr>
          <w:sz w:val="22"/>
          <w:szCs w:val="22"/>
        </w:rPr>
        <w:t xml:space="preserve">  No proxy votes are accepted (to ensure each vote is cast based on an examination of the latest data, discussions, etc. by all groups affected by a(n) project/action).  </w:t>
      </w:r>
      <w:r w:rsidRPr="00B407E4">
        <w:rPr>
          <w:b/>
          <w:strike/>
          <w:sz w:val="22"/>
          <w:szCs w:val="22"/>
        </w:rPr>
        <w:t>An O-Member may not vote.  No response to a balloted vote after 21 days constitutes a yes vote.</w:t>
      </w:r>
      <w:r w:rsidRPr="00B407E4">
        <w:rPr>
          <w:b/>
          <w:sz w:val="22"/>
          <w:szCs w:val="22"/>
        </w:rPr>
        <w:t xml:space="preserve">  </w:t>
      </w:r>
      <w:r w:rsidRPr="00B407E4">
        <w:rPr>
          <w:b/>
          <w:sz w:val="22"/>
          <w:szCs w:val="22"/>
          <w:u w:val="single"/>
        </w:rPr>
        <w:t>A proxy would be defined as a vote by any person from a different organization than the registered P-member.  Alternates from the same organization may vote, so long as they are designated by the P</w:t>
      </w:r>
      <w:r>
        <w:rPr>
          <w:b/>
          <w:sz w:val="22"/>
          <w:szCs w:val="22"/>
          <w:u w:val="single"/>
        </w:rPr>
        <w:noBreakHyphen/>
      </w:r>
      <w:r w:rsidRPr="00B407E4">
        <w:rPr>
          <w:b/>
          <w:sz w:val="22"/>
          <w:szCs w:val="22"/>
          <w:u w:val="single"/>
        </w:rPr>
        <w:t>member prior to the meeting and there is only one vote per registered P</w:t>
      </w:r>
      <w:r>
        <w:rPr>
          <w:b/>
          <w:sz w:val="22"/>
          <w:szCs w:val="22"/>
          <w:u w:val="single"/>
        </w:rPr>
        <w:t>-</w:t>
      </w:r>
      <w:r w:rsidRPr="00B407E4">
        <w:rPr>
          <w:b/>
          <w:sz w:val="22"/>
          <w:szCs w:val="22"/>
          <w:u w:val="single"/>
        </w:rPr>
        <w:t>member.</w:t>
      </w:r>
    </w:p>
    <w:p w:rsidR="006346A9" w:rsidRDefault="006346A9" w:rsidP="002E408D">
      <w:pPr>
        <w:jc w:val="both"/>
        <w:rPr>
          <w:sz w:val="22"/>
          <w:szCs w:val="22"/>
        </w:rPr>
      </w:pPr>
    </w:p>
    <w:p w:rsidR="0035560A" w:rsidRPr="005C67BC" w:rsidRDefault="0035560A" w:rsidP="005C67BC">
      <w:pPr>
        <w:pStyle w:val="Heading2"/>
        <w:rPr>
          <w:rFonts w:ascii="Times New Roman" w:hAnsi="Times New Roman" w:cs="Times New Roman"/>
          <w:color w:val="auto"/>
          <w:sz w:val="24"/>
          <w:szCs w:val="24"/>
        </w:rPr>
      </w:pPr>
      <w:bookmarkStart w:id="3" w:name="_Toc358047814"/>
      <w:r w:rsidRPr="005C67BC">
        <w:rPr>
          <w:rFonts w:ascii="Times New Roman" w:hAnsi="Times New Roman" w:cs="Times New Roman"/>
          <w:color w:val="auto"/>
          <w:sz w:val="24"/>
          <w:szCs w:val="24"/>
        </w:rPr>
        <w:t>4</w:t>
      </w:r>
      <w:r w:rsidR="00E6096B" w:rsidRPr="005C67BC">
        <w:rPr>
          <w:rFonts w:ascii="Times New Roman" w:hAnsi="Times New Roman" w:cs="Times New Roman"/>
          <w:color w:val="auto"/>
          <w:sz w:val="24"/>
          <w:szCs w:val="24"/>
        </w:rPr>
        <w:t>.</w:t>
      </w:r>
      <w:r w:rsidRPr="005C67BC">
        <w:rPr>
          <w:rFonts w:ascii="Times New Roman" w:hAnsi="Times New Roman" w:cs="Times New Roman"/>
          <w:color w:val="auto"/>
          <w:sz w:val="24"/>
          <w:szCs w:val="24"/>
        </w:rPr>
        <w:t xml:space="preserve">  </w:t>
      </w:r>
      <w:r w:rsidR="007E21CF" w:rsidRPr="005C67BC">
        <w:rPr>
          <w:rFonts w:ascii="Times New Roman" w:hAnsi="Times New Roman" w:cs="Times New Roman"/>
          <w:color w:val="auto"/>
          <w:sz w:val="24"/>
          <w:szCs w:val="24"/>
        </w:rPr>
        <w:t>HB 130 Method of Sale Regulation for Electricity as Vehicle Fuel</w:t>
      </w:r>
      <w:bookmarkEnd w:id="3"/>
    </w:p>
    <w:p w:rsidR="001571D9" w:rsidRPr="001571D9" w:rsidRDefault="001571D9" w:rsidP="001571D9"/>
    <w:p w:rsidR="004C146E" w:rsidRPr="004C146E" w:rsidRDefault="004C146E" w:rsidP="004C146E">
      <w:pPr>
        <w:jc w:val="both"/>
        <w:rPr>
          <w:sz w:val="22"/>
          <w:szCs w:val="22"/>
        </w:rPr>
      </w:pPr>
      <w:r w:rsidRPr="004C146E">
        <w:rPr>
          <w:b/>
          <w:sz w:val="22"/>
          <w:szCs w:val="22"/>
        </w:rPr>
        <w:t>Background:</w:t>
      </w:r>
      <w:r w:rsidRPr="004C146E">
        <w:rPr>
          <w:sz w:val="22"/>
          <w:szCs w:val="22"/>
        </w:rPr>
        <w:t xml:space="preserve">  After reviewing and revising the </w:t>
      </w:r>
      <w:r w:rsidR="00355CD0">
        <w:rPr>
          <w:sz w:val="22"/>
          <w:szCs w:val="22"/>
        </w:rPr>
        <w:t xml:space="preserve">proposed new </w:t>
      </w:r>
      <w:r w:rsidRPr="004C146E">
        <w:rPr>
          <w:sz w:val="22"/>
          <w:szCs w:val="22"/>
        </w:rPr>
        <w:t xml:space="preserve">HB 130 </w:t>
      </w:r>
      <w:r w:rsidR="00355CD0">
        <w:rPr>
          <w:sz w:val="22"/>
          <w:szCs w:val="22"/>
        </w:rPr>
        <w:t>M</w:t>
      </w:r>
      <w:r w:rsidRPr="004C146E">
        <w:rPr>
          <w:sz w:val="22"/>
          <w:szCs w:val="22"/>
        </w:rPr>
        <w:t xml:space="preserve">ethod of </w:t>
      </w:r>
      <w:r w:rsidR="00355CD0">
        <w:rPr>
          <w:sz w:val="22"/>
          <w:szCs w:val="22"/>
        </w:rPr>
        <w:t>S</w:t>
      </w:r>
      <w:r w:rsidRPr="004C146E">
        <w:rPr>
          <w:sz w:val="22"/>
          <w:szCs w:val="22"/>
        </w:rPr>
        <w:t xml:space="preserve">ale (MOS) </w:t>
      </w:r>
      <w:r w:rsidR="00355CD0">
        <w:rPr>
          <w:sz w:val="22"/>
          <w:szCs w:val="22"/>
        </w:rPr>
        <w:t>Regulation</w:t>
      </w:r>
      <w:r w:rsidRPr="004C146E">
        <w:rPr>
          <w:sz w:val="22"/>
          <w:szCs w:val="22"/>
        </w:rPr>
        <w:t xml:space="preserve"> during </w:t>
      </w:r>
      <w:r w:rsidR="00355CD0">
        <w:rPr>
          <w:sz w:val="22"/>
          <w:szCs w:val="22"/>
        </w:rPr>
        <w:t>its</w:t>
      </w:r>
      <w:r w:rsidRPr="004C146E">
        <w:rPr>
          <w:sz w:val="22"/>
          <w:szCs w:val="22"/>
        </w:rPr>
        <w:t xml:space="preserve"> January 15-17, 2013 meeting, the USNWG voted 12 to 1 to recommend to the NCWM L&amp;R Committee that the proposal </w:t>
      </w:r>
      <w:r w:rsidR="0053099E">
        <w:rPr>
          <w:sz w:val="22"/>
          <w:szCs w:val="22"/>
        </w:rPr>
        <w:t xml:space="preserve">is ready </w:t>
      </w:r>
      <w:r w:rsidRPr="004C146E">
        <w:rPr>
          <w:sz w:val="22"/>
          <w:szCs w:val="22"/>
        </w:rPr>
        <w:t xml:space="preserve">for </w:t>
      </w:r>
      <w:r w:rsidR="00355CD0">
        <w:rPr>
          <w:sz w:val="22"/>
          <w:szCs w:val="22"/>
        </w:rPr>
        <w:t xml:space="preserve">a </w:t>
      </w:r>
      <w:r w:rsidRPr="004C146E">
        <w:rPr>
          <w:sz w:val="22"/>
          <w:szCs w:val="22"/>
        </w:rPr>
        <w:t>vot</w:t>
      </w:r>
      <w:r w:rsidR="00355CD0">
        <w:rPr>
          <w:sz w:val="22"/>
          <w:szCs w:val="22"/>
        </w:rPr>
        <w:t>e for adoption at the July 2013 NCWM Annual Meeting.  After adoption, the requirements would be included in the 2014 edition of HB 130</w:t>
      </w:r>
      <w:r w:rsidRPr="004C146E">
        <w:rPr>
          <w:sz w:val="22"/>
          <w:szCs w:val="22"/>
        </w:rPr>
        <w:t xml:space="preserve">. </w:t>
      </w:r>
      <w:r w:rsidR="00355CD0">
        <w:rPr>
          <w:sz w:val="22"/>
          <w:szCs w:val="22"/>
        </w:rPr>
        <w:t xml:space="preserve"> </w:t>
      </w:r>
      <w:r w:rsidRPr="004C146E">
        <w:rPr>
          <w:sz w:val="22"/>
          <w:szCs w:val="22"/>
        </w:rPr>
        <w:t>The USNWG recognized that some members need</w:t>
      </w:r>
      <w:r w:rsidR="0053099E">
        <w:rPr>
          <w:sz w:val="22"/>
          <w:szCs w:val="22"/>
        </w:rPr>
        <w:t>ed</w:t>
      </w:r>
      <w:r w:rsidRPr="004C146E">
        <w:rPr>
          <w:sz w:val="22"/>
          <w:szCs w:val="22"/>
        </w:rPr>
        <w:t xml:space="preserve"> to further vet the revised proposal within their organizations, but expected this process to be complete</w:t>
      </w:r>
      <w:r w:rsidR="0053099E">
        <w:rPr>
          <w:sz w:val="22"/>
          <w:szCs w:val="22"/>
        </w:rPr>
        <w:t>d</w:t>
      </w:r>
      <w:r w:rsidRPr="004C146E">
        <w:rPr>
          <w:sz w:val="22"/>
          <w:szCs w:val="22"/>
        </w:rPr>
        <w:t xml:space="preserve"> within a few weeks of </w:t>
      </w:r>
      <w:r w:rsidR="00355CD0">
        <w:rPr>
          <w:sz w:val="22"/>
          <w:szCs w:val="22"/>
        </w:rPr>
        <w:t xml:space="preserve">its January 2013 </w:t>
      </w:r>
      <w:r w:rsidRPr="004C146E">
        <w:rPr>
          <w:sz w:val="22"/>
          <w:szCs w:val="22"/>
        </w:rPr>
        <w:t>meeting.  The Technical Advisor submitted the USNWG</w:t>
      </w:r>
      <w:r w:rsidR="001F7A57">
        <w:rPr>
          <w:sz w:val="22"/>
          <w:szCs w:val="22"/>
        </w:rPr>
        <w:t>’s</w:t>
      </w:r>
      <w:r w:rsidRPr="004C146E">
        <w:rPr>
          <w:sz w:val="22"/>
          <w:szCs w:val="22"/>
        </w:rPr>
        <w:t xml:space="preserve"> proposal and recommendation to the NCWM L&amp;R Committee on January 23, 2013.</w:t>
      </w:r>
    </w:p>
    <w:p w:rsidR="004C146E" w:rsidRPr="004C146E" w:rsidRDefault="004C146E" w:rsidP="004C146E">
      <w:pPr>
        <w:jc w:val="both"/>
        <w:rPr>
          <w:sz w:val="22"/>
          <w:szCs w:val="22"/>
        </w:rPr>
      </w:pPr>
    </w:p>
    <w:p w:rsidR="004C146E" w:rsidRPr="004C146E" w:rsidRDefault="004C146E" w:rsidP="004C146E">
      <w:pPr>
        <w:jc w:val="both"/>
        <w:rPr>
          <w:sz w:val="22"/>
          <w:szCs w:val="22"/>
        </w:rPr>
      </w:pPr>
      <w:r w:rsidRPr="004C146E">
        <w:rPr>
          <w:sz w:val="22"/>
          <w:szCs w:val="22"/>
        </w:rPr>
        <w:t xml:space="preserve">At the January 27-30, 2013 NCWM Interim Meeting, the L&amp;R Committee </w:t>
      </w:r>
      <w:r w:rsidR="00201FFE">
        <w:rPr>
          <w:sz w:val="22"/>
          <w:szCs w:val="22"/>
        </w:rPr>
        <w:t>agreed</w:t>
      </w:r>
      <w:r w:rsidRPr="004C146E">
        <w:rPr>
          <w:sz w:val="22"/>
          <w:szCs w:val="22"/>
        </w:rPr>
        <w:t xml:space="preserve"> to designate the HB 130 MOS proposal as Voting </w:t>
      </w:r>
      <w:r w:rsidR="00201FFE">
        <w:rPr>
          <w:sz w:val="22"/>
          <w:szCs w:val="22"/>
        </w:rPr>
        <w:t>I</w:t>
      </w:r>
      <w:r w:rsidRPr="004C146E">
        <w:rPr>
          <w:sz w:val="22"/>
          <w:szCs w:val="22"/>
        </w:rPr>
        <w:t xml:space="preserve">tem 232-5 on the </w:t>
      </w:r>
      <w:r w:rsidR="00201FFE">
        <w:rPr>
          <w:sz w:val="22"/>
          <w:szCs w:val="22"/>
        </w:rPr>
        <w:t>Committee’s</w:t>
      </w:r>
      <w:r w:rsidRPr="004C146E">
        <w:rPr>
          <w:sz w:val="22"/>
          <w:szCs w:val="22"/>
        </w:rPr>
        <w:t xml:space="preserve"> Agenda.  The proposal will be presented for a vote at the 2013 NCWM Annual Meeting </w:t>
      </w:r>
      <w:r w:rsidR="00201FFE">
        <w:rPr>
          <w:sz w:val="22"/>
          <w:szCs w:val="22"/>
        </w:rPr>
        <w:t xml:space="preserve">held </w:t>
      </w:r>
      <w:r w:rsidR="00201FFE" w:rsidRPr="004C146E">
        <w:rPr>
          <w:sz w:val="22"/>
          <w:szCs w:val="22"/>
        </w:rPr>
        <w:t>July 14-18, 2013</w:t>
      </w:r>
      <w:r w:rsidR="001F7A57">
        <w:rPr>
          <w:sz w:val="22"/>
          <w:szCs w:val="22"/>
        </w:rPr>
        <w:t xml:space="preserve"> </w:t>
      </w:r>
      <w:r w:rsidRPr="004C146E">
        <w:rPr>
          <w:sz w:val="22"/>
          <w:szCs w:val="22"/>
        </w:rPr>
        <w:t>in Louisville, KY.</w:t>
      </w:r>
    </w:p>
    <w:p w:rsidR="004C146E" w:rsidRDefault="004C146E" w:rsidP="004C146E">
      <w:pPr>
        <w:jc w:val="both"/>
        <w:rPr>
          <w:sz w:val="22"/>
          <w:szCs w:val="22"/>
        </w:rPr>
      </w:pPr>
    </w:p>
    <w:p w:rsidR="004C146E" w:rsidRPr="004C146E" w:rsidRDefault="001F7A57" w:rsidP="004C146E">
      <w:pPr>
        <w:jc w:val="both"/>
        <w:rPr>
          <w:sz w:val="22"/>
          <w:szCs w:val="22"/>
        </w:rPr>
      </w:pPr>
      <w:r>
        <w:rPr>
          <w:sz w:val="22"/>
          <w:szCs w:val="22"/>
        </w:rPr>
        <w:lastRenderedPageBreak/>
        <w:t xml:space="preserve">Some </w:t>
      </w:r>
      <w:r w:rsidR="004C146E">
        <w:rPr>
          <w:sz w:val="22"/>
          <w:szCs w:val="22"/>
        </w:rPr>
        <w:t>USNWG members</w:t>
      </w:r>
      <w:r w:rsidR="0074281E">
        <w:rPr>
          <w:sz w:val="22"/>
          <w:szCs w:val="22"/>
        </w:rPr>
        <w:t xml:space="preserve"> have since</w:t>
      </w:r>
      <w:r w:rsidR="004C146E">
        <w:rPr>
          <w:sz w:val="22"/>
          <w:szCs w:val="22"/>
        </w:rPr>
        <w:t xml:space="preserve"> submitted additional comments to amend the original proposal</w:t>
      </w:r>
      <w:r w:rsidR="0062041F" w:rsidRPr="0062041F">
        <w:rPr>
          <w:sz w:val="22"/>
          <w:szCs w:val="22"/>
        </w:rPr>
        <w:t xml:space="preserve"> </w:t>
      </w:r>
      <w:r w:rsidR="0062041F">
        <w:rPr>
          <w:sz w:val="22"/>
          <w:szCs w:val="22"/>
        </w:rPr>
        <w:t>following vetting that took place after the January 15-17, 2013 meeting</w:t>
      </w:r>
      <w:r w:rsidR="004C146E">
        <w:rPr>
          <w:sz w:val="22"/>
          <w:szCs w:val="22"/>
        </w:rPr>
        <w:t xml:space="preserve">.  These comments were forwarded to the USNWG members </w:t>
      </w:r>
      <w:r w:rsidR="00A4066B">
        <w:rPr>
          <w:sz w:val="22"/>
          <w:szCs w:val="22"/>
        </w:rPr>
        <w:t xml:space="preserve">as they were received </w:t>
      </w:r>
      <w:r w:rsidR="00590068">
        <w:rPr>
          <w:sz w:val="22"/>
          <w:szCs w:val="22"/>
        </w:rPr>
        <w:t xml:space="preserve">and prior </w:t>
      </w:r>
      <w:r w:rsidR="004C146E">
        <w:rPr>
          <w:sz w:val="22"/>
          <w:szCs w:val="22"/>
        </w:rPr>
        <w:t xml:space="preserve">to the </w:t>
      </w:r>
      <w:r w:rsidR="0062041F">
        <w:rPr>
          <w:sz w:val="22"/>
          <w:szCs w:val="22"/>
        </w:rPr>
        <w:t xml:space="preserve">March 26, 2013 </w:t>
      </w:r>
      <w:r w:rsidR="004C146E">
        <w:rPr>
          <w:sz w:val="22"/>
          <w:szCs w:val="22"/>
        </w:rPr>
        <w:t>meeting.</w:t>
      </w:r>
    </w:p>
    <w:p w:rsidR="004C146E" w:rsidRPr="004C146E" w:rsidRDefault="004C146E" w:rsidP="004C146E">
      <w:pPr>
        <w:jc w:val="both"/>
        <w:rPr>
          <w:sz w:val="22"/>
          <w:szCs w:val="22"/>
        </w:rPr>
      </w:pPr>
    </w:p>
    <w:p w:rsidR="004C146E" w:rsidRPr="004C146E" w:rsidRDefault="004C146E" w:rsidP="004C146E">
      <w:pPr>
        <w:jc w:val="both"/>
        <w:rPr>
          <w:sz w:val="22"/>
          <w:szCs w:val="22"/>
        </w:rPr>
      </w:pPr>
      <w:r w:rsidRPr="004C146E">
        <w:rPr>
          <w:b/>
          <w:sz w:val="22"/>
          <w:szCs w:val="22"/>
        </w:rPr>
        <w:t>Recommendations:</w:t>
      </w:r>
      <w:r w:rsidRPr="004C146E">
        <w:rPr>
          <w:sz w:val="22"/>
          <w:szCs w:val="22"/>
        </w:rPr>
        <w:t xml:space="preserve"> </w:t>
      </w:r>
    </w:p>
    <w:p w:rsidR="004C146E" w:rsidRPr="004C146E" w:rsidRDefault="004C146E" w:rsidP="004C146E">
      <w:pPr>
        <w:numPr>
          <w:ilvl w:val="0"/>
          <w:numId w:val="10"/>
        </w:numPr>
        <w:jc w:val="both"/>
        <w:rPr>
          <w:sz w:val="22"/>
          <w:szCs w:val="22"/>
        </w:rPr>
      </w:pPr>
      <w:r w:rsidRPr="004C146E">
        <w:rPr>
          <w:sz w:val="22"/>
          <w:szCs w:val="22"/>
        </w:rPr>
        <w:t xml:space="preserve">Members of the USNWG </w:t>
      </w:r>
      <w:r>
        <w:rPr>
          <w:sz w:val="22"/>
          <w:szCs w:val="22"/>
        </w:rPr>
        <w:t>were</w:t>
      </w:r>
      <w:r w:rsidRPr="004C146E">
        <w:rPr>
          <w:sz w:val="22"/>
          <w:szCs w:val="22"/>
        </w:rPr>
        <w:t xml:space="preserve"> asked to consider the comments submitted</w:t>
      </w:r>
      <w:r w:rsidR="00590068">
        <w:rPr>
          <w:sz w:val="22"/>
          <w:szCs w:val="22"/>
        </w:rPr>
        <w:t xml:space="preserve"> that had been forwarded to them separately as they were received</w:t>
      </w:r>
      <w:r w:rsidRPr="004C146E">
        <w:rPr>
          <w:sz w:val="22"/>
          <w:szCs w:val="22"/>
        </w:rPr>
        <w:t>.</w:t>
      </w:r>
    </w:p>
    <w:p w:rsidR="004C146E" w:rsidRPr="004C146E" w:rsidRDefault="004C146E" w:rsidP="004C146E">
      <w:pPr>
        <w:jc w:val="both"/>
        <w:rPr>
          <w:sz w:val="22"/>
          <w:szCs w:val="22"/>
        </w:rPr>
      </w:pPr>
    </w:p>
    <w:p w:rsidR="004C146E" w:rsidRPr="004C146E" w:rsidRDefault="004C146E" w:rsidP="004C146E">
      <w:pPr>
        <w:numPr>
          <w:ilvl w:val="0"/>
          <w:numId w:val="10"/>
        </w:numPr>
        <w:jc w:val="both"/>
        <w:rPr>
          <w:sz w:val="22"/>
          <w:szCs w:val="22"/>
        </w:rPr>
      </w:pPr>
      <w:r w:rsidRPr="004C146E">
        <w:rPr>
          <w:sz w:val="22"/>
          <w:szCs w:val="22"/>
        </w:rPr>
        <w:t xml:space="preserve">Members </w:t>
      </w:r>
      <w:r w:rsidR="0062041F">
        <w:rPr>
          <w:sz w:val="22"/>
          <w:szCs w:val="22"/>
        </w:rPr>
        <w:t>were</w:t>
      </w:r>
      <w:r w:rsidRPr="004C146E">
        <w:rPr>
          <w:sz w:val="22"/>
          <w:szCs w:val="22"/>
        </w:rPr>
        <w:t xml:space="preserve"> asked to consider </w:t>
      </w:r>
      <w:r w:rsidR="0062041F">
        <w:rPr>
          <w:sz w:val="22"/>
          <w:szCs w:val="22"/>
        </w:rPr>
        <w:t>a</w:t>
      </w:r>
      <w:r w:rsidRPr="004C146E">
        <w:rPr>
          <w:sz w:val="22"/>
          <w:szCs w:val="22"/>
        </w:rPr>
        <w:t xml:space="preserve"> NIST OWM recommendation to revise paragraph 2.XX.3.(a) in the HB 130 MOS proposal as shown below to require the unit price to be displayed in whole cents.</w:t>
      </w:r>
    </w:p>
    <w:p w:rsidR="004C146E" w:rsidRPr="004C146E" w:rsidRDefault="004C146E" w:rsidP="004C146E">
      <w:pPr>
        <w:keepNext/>
        <w:ind w:left="990"/>
        <w:jc w:val="both"/>
        <w:rPr>
          <w:rFonts w:eastAsia="Times New Roman"/>
          <w:sz w:val="20"/>
          <w:lang w:val="fr-FR" w:eastAsia="en-US"/>
        </w:rPr>
      </w:pPr>
    </w:p>
    <w:p w:rsidR="004C146E" w:rsidRPr="004C146E" w:rsidRDefault="004C146E" w:rsidP="004C146E">
      <w:pPr>
        <w:numPr>
          <w:ilvl w:val="0"/>
          <w:numId w:val="11"/>
        </w:numPr>
        <w:ind w:left="1440"/>
        <w:jc w:val="both"/>
        <w:rPr>
          <w:rFonts w:eastAsia="Times New Roman"/>
          <w:sz w:val="20"/>
          <w:lang w:eastAsia="en-US"/>
        </w:rPr>
      </w:pPr>
      <w:r w:rsidRPr="004C146E">
        <w:rPr>
          <w:rFonts w:eastAsia="Times New Roman"/>
          <w:sz w:val="20"/>
          <w:lang w:eastAsia="en-US"/>
        </w:rPr>
        <w:t xml:space="preserve">A computing EVSE shall display the unit price in whole cents (e.g., $0.12) </w:t>
      </w:r>
      <w:r w:rsidRPr="004C146E">
        <w:rPr>
          <w:rFonts w:eastAsia="Times New Roman"/>
          <w:strike/>
          <w:sz w:val="20"/>
          <w:lang w:eastAsia="en-US"/>
        </w:rPr>
        <w:t xml:space="preserve">or tenths of one cent (e.g., $0.119) </w:t>
      </w:r>
      <w:r w:rsidRPr="004C146E">
        <w:rPr>
          <w:rFonts w:eastAsia="Times New Roman"/>
          <w:sz w:val="20"/>
          <w:lang w:eastAsia="en-US"/>
        </w:rPr>
        <w:t>on the basis of price per megajoule (MJ) or kilowatt</w:t>
      </w:r>
      <w:r w:rsidRPr="004C146E">
        <w:rPr>
          <w:rFonts w:eastAsia="Times New Roman"/>
          <w:sz w:val="20"/>
          <w:lang w:eastAsia="en-US"/>
        </w:rPr>
        <w:noBreakHyphen/>
        <w:t>hour (kW·h).  In cases where the electrical energy is unlimited or free of charge, this fact shall be clearly indicated in place of the unit price.</w:t>
      </w:r>
    </w:p>
    <w:p w:rsidR="004C146E" w:rsidRPr="004C146E" w:rsidRDefault="004C146E" w:rsidP="004C146E">
      <w:pPr>
        <w:ind w:left="720"/>
        <w:rPr>
          <w:sz w:val="22"/>
          <w:szCs w:val="22"/>
        </w:rPr>
      </w:pPr>
    </w:p>
    <w:p w:rsidR="00FE3B18" w:rsidRPr="0062041F" w:rsidRDefault="004C146E" w:rsidP="0062041F">
      <w:pPr>
        <w:pStyle w:val="ListParagraph"/>
        <w:numPr>
          <w:ilvl w:val="0"/>
          <w:numId w:val="12"/>
        </w:numPr>
        <w:jc w:val="both"/>
        <w:rPr>
          <w:sz w:val="22"/>
          <w:szCs w:val="22"/>
        </w:rPr>
      </w:pPr>
      <w:r w:rsidRPr="0062041F">
        <w:rPr>
          <w:sz w:val="22"/>
          <w:szCs w:val="22"/>
        </w:rPr>
        <w:t xml:space="preserve">Members </w:t>
      </w:r>
      <w:r w:rsidR="0062041F" w:rsidRPr="0062041F">
        <w:rPr>
          <w:sz w:val="22"/>
          <w:szCs w:val="22"/>
        </w:rPr>
        <w:t>were</w:t>
      </w:r>
      <w:r w:rsidRPr="0062041F">
        <w:rPr>
          <w:sz w:val="22"/>
          <w:szCs w:val="22"/>
        </w:rPr>
        <w:t xml:space="preserve"> asked to share any other results of their vetting of the proposal since the </w:t>
      </w:r>
      <w:r w:rsidR="0062041F" w:rsidRPr="0062041F">
        <w:rPr>
          <w:sz w:val="22"/>
          <w:szCs w:val="22"/>
        </w:rPr>
        <w:t xml:space="preserve">January </w:t>
      </w:r>
      <w:r w:rsidR="0062041F">
        <w:rPr>
          <w:sz w:val="22"/>
          <w:szCs w:val="22"/>
        </w:rPr>
        <w:t>meeting</w:t>
      </w:r>
      <w:r w:rsidRPr="0062041F">
        <w:rPr>
          <w:sz w:val="22"/>
          <w:szCs w:val="22"/>
        </w:rPr>
        <w:t>.</w:t>
      </w:r>
    </w:p>
    <w:p w:rsidR="0044451B" w:rsidRPr="002D46C9" w:rsidRDefault="0044451B" w:rsidP="0062041F">
      <w:pPr>
        <w:rPr>
          <w:szCs w:val="22"/>
        </w:rPr>
      </w:pPr>
    </w:p>
    <w:p w:rsidR="000E0946" w:rsidRDefault="002D46C9" w:rsidP="00710B8A">
      <w:pPr>
        <w:jc w:val="both"/>
        <w:rPr>
          <w:sz w:val="22"/>
          <w:szCs w:val="22"/>
        </w:rPr>
      </w:pPr>
      <w:r w:rsidRPr="002D46C9">
        <w:rPr>
          <w:b/>
          <w:sz w:val="22"/>
          <w:szCs w:val="22"/>
        </w:rPr>
        <w:t>Discussion:</w:t>
      </w:r>
      <w:r w:rsidRPr="002D46C9">
        <w:rPr>
          <w:sz w:val="22"/>
          <w:szCs w:val="22"/>
        </w:rPr>
        <w:t xml:space="preserve">  </w:t>
      </w:r>
      <w:r w:rsidR="00EA5A9B" w:rsidRPr="00F02764">
        <w:rPr>
          <w:sz w:val="22"/>
          <w:szCs w:val="22"/>
        </w:rPr>
        <w:t xml:space="preserve">The </w:t>
      </w:r>
      <w:r w:rsidR="000403EC" w:rsidRPr="00F02764">
        <w:rPr>
          <w:sz w:val="22"/>
          <w:szCs w:val="22"/>
        </w:rPr>
        <w:t>USNWG</w:t>
      </w:r>
      <w:r w:rsidR="00E969C8" w:rsidRPr="00F02764">
        <w:rPr>
          <w:sz w:val="22"/>
          <w:szCs w:val="22"/>
        </w:rPr>
        <w:t xml:space="preserve"> </w:t>
      </w:r>
      <w:r w:rsidR="00FD1C87" w:rsidRPr="00F02764">
        <w:rPr>
          <w:sz w:val="22"/>
          <w:szCs w:val="22"/>
        </w:rPr>
        <w:t>discussed</w:t>
      </w:r>
      <w:r w:rsidR="0062041F" w:rsidRPr="00F02764">
        <w:rPr>
          <w:sz w:val="22"/>
          <w:szCs w:val="22"/>
        </w:rPr>
        <w:t xml:space="preserve"> some of the comments received</w:t>
      </w:r>
      <w:r w:rsidR="006D3509" w:rsidRPr="00F02764">
        <w:rPr>
          <w:sz w:val="22"/>
          <w:szCs w:val="22"/>
        </w:rPr>
        <w:t>.</w:t>
      </w:r>
      <w:r w:rsidR="0062041F" w:rsidRPr="00F02764">
        <w:rPr>
          <w:sz w:val="22"/>
          <w:szCs w:val="22"/>
        </w:rPr>
        <w:t xml:space="preserve">  While many of the comments were editorial and/or </w:t>
      </w:r>
      <w:r w:rsidR="00FD4950">
        <w:rPr>
          <w:sz w:val="22"/>
          <w:szCs w:val="22"/>
        </w:rPr>
        <w:t xml:space="preserve">proposed </w:t>
      </w:r>
      <w:r w:rsidR="0062041F" w:rsidRPr="00F02764">
        <w:rPr>
          <w:sz w:val="22"/>
          <w:szCs w:val="22"/>
        </w:rPr>
        <w:t xml:space="preserve">minor clarifications, there </w:t>
      </w:r>
      <w:r w:rsidR="000E0946" w:rsidRPr="00F02764">
        <w:rPr>
          <w:sz w:val="22"/>
          <w:szCs w:val="22"/>
        </w:rPr>
        <w:t xml:space="preserve">were </w:t>
      </w:r>
      <w:r w:rsidR="00201FFE" w:rsidRPr="00F02764">
        <w:rPr>
          <w:sz w:val="22"/>
          <w:szCs w:val="22"/>
        </w:rPr>
        <w:t>some</w:t>
      </w:r>
      <w:r w:rsidR="000E0946" w:rsidRPr="00F02764">
        <w:rPr>
          <w:sz w:val="22"/>
          <w:szCs w:val="22"/>
        </w:rPr>
        <w:t xml:space="preserve"> comments that required considerable discussion.</w:t>
      </w:r>
    </w:p>
    <w:p w:rsidR="00590068" w:rsidRPr="00F02764" w:rsidRDefault="00590068" w:rsidP="00710B8A">
      <w:pPr>
        <w:jc w:val="both"/>
        <w:rPr>
          <w:sz w:val="22"/>
          <w:szCs w:val="22"/>
        </w:rPr>
      </w:pPr>
    </w:p>
    <w:p w:rsidR="000E0946" w:rsidRPr="00F02764" w:rsidRDefault="000E0946" w:rsidP="00FD4950">
      <w:pPr>
        <w:pStyle w:val="ListParagraph"/>
        <w:numPr>
          <w:ilvl w:val="0"/>
          <w:numId w:val="12"/>
        </w:numPr>
        <w:jc w:val="both"/>
        <w:rPr>
          <w:sz w:val="22"/>
          <w:szCs w:val="22"/>
        </w:rPr>
      </w:pPr>
      <w:r w:rsidRPr="00F02764">
        <w:rPr>
          <w:sz w:val="22"/>
          <w:szCs w:val="22"/>
        </w:rPr>
        <w:t xml:space="preserve">Some members </w:t>
      </w:r>
      <w:r w:rsidR="001F7A57">
        <w:rPr>
          <w:sz w:val="22"/>
          <w:szCs w:val="22"/>
        </w:rPr>
        <w:t>suggested</w:t>
      </w:r>
      <w:r w:rsidRPr="00F02764">
        <w:rPr>
          <w:sz w:val="22"/>
          <w:szCs w:val="22"/>
        </w:rPr>
        <w:t xml:space="preserve"> revising the MOS proposal to </w:t>
      </w:r>
      <w:r w:rsidR="0023531F" w:rsidRPr="00F02764">
        <w:rPr>
          <w:sz w:val="22"/>
          <w:szCs w:val="22"/>
        </w:rPr>
        <w:t>exclu</w:t>
      </w:r>
      <w:r w:rsidR="00C50468" w:rsidRPr="00F02764">
        <w:rPr>
          <w:sz w:val="22"/>
          <w:szCs w:val="22"/>
        </w:rPr>
        <w:t>de</w:t>
      </w:r>
      <w:r w:rsidRPr="00F02764">
        <w:rPr>
          <w:sz w:val="22"/>
          <w:szCs w:val="22"/>
        </w:rPr>
        <w:t xml:space="preserve"> </w:t>
      </w:r>
      <w:r w:rsidR="001F7A57">
        <w:rPr>
          <w:sz w:val="22"/>
          <w:szCs w:val="22"/>
        </w:rPr>
        <w:t>those</w:t>
      </w:r>
      <w:r w:rsidRPr="00F02764">
        <w:rPr>
          <w:sz w:val="22"/>
          <w:szCs w:val="22"/>
        </w:rPr>
        <w:t xml:space="preserve"> </w:t>
      </w:r>
      <w:r w:rsidR="002E75C4">
        <w:rPr>
          <w:sz w:val="22"/>
          <w:szCs w:val="22"/>
        </w:rPr>
        <w:t>installations</w:t>
      </w:r>
      <w:r w:rsidR="001F7A57">
        <w:rPr>
          <w:sz w:val="22"/>
          <w:szCs w:val="22"/>
        </w:rPr>
        <w:t xml:space="preserve"> </w:t>
      </w:r>
      <w:r w:rsidR="001F7A57" w:rsidRPr="00F02764">
        <w:rPr>
          <w:sz w:val="22"/>
          <w:szCs w:val="22"/>
        </w:rPr>
        <w:t>(e.g., time-based sales</w:t>
      </w:r>
      <w:r w:rsidR="00590068">
        <w:rPr>
          <w:sz w:val="22"/>
          <w:szCs w:val="22"/>
        </w:rPr>
        <w:t>,</w:t>
      </w:r>
      <w:r w:rsidR="001F7A57" w:rsidRPr="00F02764">
        <w:rPr>
          <w:sz w:val="22"/>
          <w:szCs w:val="22"/>
        </w:rPr>
        <w:t xml:space="preserve"> </w:t>
      </w:r>
      <w:r w:rsidR="001F7A57">
        <w:rPr>
          <w:sz w:val="22"/>
          <w:szCs w:val="22"/>
        </w:rPr>
        <w:t>fixed</w:t>
      </w:r>
      <w:r w:rsidR="001F7A57" w:rsidRPr="00F02764">
        <w:rPr>
          <w:sz w:val="22"/>
          <w:szCs w:val="22"/>
        </w:rPr>
        <w:t xml:space="preserve"> fee sales</w:t>
      </w:r>
      <w:r w:rsidR="00590068">
        <w:rPr>
          <w:sz w:val="22"/>
          <w:szCs w:val="22"/>
        </w:rPr>
        <w:t>, etc.</w:t>
      </w:r>
      <w:r w:rsidR="001F7A57" w:rsidRPr="00F02764">
        <w:rPr>
          <w:sz w:val="22"/>
          <w:szCs w:val="22"/>
        </w:rPr>
        <w:t>)</w:t>
      </w:r>
      <w:r w:rsidRPr="00F02764">
        <w:rPr>
          <w:sz w:val="22"/>
          <w:szCs w:val="22"/>
        </w:rPr>
        <w:t xml:space="preserve"> </w:t>
      </w:r>
      <w:r w:rsidR="001F7A57">
        <w:rPr>
          <w:sz w:val="22"/>
          <w:szCs w:val="22"/>
        </w:rPr>
        <w:t>where the sellers</w:t>
      </w:r>
      <w:r w:rsidRPr="00F02764">
        <w:rPr>
          <w:sz w:val="22"/>
          <w:szCs w:val="22"/>
        </w:rPr>
        <w:t xml:space="preserve"> do not </w:t>
      </w:r>
      <w:r w:rsidR="001F7A57">
        <w:rPr>
          <w:sz w:val="22"/>
          <w:szCs w:val="22"/>
        </w:rPr>
        <w:t xml:space="preserve">voluntarily choose to </w:t>
      </w:r>
      <w:r w:rsidRPr="00F02764">
        <w:rPr>
          <w:sz w:val="22"/>
          <w:szCs w:val="22"/>
        </w:rPr>
        <w:t>measure the electrical energy.</w:t>
      </w:r>
      <w:r w:rsidR="002E75C4">
        <w:rPr>
          <w:sz w:val="22"/>
          <w:szCs w:val="22"/>
        </w:rPr>
        <w:t xml:space="preserve">  According to this suggestion, the MOS regulation would only apply to those installations where the seller elected by choice to measure electrical energy.  In all other installations</w:t>
      </w:r>
      <w:r w:rsidR="001A3DEF">
        <w:rPr>
          <w:sz w:val="22"/>
          <w:szCs w:val="22"/>
        </w:rPr>
        <w:t>,</w:t>
      </w:r>
      <w:r w:rsidR="002E75C4">
        <w:rPr>
          <w:sz w:val="22"/>
          <w:szCs w:val="22"/>
        </w:rPr>
        <w:t xml:space="preserve"> no MSO regulation would apply.  </w:t>
      </w:r>
      <w:r w:rsidRPr="00F02764">
        <w:rPr>
          <w:sz w:val="22"/>
          <w:szCs w:val="22"/>
        </w:rPr>
        <w:t xml:space="preserve">  </w:t>
      </w:r>
      <w:r w:rsidR="001A3DEF">
        <w:rPr>
          <w:sz w:val="22"/>
          <w:szCs w:val="22"/>
        </w:rPr>
        <w:t>T</w:t>
      </w:r>
      <w:r w:rsidRPr="00F02764">
        <w:rPr>
          <w:sz w:val="22"/>
          <w:szCs w:val="22"/>
        </w:rPr>
        <w:t>h</w:t>
      </w:r>
      <w:r w:rsidR="00F02764" w:rsidRPr="00F02764">
        <w:rPr>
          <w:sz w:val="22"/>
          <w:szCs w:val="22"/>
        </w:rPr>
        <w:t>is</w:t>
      </w:r>
      <w:r w:rsidRPr="00F02764">
        <w:rPr>
          <w:sz w:val="22"/>
          <w:szCs w:val="22"/>
        </w:rPr>
        <w:t xml:space="preserve"> </w:t>
      </w:r>
      <w:r w:rsidR="00FD4950" w:rsidRPr="00FD4950">
        <w:rPr>
          <w:sz w:val="22"/>
          <w:szCs w:val="22"/>
        </w:rPr>
        <w:t xml:space="preserve">suggestion </w:t>
      </w:r>
      <w:r w:rsidRPr="00F02764">
        <w:rPr>
          <w:sz w:val="22"/>
          <w:szCs w:val="22"/>
        </w:rPr>
        <w:t>w</w:t>
      </w:r>
      <w:r w:rsidR="00F02764" w:rsidRPr="00F02764">
        <w:rPr>
          <w:sz w:val="22"/>
          <w:szCs w:val="22"/>
        </w:rPr>
        <w:t>as</w:t>
      </w:r>
      <w:r w:rsidRPr="00F02764">
        <w:rPr>
          <w:sz w:val="22"/>
          <w:szCs w:val="22"/>
        </w:rPr>
        <w:t xml:space="preserve"> met with opposition by </w:t>
      </w:r>
      <w:r w:rsidR="00FD4950" w:rsidRPr="00FD4950">
        <w:rPr>
          <w:sz w:val="22"/>
          <w:szCs w:val="22"/>
        </w:rPr>
        <w:t xml:space="preserve">other members </w:t>
      </w:r>
      <w:r w:rsidRPr="00F02764">
        <w:rPr>
          <w:sz w:val="22"/>
          <w:szCs w:val="22"/>
        </w:rPr>
        <w:t xml:space="preserve">who </w:t>
      </w:r>
      <w:r w:rsidR="00C50468" w:rsidRPr="00F02764">
        <w:rPr>
          <w:sz w:val="22"/>
          <w:szCs w:val="22"/>
        </w:rPr>
        <w:t>contend</w:t>
      </w:r>
      <w:r w:rsidR="001F7A57">
        <w:rPr>
          <w:sz w:val="22"/>
          <w:szCs w:val="22"/>
        </w:rPr>
        <w:t>ed</w:t>
      </w:r>
      <w:r w:rsidRPr="00F02764">
        <w:rPr>
          <w:sz w:val="22"/>
          <w:szCs w:val="22"/>
        </w:rPr>
        <w:t xml:space="preserve"> that these exceptions would defeat the purpose of establishing a </w:t>
      </w:r>
      <w:r w:rsidR="0023531F" w:rsidRPr="00F02764">
        <w:rPr>
          <w:sz w:val="22"/>
          <w:szCs w:val="22"/>
        </w:rPr>
        <w:t xml:space="preserve">single </w:t>
      </w:r>
      <w:r w:rsidRPr="00F02764">
        <w:rPr>
          <w:sz w:val="22"/>
          <w:szCs w:val="22"/>
        </w:rPr>
        <w:t xml:space="preserve">uniform </w:t>
      </w:r>
      <w:r w:rsidR="0023531F" w:rsidRPr="00F02764">
        <w:rPr>
          <w:sz w:val="22"/>
          <w:szCs w:val="22"/>
        </w:rPr>
        <w:t xml:space="preserve">model </w:t>
      </w:r>
      <w:r w:rsidRPr="00F02764">
        <w:rPr>
          <w:sz w:val="22"/>
          <w:szCs w:val="22"/>
        </w:rPr>
        <w:t xml:space="preserve">method of sale.  If </w:t>
      </w:r>
      <w:r w:rsidR="0023531F" w:rsidRPr="00F02764">
        <w:rPr>
          <w:sz w:val="22"/>
          <w:szCs w:val="22"/>
        </w:rPr>
        <w:t xml:space="preserve">compliance with </w:t>
      </w:r>
      <w:r w:rsidRPr="00F02764">
        <w:rPr>
          <w:sz w:val="22"/>
          <w:szCs w:val="22"/>
        </w:rPr>
        <w:t xml:space="preserve">the </w:t>
      </w:r>
      <w:r w:rsidR="0023531F" w:rsidRPr="00F02764">
        <w:rPr>
          <w:sz w:val="22"/>
          <w:szCs w:val="22"/>
        </w:rPr>
        <w:t>MOS</w:t>
      </w:r>
      <w:r w:rsidRPr="00F02764">
        <w:rPr>
          <w:sz w:val="22"/>
          <w:szCs w:val="22"/>
        </w:rPr>
        <w:t xml:space="preserve"> </w:t>
      </w:r>
      <w:r w:rsidR="0023531F" w:rsidRPr="00F02764">
        <w:rPr>
          <w:sz w:val="22"/>
          <w:szCs w:val="22"/>
        </w:rPr>
        <w:t xml:space="preserve">is rendered as entirely optional, </w:t>
      </w:r>
      <w:r w:rsidR="00590068">
        <w:rPr>
          <w:sz w:val="22"/>
          <w:szCs w:val="22"/>
        </w:rPr>
        <w:t>conditions of sale may vary from installation to installation</w:t>
      </w:r>
      <w:r w:rsidR="002E75C4">
        <w:rPr>
          <w:sz w:val="22"/>
          <w:szCs w:val="22"/>
        </w:rPr>
        <w:t>; c</w:t>
      </w:r>
      <w:r w:rsidR="00590068">
        <w:rPr>
          <w:sz w:val="22"/>
          <w:szCs w:val="22"/>
        </w:rPr>
        <w:t>u</w:t>
      </w:r>
      <w:r w:rsidR="0023531F" w:rsidRPr="00F02764">
        <w:rPr>
          <w:sz w:val="22"/>
          <w:szCs w:val="22"/>
        </w:rPr>
        <w:t xml:space="preserve">stomers </w:t>
      </w:r>
      <w:r w:rsidR="002E75C4">
        <w:rPr>
          <w:sz w:val="22"/>
          <w:szCs w:val="22"/>
        </w:rPr>
        <w:t>may</w:t>
      </w:r>
      <w:r w:rsidR="00590068">
        <w:rPr>
          <w:sz w:val="22"/>
          <w:szCs w:val="22"/>
        </w:rPr>
        <w:t xml:space="preserve"> not </w:t>
      </w:r>
      <w:r w:rsidR="0023531F" w:rsidRPr="00F02764">
        <w:rPr>
          <w:sz w:val="22"/>
          <w:szCs w:val="22"/>
        </w:rPr>
        <w:t xml:space="preserve">consistently </w:t>
      </w:r>
      <w:r w:rsidR="002E75C4">
        <w:rPr>
          <w:sz w:val="22"/>
          <w:szCs w:val="22"/>
        </w:rPr>
        <w:t>receive</w:t>
      </w:r>
      <w:r w:rsidR="0023531F" w:rsidRPr="00F02764">
        <w:rPr>
          <w:sz w:val="22"/>
          <w:szCs w:val="22"/>
        </w:rPr>
        <w:t xml:space="preserve"> the information </w:t>
      </w:r>
      <w:r w:rsidR="002E75C4">
        <w:rPr>
          <w:sz w:val="22"/>
          <w:szCs w:val="22"/>
        </w:rPr>
        <w:t xml:space="preserve">they </w:t>
      </w:r>
      <w:r w:rsidR="0023531F" w:rsidRPr="00F02764">
        <w:rPr>
          <w:sz w:val="22"/>
          <w:szCs w:val="22"/>
        </w:rPr>
        <w:t>need to make value comparison</w:t>
      </w:r>
      <w:r w:rsidR="002E75C4">
        <w:rPr>
          <w:sz w:val="22"/>
          <w:szCs w:val="22"/>
        </w:rPr>
        <w:t>s</w:t>
      </w:r>
      <w:r w:rsidR="0023531F" w:rsidRPr="00F02764">
        <w:rPr>
          <w:sz w:val="22"/>
          <w:szCs w:val="22"/>
        </w:rPr>
        <w:t xml:space="preserve"> </w:t>
      </w:r>
      <w:r w:rsidR="002E75C4">
        <w:rPr>
          <w:sz w:val="22"/>
          <w:szCs w:val="22"/>
        </w:rPr>
        <w:t xml:space="preserve">among competing offers and </w:t>
      </w:r>
      <w:r w:rsidR="0023531F" w:rsidRPr="00F02764">
        <w:rPr>
          <w:sz w:val="22"/>
          <w:szCs w:val="22"/>
        </w:rPr>
        <w:t xml:space="preserve">businesses </w:t>
      </w:r>
      <w:r w:rsidR="002E75C4">
        <w:rPr>
          <w:sz w:val="22"/>
          <w:szCs w:val="22"/>
        </w:rPr>
        <w:t xml:space="preserve">may not be able </w:t>
      </w:r>
      <w:r w:rsidR="0023531F" w:rsidRPr="00F02764">
        <w:rPr>
          <w:sz w:val="22"/>
          <w:szCs w:val="22"/>
        </w:rPr>
        <w:t>to compete</w:t>
      </w:r>
      <w:r w:rsidR="002E75C4" w:rsidRPr="002E75C4">
        <w:rPr>
          <w:sz w:val="22"/>
          <w:szCs w:val="22"/>
        </w:rPr>
        <w:t xml:space="preserve"> </w:t>
      </w:r>
      <w:r w:rsidR="002E75C4" w:rsidRPr="00F02764">
        <w:rPr>
          <w:sz w:val="22"/>
          <w:szCs w:val="22"/>
        </w:rPr>
        <w:t>fairly</w:t>
      </w:r>
      <w:r w:rsidRPr="00F02764">
        <w:rPr>
          <w:sz w:val="22"/>
          <w:szCs w:val="22"/>
        </w:rPr>
        <w:t>.</w:t>
      </w:r>
    </w:p>
    <w:p w:rsidR="001F7A57" w:rsidRPr="00F02764" w:rsidRDefault="001F7A57" w:rsidP="001F7A57">
      <w:pPr>
        <w:pStyle w:val="ListParagraph"/>
        <w:numPr>
          <w:ilvl w:val="0"/>
          <w:numId w:val="12"/>
        </w:numPr>
        <w:jc w:val="both"/>
        <w:rPr>
          <w:sz w:val="22"/>
          <w:szCs w:val="22"/>
        </w:rPr>
      </w:pPr>
      <w:r w:rsidRPr="00F02764">
        <w:rPr>
          <w:sz w:val="22"/>
          <w:szCs w:val="22"/>
        </w:rPr>
        <w:t>S</w:t>
      </w:r>
      <w:r w:rsidR="0036278D">
        <w:rPr>
          <w:sz w:val="22"/>
          <w:szCs w:val="22"/>
        </w:rPr>
        <w:t>imilarly, s</w:t>
      </w:r>
      <w:r w:rsidRPr="00F02764">
        <w:rPr>
          <w:sz w:val="22"/>
          <w:szCs w:val="22"/>
        </w:rPr>
        <w:t xml:space="preserve">ome members </w:t>
      </w:r>
      <w:r w:rsidR="0036278D">
        <w:rPr>
          <w:sz w:val="22"/>
          <w:szCs w:val="22"/>
        </w:rPr>
        <w:t>suggested</w:t>
      </w:r>
      <w:r w:rsidRPr="00F02764">
        <w:rPr>
          <w:sz w:val="22"/>
          <w:szCs w:val="22"/>
        </w:rPr>
        <w:t xml:space="preserve"> that sales of electric vehicle refueling service on the basis of a time measurement or a fixed fee should be specifically recognized as an </w:t>
      </w:r>
      <w:r w:rsidRPr="0036278D">
        <w:rPr>
          <w:sz w:val="22"/>
          <w:szCs w:val="22"/>
          <w:u w:val="single"/>
        </w:rPr>
        <w:t>alternative</w:t>
      </w:r>
      <w:r w:rsidRPr="0036278D">
        <w:rPr>
          <w:sz w:val="22"/>
          <w:szCs w:val="22"/>
        </w:rPr>
        <w:t xml:space="preserve"> </w:t>
      </w:r>
      <w:r w:rsidRPr="00F02764">
        <w:rPr>
          <w:sz w:val="22"/>
          <w:szCs w:val="22"/>
        </w:rPr>
        <w:t xml:space="preserve">to the </w:t>
      </w:r>
      <w:r w:rsidR="0036278D">
        <w:rPr>
          <w:sz w:val="22"/>
          <w:szCs w:val="22"/>
        </w:rPr>
        <w:t>proposed MOS</w:t>
      </w:r>
      <w:r w:rsidRPr="00F02764">
        <w:rPr>
          <w:sz w:val="22"/>
          <w:szCs w:val="22"/>
        </w:rPr>
        <w:t xml:space="preserve"> </w:t>
      </w:r>
      <w:r w:rsidR="00FD4950">
        <w:rPr>
          <w:sz w:val="22"/>
          <w:szCs w:val="22"/>
        </w:rPr>
        <w:t>(</w:t>
      </w:r>
      <w:r w:rsidRPr="00F02764">
        <w:rPr>
          <w:sz w:val="22"/>
          <w:szCs w:val="22"/>
        </w:rPr>
        <w:t xml:space="preserve">that is based on </w:t>
      </w:r>
      <w:r w:rsidR="0036278D">
        <w:rPr>
          <w:sz w:val="22"/>
          <w:szCs w:val="22"/>
        </w:rPr>
        <w:t>the measurement of</w:t>
      </w:r>
      <w:r w:rsidRPr="00F02764">
        <w:rPr>
          <w:sz w:val="22"/>
          <w:szCs w:val="22"/>
        </w:rPr>
        <w:t xml:space="preserve"> the electrical energy in units of kW·h or MJ</w:t>
      </w:r>
      <w:r w:rsidR="00FD4950">
        <w:rPr>
          <w:sz w:val="22"/>
          <w:szCs w:val="22"/>
        </w:rPr>
        <w:t>)</w:t>
      </w:r>
      <w:r w:rsidRPr="00F02764">
        <w:rPr>
          <w:sz w:val="22"/>
          <w:szCs w:val="22"/>
        </w:rPr>
        <w:t xml:space="preserve">.  This </w:t>
      </w:r>
      <w:r w:rsidR="00FD4950">
        <w:rPr>
          <w:sz w:val="22"/>
          <w:szCs w:val="22"/>
        </w:rPr>
        <w:t xml:space="preserve">suggestion </w:t>
      </w:r>
      <w:r w:rsidRPr="00F02764">
        <w:rPr>
          <w:sz w:val="22"/>
          <w:szCs w:val="22"/>
        </w:rPr>
        <w:t xml:space="preserve">was met with opposition by </w:t>
      </w:r>
      <w:r w:rsidR="00FD4950">
        <w:rPr>
          <w:sz w:val="22"/>
          <w:szCs w:val="22"/>
        </w:rPr>
        <w:t xml:space="preserve">other </w:t>
      </w:r>
      <w:r w:rsidRPr="00F02764">
        <w:rPr>
          <w:sz w:val="22"/>
          <w:szCs w:val="22"/>
        </w:rPr>
        <w:t>members who contend</w:t>
      </w:r>
      <w:r>
        <w:rPr>
          <w:sz w:val="22"/>
          <w:szCs w:val="22"/>
        </w:rPr>
        <w:t>ed</w:t>
      </w:r>
      <w:r w:rsidRPr="00F02764">
        <w:rPr>
          <w:sz w:val="22"/>
          <w:szCs w:val="22"/>
        </w:rPr>
        <w:t xml:space="preserve"> that</w:t>
      </w:r>
      <w:r w:rsidR="00FD4950">
        <w:rPr>
          <w:sz w:val="22"/>
          <w:szCs w:val="22"/>
        </w:rPr>
        <w:t>,</w:t>
      </w:r>
      <w:r w:rsidRPr="00F02764">
        <w:rPr>
          <w:sz w:val="22"/>
          <w:szCs w:val="22"/>
        </w:rPr>
        <w:t xml:space="preserve"> </w:t>
      </w:r>
      <w:r w:rsidR="00FD4950" w:rsidRPr="00F02764">
        <w:rPr>
          <w:sz w:val="22"/>
          <w:szCs w:val="22"/>
        </w:rPr>
        <w:t xml:space="preserve">without </w:t>
      </w:r>
      <w:r w:rsidR="00FD4950">
        <w:rPr>
          <w:sz w:val="22"/>
          <w:szCs w:val="22"/>
        </w:rPr>
        <w:t>a reported</w:t>
      </w:r>
      <w:r w:rsidR="00FD4950" w:rsidRPr="00F02764">
        <w:rPr>
          <w:sz w:val="22"/>
          <w:szCs w:val="22"/>
        </w:rPr>
        <w:t xml:space="preserve"> measurement of the electrical energy that was received</w:t>
      </w:r>
      <w:r w:rsidR="00FD4950">
        <w:rPr>
          <w:sz w:val="22"/>
          <w:szCs w:val="22"/>
        </w:rPr>
        <w:t>,</w:t>
      </w:r>
      <w:r w:rsidR="00FD4950" w:rsidRPr="00F02764">
        <w:rPr>
          <w:sz w:val="22"/>
          <w:szCs w:val="22"/>
        </w:rPr>
        <w:t xml:space="preserve"> </w:t>
      </w:r>
      <w:r w:rsidRPr="00F02764">
        <w:rPr>
          <w:sz w:val="22"/>
          <w:szCs w:val="22"/>
        </w:rPr>
        <w:t>fixed fees and time</w:t>
      </w:r>
      <w:r w:rsidR="00FD4950">
        <w:rPr>
          <w:sz w:val="22"/>
          <w:szCs w:val="22"/>
        </w:rPr>
        <w:t>-</w:t>
      </w:r>
      <w:r w:rsidRPr="00F02764">
        <w:rPr>
          <w:sz w:val="22"/>
          <w:szCs w:val="22"/>
        </w:rPr>
        <w:t>measured access</w:t>
      </w:r>
      <w:r w:rsidR="0036278D">
        <w:rPr>
          <w:sz w:val="22"/>
          <w:szCs w:val="22"/>
        </w:rPr>
        <w:t xml:space="preserve"> fees</w:t>
      </w:r>
      <w:r w:rsidRPr="00F02764">
        <w:rPr>
          <w:sz w:val="22"/>
          <w:szCs w:val="22"/>
        </w:rPr>
        <w:t xml:space="preserve"> </w:t>
      </w:r>
      <w:r w:rsidR="00A265B4">
        <w:rPr>
          <w:sz w:val="22"/>
          <w:szCs w:val="22"/>
        </w:rPr>
        <w:t>for</w:t>
      </w:r>
      <w:r w:rsidRPr="00F02764">
        <w:rPr>
          <w:sz w:val="22"/>
          <w:szCs w:val="22"/>
        </w:rPr>
        <w:t xml:space="preserve"> electric vehicle refueling service do not provide </w:t>
      </w:r>
      <w:r w:rsidR="001A3DEF">
        <w:rPr>
          <w:sz w:val="22"/>
          <w:szCs w:val="22"/>
        </w:rPr>
        <w:t>sufficient</w:t>
      </w:r>
      <w:r w:rsidRPr="00F02764">
        <w:rPr>
          <w:sz w:val="22"/>
          <w:szCs w:val="22"/>
        </w:rPr>
        <w:t xml:space="preserve"> information </w:t>
      </w:r>
      <w:r w:rsidR="001A3DEF">
        <w:rPr>
          <w:sz w:val="22"/>
          <w:szCs w:val="22"/>
        </w:rPr>
        <w:t xml:space="preserve">about the electrical energy that was actually received </w:t>
      </w:r>
      <w:r w:rsidRPr="00F02764">
        <w:rPr>
          <w:sz w:val="22"/>
          <w:szCs w:val="22"/>
        </w:rPr>
        <w:t>for customers to</w:t>
      </w:r>
      <w:r w:rsidR="001A3DEF">
        <w:rPr>
          <w:sz w:val="22"/>
          <w:szCs w:val="22"/>
        </w:rPr>
        <w:t xml:space="preserve"> be able</w:t>
      </w:r>
      <w:r w:rsidRPr="00F02764">
        <w:rPr>
          <w:sz w:val="22"/>
          <w:szCs w:val="22"/>
        </w:rPr>
        <w:t xml:space="preserve"> make value comparisons between competing offers</w:t>
      </w:r>
      <w:r w:rsidR="00A265B4">
        <w:rPr>
          <w:sz w:val="22"/>
          <w:szCs w:val="22"/>
        </w:rPr>
        <w:t>.</w:t>
      </w:r>
      <w:r w:rsidRPr="00F02764">
        <w:rPr>
          <w:sz w:val="22"/>
          <w:szCs w:val="22"/>
        </w:rPr>
        <w:t xml:space="preserve"> </w:t>
      </w:r>
      <w:r w:rsidR="00A265B4">
        <w:rPr>
          <w:sz w:val="22"/>
          <w:szCs w:val="22"/>
        </w:rPr>
        <w:t xml:space="preserve"> These members also noted that the lack of a single, uniform MOS also hampers the ability of</w:t>
      </w:r>
      <w:r w:rsidRPr="00F02764">
        <w:rPr>
          <w:sz w:val="22"/>
          <w:szCs w:val="22"/>
        </w:rPr>
        <w:t xml:space="preserve"> businesses to fairly compete. </w:t>
      </w:r>
    </w:p>
    <w:p w:rsidR="0095622E" w:rsidRPr="00F02764" w:rsidRDefault="001F7A57" w:rsidP="00FD4950">
      <w:pPr>
        <w:pStyle w:val="ListParagraph"/>
        <w:numPr>
          <w:ilvl w:val="0"/>
          <w:numId w:val="12"/>
        </w:numPr>
        <w:jc w:val="both"/>
        <w:rPr>
          <w:sz w:val="22"/>
          <w:szCs w:val="22"/>
        </w:rPr>
      </w:pPr>
      <w:r>
        <w:rPr>
          <w:sz w:val="22"/>
          <w:szCs w:val="22"/>
        </w:rPr>
        <w:t xml:space="preserve">Mr. </w:t>
      </w:r>
      <w:r w:rsidR="00201FFE" w:rsidRPr="00F02764">
        <w:rPr>
          <w:sz w:val="22"/>
          <w:szCs w:val="22"/>
        </w:rPr>
        <w:t>Michael Krauthamer (</w:t>
      </w:r>
      <w:r w:rsidR="0095622E" w:rsidRPr="00F02764">
        <w:rPr>
          <w:sz w:val="22"/>
          <w:szCs w:val="22"/>
        </w:rPr>
        <w:t>NRG EV Services - eVgo</w:t>
      </w:r>
      <w:r w:rsidR="00201FFE" w:rsidRPr="00F02764">
        <w:rPr>
          <w:sz w:val="22"/>
          <w:szCs w:val="22"/>
        </w:rPr>
        <w:t xml:space="preserve">) introduced the term “Transportation Fuel Service” as a possible new definition </w:t>
      </w:r>
      <w:r w:rsidR="0095622E" w:rsidRPr="00F02764">
        <w:rPr>
          <w:sz w:val="22"/>
          <w:szCs w:val="22"/>
        </w:rPr>
        <w:t xml:space="preserve">(new paragraph </w:t>
      </w:r>
      <w:r w:rsidR="00201FFE" w:rsidRPr="00F02764">
        <w:rPr>
          <w:sz w:val="22"/>
          <w:szCs w:val="22"/>
        </w:rPr>
        <w:t>2.XX.1.6.</w:t>
      </w:r>
      <w:r w:rsidR="0095622E" w:rsidRPr="00F02764">
        <w:rPr>
          <w:sz w:val="22"/>
          <w:szCs w:val="22"/>
        </w:rPr>
        <w:t>)</w:t>
      </w:r>
      <w:r w:rsidR="00201FFE" w:rsidRPr="00F02764">
        <w:rPr>
          <w:sz w:val="22"/>
          <w:szCs w:val="22"/>
        </w:rPr>
        <w:t xml:space="preserve"> </w:t>
      </w:r>
      <w:r w:rsidR="0095622E" w:rsidRPr="00F02764">
        <w:rPr>
          <w:sz w:val="22"/>
          <w:szCs w:val="22"/>
        </w:rPr>
        <w:t xml:space="preserve">for </w:t>
      </w:r>
      <w:r w:rsidR="00201FFE" w:rsidRPr="00F02764">
        <w:rPr>
          <w:sz w:val="22"/>
          <w:szCs w:val="22"/>
        </w:rPr>
        <w:t>“service that provides access to electricity (whether such service is fixed or variable) for the purposes of electric vehicle refueling.”</w:t>
      </w:r>
      <w:r w:rsidR="0095622E" w:rsidRPr="00F02764">
        <w:rPr>
          <w:sz w:val="22"/>
          <w:szCs w:val="22"/>
        </w:rPr>
        <w:t xml:space="preserve">  </w:t>
      </w:r>
      <w:r w:rsidR="00C50468" w:rsidRPr="00F02764">
        <w:rPr>
          <w:sz w:val="22"/>
          <w:szCs w:val="22"/>
        </w:rPr>
        <w:t xml:space="preserve">The purpose of this new term would be to recognize the sale of </w:t>
      </w:r>
      <w:r w:rsidR="00C50468" w:rsidRPr="00F02764">
        <w:rPr>
          <w:sz w:val="22"/>
          <w:szCs w:val="22"/>
          <w:u w:val="single"/>
        </w:rPr>
        <w:t>access</w:t>
      </w:r>
      <w:r w:rsidR="00C50468" w:rsidRPr="00F02764">
        <w:rPr>
          <w:sz w:val="22"/>
          <w:szCs w:val="22"/>
        </w:rPr>
        <w:t xml:space="preserve"> to electricity for electric vehicle refueling as an alternative to </w:t>
      </w:r>
      <w:r w:rsidR="00F02764" w:rsidRPr="00F02764">
        <w:rPr>
          <w:sz w:val="22"/>
          <w:szCs w:val="22"/>
        </w:rPr>
        <w:t>the sale of</w:t>
      </w:r>
      <w:r w:rsidR="00C50468" w:rsidRPr="00F02764">
        <w:rPr>
          <w:sz w:val="22"/>
          <w:szCs w:val="22"/>
        </w:rPr>
        <w:t xml:space="preserve"> the electrical energy itself.</w:t>
      </w:r>
      <w:r w:rsidR="00F02764" w:rsidRPr="00F02764">
        <w:rPr>
          <w:sz w:val="22"/>
          <w:szCs w:val="22"/>
        </w:rPr>
        <w:t xml:space="preserve">  This </w:t>
      </w:r>
      <w:r w:rsidR="00FD4950" w:rsidRPr="00FD4950">
        <w:rPr>
          <w:sz w:val="22"/>
          <w:szCs w:val="22"/>
        </w:rPr>
        <w:t xml:space="preserve">suggestion </w:t>
      </w:r>
      <w:r w:rsidR="00F02764" w:rsidRPr="00F02764">
        <w:rPr>
          <w:sz w:val="22"/>
          <w:szCs w:val="22"/>
        </w:rPr>
        <w:t xml:space="preserve">was met with opposition by </w:t>
      </w:r>
      <w:r w:rsidR="00FD4950" w:rsidRPr="00FD4950">
        <w:rPr>
          <w:sz w:val="22"/>
          <w:szCs w:val="22"/>
        </w:rPr>
        <w:t xml:space="preserve">other members </w:t>
      </w:r>
      <w:r w:rsidR="00F02764" w:rsidRPr="00F02764">
        <w:rPr>
          <w:sz w:val="22"/>
          <w:szCs w:val="22"/>
        </w:rPr>
        <w:t>who contend</w:t>
      </w:r>
      <w:r>
        <w:rPr>
          <w:sz w:val="22"/>
          <w:szCs w:val="22"/>
        </w:rPr>
        <w:t>ed</w:t>
      </w:r>
      <w:r w:rsidR="00F02764" w:rsidRPr="00F02764">
        <w:rPr>
          <w:sz w:val="22"/>
          <w:szCs w:val="22"/>
        </w:rPr>
        <w:t xml:space="preserve"> that the sale of </w:t>
      </w:r>
      <w:r w:rsidR="00F02764" w:rsidRPr="00F02764">
        <w:rPr>
          <w:sz w:val="22"/>
          <w:szCs w:val="22"/>
          <w:u w:val="single"/>
        </w:rPr>
        <w:t>access</w:t>
      </w:r>
      <w:r w:rsidR="00F02764" w:rsidRPr="00F02764">
        <w:rPr>
          <w:sz w:val="22"/>
          <w:szCs w:val="22"/>
        </w:rPr>
        <w:t xml:space="preserve"> to electrical energy with no </w:t>
      </w:r>
      <w:r w:rsidR="00F02764">
        <w:rPr>
          <w:sz w:val="22"/>
          <w:szCs w:val="22"/>
        </w:rPr>
        <w:t>corresponding measurement and accounting</w:t>
      </w:r>
      <w:r w:rsidR="00F02764" w:rsidRPr="00F02764">
        <w:rPr>
          <w:sz w:val="22"/>
          <w:szCs w:val="22"/>
        </w:rPr>
        <w:t xml:space="preserve"> of the amount of electrical energy that was received does not provide the information that is necessary for customers to make value comparisons between competing offers and it will not provide businesses with the ability to fairly compete</w:t>
      </w:r>
      <w:r w:rsidR="00F02764">
        <w:rPr>
          <w:sz w:val="22"/>
          <w:szCs w:val="22"/>
        </w:rPr>
        <w:t>.</w:t>
      </w:r>
    </w:p>
    <w:p w:rsidR="002311DE" w:rsidRPr="00F02764" w:rsidRDefault="00C50468" w:rsidP="00FD4950">
      <w:pPr>
        <w:pStyle w:val="ListParagraph"/>
        <w:numPr>
          <w:ilvl w:val="0"/>
          <w:numId w:val="12"/>
        </w:numPr>
        <w:jc w:val="both"/>
        <w:rPr>
          <w:sz w:val="22"/>
          <w:szCs w:val="22"/>
        </w:rPr>
      </w:pPr>
      <w:r w:rsidRPr="00F02764">
        <w:rPr>
          <w:sz w:val="22"/>
          <w:szCs w:val="22"/>
        </w:rPr>
        <w:t xml:space="preserve">Some members proposed new language in paragraph 2.XX.2 Method of Retail Sale to include specific mention that pricing of $0.00 per kW·h is permitted.  This </w:t>
      </w:r>
      <w:r w:rsidR="00FD4950" w:rsidRPr="00FD4950">
        <w:rPr>
          <w:sz w:val="22"/>
          <w:szCs w:val="22"/>
        </w:rPr>
        <w:t xml:space="preserve">suggestion </w:t>
      </w:r>
      <w:r w:rsidRPr="00F02764">
        <w:rPr>
          <w:sz w:val="22"/>
          <w:szCs w:val="22"/>
        </w:rPr>
        <w:t xml:space="preserve">was met with opposition by </w:t>
      </w:r>
      <w:r w:rsidR="00FD4950" w:rsidRPr="00FD4950">
        <w:rPr>
          <w:sz w:val="22"/>
          <w:szCs w:val="22"/>
        </w:rPr>
        <w:t xml:space="preserve">other members </w:t>
      </w:r>
      <w:r w:rsidRPr="00F02764">
        <w:rPr>
          <w:sz w:val="22"/>
          <w:szCs w:val="22"/>
        </w:rPr>
        <w:t>who contend</w:t>
      </w:r>
      <w:r w:rsidR="001F7A57">
        <w:rPr>
          <w:sz w:val="22"/>
          <w:szCs w:val="22"/>
        </w:rPr>
        <w:t>ed</w:t>
      </w:r>
      <w:r w:rsidRPr="00F02764">
        <w:rPr>
          <w:sz w:val="22"/>
          <w:szCs w:val="22"/>
        </w:rPr>
        <w:t xml:space="preserve"> that NIST HB 130 is not intended to impose any guidelines or restrictions on </w:t>
      </w:r>
      <w:r w:rsidR="0036278D">
        <w:rPr>
          <w:sz w:val="22"/>
          <w:szCs w:val="22"/>
        </w:rPr>
        <w:t xml:space="preserve">the setting of </w:t>
      </w:r>
      <w:r w:rsidRPr="00F02764">
        <w:rPr>
          <w:sz w:val="22"/>
          <w:szCs w:val="22"/>
        </w:rPr>
        <w:t>price values.  Instead, HB 130 is intended to only address how prices are displayed, represented, and communicated.</w:t>
      </w:r>
    </w:p>
    <w:p w:rsidR="00710B8A" w:rsidRPr="006E1CFF" w:rsidRDefault="00710B8A" w:rsidP="00835FFF">
      <w:pPr>
        <w:jc w:val="both"/>
        <w:rPr>
          <w:sz w:val="22"/>
          <w:szCs w:val="22"/>
        </w:rPr>
      </w:pPr>
    </w:p>
    <w:p w:rsidR="002D46C9" w:rsidRPr="006E1CFF" w:rsidRDefault="00DF3621" w:rsidP="002D46C9">
      <w:pPr>
        <w:jc w:val="both"/>
        <w:rPr>
          <w:b/>
          <w:sz w:val="22"/>
          <w:szCs w:val="22"/>
        </w:rPr>
      </w:pPr>
      <w:r w:rsidRPr="006E1CFF">
        <w:rPr>
          <w:b/>
          <w:sz w:val="22"/>
          <w:szCs w:val="22"/>
        </w:rPr>
        <w:t>Decision:</w:t>
      </w:r>
      <w:r w:rsidR="004C146E" w:rsidRPr="004C146E">
        <w:rPr>
          <w:sz w:val="22"/>
          <w:szCs w:val="22"/>
        </w:rPr>
        <w:t xml:space="preserve"> </w:t>
      </w:r>
      <w:r w:rsidR="004C146E" w:rsidRPr="00B044ED">
        <w:rPr>
          <w:sz w:val="22"/>
          <w:szCs w:val="22"/>
        </w:rPr>
        <w:t>The USNWG</w:t>
      </w:r>
      <w:r w:rsidR="004C146E">
        <w:rPr>
          <w:sz w:val="22"/>
          <w:szCs w:val="22"/>
        </w:rPr>
        <w:t xml:space="preserve"> did not reach a conclusion regarding </w:t>
      </w:r>
      <w:r w:rsidR="0074281E">
        <w:rPr>
          <w:sz w:val="22"/>
          <w:szCs w:val="22"/>
        </w:rPr>
        <w:t xml:space="preserve">all </w:t>
      </w:r>
      <w:r w:rsidR="004C146E">
        <w:rPr>
          <w:sz w:val="22"/>
          <w:szCs w:val="22"/>
        </w:rPr>
        <w:t xml:space="preserve">the comments that had been submitted.  The USNWG decided that the next meeting </w:t>
      </w:r>
      <w:r w:rsidR="0062041F">
        <w:rPr>
          <w:sz w:val="22"/>
          <w:szCs w:val="22"/>
        </w:rPr>
        <w:t>must</w:t>
      </w:r>
      <w:r w:rsidR="004C146E">
        <w:rPr>
          <w:sz w:val="22"/>
          <w:szCs w:val="22"/>
        </w:rPr>
        <w:t xml:space="preserve"> be focused on completing </w:t>
      </w:r>
      <w:r w:rsidR="009E4733">
        <w:rPr>
          <w:sz w:val="22"/>
          <w:szCs w:val="22"/>
        </w:rPr>
        <w:t xml:space="preserve">the </w:t>
      </w:r>
      <w:r w:rsidR="0062041F">
        <w:rPr>
          <w:sz w:val="22"/>
          <w:szCs w:val="22"/>
        </w:rPr>
        <w:t xml:space="preserve">vetting </w:t>
      </w:r>
      <w:r w:rsidR="00F02764">
        <w:rPr>
          <w:sz w:val="22"/>
          <w:szCs w:val="22"/>
        </w:rPr>
        <w:t xml:space="preserve">process </w:t>
      </w:r>
      <w:r w:rsidR="0062041F">
        <w:rPr>
          <w:sz w:val="22"/>
          <w:szCs w:val="22"/>
        </w:rPr>
        <w:t xml:space="preserve">and the </w:t>
      </w:r>
      <w:r w:rsidR="004C146E">
        <w:rPr>
          <w:sz w:val="22"/>
          <w:szCs w:val="22"/>
        </w:rPr>
        <w:t xml:space="preserve">review of </w:t>
      </w:r>
      <w:r w:rsidR="009E4733">
        <w:rPr>
          <w:sz w:val="22"/>
          <w:szCs w:val="22"/>
        </w:rPr>
        <w:t>any</w:t>
      </w:r>
      <w:r w:rsidR="004C146E">
        <w:rPr>
          <w:sz w:val="22"/>
          <w:szCs w:val="22"/>
        </w:rPr>
        <w:t xml:space="preserve"> </w:t>
      </w:r>
      <w:r w:rsidR="0062041F">
        <w:rPr>
          <w:sz w:val="22"/>
          <w:szCs w:val="22"/>
        </w:rPr>
        <w:t>outstanding comments</w:t>
      </w:r>
      <w:r w:rsidR="00A265B4">
        <w:rPr>
          <w:sz w:val="22"/>
          <w:szCs w:val="22"/>
        </w:rPr>
        <w:t>.  It is critical for the USNWG to complete this vetting and review process in order for the</w:t>
      </w:r>
      <w:r w:rsidR="0062041F">
        <w:rPr>
          <w:sz w:val="22"/>
          <w:szCs w:val="22"/>
        </w:rPr>
        <w:t xml:space="preserve"> </w:t>
      </w:r>
      <w:r w:rsidR="00325CA3">
        <w:rPr>
          <w:sz w:val="22"/>
          <w:szCs w:val="22"/>
        </w:rPr>
        <w:t xml:space="preserve">USNWG </w:t>
      </w:r>
      <w:r w:rsidR="00A265B4">
        <w:rPr>
          <w:sz w:val="22"/>
          <w:szCs w:val="22"/>
        </w:rPr>
        <w:t>to</w:t>
      </w:r>
      <w:r w:rsidR="0062041F">
        <w:rPr>
          <w:sz w:val="22"/>
          <w:szCs w:val="22"/>
        </w:rPr>
        <w:t xml:space="preserve"> provide the NCWM L&amp;R Committee with final amendments and a position statement prior to </w:t>
      </w:r>
      <w:r w:rsidR="0074281E">
        <w:rPr>
          <w:sz w:val="22"/>
          <w:szCs w:val="22"/>
        </w:rPr>
        <w:t xml:space="preserve">the </w:t>
      </w:r>
      <w:r w:rsidR="00325CA3">
        <w:rPr>
          <w:sz w:val="22"/>
          <w:szCs w:val="22"/>
        </w:rPr>
        <w:t xml:space="preserve">July 2013 </w:t>
      </w:r>
      <w:r w:rsidR="0074281E">
        <w:rPr>
          <w:sz w:val="22"/>
          <w:szCs w:val="22"/>
        </w:rPr>
        <w:t>NCWM Annual Meeting</w:t>
      </w:r>
      <w:r w:rsidR="00A265B4">
        <w:rPr>
          <w:sz w:val="22"/>
          <w:szCs w:val="22"/>
        </w:rPr>
        <w:t>.  Should the USNWG fail to provide the L&amp;R Committee with a final position statement, it may hinder the adoption of the proposed MOS regulation.</w:t>
      </w:r>
    </w:p>
    <w:p w:rsidR="00CE081E" w:rsidRDefault="00CE081E" w:rsidP="00B044ED">
      <w:pPr>
        <w:pStyle w:val="Heading2"/>
        <w:rPr>
          <w:rFonts w:ascii="Times New Roman" w:hAnsi="Times New Roman" w:cs="Times New Roman"/>
          <w:color w:val="auto"/>
          <w:sz w:val="24"/>
          <w:szCs w:val="22"/>
        </w:rPr>
      </w:pPr>
      <w:bookmarkStart w:id="4" w:name="_Toc358047815"/>
      <w:r>
        <w:rPr>
          <w:rFonts w:ascii="Times New Roman" w:hAnsi="Times New Roman" w:cs="Times New Roman"/>
          <w:color w:val="auto"/>
          <w:sz w:val="24"/>
          <w:szCs w:val="22"/>
        </w:rPr>
        <w:t xml:space="preserve">5.  </w:t>
      </w:r>
      <w:r w:rsidR="007E21CF" w:rsidRPr="007E21CF">
        <w:rPr>
          <w:rFonts w:ascii="Times New Roman" w:hAnsi="Times New Roman" w:cs="Times New Roman"/>
          <w:color w:val="auto"/>
          <w:sz w:val="24"/>
          <w:szCs w:val="22"/>
        </w:rPr>
        <w:t>USNWG Position Statement on the HB 130 MOS Proposal</w:t>
      </w:r>
      <w:bookmarkEnd w:id="4"/>
    </w:p>
    <w:p w:rsidR="00CE081E" w:rsidRDefault="00CE081E" w:rsidP="00CE081E"/>
    <w:p w:rsidR="007E21CF" w:rsidRDefault="007E21CF" w:rsidP="007E21CF">
      <w:pPr>
        <w:rPr>
          <w:sz w:val="22"/>
        </w:rPr>
      </w:pPr>
      <w:r w:rsidRPr="007E21CF">
        <w:rPr>
          <w:b/>
          <w:sz w:val="22"/>
        </w:rPr>
        <w:t>Background/Discussion:</w:t>
      </w:r>
      <w:r w:rsidRPr="007E21CF">
        <w:rPr>
          <w:sz w:val="22"/>
        </w:rPr>
        <w:t xml:space="preserve">  </w:t>
      </w:r>
      <w:r w:rsidR="007E73BF" w:rsidRPr="007E73BF">
        <w:rPr>
          <w:sz w:val="22"/>
        </w:rPr>
        <w:t>In order to assist NCWM members as they consider and vote on the HB 130 MOS proposal, the USNWG will develop and submit a position statement that</w:t>
      </w:r>
      <w:r w:rsidR="00A265B4">
        <w:rPr>
          <w:sz w:val="22"/>
        </w:rPr>
        <w:t>: (1)</w:t>
      </w:r>
      <w:r w:rsidR="007E73BF" w:rsidRPr="007E73BF">
        <w:rPr>
          <w:sz w:val="22"/>
        </w:rPr>
        <w:t xml:space="preserve"> provides background information on </w:t>
      </w:r>
      <w:r w:rsidR="00A265B4">
        <w:rPr>
          <w:sz w:val="22"/>
        </w:rPr>
        <w:t>why</w:t>
      </w:r>
      <w:r w:rsidR="007E73BF" w:rsidRPr="007E73BF">
        <w:rPr>
          <w:sz w:val="22"/>
        </w:rPr>
        <w:t xml:space="preserve"> a MOS</w:t>
      </w:r>
      <w:r w:rsidR="00A265B4">
        <w:rPr>
          <w:sz w:val="22"/>
        </w:rPr>
        <w:t xml:space="preserve"> is essential to establish the commercial EVSE infrastructure</w:t>
      </w:r>
      <w:r w:rsidR="007E73BF" w:rsidRPr="007E73BF">
        <w:rPr>
          <w:sz w:val="22"/>
        </w:rPr>
        <w:t xml:space="preserve">; </w:t>
      </w:r>
      <w:r w:rsidR="00A265B4">
        <w:rPr>
          <w:sz w:val="22"/>
        </w:rPr>
        <w:t xml:space="preserve">(2) </w:t>
      </w:r>
      <w:r w:rsidR="007E73BF" w:rsidRPr="007E73BF">
        <w:rPr>
          <w:sz w:val="22"/>
        </w:rPr>
        <w:t xml:space="preserve">describes the USNWG efforts in this area; and </w:t>
      </w:r>
      <w:r w:rsidR="00A265B4">
        <w:rPr>
          <w:sz w:val="22"/>
        </w:rPr>
        <w:t xml:space="preserve">(3) </w:t>
      </w:r>
      <w:r w:rsidR="007E73BF" w:rsidRPr="007E73BF">
        <w:rPr>
          <w:sz w:val="22"/>
        </w:rPr>
        <w:t xml:space="preserve">encourages NCWM members’ support </w:t>
      </w:r>
      <w:r w:rsidR="00325CA3">
        <w:rPr>
          <w:sz w:val="22"/>
        </w:rPr>
        <w:t xml:space="preserve">for </w:t>
      </w:r>
      <w:r w:rsidR="00A265B4">
        <w:rPr>
          <w:sz w:val="22"/>
        </w:rPr>
        <w:t>the proposed</w:t>
      </w:r>
      <w:r w:rsidR="00325CA3">
        <w:rPr>
          <w:sz w:val="22"/>
        </w:rPr>
        <w:t xml:space="preserve"> uniform MOS</w:t>
      </w:r>
      <w:r w:rsidR="007E73BF" w:rsidRPr="007E73BF">
        <w:rPr>
          <w:sz w:val="22"/>
        </w:rPr>
        <w:t>.</w:t>
      </w:r>
      <w:r w:rsidR="007E73BF">
        <w:rPr>
          <w:sz w:val="22"/>
        </w:rPr>
        <w:t xml:space="preserve">  A draft USNWG </w:t>
      </w:r>
      <w:r w:rsidR="005E2F21">
        <w:rPr>
          <w:sz w:val="22"/>
        </w:rPr>
        <w:t>Position S</w:t>
      </w:r>
      <w:r w:rsidR="007E73BF">
        <w:rPr>
          <w:sz w:val="22"/>
        </w:rPr>
        <w:t xml:space="preserve">tatement </w:t>
      </w:r>
      <w:r w:rsidR="005E2F21">
        <w:rPr>
          <w:sz w:val="22"/>
        </w:rPr>
        <w:t xml:space="preserve">on the HB 130 MOS Proposal </w:t>
      </w:r>
      <w:r w:rsidR="0036278D">
        <w:rPr>
          <w:sz w:val="22"/>
        </w:rPr>
        <w:t xml:space="preserve">(as shown below) </w:t>
      </w:r>
      <w:r w:rsidR="007E73BF">
        <w:rPr>
          <w:sz w:val="22"/>
        </w:rPr>
        <w:t xml:space="preserve">was provided to </w:t>
      </w:r>
      <w:r w:rsidR="005E2F21">
        <w:rPr>
          <w:sz w:val="22"/>
        </w:rPr>
        <w:t xml:space="preserve">USNWG members </w:t>
      </w:r>
      <w:r w:rsidR="00A265B4">
        <w:rPr>
          <w:sz w:val="22"/>
        </w:rPr>
        <w:t xml:space="preserve">within </w:t>
      </w:r>
      <w:r w:rsidR="00FB7886">
        <w:rPr>
          <w:sz w:val="22"/>
        </w:rPr>
        <w:t>the</w:t>
      </w:r>
      <w:r w:rsidR="005E2F21" w:rsidRPr="005E2F21">
        <w:rPr>
          <w:sz w:val="22"/>
        </w:rPr>
        <w:t xml:space="preserve"> March 26, 2013 USNWG Meeting Agenda.</w:t>
      </w:r>
    </w:p>
    <w:p w:rsidR="0036278D" w:rsidRDefault="0036278D" w:rsidP="007E21CF">
      <w:pPr>
        <w:rPr>
          <w:sz w:val="22"/>
        </w:rPr>
      </w:pPr>
    </w:p>
    <w:p w:rsidR="00925D31" w:rsidRPr="00925D31" w:rsidRDefault="00925D31" w:rsidP="00925D31">
      <w:pPr>
        <w:spacing w:after="200" w:line="276" w:lineRule="auto"/>
        <w:ind w:left="720" w:right="718"/>
        <w:jc w:val="center"/>
        <w:rPr>
          <w:rFonts w:eastAsia="Calibri"/>
          <w:b/>
          <w:szCs w:val="22"/>
          <w:lang w:eastAsia="en-US"/>
        </w:rPr>
      </w:pPr>
      <w:r w:rsidRPr="00925D31">
        <w:rPr>
          <w:rFonts w:eastAsia="Calibri"/>
          <w:b/>
          <w:szCs w:val="22"/>
          <w:lang w:eastAsia="en-US"/>
        </w:rPr>
        <w:t>DRAFT USNWG Position Statement</w:t>
      </w:r>
    </w:p>
    <w:p w:rsidR="0036278D" w:rsidRPr="0036278D" w:rsidRDefault="0036278D" w:rsidP="00925D31">
      <w:pPr>
        <w:spacing w:after="200" w:line="276" w:lineRule="auto"/>
        <w:ind w:left="720" w:right="718"/>
        <w:jc w:val="both"/>
        <w:rPr>
          <w:rFonts w:eastAsia="Calibri"/>
          <w:sz w:val="22"/>
          <w:szCs w:val="22"/>
          <w:lang w:eastAsia="en-US"/>
        </w:rPr>
      </w:pPr>
      <w:r w:rsidRPr="0036278D">
        <w:rPr>
          <w:rFonts w:eastAsia="Calibri"/>
          <w:sz w:val="22"/>
          <w:szCs w:val="22"/>
          <w:lang w:eastAsia="en-US"/>
        </w:rPr>
        <w:t xml:space="preserve">In August 2012, NIST formed the USNWG EVF&amp;S in </w:t>
      </w:r>
      <w:r w:rsidR="003E5B13" w:rsidRPr="0036278D">
        <w:rPr>
          <w:rFonts w:eastAsia="Calibri"/>
          <w:sz w:val="22"/>
          <w:szCs w:val="22"/>
          <w:lang w:eastAsia="en-US"/>
        </w:rPr>
        <w:t>response to</w:t>
      </w:r>
      <w:r w:rsidRPr="0036278D">
        <w:rPr>
          <w:rFonts w:eastAsia="Calibri"/>
          <w:sz w:val="22"/>
          <w:szCs w:val="22"/>
          <w:lang w:eastAsia="en-US"/>
        </w:rPr>
        <w:t xml:space="preserve"> requests from U.S. stakeholders for uniform legal metrology (measurement) requirements to address equipment used in electric vehicle refueling applications.  The USNWG includes members representing vehicle charging equipment and electric meter manufacturers; State and local weights and measures jurisdictions; energy distribution companies and service providers; national laboratories; standards organizations; technical committees (e.g., ANSI C12); industry associations; and NIST.</w:t>
      </w:r>
    </w:p>
    <w:p w:rsidR="0036278D" w:rsidRPr="0036278D" w:rsidRDefault="0036278D" w:rsidP="00925D31">
      <w:pPr>
        <w:spacing w:after="200" w:line="276" w:lineRule="auto"/>
        <w:ind w:left="720" w:right="718"/>
        <w:jc w:val="both"/>
        <w:rPr>
          <w:rFonts w:eastAsia="Calibri"/>
          <w:sz w:val="22"/>
          <w:szCs w:val="22"/>
          <w:lang w:eastAsia="en-US"/>
        </w:rPr>
      </w:pPr>
      <w:r w:rsidRPr="0036278D">
        <w:rPr>
          <w:rFonts w:eastAsia="Calibri"/>
          <w:sz w:val="22"/>
          <w:szCs w:val="22"/>
          <w:lang w:eastAsia="en-US"/>
        </w:rPr>
        <w:t>Establishing a method of sale for a commodity is a critical first step in the development of a fair and competitive marketplace for any commodity.  History has shown that when products are introduced into the marketplace without the existence of a legally defined standard, confusion and unfair competitive practices can quickly evolve and potentially harm the consumer’s perception of the product and the business reputations of the sellers.  When commercial applications arise that do not have the benefit of nationally recognized uniform standards, State and local jurisdictions often are forced to independently develop and enforce Weights and Measures requirements for the application until nationally recognized uniform standards become available.</w:t>
      </w:r>
    </w:p>
    <w:p w:rsidR="0036278D" w:rsidRPr="0036278D" w:rsidRDefault="0036278D" w:rsidP="00925D31">
      <w:pPr>
        <w:spacing w:after="200" w:line="276" w:lineRule="auto"/>
        <w:ind w:left="720" w:right="718"/>
        <w:jc w:val="both"/>
        <w:rPr>
          <w:rFonts w:eastAsia="Calibri"/>
          <w:sz w:val="22"/>
          <w:szCs w:val="22"/>
          <w:lang w:eastAsia="en-US"/>
        </w:rPr>
      </w:pPr>
      <w:r w:rsidRPr="0036278D">
        <w:rPr>
          <w:rFonts w:eastAsia="Calibri"/>
          <w:sz w:val="22"/>
          <w:szCs w:val="22"/>
          <w:lang w:eastAsia="en-US"/>
        </w:rPr>
        <w:t>The USNWG wishes to convey a sense of urgency for establishing a clearly defined method of sale for commercial electric vehicle refueling stations.  As the number of electric vehicles and hybrid electric vehicles on the road continues to increase, the number of publicly accessible commercial systems installed for refueling these vehicles is growing.  Advances in vehicle charging technology have resulted in fast charging systems that make roadside stops of 15 to 20 minutes to charge an electric vehicle a practical refueling experience for customers.  These and other advances are only likely to accelerate the number of commercial systems that are installed to serve the public.  Clarity on the method of sale in these applications is urgently needed to facilitate a successful and efficient deployment of the</w:t>
      </w:r>
      <w:r w:rsidR="00925D31">
        <w:rPr>
          <w:rFonts w:eastAsia="Calibri"/>
          <w:sz w:val="22"/>
          <w:szCs w:val="22"/>
          <w:lang w:eastAsia="en-US"/>
        </w:rPr>
        <w:t>se</w:t>
      </w:r>
      <w:r w:rsidRPr="0036278D">
        <w:rPr>
          <w:rFonts w:eastAsia="Calibri"/>
          <w:sz w:val="22"/>
          <w:szCs w:val="22"/>
          <w:lang w:eastAsia="en-US"/>
        </w:rPr>
        <w:t xml:space="preserve"> systems.</w:t>
      </w:r>
    </w:p>
    <w:p w:rsidR="00405055" w:rsidRDefault="00405055">
      <w:pPr>
        <w:rPr>
          <w:rFonts w:eastAsia="Calibri"/>
          <w:sz w:val="22"/>
          <w:szCs w:val="22"/>
          <w:lang w:eastAsia="en-US"/>
        </w:rPr>
      </w:pPr>
      <w:r>
        <w:rPr>
          <w:rFonts w:eastAsia="Calibri"/>
          <w:sz w:val="22"/>
          <w:szCs w:val="22"/>
          <w:lang w:eastAsia="en-US"/>
        </w:rPr>
        <w:br w:type="page"/>
      </w:r>
    </w:p>
    <w:p w:rsidR="0036278D" w:rsidRPr="0036278D" w:rsidRDefault="0036278D" w:rsidP="00925D31">
      <w:pPr>
        <w:spacing w:after="200" w:line="276" w:lineRule="auto"/>
        <w:ind w:left="720" w:right="718"/>
        <w:jc w:val="both"/>
        <w:rPr>
          <w:rFonts w:eastAsia="Calibri"/>
          <w:sz w:val="22"/>
          <w:szCs w:val="22"/>
          <w:lang w:eastAsia="en-US"/>
        </w:rPr>
      </w:pPr>
      <w:r w:rsidRPr="0036278D">
        <w:rPr>
          <w:rFonts w:eastAsia="Calibri"/>
          <w:sz w:val="22"/>
          <w:szCs w:val="22"/>
          <w:lang w:eastAsia="en-US"/>
        </w:rPr>
        <w:lastRenderedPageBreak/>
        <w:t>In January 2013 the USNWG submitted a proposal to include a new method of sale regulation in NIST Handbook 130 that recognizes retail sale of electrical energy for vehicle refueling applications.  The USNWG supports the proposal which appears in Item 232-5 in the 2013 NCWM L&amp;R Committee Interim Report with the following minor modifications:</w:t>
      </w:r>
    </w:p>
    <w:p w:rsidR="0036278D" w:rsidRPr="0036278D" w:rsidRDefault="0036278D" w:rsidP="00925D31">
      <w:pPr>
        <w:numPr>
          <w:ilvl w:val="1"/>
          <w:numId w:val="10"/>
        </w:numPr>
        <w:spacing w:after="200" w:line="276" w:lineRule="auto"/>
        <w:ind w:right="718"/>
        <w:jc w:val="both"/>
        <w:rPr>
          <w:rFonts w:eastAsia="Calibri"/>
          <w:i/>
          <w:sz w:val="22"/>
          <w:szCs w:val="22"/>
          <w:u w:val="single"/>
          <w:lang w:eastAsia="en-US"/>
        </w:rPr>
      </w:pPr>
      <w:r>
        <w:rPr>
          <w:rFonts w:eastAsia="Calibri"/>
          <w:i/>
          <w:sz w:val="22"/>
          <w:szCs w:val="22"/>
          <w:u w:val="single"/>
          <w:lang w:eastAsia="en-US"/>
        </w:rPr>
        <w:t>Insert final m</w:t>
      </w:r>
      <w:r w:rsidRPr="0036278D">
        <w:rPr>
          <w:rFonts w:eastAsia="Calibri"/>
          <w:i/>
          <w:sz w:val="22"/>
          <w:szCs w:val="22"/>
          <w:u w:val="single"/>
          <w:lang w:eastAsia="en-US"/>
        </w:rPr>
        <w:t xml:space="preserve">odifications agreed upon </w:t>
      </w:r>
      <w:r>
        <w:rPr>
          <w:rFonts w:eastAsia="Calibri"/>
          <w:i/>
          <w:sz w:val="22"/>
          <w:szCs w:val="22"/>
          <w:u w:val="single"/>
          <w:lang w:eastAsia="en-US"/>
        </w:rPr>
        <w:t xml:space="preserve">by </w:t>
      </w:r>
      <w:r w:rsidR="003E5B13">
        <w:rPr>
          <w:rFonts w:eastAsia="Calibri"/>
          <w:i/>
          <w:sz w:val="22"/>
          <w:szCs w:val="22"/>
          <w:u w:val="single"/>
          <w:lang w:eastAsia="en-US"/>
        </w:rPr>
        <w:t xml:space="preserve">the </w:t>
      </w:r>
      <w:r>
        <w:rPr>
          <w:rFonts w:eastAsia="Calibri"/>
          <w:i/>
          <w:sz w:val="22"/>
          <w:szCs w:val="22"/>
          <w:u w:val="single"/>
          <w:lang w:eastAsia="en-US"/>
        </w:rPr>
        <w:t>USNWG</w:t>
      </w:r>
    </w:p>
    <w:p w:rsidR="0036278D" w:rsidRPr="0036278D" w:rsidRDefault="0036278D" w:rsidP="00925D31">
      <w:pPr>
        <w:spacing w:after="200" w:line="276" w:lineRule="auto"/>
        <w:ind w:left="720" w:right="718"/>
        <w:jc w:val="both"/>
        <w:rPr>
          <w:rFonts w:eastAsia="Calibri"/>
          <w:sz w:val="22"/>
          <w:szCs w:val="22"/>
          <w:lang w:eastAsia="en-US"/>
        </w:rPr>
      </w:pPr>
      <w:r w:rsidRPr="0036278D">
        <w:rPr>
          <w:rFonts w:eastAsia="Calibri"/>
          <w:sz w:val="22"/>
          <w:szCs w:val="22"/>
          <w:lang w:eastAsia="en-US"/>
        </w:rPr>
        <w:t>The USNWG encourages NCWM members to adopt the item with these modifications at the July 2013 NCWM Annual Meeting.  The USNWG acknowledges that not all U.S. jurisdictions adopt the NIST Handbook 130 Model Method of Sale Regulation directly.  However, the USNWG believes that this proposal will promote uniformity in the rapidly growing industry of commercial electric vehicle refueling.</w:t>
      </w:r>
    </w:p>
    <w:p w:rsidR="007E21CF" w:rsidRPr="007E21CF" w:rsidRDefault="0036278D" w:rsidP="00925D31">
      <w:pPr>
        <w:spacing w:after="200" w:line="276" w:lineRule="auto"/>
        <w:ind w:left="720" w:right="718"/>
        <w:jc w:val="both"/>
        <w:rPr>
          <w:sz w:val="22"/>
        </w:rPr>
      </w:pPr>
      <w:r w:rsidRPr="0036278D">
        <w:rPr>
          <w:rFonts w:eastAsia="Calibri"/>
          <w:sz w:val="22"/>
          <w:szCs w:val="22"/>
          <w:lang w:eastAsia="en-US"/>
        </w:rPr>
        <w:t xml:space="preserve">The USNWG </w:t>
      </w:r>
      <w:r w:rsidR="00925D31">
        <w:rPr>
          <w:rFonts w:eastAsia="Calibri"/>
          <w:sz w:val="22"/>
          <w:szCs w:val="22"/>
          <w:lang w:eastAsia="en-US"/>
        </w:rPr>
        <w:t>is also actively developing</w:t>
      </w:r>
      <w:r w:rsidRPr="0036278D">
        <w:rPr>
          <w:rFonts w:eastAsia="Calibri"/>
          <w:sz w:val="22"/>
          <w:szCs w:val="22"/>
          <w:lang w:eastAsia="en-US"/>
        </w:rPr>
        <w:t xml:space="preserve"> a new NIST Handbook 44 Tentative Code for Electrical Energy</w:t>
      </w:r>
      <w:r w:rsidRPr="0036278D">
        <w:rPr>
          <w:rFonts w:eastAsia="Calibri"/>
          <w:sz w:val="22"/>
          <w:szCs w:val="22"/>
          <w:lang w:eastAsia="en-US"/>
        </w:rPr>
        <w:noBreakHyphen/>
        <w:t xml:space="preserve">Measuring Systems to address legal metrology requirements for the design, performance, installation, testing, and use of this equipment.  </w:t>
      </w:r>
      <w:r w:rsidR="00925D31">
        <w:rPr>
          <w:rFonts w:eastAsia="Calibri"/>
          <w:sz w:val="22"/>
          <w:szCs w:val="22"/>
          <w:lang w:eastAsia="en-US"/>
        </w:rPr>
        <w:t xml:space="preserve">Once complete, the USNWG plans to submit the code </w:t>
      </w:r>
      <w:r w:rsidR="00925D31" w:rsidRPr="0036278D">
        <w:rPr>
          <w:rFonts w:eastAsia="Calibri"/>
          <w:sz w:val="22"/>
          <w:szCs w:val="22"/>
          <w:lang w:eastAsia="en-US"/>
        </w:rPr>
        <w:t>to the NCWM Specifications and Tolerances Committee</w:t>
      </w:r>
      <w:r w:rsidR="00925D31">
        <w:rPr>
          <w:rFonts w:eastAsia="Calibri"/>
          <w:sz w:val="22"/>
          <w:szCs w:val="22"/>
          <w:lang w:eastAsia="en-US"/>
        </w:rPr>
        <w:t xml:space="preserve"> for consideration.</w:t>
      </w:r>
      <w:r w:rsidR="00925D31" w:rsidRPr="0036278D">
        <w:rPr>
          <w:rFonts w:eastAsia="Calibri"/>
          <w:sz w:val="22"/>
          <w:szCs w:val="22"/>
          <w:lang w:eastAsia="en-US"/>
        </w:rPr>
        <w:t xml:space="preserve"> </w:t>
      </w:r>
      <w:r w:rsidR="00925D31">
        <w:rPr>
          <w:rFonts w:eastAsia="Calibri"/>
          <w:sz w:val="22"/>
          <w:szCs w:val="22"/>
          <w:lang w:eastAsia="en-US"/>
        </w:rPr>
        <w:t xml:space="preserve"> </w:t>
      </w:r>
      <w:r w:rsidRPr="0036278D">
        <w:rPr>
          <w:rFonts w:eastAsia="Calibri"/>
          <w:sz w:val="22"/>
          <w:szCs w:val="22"/>
          <w:lang w:eastAsia="en-US"/>
        </w:rPr>
        <w:t>The scope of this proposed new code will include electrical energy-measuring systems used in both electric vehicle refueling and in utility-type submetering applications that fall under the authority of weights and measures jurisdictions.  The scope of the proposed new code will not apply to electrical energy-measuring devices that are already regulated under the jurisdiction of Public Utility Commissions and other municipalities</w:t>
      </w:r>
      <w:r w:rsidRPr="0036278D">
        <w:rPr>
          <w:rFonts w:ascii="Calibri" w:eastAsia="Calibri" w:hAnsi="Calibri"/>
          <w:sz w:val="22"/>
          <w:szCs w:val="22"/>
          <w:lang w:eastAsia="en-US"/>
        </w:rPr>
        <w:t>.</w:t>
      </w:r>
    </w:p>
    <w:p w:rsidR="007E21CF" w:rsidRPr="007E21CF" w:rsidRDefault="007E21CF" w:rsidP="007E21CF">
      <w:pPr>
        <w:rPr>
          <w:sz w:val="22"/>
        </w:rPr>
      </w:pPr>
      <w:r w:rsidRPr="007E21CF">
        <w:rPr>
          <w:b/>
          <w:sz w:val="22"/>
        </w:rPr>
        <w:t>Recommendation:</w:t>
      </w:r>
      <w:r w:rsidRPr="007E21CF">
        <w:rPr>
          <w:sz w:val="22"/>
        </w:rPr>
        <w:t xml:space="preserve">  </w:t>
      </w:r>
      <w:r w:rsidR="005E2F21" w:rsidRPr="005E2F21">
        <w:rPr>
          <w:sz w:val="22"/>
        </w:rPr>
        <w:t xml:space="preserve">USNWG members were asked to approve </w:t>
      </w:r>
      <w:r w:rsidR="00855BA3">
        <w:rPr>
          <w:sz w:val="22"/>
        </w:rPr>
        <w:t>a</w:t>
      </w:r>
      <w:r w:rsidR="005E2F21" w:rsidRPr="005E2F21">
        <w:rPr>
          <w:sz w:val="22"/>
        </w:rPr>
        <w:t xml:space="preserve"> USNWG Position Statement on the HB 130 MOS Proposal</w:t>
      </w:r>
      <w:r w:rsidR="00855BA3">
        <w:rPr>
          <w:sz w:val="22"/>
        </w:rPr>
        <w:t xml:space="preserve"> including any modifications based on discussions at the March 2013 meeting</w:t>
      </w:r>
      <w:r w:rsidR="005E2F21" w:rsidRPr="005E2F21">
        <w:rPr>
          <w:sz w:val="22"/>
        </w:rPr>
        <w:t>.</w:t>
      </w:r>
    </w:p>
    <w:p w:rsidR="007E21CF" w:rsidRPr="007E21CF" w:rsidRDefault="007E21CF" w:rsidP="007E21CF">
      <w:pPr>
        <w:rPr>
          <w:sz w:val="22"/>
        </w:rPr>
      </w:pPr>
    </w:p>
    <w:p w:rsidR="00CE081E" w:rsidRPr="00CE081E" w:rsidRDefault="007E21CF" w:rsidP="007E21CF">
      <w:pPr>
        <w:rPr>
          <w:sz w:val="22"/>
        </w:rPr>
      </w:pPr>
      <w:r w:rsidRPr="007E21CF">
        <w:rPr>
          <w:b/>
          <w:sz w:val="22"/>
        </w:rPr>
        <w:t>Decision:</w:t>
      </w:r>
      <w:r w:rsidRPr="007E21CF">
        <w:rPr>
          <w:sz w:val="22"/>
        </w:rPr>
        <w:t xml:space="preserve">  The</w:t>
      </w:r>
      <w:r w:rsidR="005E2F21">
        <w:rPr>
          <w:sz w:val="22"/>
        </w:rPr>
        <w:t xml:space="preserve"> USNWG </w:t>
      </w:r>
      <w:r w:rsidR="0074281E" w:rsidRPr="0074281E">
        <w:rPr>
          <w:sz w:val="22"/>
        </w:rPr>
        <w:t xml:space="preserve">adjourned </w:t>
      </w:r>
      <w:r w:rsidR="005E2F21">
        <w:rPr>
          <w:sz w:val="22"/>
        </w:rPr>
        <w:t xml:space="preserve">the March 26, 2013 meeting before </w:t>
      </w:r>
      <w:r w:rsidR="00855BA3">
        <w:rPr>
          <w:sz w:val="22"/>
        </w:rPr>
        <w:t>addressing</w:t>
      </w:r>
      <w:r w:rsidR="005E2F21">
        <w:rPr>
          <w:sz w:val="22"/>
        </w:rPr>
        <w:t xml:space="preserve"> this item.  The item will be deferred until the next USNWG meeting.</w:t>
      </w:r>
    </w:p>
    <w:p w:rsidR="009E66B4" w:rsidRDefault="00CE081E" w:rsidP="00B044ED">
      <w:pPr>
        <w:pStyle w:val="Heading2"/>
        <w:rPr>
          <w:rFonts w:ascii="Times New Roman" w:hAnsi="Times New Roman" w:cs="Times New Roman"/>
          <w:color w:val="auto"/>
          <w:sz w:val="24"/>
          <w:szCs w:val="22"/>
        </w:rPr>
      </w:pPr>
      <w:bookmarkStart w:id="5" w:name="_Toc358047816"/>
      <w:r>
        <w:rPr>
          <w:rFonts w:ascii="Times New Roman" w:hAnsi="Times New Roman" w:cs="Times New Roman"/>
          <w:color w:val="auto"/>
          <w:sz w:val="24"/>
          <w:szCs w:val="22"/>
        </w:rPr>
        <w:t>6</w:t>
      </w:r>
      <w:r w:rsidR="00E6096B" w:rsidRPr="005E76F7">
        <w:rPr>
          <w:rFonts w:ascii="Times New Roman" w:hAnsi="Times New Roman" w:cs="Times New Roman"/>
          <w:color w:val="auto"/>
          <w:sz w:val="24"/>
          <w:szCs w:val="22"/>
        </w:rPr>
        <w:t>.</w:t>
      </w:r>
      <w:r w:rsidR="009129D7" w:rsidRPr="005E76F7">
        <w:rPr>
          <w:rFonts w:ascii="Times New Roman" w:hAnsi="Times New Roman" w:cs="Times New Roman"/>
          <w:color w:val="auto"/>
          <w:sz w:val="24"/>
          <w:szCs w:val="22"/>
        </w:rPr>
        <w:t xml:space="preserve">  </w:t>
      </w:r>
      <w:r w:rsidR="009E66B4">
        <w:rPr>
          <w:rFonts w:ascii="Times New Roman" w:hAnsi="Times New Roman" w:cs="Times New Roman"/>
          <w:color w:val="auto"/>
          <w:sz w:val="24"/>
          <w:szCs w:val="22"/>
        </w:rPr>
        <w:t>EVSE Meter Test Procedure and Equipment Drafting Subcommittee</w:t>
      </w:r>
      <w:bookmarkEnd w:id="5"/>
    </w:p>
    <w:p w:rsidR="00FD280A" w:rsidRDefault="00FD280A" w:rsidP="00FD280A"/>
    <w:p w:rsidR="00F81574" w:rsidRPr="00F81574" w:rsidRDefault="00FD280A" w:rsidP="00F81574">
      <w:pPr>
        <w:jc w:val="both"/>
        <w:rPr>
          <w:sz w:val="22"/>
          <w:szCs w:val="22"/>
        </w:rPr>
      </w:pPr>
      <w:r w:rsidRPr="00FD280A">
        <w:rPr>
          <w:b/>
        </w:rPr>
        <w:t>Background/Discussion:</w:t>
      </w:r>
      <w:r w:rsidRPr="00FD280A">
        <w:t xml:space="preserve">  </w:t>
      </w:r>
      <w:r w:rsidR="00F81574" w:rsidRPr="00F81574">
        <w:rPr>
          <w:sz w:val="22"/>
          <w:szCs w:val="22"/>
        </w:rPr>
        <w:t>The EVSE Meter Test Procedure and Equipment Drafting Subcommittee was formed during the January 15-17, 2013 USNWG meeting to accomplish the following tasks:</w:t>
      </w:r>
    </w:p>
    <w:p w:rsidR="00F81574" w:rsidRPr="00F81574" w:rsidRDefault="00F81574" w:rsidP="00F81574">
      <w:pPr>
        <w:numPr>
          <w:ilvl w:val="0"/>
          <w:numId w:val="6"/>
        </w:numPr>
        <w:jc w:val="both"/>
        <w:rPr>
          <w:sz w:val="22"/>
          <w:szCs w:val="22"/>
        </w:rPr>
      </w:pPr>
      <w:bookmarkStart w:id="6" w:name="_GoBack"/>
      <w:bookmarkEnd w:id="6"/>
      <w:r w:rsidRPr="00F81574">
        <w:rPr>
          <w:sz w:val="22"/>
          <w:szCs w:val="22"/>
        </w:rPr>
        <w:t xml:space="preserve">Prepare a test procedure for conducting safe, efficient, and traceable field testing of EVSE electrical energy-measuring devices that clearly addresses </w:t>
      </w:r>
      <w:r w:rsidR="00422C3B">
        <w:rPr>
          <w:sz w:val="22"/>
          <w:szCs w:val="22"/>
        </w:rPr>
        <w:t xml:space="preserve">accurate measurement from </w:t>
      </w:r>
      <w:r w:rsidRPr="00F81574">
        <w:rPr>
          <w:sz w:val="22"/>
          <w:szCs w:val="22"/>
        </w:rPr>
        <w:t>the point where the test connection occurs relative to the vehicle connection (for both plug-in and wireless systems).</w:t>
      </w:r>
    </w:p>
    <w:p w:rsidR="00F81574" w:rsidRPr="00F81574" w:rsidRDefault="00F81574" w:rsidP="00F81574">
      <w:pPr>
        <w:numPr>
          <w:ilvl w:val="0"/>
          <w:numId w:val="6"/>
        </w:numPr>
        <w:jc w:val="both"/>
        <w:rPr>
          <w:sz w:val="22"/>
          <w:szCs w:val="22"/>
        </w:rPr>
      </w:pPr>
      <w:r w:rsidRPr="00F81574">
        <w:rPr>
          <w:sz w:val="22"/>
          <w:szCs w:val="22"/>
        </w:rPr>
        <w:t>Prepare a list describing the fundamental test equipment that must be available to conduct</w:t>
      </w:r>
      <w:r w:rsidR="00422C3B">
        <w:rPr>
          <w:sz w:val="22"/>
          <w:szCs w:val="22"/>
        </w:rPr>
        <w:t xml:space="preserve"> reliable,</w:t>
      </w:r>
      <w:r w:rsidRPr="00F81574">
        <w:rPr>
          <w:sz w:val="22"/>
          <w:szCs w:val="22"/>
        </w:rPr>
        <w:t xml:space="preserve"> safe, efficient, and traceable field testing of EVSE electrical energy-measuring devices.</w:t>
      </w:r>
    </w:p>
    <w:p w:rsidR="00F81574" w:rsidRPr="00F81574" w:rsidRDefault="00F81574" w:rsidP="00F81574">
      <w:pPr>
        <w:numPr>
          <w:ilvl w:val="0"/>
          <w:numId w:val="6"/>
        </w:numPr>
        <w:rPr>
          <w:sz w:val="22"/>
          <w:szCs w:val="22"/>
        </w:rPr>
      </w:pPr>
      <w:r w:rsidRPr="00F81574">
        <w:rPr>
          <w:sz w:val="22"/>
          <w:szCs w:val="22"/>
        </w:rPr>
        <w:t xml:space="preserve">Review and further develop language for the draft HB 44 </w:t>
      </w:r>
      <w:r w:rsidR="00422C3B">
        <w:rPr>
          <w:sz w:val="22"/>
          <w:szCs w:val="22"/>
        </w:rPr>
        <w:t>t</w:t>
      </w:r>
      <w:r w:rsidRPr="00F81574">
        <w:rPr>
          <w:sz w:val="22"/>
          <w:szCs w:val="22"/>
        </w:rPr>
        <w:t xml:space="preserve">entative </w:t>
      </w:r>
      <w:r w:rsidR="00422C3B">
        <w:rPr>
          <w:sz w:val="22"/>
          <w:szCs w:val="22"/>
        </w:rPr>
        <w:t>c</w:t>
      </w:r>
      <w:r w:rsidRPr="00F81574">
        <w:rPr>
          <w:sz w:val="22"/>
          <w:szCs w:val="22"/>
        </w:rPr>
        <w:t xml:space="preserve">ode proposal to </w:t>
      </w:r>
      <w:r w:rsidR="00422C3B">
        <w:rPr>
          <w:sz w:val="22"/>
          <w:szCs w:val="22"/>
        </w:rPr>
        <w:t xml:space="preserve">adequately </w:t>
      </w:r>
      <w:r w:rsidRPr="00F81574">
        <w:rPr>
          <w:sz w:val="22"/>
          <w:szCs w:val="22"/>
        </w:rPr>
        <w:t>address field testing.</w:t>
      </w:r>
    </w:p>
    <w:p w:rsidR="00F81574" w:rsidRPr="00F81574" w:rsidRDefault="00F81574" w:rsidP="00F81574">
      <w:pPr>
        <w:jc w:val="both"/>
        <w:rPr>
          <w:sz w:val="22"/>
          <w:szCs w:val="22"/>
        </w:rPr>
      </w:pPr>
    </w:p>
    <w:p w:rsidR="00F81574" w:rsidRPr="00F81574" w:rsidRDefault="00F81574" w:rsidP="00F81574">
      <w:pPr>
        <w:jc w:val="both"/>
        <w:rPr>
          <w:sz w:val="22"/>
          <w:szCs w:val="22"/>
        </w:rPr>
      </w:pPr>
      <w:r w:rsidRPr="00F81574">
        <w:rPr>
          <w:sz w:val="22"/>
          <w:szCs w:val="22"/>
        </w:rPr>
        <w:t xml:space="preserve">The time frame for the EVSE Meter Test Procedure and Equipment Drafting Subcommittee to complete a draft test procedure will parallel the USNWG’s </w:t>
      </w:r>
      <w:r w:rsidR="00422C3B">
        <w:rPr>
          <w:sz w:val="22"/>
          <w:szCs w:val="22"/>
        </w:rPr>
        <w:t xml:space="preserve">work to fully </w:t>
      </w:r>
      <w:r w:rsidRPr="00F81574">
        <w:rPr>
          <w:sz w:val="22"/>
          <w:szCs w:val="22"/>
        </w:rPr>
        <w:t>develop the</w:t>
      </w:r>
      <w:r w:rsidR="00422C3B">
        <w:rPr>
          <w:sz w:val="22"/>
          <w:szCs w:val="22"/>
        </w:rPr>
        <w:t xml:space="preserve"> proposed new</w:t>
      </w:r>
      <w:r w:rsidRPr="00F81574">
        <w:rPr>
          <w:sz w:val="22"/>
          <w:szCs w:val="22"/>
        </w:rPr>
        <w:t xml:space="preserve"> HB 44 </w:t>
      </w:r>
      <w:r w:rsidR="00422C3B">
        <w:rPr>
          <w:sz w:val="22"/>
          <w:szCs w:val="22"/>
        </w:rPr>
        <w:t>tentative code</w:t>
      </w:r>
      <w:r w:rsidRPr="00F81574">
        <w:rPr>
          <w:sz w:val="22"/>
          <w:szCs w:val="22"/>
        </w:rPr>
        <w:t>. The USNWG anticipates completing a final draft of the HB 44 proposal by the fall of 2013, which marks the start of the Weights and Measures standards development cycle for 2014.</w:t>
      </w:r>
    </w:p>
    <w:p w:rsidR="00F81574" w:rsidRPr="00F81574" w:rsidRDefault="00F81574" w:rsidP="00F81574">
      <w:pPr>
        <w:jc w:val="both"/>
        <w:rPr>
          <w:sz w:val="22"/>
          <w:szCs w:val="22"/>
        </w:rPr>
      </w:pPr>
    </w:p>
    <w:p w:rsidR="00F81574" w:rsidRPr="00F81574" w:rsidRDefault="00F81574" w:rsidP="00F81574">
      <w:pPr>
        <w:jc w:val="both"/>
        <w:rPr>
          <w:sz w:val="22"/>
          <w:szCs w:val="22"/>
        </w:rPr>
      </w:pPr>
      <w:r w:rsidRPr="00F81574">
        <w:rPr>
          <w:sz w:val="22"/>
          <w:szCs w:val="22"/>
        </w:rPr>
        <w:lastRenderedPageBreak/>
        <w:t xml:space="preserve">The USNWG unanimously elected </w:t>
      </w:r>
      <w:r w:rsidR="0036278D">
        <w:rPr>
          <w:sz w:val="22"/>
          <w:szCs w:val="22"/>
        </w:rPr>
        <w:t xml:space="preserve">Mr. </w:t>
      </w:r>
      <w:r w:rsidRPr="00F81574">
        <w:rPr>
          <w:sz w:val="22"/>
          <w:szCs w:val="22"/>
        </w:rPr>
        <w:t>Ted Bohn (A</w:t>
      </w:r>
      <w:r w:rsidR="0036278D">
        <w:rPr>
          <w:sz w:val="22"/>
          <w:szCs w:val="22"/>
        </w:rPr>
        <w:t xml:space="preserve">rgonne </w:t>
      </w:r>
      <w:r w:rsidRPr="00F81574">
        <w:rPr>
          <w:sz w:val="22"/>
          <w:szCs w:val="22"/>
        </w:rPr>
        <w:t>N</w:t>
      </w:r>
      <w:r w:rsidR="0036278D">
        <w:rPr>
          <w:sz w:val="22"/>
          <w:szCs w:val="22"/>
        </w:rPr>
        <w:t xml:space="preserve">ational </w:t>
      </w:r>
      <w:r w:rsidRPr="00F81574">
        <w:rPr>
          <w:sz w:val="22"/>
          <w:szCs w:val="22"/>
        </w:rPr>
        <w:t>L</w:t>
      </w:r>
      <w:r w:rsidR="0036278D">
        <w:rPr>
          <w:sz w:val="22"/>
          <w:szCs w:val="22"/>
        </w:rPr>
        <w:t>aboratory</w:t>
      </w:r>
      <w:r w:rsidRPr="00F81574">
        <w:rPr>
          <w:sz w:val="22"/>
          <w:szCs w:val="22"/>
        </w:rPr>
        <w:t>) as the Chair for the EVSE Meter Test Procedure and Equipment Drafting Subcommittee.  The following is a list of USNWG members who volunteered to serve on the subcommittee.</w:t>
      </w:r>
    </w:p>
    <w:p w:rsidR="00F81574" w:rsidRPr="00F81574" w:rsidRDefault="00F81574" w:rsidP="00F81574">
      <w:pPr>
        <w:jc w:val="both"/>
        <w:rPr>
          <w:sz w:val="22"/>
          <w:szCs w:val="22"/>
        </w:rPr>
      </w:pPr>
    </w:p>
    <w:p w:rsidR="00F81574" w:rsidRPr="00F81574" w:rsidRDefault="00F81574" w:rsidP="00F81574">
      <w:pPr>
        <w:jc w:val="both"/>
        <w:rPr>
          <w:sz w:val="22"/>
          <w:szCs w:val="22"/>
        </w:rPr>
      </w:pPr>
      <w:r w:rsidRPr="00F81574">
        <w:rPr>
          <w:b/>
          <w:sz w:val="22"/>
          <w:szCs w:val="22"/>
        </w:rPr>
        <w:t>EVSE Meter Test Procedure and Equipment Drafting Subcommittee</w:t>
      </w:r>
      <w:r w:rsidRPr="00F81574">
        <w:rPr>
          <w:sz w:val="22"/>
          <w:szCs w:val="22"/>
        </w:rPr>
        <w:t>:</w:t>
      </w:r>
    </w:p>
    <w:p w:rsidR="00F81574" w:rsidRPr="00F81574" w:rsidRDefault="00F81574" w:rsidP="00F81574">
      <w:pPr>
        <w:numPr>
          <w:ilvl w:val="0"/>
          <w:numId w:val="7"/>
        </w:numPr>
        <w:jc w:val="both"/>
        <w:rPr>
          <w:sz w:val="22"/>
          <w:szCs w:val="22"/>
        </w:rPr>
      </w:pPr>
      <w:r w:rsidRPr="00F81574">
        <w:rPr>
          <w:b/>
          <w:sz w:val="22"/>
          <w:szCs w:val="22"/>
        </w:rPr>
        <w:t>Chair:</w:t>
      </w:r>
      <w:r w:rsidRPr="00F81574">
        <w:rPr>
          <w:sz w:val="22"/>
          <w:szCs w:val="22"/>
        </w:rPr>
        <w:t xml:space="preserve"> Ted Bohn (ANL)</w:t>
      </w:r>
    </w:p>
    <w:p w:rsidR="00422C3B" w:rsidRDefault="00F81574" w:rsidP="00F81574">
      <w:pPr>
        <w:numPr>
          <w:ilvl w:val="0"/>
          <w:numId w:val="7"/>
        </w:numPr>
        <w:jc w:val="both"/>
        <w:rPr>
          <w:sz w:val="22"/>
          <w:szCs w:val="22"/>
        </w:rPr>
      </w:pPr>
      <w:r w:rsidRPr="00F81574">
        <w:rPr>
          <w:b/>
          <w:sz w:val="22"/>
          <w:szCs w:val="22"/>
        </w:rPr>
        <w:t>Technical Advisor:</w:t>
      </w:r>
      <w:r w:rsidRPr="00F81574">
        <w:rPr>
          <w:sz w:val="22"/>
          <w:szCs w:val="22"/>
        </w:rPr>
        <w:t xml:space="preserve"> </w:t>
      </w:r>
      <w:r w:rsidR="00422C3B">
        <w:rPr>
          <w:sz w:val="22"/>
          <w:szCs w:val="22"/>
        </w:rPr>
        <w:t>TBD</w:t>
      </w:r>
    </w:p>
    <w:p w:rsidR="00F81574" w:rsidRPr="00F81574" w:rsidRDefault="00F81574" w:rsidP="00F81574">
      <w:pPr>
        <w:numPr>
          <w:ilvl w:val="0"/>
          <w:numId w:val="7"/>
        </w:numPr>
        <w:jc w:val="both"/>
        <w:rPr>
          <w:sz w:val="22"/>
          <w:szCs w:val="22"/>
        </w:rPr>
      </w:pPr>
      <w:r w:rsidRPr="00F81574">
        <w:rPr>
          <w:sz w:val="22"/>
          <w:szCs w:val="22"/>
        </w:rPr>
        <w:t>Tim Morgan (Duke Energy)</w:t>
      </w:r>
    </w:p>
    <w:p w:rsidR="00F81574" w:rsidRPr="00F81574" w:rsidRDefault="00F81574" w:rsidP="00F81574">
      <w:pPr>
        <w:numPr>
          <w:ilvl w:val="0"/>
          <w:numId w:val="7"/>
        </w:numPr>
        <w:jc w:val="both"/>
        <w:rPr>
          <w:sz w:val="22"/>
          <w:szCs w:val="22"/>
        </w:rPr>
      </w:pPr>
      <w:r w:rsidRPr="00F81574">
        <w:rPr>
          <w:sz w:val="22"/>
          <w:szCs w:val="22"/>
        </w:rPr>
        <w:t>Richard Lowenthal (ChargePoint)</w:t>
      </w:r>
    </w:p>
    <w:p w:rsidR="00F81574" w:rsidRPr="00F81574" w:rsidRDefault="00F81574" w:rsidP="00F81574">
      <w:pPr>
        <w:numPr>
          <w:ilvl w:val="0"/>
          <w:numId w:val="7"/>
        </w:numPr>
        <w:jc w:val="both"/>
        <w:rPr>
          <w:sz w:val="22"/>
          <w:szCs w:val="22"/>
        </w:rPr>
      </w:pPr>
      <w:r w:rsidRPr="00F81574">
        <w:rPr>
          <w:sz w:val="22"/>
          <w:szCs w:val="22"/>
        </w:rPr>
        <w:t>Either Don McComas or Derrik Weeks (Eaton)</w:t>
      </w:r>
    </w:p>
    <w:p w:rsidR="00F81574" w:rsidRPr="00F81574" w:rsidRDefault="00F81574" w:rsidP="00F81574">
      <w:pPr>
        <w:numPr>
          <w:ilvl w:val="0"/>
          <w:numId w:val="7"/>
        </w:numPr>
        <w:jc w:val="both"/>
        <w:rPr>
          <w:sz w:val="22"/>
          <w:szCs w:val="22"/>
        </w:rPr>
      </w:pPr>
      <w:r w:rsidRPr="00F81574">
        <w:rPr>
          <w:sz w:val="22"/>
          <w:szCs w:val="22"/>
        </w:rPr>
        <w:t>Andrei Moldoveanu (NEMA)</w:t>
      </w:r>
    </w:p>
    <w:p w:rsidR="00F81574" w:rsidRPr="00F81574" w:rsidRDefault="00F81574" w:rsidP="00F81574">
      <w:pPr>
        <w:numPr>
          <w:ilvl w:val="0"/>
          <w:numId w:val="7"/>
        </w:numPr>
        <w:jc w:val="both"/>
        <w:rPr>
          <w:sz w:val="22"/>
          <w:szCs w:val="22"/>
        </w:rPr>
      </w:pPr>
      <w:r w:rsidRPr="00F81574">
        <w:rPr>
          <w:sz w:val="22"/>
          <w:szCs w:val="22"/>
        </w:rPr>
        <w:t>Jim LeClare (Maxim Integrated)</w:t>
      </w:r>
    </w:p>
    <w:p w:rsidR="00F81574" w:rsidRPr="00F81574" w:rsidRDefault="00F81574" w:rsidP="00F81574">
      <w:pPr>
        <w:numPr>
          <w:ilvl w:val="0"/>
          <w:numId w:val="7"/>
        </w:numPr>
        <w:jc w:val="both"/>
        <w:rPr>
          <w:sz w:val="22"/>
          <w:szCs w:val="22"/>
        </w:rPr>
      </w:pPr>
      <w:r w:rsidRPr="00F81574">
        <w:rPr>
          <w:sz w:val="22"/>
          <w:szCs w:val="22"/>
        </w:rPr>
        <w:t>Steve Brown (UL)</w:t>
      </w:r>
    </w:p>
    <w:p w:rsidR="00F81574" w:rsidRPr="00F81574" w:rsidRDefault="00F81574" w:rsidP="00F81574">
      <w:pPr>
        <w:numPr>
          <w:ilvl w:val="0"/>
          <w:numId w:val="7"/>
        </w:numPr>
        <w:jc w:val="both"/>
        <w:rPr>
          <w:sz w:val="22"/>
          <w:szCs w:val="22"/>
        </w:rPr>
      </w:pPr>
      <w:r w:rsidRPr="00F81574">
        <w:rPr>
          <w:sz w:val="22"/>
          <w:szCs w:val="22"/>
        </w:rPr>
        <w:t>Marc Buttler (NIST)</w:t>
      </w:r>
    </w:p>
    <w:p w:rsidR="00F81574" w:rsidRPr="00F81574" w:rsidRDefault="00F81574" w:rsidP="00F81574">
      <w:pPr>
        <w:numPr>
          <w:ilvl w:val="0"/>
          <w:numId w:val="7"/>
        </w:numPr>
        <w:jc w:val="both"/>
        <w:rPr>
          <w:sz w:val="22"/>
          <w:szCs w:val="22"/>
        </w:rPr>
      </w:pPr>
      <w:r w:rsidRPr="00F81574">
        <w:rPr>
          <w:sz w:val="22"/>
          <w:szCs w:val="22"/>
        </w:rPr>
        <w:t>Steve Cook (CA DMS)</w:t>
      </w:r>
    </w:p>
    <w:p w:rsidR="00F81574" w:rsidRPr="00F81574" w:rsidRDefault="00F81574" w:rsidP="00F81574">
      <w:pPr>
        <w:numPr>
          <w:ilvl w:val="0"/>
          <w:numId w:val="7"/>
        </w:numPr>
        <w:jc w:val="both"/>
        <w:rPr>
          <w:sz w:val="22"/>
          <w:szCs w:val="22"/>
        </w:rPr>
      </w:pPr>
      <w:r w:rsidRPr="00F81574">
        <w:rPr>
          <w:sz w:val="22"/>
          <w:szCs w:val="22"/>
        </w:rPr>
        <w:t>Tom Nelson (NIST)</w:t>
      </w:r>
    </w:p>
    <w:p w:rsidR="00F81574" w:rsidRPr="00F81574" w:rsidRDefault="00F81574" w:rsidP="00F81574">
      <w:pPr>
        <w:numPr>
          <w:ilvl w:val="0"/>
          <w:numId w:val="7"/>
        </w:numPr>
        <w:jc w:val="both"/>
        <w:rPr>
          <w:sz w:val="22"/>
          <w:szCs w:val="22"/>
        </w:rPr>
      </w:pPr>
      <w:r w:rsidRPr="00F81574">
        <w:rPr>
          <w:sz w:val="22"/>
          <w:szCs w:val="22"/>
        </w:rPr>
        <w:t>Ambler Thompson (NIST)</w:t>
      </w:r>
    </w:p>
    <w:p w:rsidR="00FD280A" w:rsidRPr="00FD280A" w:rsidRDefault="00FD280A" w:rsidP="00FD280A"/>
    <w:p w:rsidR="00FD280A" w:rsidRPr="00FD280A" w:rsidRDefault="00FD280A" w:rsidP="00FD280A">
      <w:r w:rsidRPr="00FD280A">
        <w:rPr>
          <w:b/>
        </w:rPr>
        <w:t>Recommendation:</w:t>
      </w:r>
      <w:r w:rsidRPr="00FD280A">
        <w:t xml:space="preserve">  </w:t>
      </w:r>
      <w:r w:rsidR="00F81574" w:rsidRPr="00F81574">
        <w:t xml:space="preserve">Members </w:t>
      </w:r>
      <w:r w:rsidR="00F81574">
        <w:t>were</w:t>
      </w:r>
      <w:r w:rsidR="00F81574" w:rsidRPr="00F81574">
        <w:t xml:space="preserve"> asked to confirm the Subcommittee roster.  The Subcommittee Chair </w:t>
      </w:r>
      <w:r w:rsidR="00F81574">
        <w:t>was</w:t>
      </w:r>
      <w:r w:rsidR="00F81574" w:rsidRPr="00F81574">
        <w:t xml:space="preserve"> asked to </w:t>
      </w:r>
      <w:r w:rsidR="00422C3B">
        <w:t>provide the USNWG with and update</w:t>
      </w:r>
      <w:r w:rsidR="00F81574" w:rsidRPr="00F81574">
        <w:t xml:space="preserve"> on the Subcommittee’s plans</w:t>
      </w:r>
      <w:r w:rsidR="00422C3B">
        <w:t xml:space="preserve"> at the March 2013 meeting</w:t>
      </w:r>
      <w:r w:rsidR="00F81574" w:rsidRPr="00F81574">
        <w:t>.</w:t>
      </w:r>
    </w:p>
    <w:p w:rsidR="00FD280A" w:rsidRPr="00FD280A" w:rsidRDefault="00FD280A" w:rsidP="00FD280A"/>
    <w:p w:rsidR="00FD280A" w:rsidRPr="00FD280A" w:rsidRDefault="00FD280A" w:rsidP="00FD280A">
      <w:r w:rsidRPr="00FD280A">
        <w:rPr>
          <w:b/>
        </w:rPr>
        <w:t>Decision:</w:t>
      </w:r>
      <w:r w:rsidRPr="00FD280A">
        <w:t xml:space="preserve">  </w:t>
      </w:r>
      <w:r w:rsidR="00F81574" w:rsidRPr="00F81574">
        <w:t xml:space="preserve">The USNWG </w:t>
      </w:r>
      <w:r w:rsidR="0074281E">
        <w:t>adjourned</w:t>
      </w:r>
      <w:r w:rsidR="00F81574" w:rsidRPr="00F81574">
        <w:t xml:space="preserve"> the March 26, 2013 meeting before </w:t>
      </w:r>
      <w:r w:rsidR="00580752">
        <w:t>the USNWG was able to address</w:t>
      </w:r>
      <w:r w:rsidR="00F81574" w:rsidRPr="00F81574">
        <w:t xml:space="preserve"> this item.  The item will be deferred until the next USNWG meeting.</w:t>
      </w:r>
    </w:p>
    <w:p w:rsidR="009129D7" w:rsidRPr="005E76F7" w:rsidRDefault="009E66B4" w:rsidP="00B044ED">
      <w:pPr>
        <w:pStyle w:val="Heading2"/>
        <w:rPr>
          <w:rFonts w:ascii="Times New Roman" w:hAnsi="Times New Roman" w:cs="Times New Roman"/>
          <w:b w:val="0"/>
          <w:color w:val="auto"/>
          <w:sz w:val="24"/>
          <w:szCs w:val="22"/>
        </w:rPr>
      </w:pPr>
      <w:bookmarkStart w:id="7" w:name="_Toc358047817"/>
      <w:r>
        <w:rPr>
          <w:rFonts w:ascii="Times New Roman" w:hAnsi="Times New Roman" w:cs="Times New Roman"/>
          <w:color w:val="auto"/>
          <w:sz w:val="24"/>
          <w:szCs w:val="22"/>
        </w:rPr>
        <w:t xml:space="preserve">7.  </w:t>
      </w:r>
      <w:r w:rsidR="00FD280A" w:rsidRPr="00FD280A">
        <w:rPr>
          <w:rFonts w:ascii="Times New Roman" w:hAnsi="Times New Roman" w:cs="Times New Roman"/>
          <w:color w:val="auto"/>
          <w:sz w:val="24"/>
          <w:szCs w:val="22"/>
        </w:rPr>
        <w:t>Draft NIST Handbook 44 Code for Electric Vehicle Fueling and Submetering</w:t>
      </w:r>
      <w:bookmarkEnd w:id="7"/>
    </w:p>
    <w:p w:rsidR="00AF6368" w:rsidRDefault="00AF6368" w:rsidP="00573410">
      <w:pPr>
        <w:jc w:val="both"/>
        <w:rPr>
          <w:sz w:val="22"/>
          <w:szCs w:val="22"/>
          <w:highlight w:val="yellow"/>
        </w:rPr>
      </w:pPr>
    </w:p>
    <w:p w:rsidR="008C4514" w:rsidRDefault="00AF6368" w:rsidP="00EA50F8">
      <w:pPr>
        <w:jc w:val="both"/>
        <w:rPr>
          <w:sz w:val="22"/>
          <w:szCs w:val="22"/>
        </w:rPr>
      </w:pPr>
      <w:r w:rsidRPr="00BE38D7">
        <w:rPr>
          <w:b/>
          <w:sz w:val="22"/>
          <w:szCs w:val="22"/>
        </w:rPr>
        <w:t>Background:</w:t>
      </w:r>
      <w:r w:rsidRPr="00BE38D7">
        <w:rPr>
          <w:sz w:val="22"/>
          <w:szCs w:val="22"/>
        </w:rPr>
        <w:t xml:space="preserve">  </w:t>
      </w:r>
      <w:r w:rsidR="0074281E">
        <w:rPr>
          <w:sz w:val="22"/>
          <w:szCs w:val="22"/>
        </w:rPr>
        <w:t>The</w:t>
      </w:r>
      <w:r w:rsidRPr="00BE38D7">
        <w:rPr>
          <w:sz w:val="22"/>
          <w:szCs w:val="22"/>
        </w:rPr>
        <w:t xml:space="preserve"> </w:t>
      </w:r>
      <w:r w:rsidR="0074281E">
        <w:rPr>
          <w:sz w:val="22"/>
          <w:szCs w:val="22"/>
        </w:rPr>
        <w:t>D</w:t>
      </w:r>
      <w:r w:rsidRPr="00BE38D7">
        <w:rPr>
          <w:sz w:val="22"/>
          <w:szCs w:val="22"/>
        </w:rPr>
        <w:t xml:space="preserve">raft HB 44 </w:t>
      </w:r>
      <w:r w:rsidR="008C4514">
        <w:rPr>
          <w:sz w:val="22"/>
          <w:szCs w:val="22"/>
        </w:rPr>
        <w:t xml:space="preserve">Tentative </w:t>
      </w:r>
      <w:r w:rsidR="00EA50F8">
        <w:rPr>
          <w:sz w:val="22"/>
          <w:szCs w:val="22"/>
        </w:rPr>
        <w:t>C</w:t>
      </w:r>
      <w:r w:rsidR="00BE38D7" w:rsidRPr="00BE38D7">
        <w:rPr>
          <w:sz w:val="22"/>
          <w:szCs w:val="22"/>
        </w:rPr>
        <w:t xml:space="preserve">ode </w:t>
      </w:r>
      <w:r w:rsidR="008C4514" w:rsidRPr="008C4514">
        <w:rPr>
          <w:sz w:val="22"/>
          <w:szCs w:val="22"/>
        </w:rPr>
        <w:t xml:space="preserve">Requirements for Electric Vehicle Fueling and Submetering </w:t>
      </w:r>
      <w:r w:rsidR="0074281E">
        <w:rPr>
          <w:sz w:val="22"/>
          <w:szCs w:val="22"/>
        </w:rPr>
        <w:t>P</w:t>
      </w:r>
      <w:r w:rsidR="00EA50F8" w:rsidRPr="00BE38D7">
        <w:rPr>
          <w:sz w:val="22"/>
          <w:szCs w:val="22"/>
        </w:rPr>
        <w:t xml:space="preserve">roposal </w:t>
      </w:r>
      <w:r w:rsidRPr="00BE38D7">
        <w:rPr>
          <w:sz w:val="22"/>
          <w:szCs w:val="22"/>
        </w:rPr>
        <w:t xml:space="preserve">was distributed </w:t>
      </w:r>
      <w:r w:rsidR="00580752">
        <w:rPr>
          <w:sz w:val="22"/>
          <w:szCs w:val="22"/>
        </w:rPr>
        <w:t xml:space="preserve">by e-mail </w:t>
      </w:r>
      <w:r w:rsidRPr="00BE38D7">
        <w:rPr>
          <w:sz w:val="22"/>
          <w:szCs w:val="22"/>
        </w:rPr>
        <w:t xml:space="preserve">to USNWG members on November 29, 2012.   USNWG </w:t>
      </w:r>
      <w:r w:rsidR="0074281E">
        <w:rPr>
          <w:sz w:val="22"/>
          <w:szCs w:val="22"/>
        </w:rPr>
        <w:t xml:space="preserve">members </w:t>
      </w:r>
      <w:r w:rsidRPr="00BE38D7">
        <w:rPr>
          <w:sz w:val="22"/>
          <w:szCs w:val="22"/>
        </w:rPr>
        <w:t>were asked to submit comments to the Technical Advisor by January 8, 2013.</w:t>
      </w:r>
    </w:p>
    <w:p w:rsidR="00B024D4" w:rsidRDefault="00B024D4" w:rsidP="00EA50F8">
      <w:pPr>
        <w:jc w:val="both"/>
        <w:rPr>
          <w:sz w:val="22"/>
          <w:szCs w:val="22"/>
        </w:rPr>
      </w:pPr>
    </w:p>
    <w:p w:rsidR="00BF4CF7" w:rsidRDefault="00BF4CF7" w:rsidP="00BF4CF7">
      <w:pPr>
        <w:jc w:val="both"/>
        <w:rPr>
          <w:sz w:val="22"/>
          <w:szCs w:val="22"/>
        </w:rPr>
      </w:pPr>
      <w:r w:rsidRPr="002E408D">
        <w:rPr>
          <w:b/>
          <w:sz w:val="22"/>
          <w:szCs w:val="22"/>
        </w:rPr>
        <w:t>Recommendation:</w:t>
      </w:r>
      <w:r>
        <w:rPr>
          <w:sz w:val="22"/>
          <w:szCs w:val="22"/>
        </w:rPr>
        <w:t xml:space="preserve">  The </w:t>
      </w:r>
      <w:r w:rsidR="00F81574">
        <w:rPr>
          <w:sz w:val="22"/>
          <w:szCs w:val="22"/>
        </w:rPr>
        <w:t xml:space="preserve">Technical Advisor </w:t>
      </w:r>
      <w:r>
        <w:rPr>
          <w:sz w:val="22"/>
          <w:szCs w:val="22"/>
        </w:rPr>
        <w:t xml:space="preserve">was asked to </w:t>
      </w:r>
      <w:r w:rsidR="00F81574">
        <w:rPr>
          <w:sz w:val="22"/>
          <w:szCs w:val="22"/>
        </w:rPr>
        <w:t xml:space="preserve">lead a discussion to </w:t>
      </w:r>
      <w:r w:rsidR="0075061B">
        <w:rPr>
          <w:sz w:val="22"/>
          <w:szCs w:val="22"/>
        </w:rPr>
        <w:t>outline</w:t>
      </w:r>
      <w:r w:rsidR="00F81574">
        <w:rPr>
          <w:sz w:val="22"/>
          <w:szCs w:val="22"/>
        </w:rPr>
        <w:t xml:space="preserve"> a plan to </w:t>
      </w:r>
      <w:r w:rsidR="00580752">
        <w:rPr>
          <w:sz w:val="22"/>
          <w:szCs w:val="22"/>
        </w:rPr>
        <w:t>fully develop</w:t>
      </w:r>
      <w:r w:rsidR="00F81574">
        <w:rPr>
          <w:sz w:val="22"/>
          <w:szCs w:val="22"/>
        </w:rPr>
        <w:t xml:space="preserve"> the propos</w:t>
      </w:r>
      <w:r w:rsidR="00580752">
        <w:rPr>
          <w:sz w:val="22"/>
          <w:szCs w:val="22"/>
        </w:rPr>
        <w:t>ed device code</w:t>
      </w:r>
      <w:r>
        <w:rPr>
          <w:sz w:val="22"/>
          <w:szCs w:val="22"/>
        </w:rPr>
        <w:t>.</w:t>
      </w:r>
    </w:p>
    <w:p w:rsidR="00BF4CF7" w:rsidRPr="00BF4CF7" w:rsidRDefault="00BF4CF7" w:rsidP="00BF4CF7">
      <w:pPr>
        <w:jc w:val="both"/>
        <w:rPr>
          <w:sz w:val="22"/>
          <w:szCs w:val="22"/>
        </w:rPr>
      </w:pPr>
    </w:p>
    <w:p w:rsidR="00BF4CF7" w:rsidRPr="00F81574" w:rsidRDefault="00BF4CF7" w:rsidP="00BF4CF7">
      <w:pPr>
        <w:jc w:val="both"/>
        <w:rPr>
          <w:sz w:val="22"/>
          <w:szCs w:val="22"/>
        </w:rPr>
      </w:pPr>
      <w:r w:rsidRPr="00BF4CF7">
        <w:rPr>
          <w:b/>
          <w:sz w:val="22"/>
          <w:szCs w:val="22"/>
        </w:rPr>
        <w:t xml:space="preserve">Decision:  </w:t>
      </w:r>
      <w:r w:rsidR="00F81574" w:rsidRPr="00F81574">
        <w:rPr>
          <w:sz w:val="22"/>
          <w:szCs w:val="22"/>
        </w:rPr>
        <w:t xml:space="preserve">The USNWG </w:t>
      </w:r>
      <w:r w:rsidR="0074281E" w:rsidRPr="0074281E">
        <w:rPr>
          <w:sz w:val="22"/>
          <w:szCs w:val="22"/>
        </w:rPr>
        <w:t xml:space="preserve">adjourned </w:t>
      </w:r>
      <w:r w:rsidR="00F81574" w:rsidRPr="00F81574">
        <w:rPr>
          <w:sz w:val="22"/>
          <w:szCs w:val="22"/>
        </w:rPr>
        <w:t xml:space="preserve">the March 26, 2013 meeting before </w:t>
      </w:r>
      <w:r w:rsidR="00580752">
        <w:rPr>
          <w:sz w:val="22"/>
          <w:szCs w:val="22"/>
        </w:rPr>
        <w:t>discussing</w:t>
      </w:r>
      <w:r w:rsidR="00F81574" w:rsidRPr="00F81574">
        <w:rPr>
          <w:sz w:val="22"/>
          <w:szCs w:val="22"/>
        </w:rPr>
        <w:t xml:space="preserve"> this item.  The item will be deferred until </w:t>
      </w:r>
      <w:r w:rsidR="00666763">
        <w:rPr>
          <w:sz w:val="22"/>
          <w:szCs w:val="22"/>
        </w:rPr>
        <w:t>a future</w:t>
      </w:r>
      <w:r w:rsidR="00F81574" w:rsidRPr="00F81574">
        <w:rPr>
          <w:sz w:val="22"/>
          <w:szCs w:val="22"/>
        </w:rPr>
        <w:t xml:space="preserve"> USNWG meeting</w:t>
      </w:r>
      <w:r w:rsidRPr="00F81574">
        <w:rPr>
          <w:sz w:val="22"/>
          <w:szCs w:val="22"/>
        </w:rPr>
        <w:t>.</w:t>
      </w:r>
    </w:p>
    <w:p w:rsidR="009129D7" w:rsidRPr="005E76F7" w:rsidRDefault="009E66B4" w:rsidP="00B044ED">
      <w:pPr>
        <w:pStyle w:val="Heading2"/>
        <w:rPr>
          <w:rFonts w:ascii="Times New Roman" w:hAnsi="Times New Roman" w:cs="Times New Roman"/>
          <w:b w:val="0"/>
          <w:color w:val="auto"/>
          <w:sz w:val="24"/>
          <w:szCs w:val="22"/>
        </w:rPr>
      </w:pPr>
      <w:bookmarkStart w:id="8" w:name="_Toc358047818"/>
      <w:r>
        <w:rPr>
          <w:rFonts w:ascii="Times New Roman" w:hAnsi="Times New Roman" w:cs="Times New Roman"/>
          <w:color w:val="auto"/>
          <w:sz w:val="24"/>
          <w:szCs w:val="22"/>
        </w:rPr>
        <w:t>8</w:t>
      </w:r>
      <w:r w:rsidR="00E6096B" w:rsidRPr="005E76F7">
        <w:rPr>
          <w:rFonts w:ascii="Times New Roman" w:hAnsi="Times New Roman" w:cs="Times New Roman"/>
          <w:color w:val="auto"/>
          <w:sz w:val="24"/>
          <w:szCs w:val="22"/>
        </w:rPr>
        <w:t>.</w:t>
      </w:r>
      <w:r w:rsidR="009129D7" w:rsidRPr="005E76F7">
        <w:rPr>
          <w:rFonts w:ascii="Times New Roman" w:hAnsi="Times New Roman" w:cs="Times New Roman"/>
          <w:color w:val="auto"/>
          <w:sz w:val="24"/>
          <w:szCs w:val="22"/>
        </w:rPr>
        <w:t xml:space="preserve">  </w:t>
      </w:r>
      <w:r>
        <w:rPr>
          <w:rFonts w:ascii="Times New Roman" w:hAnsi="Times New Roman" w:cs="Times New Roman"/>
          <w:color w:val="auto"/>
          <w:sz w:val="24"/>
          <w:szCs w:val="22"/>
        </w:rPr>
        <w:t>Next Meeting</w:t>
      </w:r>
      <w:bookmarkEnd w:id="8"/>
    </w:p>
    <w:p w:rsidR="00BE38D7" w:rsidRDefault="00BE38D7" w:rsidP="009129D7">
      <w:pPr>
        <w:jc w:val="both"/>
        <w:rPr>
          <w:sz w:val="22"/>
          <w:szCs w:val="22"/>
        </w:rPr>
      </w:pPr>
    </w:p>
    <w:p w:rsidR="005C67BC" w:rsidRPr="0075061B" w:rsidRDefault="00BE38D7" w:rsidP="0075061B">
      <w:pPr>
        <w:jc w:val="both"/>
        <w:rPr>
          <w:sz w:val="22"/>
          <w:szCs w:val="22"/>
        </w:rPr>
      </w:pPr>
      <w:r w:rsidRPr="00BE38D7">
        <w:rPr>
          <w:b/>
          <w:sz w:val="22"/>
          <w:szCs w:val="22"/>
        </w:rPr>
        <w:t>Decision:</w:t>
      </w:r>
      <w:r>
        <w:rPr>
          <w:sz w:val="22"/>
          <w:szCs w:val="22"/>
        </w:rPr>
        <w:t xml:space="preserve">  The USNWG </w:t>
      </w:r>
      <w:r w:rsidR="00820B7C">
        <w:rPr>
          <w:sz w:val="22"/>
          <w:szCs w:val="22"/>
        </w:rPr>
        <w:t>agreed that the next meeting should be held as soon as possible and should focus on completion of any final amendments to the</w:t>
      </w:r>
      <w:r w:rsidR="00580752">
        <w:rPr>
          <w:sz w:val="22"/>
          <w:szCs w:val="22"/>
        </w:rPr>
        <w:t xml:space="preserve"> proposed new</w:t>
      </w:r>
      <w:r w:rsidR="00820B7C">
        <w:rPr>
          <w:sz w:val="22"/>
          <w:szCs w:val="22"/>
        </w:rPr>
        <w:t xml:space="preserve"> </w:t>
      </w:r>
      <w:r w:rsidR="00820B7C" w:rsidRPr="004C146E">
        <w:rPr>
          <w:sz w:val="22"/>
          <w:szCs w:val="22"/>
        </w:rPr>
        <w:t xml:space="preserve">HB 130 MOS </w:t>
      </w:r>
      <w:r w:rsidR="00666763">
        <w:rPr>
          <w:sz w:val="22"/>
          <w:szCs w:val="22"/>
        </w:rPr>
        <w:t>R</w:t>
      </w:r>
      <w:r w:rsidR="00580752">
        <w:rPr>
          <w:sz w:val="22"/>
          <w:szCs w:val="22"/>
        </w:rPr>
        <w:t>egulation</w:t>
      </w:r>
      <w:r w:rsidR="00820B7C">
        <w:rPr>
          <w:sz w:val="22"/>
          <w:szCs w:val="22"/>
        </w:rPr>
        <w:t xml:space="preserve"> and the USNWG Position Statement on the </w:t>
      </w:r>
      <w:r w:rsidR="00820B7C" w:rsidRPr="00820B7C">
        <w:rPr>
          <w:sz w:val="22"/>
          <w:szCs w:val="22"/>
        </w:rPr>
        <w:t xml:space="preserve">HB 130 MOS </w:t>
      </w:r>
      <w:r w:rsidR="00820B7C">
        <w:rPr>
          <w:sz w:val="22"/>
          <w:szCs w:val="22"/>
        </w:rPr>
        <w:t>P</w:t>
      </w:r>
      <w:r w:rsidR="00820B7C" w:rsidRPr="00820B7C">
        <w:rPr>
          <w:sz w:val="22"/>
          <w:szCs w:val="22"/>
        </w:rPr>
        <w:t>roposal</w:t>
      </w:r>
      <w:r w:rsidR="00820B7C">
        <w:rPr>
          <w:sz w:val="22"/>
          <w:szCs w:val="22"/>
        </w:rPr>
        <w:t xml:space="preserve">.  It is important </w:t>
      </w:r>
      <w:r w:rsidR="00580752">
        <w:rPr>
          <w:sz w:val="22"/>
          <w:szCs w:val="22"/>
        </w:rPr>
        <w:t>for the USNWG to reach a consensus on a final recommendation</w:t>
      </w:r>
      <w:r w:rsidR="00820B7C">
        <w:rPr>
          <w:sz w:val="22"/>
          <w:szCs w:val="22"/>
        </w:rPr>
        <w:t xml:space="preserve"> in a timely manner </w:t>
      </w:r>
      <w:r w:rsidR="00580752">
        <w:rPr>
          <w:sz w:val="22"/>
          <w:szCs w:val="22"/>
        </w:rPr>
        <w:t xml:space="preserve">and forward this language </w:t>
      </w:r>
      <w:r w:rsidR="00820B7C">
        <w:rPr>
          <w:sz w:val="22"/>
          <w:szCs w:val="22"/>
        </w:rPr>
        <w:t xml:space="preserve">to the NCWM L&amp;R Committee so that </w:t>
      </w:r>
      <w:r w:rsidR="00580752">
        <w:rPr>
          <w:sz w:val="22"/>
          <w:szCs w:val="22"/>
        </w:rPr>
        <w:t xml:space="preserve">a uniform and appropriate MOS is ready for consideration </w:t>
      </w:r>
      <w:r w:rsidR="00820B7C">
        <w:rPr>
          <w:sz w:val="22"/>
          <w:szCs w:val="22"/>
        </w:rPr>
        <w:t xml:space="preserve">prior to the </w:t>
      </w:r>
      <w:r w:rsidR="00580752">
        <w:rPr>
          <w:sz w:val="22"/>
          <w:szCs w:val="22"/>
        </w:rPr>
        <w:t>July 2013</w:t>
      </w:r>
      <w:r w:rsidR="00666763">
        <w:rPr>
          <w:sz w:val="22"/>
          <w:szCs w:val="22"/>
        </w:rPr>
        <w:t xml:space="preserve"> </w:t>
      </w:r>
      <w:r w:rsidR="00580752">
        <w:rPr>
          <w:sz w:val="22"/>
          <w:szCs w:val="22"/>
        </w:rPr>
        <w:t>NCWM Annual Meeting</w:t>
      </w:r>
      <w:r w:rsidR="002E1B27">
        <w:rPr>
          <w:sz w:val="22"/>
          <w:szCs w:val="22"/>
        </w:rPr>
        <w:t>.</w:t>
      </w:r>
    </w:p>
    <w:sectPr w:rsidR="005C67BC" w:rsidRPr="0075061B" w:rsidSect="004C50A3">
      <w:headerReference w:type="default" r:id="rId10"/>
      <w:footerReference w:type="default" r:id="rId11"/>
      <w:pgSz w:w="12240" w:h="15840"/>
      <w:pgMar w:top="1073" w:right="1081" w:bottom="1800" w:left="1081" w:header="288" w:footer="5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A57" w:rsidRDefault="001F7A57">
      <w:r>
        <w:separator/>
      </w:r>
    </w:p>
  </w:endnote>
  <w:endnote w:type="continuationSeparator" w:id="0">
    <w:p w:rsidR="001F7A57" w:rsidRDefault="001F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57" w:rsidRDefault="001F7A57" w:rsidP="00024EA4">
    <w:pPr>
      <w:pStyle w:val="Footer"/>
      <w:tabs>
        <w:tab w:val="clear" w:pos="4320"/>
        <w:tab w:val="clear" w:pos="8640"/>
        <w:tab w:val="center" w:pos="5040"/>
        <w:tab w:val="right" w:pos="10080"/>
      </w:tabs>
    </w:pPr>
    <w:r>
      <w:tab/>
    </w:r>
    <w:sdt>
      <w:sdtPr>
        <w:id w:val="-8729905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D5DB6">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DD5DB6">
          <w:rPr>
            <w:noProof/>
          </w:rPr>
          <w:t>8</w:t>
        </w:r>
        <w:r>
          <w:rPr>
            <w:noProof/>
          </w:rPr>
          <w:fldChar w:fldCharType="end"/>
        </w:r>
        <w:r>
          <w:rPr>
            <w:noProof/>
          </w:rPr>
          <w:tab/>
        </w:r>
      </w:sdtContent>
    </w:sdt>
  </w:p>
  <w:p w:rsidR="001F7A57" w:rsidRDefault="001F7A57" w:rsidP="003149B8">
    <w:pPr>
      <w:pStyle w:val="Footer"/>
      <w:tabs>
        <w:tab w:val="clear" w:pos="8640"/>
        <w:tab w:val="right" w:pos="10080"/>
      </w:tabs>
      <w:rPr>
        <w:sz w:val="22"/>
      </w:rPr>
    </w:pPr>
  </w:p>
  <w:p w:rsidR="001F7A57" w:rsidRDefault="001F7A57" w:rsidP="003149B8">
    <w:pPr>
      <w:pStyle w:val="Footer"/>
      <w:tabs>
        <w:tab w:val="clear" w:pos="8640"/>
        <w:tab w:val="right" w:pos="10080"/>
      </w:tabs>
    </w:pPr>
    <w:r w:rsidRPr="00E07748">
      <w:rPr>
        <w:sz w:val="22"/>
      </w:rPr>
      <w:t xml:space="preserve">USNWG EVF&amp;S </w:t>
    </w:r>
    <w:r>
      <w:rPr>
        <w:sz w:val="22"/>
      </w:rPr>
      <w:t>26MAR</w:t>
    </w:r>
    <w:r w:rsidRPr="00E07748">
      <w:rPr>
        <w:sz w:val="22"/>
      </w:rPr>
      <w:t>2013 MTG SUMMARY</w:t>
    </w:r>
    <w:r w:rsidRPr="00E07748">
      <w:rP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A57" w:rsidRDefault="001F7A57">
      <w:r>
        <w:separator/>
      </w:r>
    </w:p>
  </w:footnote>
  <w:footnote w:type="continuationSeparator" w:id="0">
    <w:p w:rsidR="001F7A57" w:rsidRDefault="001F7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57" w:rsidRDefault="00B94D6E" w:rsidP="004C50A3">
    <w:pPr>
      <w:pStyle w:val="Header"/>
      <w:jc w:val="right"/>
    </w:pPr>
    <w:r w:rsidRPr="00B94D6E">
      <w:t>25</w:t>
    </w:r>
    <w:r w:rsidR="001F7A57" w:rsidRPr="00B94D6E">
      <w:t>JUNE2013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757B"/>
    <w:multiLevelType w:val="hybridMultilevel"/>
    <w:tmpl w:val="70167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16098"/>
    <w:multiLevelType w:val="hybridMultilevel"/>
    <w:tmpl w:val="F9E0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97D78"/>
    <w:multiLevelType w:val="hybridMultilevel"/>
    <w:tmpl w:val="481A9B20"/>
    <w:lvl w:ilvl="0" w:tplc="FFFFFFFF">
      <w:start w:val="1"/>
      <w:numFmt w:val="lowerLetter"/>
      <w:lvlText w:val="(%1)"/>
      <w:lvlJc w:val="left"/>
      <w:pPr>
        <w:ind w:left="-2880" w:hanging="360"/>
      </w:pPr>
      <w:rPr>
        <w:rFonts w:cs="Times New Roman" w:hint="default"/>
      </w:rPr>
    </w:lvl>
    <w:lvl w:ilvl="1" w:tplc="CC268048">
      <w:start w:val="1"/>
      <w:numFmt w:val="decimal"/>
      <w:lvlText w:val="(%2)"/>
      <w:lvlJc w:val="left"/>
      <w:pPr>
        <w:ind w:left="-2160" w:hanging="360"/>
      </w:pPr>
      <w:rPr>
        <w:rFonts w:cs="Times New Roman" w:hint="default"/>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720" w:hanging="360"/>
      </w:pPr>
      <w:rPr>
        <w:rFonts w:cs="Times New Roman"/>
      </w:rPr>
    </w:lvl>
    <w:lvl w:ilvl="4" w:tplc="04090019" w:tentative="1">
      <w:start w:val="1"/>
      <w:numFmt w:val="lowerLetter"/>
      <w:lvlText w:val="%5."/>
      <w:lvlJc w:val="left"/>
      <w:pPr>
        <w:ind w:left="0" w:hanging="360"/>
      </w:pPr>
      <w:rPr>
        <w:rFonts w:cs="Times New Roman"/>
      </w:rPr>
    </w:lvl>
    <w:lvl w:ilvl="5" w:tplc="0409001B" w:tentative="1">
      <w:start w:val="1"/>
      <w:numFmt w:val="lowerRoman"/>
      <w:lvlText w:val="%6."/>
      <w:lvlJc w:val="right"/>
      <w:pPr>
        <w:ind w:left="720" w:hanging="180"/>
      </w:pPr>
      <w:rPr>
        <w:rFonts w:cs="Times New Roman"/>
      </w:rPr>
    </w:lvl>
    <w:lvl w:ilvl="6" w:tplc="0409000F" w:tentative="1">
      <w:start w:val="1"/>
      <w:numFmt w:val="decimal"/>
      <w:lvlText w:val="%7."/>
      <w:lvlJc w:val="left"/>
      <w:pPr>
        <w:ind w:left="1440" w:hanging="360"/>
      </w:pPr>
      <w:rPr>
        <w:rFonts w:cs="Times New Roman"/>
      </w:rPr>
    </w:lvl>
    <w:lvl w:ilvl="7" w:tplc="04090019" w:tentative="1">
      <w:start w:val="1"/>
      <w:numFmt w:val="lowerLetter"/>
      <w:lvlText w:val="%8."/>
      <w:lvlJc w:val="left"/>
      <w:pPr>
        <w:ind w:left="2160" w:hanging="360"/>
      </w:pPr>
      <w:rPr>
        <w:rFonts w:cs="Times New Roman"/>
      </w:rPr>
    </w:lvl>
    <w:lvl w:ilvl="8" w:tplc="0409001B" w:tentative="1">
      <w:start w:val="1"/>
      <w:numFmt w:val="lowerRoman"/>
      <w:lvlText w:val="%9."/>
      <w:lvlJc w:val="right"/>
      <w:pPr>
        <w:ind w:left="2880" w:hanging="180"/>
      </w:pPr>
      <w:rPr>
        <w:rFonts w:cs="Times New Roman"/>
      </w:rPr>
    </w:lvl>
  </w:abstractNum>
  <w:abstractNum w:abstractNumId="3">
    <w:nsid w:val="2ADE328F"/>
    <w:multiLevelType w:val="hybridMultilevel"/>
    <w:tmpl w:val="EEA4AC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64EC8"/>
    <w:multiLevelType w:val="hybridMultilevel"/>
    <w:tmpl w:val="0BEE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3E0D18"/>
    <w:multiLevelType w:val="multilevel"/>
    <w:tmpl w:val="8612C832"/>
    <w:lvl w:ilvl="0">
      <w:start w:val="1"/>
      <w:numFmt w:val="decimal"/>
      <w:pStyle w:val="HeadingLettersgroup1"/>
      <w:lvlText w:val="%1."/>
      <w:lvlJc w:val="left"/>
      <w:pPr>
        <w:tabs>
          <w:tab w:val="num" w:pos="0"/>
        </w:tabs>
        <w:ind w:left="504" w:hanging="504"/>
      </w:pPr>
      <w:rPr>
        <w:rFonts w:hint="default"/>
      </w:rPr>
    </w:lvl>
    <w:lvl w:ilvl="1">
      <w:start w:val="1"/>
      <w:numFmt w:val="decimal"/>
      <w:lvlRestart w:val="0"/>
      <w:pStyle w:val="HeadingLettersgroup2"/>
      <w:lvlText w:val="%2."/>
      <w:lvlJc w:val="left"/>
      <w:pPr>
        <w:tabs>
          <w:tab w:val="num" w:pos="0"/>
        </w:tabs>
        <w:ind w:left="504" w:hanging="504"/>
      </w:pPr>
      <w:rPr>
        <w:rFonts w:hint="default"/>
      </w:rPr>
    </w:lvl>
    <w:lvl w:ilvl="2">
      <w:start w:val="47"/>
      <w:numFmt w:val="decimal"/>
      <w:lvlText w:val="%3."/>
      <w:lvlJc w:val="left"/>
      <w:pPr>
        <w:tabs>
          <w:tab w:val="num" w:pos="540"/>
        </w:tabs>
        <w:ind w:left="540" w:hanging="360"/>
      </w:pPr>
      <w:rPr>
        <w:rFonts w:ascii="Arial" w:hAnsi="Arial" w:hint="default"/>
        <w:b w:val="0"/>
        <w:i w:val="0"/>
        <w:strike w:val="0"/>
        <w:dstrike w:val="0"/>
        <w:sz w:val="20"/>
        <w:szCs w:val="20"/>
        <w:vertAlign w:val="baseline"/>
      </w:rPr>
    </w:lvl>
    <w:lvl w:ilvl="3">
      <w:start w:val="1"/>
      <w:numFmt w:val="decimal"/>
      <w:lvlRestart w:val="0"/>
      <w:pStyle w:val="Numberscodereference"/>
      <w:lvlText w:val="%4."/>
      <w:lvlJc w:val="left"/>
      <w:pPr>
        <w:tabs>
          <w:tab w:val="num" w:pos="0"/>
        </w:tabs>
        <w:ind w:left="1170" w:hanging="360"/>
      </w:pPr>
      <w:rPr>
        <w:rFonts w:hint="default"/>
      </w:rPr>
    </w:lvl>
    <w:lvl w:ilvl="4">
      <w:start w:val="1"/>
      <w:numFmt w:val="lowerLetter"/>
      <w:lvlRestart w:val="0"/>
      <w:pStyle w:val="Letterscodereference"/>
      <w:lvlText w:val="%5."/>
      <w:lvlJc w:val="left"/>
      <w:pPr>
        <w:tabs>
          <w:tab w:val="num" w:pos="0"/>
        </w:tabs>
        <w:ind w:left="864" w:hanging="360"/>
      </w:pPr>
      <w:rPr>
        <w:rFonts w:hint="default"/>
      </w:rPr>
    </w:lvl>
    <w:lvl w:ilvl="5">
      <w:start w:val="17"/>
      <w:numFmt w:val="decimal"/>
      <w:lvlRestart w:val="0"/>
      <w:pStyle w:val="2s"/>
      <w:lvlText w:val="%3.%6."/>
      <w:lvlJc w:val="left"/>
      <w:pPr>
        <w:tabs>
          <w:tab w:val="num" w:pos="0"/>
        </w:tabs>
        <w:ind w:left="1080"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decimal"/>
      <w:pStyle w:val="3s"/>
      <w:lvlText w:val="%3.%6.%7."/>
      <w:lvlJc w:val="left"/>
      <w:pPr>
        <w:tabs>
          <w:tab w:val="num" w:pos="0"/>
        </w:tabs>
        <w:ind w:left="1872" w:hanging="792"/>
      </w:pPr>
      <w:rPr>
        <w:rFonts w:hint="default"/>
      </w:rPr>
    </w:lvl>
    <w:lvl w:ilvl="7">
      <w:start w:val="1"/>
      <w:numFmt w:val="decimal"/>
      <w:pStyle w:val="4s"/>
      <w:lvlText w:val="%3.%6.%7.%8."/>
      <w:lvlJc w:val="left"/>
      <w:pPr>
        <w:tabs>
          <w:tab w:val="num" w:pos="0"/>
        </w:tabs>
        <w:ind w:left="2376"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8">
      <w:start w:val="1"/>
      <w:numFmt w:val="lowerLetter"/>
      <w:lvlRestart w:val="4"/>
      <w:pStyle w:val="NumberandLetters"/>
      <w:lvlText w:val="%4.%9."/>
      <w:lvlJc w:val="left"/>
      <w:pPr>
        <w:tabs>
          <w:tab w:val="num" w:pos="0"/>
        </w:tabs>
        <w:ind w:left="864" w:hanging="360"/>
      </w:pPr>
      <w:rPr>
        <w:rFonts w:hint="default"/>
      </w:rPr>
    </w:lvl>
  </w:abstractNum>
  <w:abstractNum w:abstractNumId="6">
    <w:nsid w:val="36330F16"/>
    <w:multiLevelType w:val="hybridMultilevel"/>
    <w:tmpl w:val="E968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B7DA8"/>
    <w:multiLevelType w:val="hybridMultilevel"/>
    <w:tmpl w:val="BA98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4E7619"/>
    <w:multiLevelType w:val="hybridMultilevel"/>
    <w:tmpl w:val="587888C4"/>
    <w:lvl w:ilvl="0" w:tplc="61BA933E">
      <w:start w:val="1"/>
      <w:numFmt w:val="bullet"/>
      <w:pStyle w:val="Bullets"/>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9">
    <w:nsid w:val="66692464"/>
    <w:multiLevelType w:val="hybridMultilevel"/>
    <w:tmpl w:val="770C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53A86"/>
    <w:multiLevelType w:val="hybridMultilevel"/>
    <w:tmpl w:val="EC4A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197ABD"/>
    <w:multiLevelType w:val="hybridMultilevel"/>
    <w:tmpl w:val="C5A0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4"/>
  </w:num>
  <w:num w:numId="6">
    <w:abstractNumId w:val="9"/>
  </w:num>
  <w:num w:numId="7">
    <w:abstractNumId w:val="1"/>
  </w:num>
  <w:num w:numId="8">
    <w:abstractNumId w:val="10"/>
  </w:num>
  <w:num w:numId="9">
    <w:abstractNumId w:val="11"/>
  </w:num>
  <w:num w:numId="10">
    <w:abstractNumId w:val="3"/>
  </w:num>
  <w:num w:numId="11">
    <w:abstractNumId w:val="2"/>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706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25"/>
    <w:rsid w:val="00000497"/>
    <w:rsid w:val="0000084D"/>
    <w:rsid w:val="0000284C"/>
    <w:rsid w:val="000045C1"/>
    <w:rsid w:val="0000673B"/>
    <w:rsid w:val="00006C72"/>
    <w:rsid w:val="000071BF"/>
    <w:rsid w:val="00010206"/>
    <w:rsid w:val="00010DF2"/>
    <w:rsid w:val="00012899"/>
    <w:rsid w:val="00013ACD"/>
    <w:rsid w:val="00013D53"/>
    <w:rsid w:val="00013FAF"/>
    <w:rsid w:val="00023378"/>
    <w:rsid w:val="00024042"/>
    <w:rsid w:val="00024EA4"/>
    <w:rsid w:val="00024F0F"/>
    <w:rsid w:val="000258C1"/>
    <w:rsid w:val="00025E45"/>
    <w:rsid w:val="00025F10"/>
    <w:rsid w:val="00026018"/>
    <w:rsid w:val="0002641A"/>
    <w:rsid w:val="00026AC2"/>
    <w:rsid w:val="00027DBC"/>
    <w:rsid w:val="00030B99"/>
    <w:rsid w:val="00031D3B"/>
    <w:rsid w:val="00032BB8"/>
    <w:rsid w:val="00035950"/>
    <w:rsid w:val="000366EA"/>
    <w:rsid w:val="0003686F"/>
    <w:rsid w:val="00036CFB"/>
    <w:rsid w:val="00037CC5"/>
    <w:rsid w:val="000403EC"/>
    <w:rsid w:val="000407F8"/>
    <w:rsid w:val="000410FA"/>
    <w:rsid w:val="00042818"/>
    <w:rsid w:val="000470D0"/>
    <w:rsid w:val="00052087"/>
    <w:rsid w:val="0005218A"/>
    <w:rsid w:val="00054BCD"/>
    <w:rsid w:val="0005520E"/>
    <w:rsid w:val="000560B9"/>
    <w:rsid w:val="000568F3"/>
    <w:rsid w:val="00063A5D"/>
    <w:rsid w:val="0006522B"/>
    <w:rsid w:val="00065BDE"/>
    <w:rsid w:val="00071138"/>
    <w:rsid w:val="00071F8F"/>
    <w:rsid w:val="00075728"/>
    <w:rsid w:val="00075B9B"/>
    <w:rsid w:val="0007684B"/>
    <w:rsid w:val="00081AE7"/>
    <w:rsid w:val="00081C06"/>
    <w:rsid w:val="00082C41"/>
    <w:rsid w:val="00084935"/>
    <w:rsid w:val="00090BA1"/>
    <w:rsid w:val="000923F6"/>
    <w:rsid w:val="00092A32"/>
    <w:rsid w:val="0009368C"/>
    <w:rsid w:val="000952E8"/>
    <w:rsid w:val="000974AD"/>
    <w:rsid w:val="000A44E4"/>
    <w:rsid w:val="000A4C58"/>
    <w:rsid w:val="000A50F3"/>
    <w:rsid w:val="000A5164"/>
    <w:rsid w:val="000A5ED0"/>
    <w:rsid w:val="000A621C"/>
    <w:rsid w:val="000B25E6"/>
    <w:rsid w:val="000B2A71"/>
    <w:rsid w:val="000B3DFA"/>
    <w:rsid w:val="000B4B0C"/>
    <w:rsid w:val="000B4F76"/>
    <w:rsid w:val="000B6B92"/>
    <w:rsid w:val="000C2A57"/>
    <w:rsid w:val="000C2FF3"/>
    <w:rsid w:val="000C3CAF"/>
    <w:rsid w:val="000C5187"/>
    <w:rsid w:val="000C6AEE"/>
    <w:rsid w:val="000C6FB1"/>
    <w:rsid w:val="000C79F4"/>
    <w:rsid w:val="000C7A4E"/>
    <w:rsid w:val="000D13B1"/>
    <w:rsid w:val="000D20AE"/>
    <w:rsid w:val="000D26B8"/>
    <w:rsid w:val="000D3DA3"/>
    <w:rsid w:val="000D574D"/>
    <w:rsid w:val="000D5E71"/>
    <w:rsid w:val="000D72F8"/>
    <w:rsid w:val="000E0946"/>
    <w:rsid w:val="000E13E6"/>
    <w:rsid w:val="000E1981"/>
    <w:rsid w:val="000E2739"/>
    <w:rsid w:val="000E2850"/>
    <w:rsid w:val="000E3EE6"/>
    <w:rsid w:val="000E483B"/>
    <w:rsid w:val="000E4CB6"/>
    <w:rsid w:val="000E5FEE"/>
    <w:rsid w:val="000F026D"/>
    <w:rsid w:val="000F187E"/>
    <w:rsid w:val="000F2863"/>
    <w:rsid w:val="000F38CC"/>
    <w:rsid w:val="000F4164"/>
    <w:rsid w:val="000F5253"/>
    <w:rsid w:val="000F53B1"/>
    <w:rsid w:val="000F58B2"/>
    <w:rsid w:val="000F59E2"/>
    <w:rsid w:val="000F5B79"/>
    <w:rsid w:val="00101FD8"/>
    <w:rsid w:val="00102E04"/>
    <w:rsid w:val="00103BEF"/>
    <w:rsid w:val="00104257"/>
    <w:rsid w:val="0010575B"/>
    <w:rsid w:val="00105881"/>
    <w:rsid w:val="00113332"/>
    <w:rsid w:val="001135E1"/>
    <w:rsid w:val="00113C7F"/>
    <w:rsid w:val="00115395"/>
    <w:rsid w:val="00117E2C"/>
    <w:rsid w:val="001211B3"/>
    <w:rsid w:val="0012413B"/>
    <w:rsid w:val="0013059E"/>
    <w:rsid w:val="001307B8"/>
    <w:rsid w:val="00131EA0"/>
    <w:rsid w:val="0013218B"/>
    <w:rsid w:val="00137B37"/>
    <w:rsid w:val="001406D9"/>
    <w:rsid w:val="00140ED6"/>
    <w:rsid w:val="0014177F"/>
    <w:rsid w:val="001436A7"/>
    <w:rsid w:val="00143C7F"/>
    <w:rsid w:val="001457B3"/>
    <w:rsid w:val="00145A52"/>
    <w:rsid w:val="00147A26"/>
    <w:rsid w:val="00147F94"/>
    <w:rsid w:val="00150305"/>
    <w:rsid w:val="00154ED2"/>
    <w:rsid w:val="001571D9"/>
    <w:rsid w:val="00160F4F"/>
    <w:rsid w:val="00161A8F"/>
    <w:rsid w:val="00162384"/>
    <w:rsid w:val="00162EFD"/>
    <w:rsid w:val="00164053"/>
    <w:rsid w:val="00164BF6"/>
    <w:rsid w:val="00164CB8"/>
    <w:rsid w:val="001654D8"/>
    <w:rsid w:val="00165512"/>
    <w:rsid w:val="0016697C"/>
    <w:rsid w:val="001708FA"/>
    <w:rsid w:val="00171909"/>
    <w:rsid w:val="00174138"/>
    <w:rsid w:val="001746AA"/>
    <w:rsid w:val="001759A0"/>
    <w:rsid w:val="00175F17"/>
    <w:rsid w:val="0017710C"/>
    <w:rsid w:val="00177370"/>
    <w:rsid w:val="00181333"/>
    <w:rsid w:val="00181C12"/>
    <w:rsid w:val="001832E1"/>
    <w:rsid w:val="001862BD"/>
    <w:rsid w:val="00186F84"/>
    <w:rsid w:val="001871C5"/>
    <w:rsid w:val="00187F3D"/>
    <w:rsid w:val="00190299"/>
    <w:rsid w:val="00190402"/>
    <w:rsid w:val="001908E0"/>
    <w:rsid w:val="00192766"/>
    <w:rsid w:val="001929DF"/>
    <w:rsid w:val="001931FE"/>
    <w:rsid w:val="0019437B"/>
    <w:rsid w:val="001945DD"/>
    <w:rsid w:val="00194BF7"/>
    <w:rsid w:val="0019750E"/>
    <w:rsid w:val="0019792C"/>
    <w:rsid w:val="001A0CC8"/>
    <w:rsid w:val="001A3519"/>
    <w:rsid w:val="001A3DEF"/>
    <w:rsid w:val="001A4116"/>
    <w:rsid w:val="001A6649"/>
    <w:rsid w:val="001B0214"/>
    <w:rsid w:val="001B083F"/>
    <w:rsid w:val="001B0DE2"/>
    <w:rsid w:val="001B2BE1"/>
    <w:rsid w:val="001B400F"/>
    <w:rsid w:val="001B53C5"/>
    <w:rsid w:val="001B5F65"/>
    <w:rsid w:val="001C058D"/>
    <w:rsid w:val="001C0859"/>
    <w:rsid w:val="001C2143"/>
    <w:rsid w:val="001C56AD"/>
    <w:rsid w:val="001C6195"/>
    <w:rsid w:val="001C71B6"/>
    <w:rsid w:val="001C7279"/>
    <w:rsid w:val="001D118F"/>
    <w:rsid w:val="001D189C"/>
    <w:rsid w:val="001D497B"/>
    <w:rsid w:val="001D5870"/>
    <w:rsid w:val="001D6582"/>
    <w:rsid w:val="001D7D95"/>
    <w:rsid w:val="001D7F0D"/>
    <w:rsid w:val="001E0818"/>
    <w:rsid w:val="001E0819"/>
    <w:rsid w:val="001E095E"/>
    <w:rsid w:val="001E26FD"/>
    <w:rsid w:val="001E2A61"/>
    <w:rsid w:val="001E39A4"/>
    <w:rsid w:val="001E3E6B"/>
    <w:rsid w:val="001E515B"/>
    <w:rsid w:val="001E72DC"/>
    <w:rsid w:val="001F09BC"/>
    <w:rsid w:val="001F0CEC"/>
    <w:rsid w:val="001F11AD"/>
    <w:rsid w:val="001F1A67"/>
    <w:rsid w:val="001F2A11"/>
    <w:rsid w:val="001F3BC0"/>
    <w:rsid w:val="001F7A57"/>
    <w:rsid w:val="0020083E"/>
    <w:rsid w:val="0020175E"/>
    <w:rsid w:val="002018A0"/>
    <w:rsid w:val="00201FFE"/>
    <w:rsid w:val="00203D04"/>
    <w:rsid w:val="00204E9A"/>
    <w:rsid w:val="002104C8"/>
    <w:rsid w:val="00211336"/>
    <w:rsid w:val="00211DFA"/>
    <w:rsid w:val="00212333"/>
    <w:rsid w:val="00213D83"/>
    <w:rsid w:val="00213D8C"/>
    <w:rsid w:val="0022085A"/>
    <w:rsid w:val="00222E54"/>
    <w:rsid w:val="002233D6"/>
    <w:rsid w:val="002245CE"/>
    <w:rsid w:val="00227FFA"/>
    <w:rsid w:val="002308B8"/>
    <w:rsid w:val="00231099"/>
    <w:rsid w:val="002311DE"/>
    <w:rsid w:val="00232232"/>
    <w:rsid w:val="00232EC0"/>
    <w:rsid w:val="0023364F"/>
    <w:rsid w:val="002336D8"/>
    <w:rsid w:val="0023375C"/>
    <w:rsid w:val="00234445"/>
    <w:rsid w:val="00234EC5"/>
    <w:rsid w:val="0023531F"/>
    <w:rsid w:val="00237267"/>
    <w:rsid w:val="002372D1"/>
    <w:rsid w:val="0023795F"/>
    <w:rsid w:val="00240A01"/>
    <w:rsid w:val="002415FF"/>
    <w:rsid w:val="002425E2"/>
    <w:rsid w:val="00242766"/>
    <w:rsid w:val="002437FB"/>
    <w:rsid w:val="00244AC6"/>
    <w:rsid w:val="002464E3"/>
    <w:rsid w:val="0024695D"/>
    <w:rsid w:val="00247328"/>
    <w:rsid w:val="00247EF2"/>
    <w:rsid w:val="00250763"/>
    <w:rsid w:val="00250DBC"/>
    <w:rsid w:val="00252007"/>
    <w:rsid w:val="0025442E"/>
    <w:rsid w:val="00256501"/>
    <w:rsid w:val="00256584"/>
    <w:rsid w:val="00261F29"/>
    <w:rsid w:val="00262136"/>
    <w:rsid w:val="00262E5F"/>
    <w:rsid w:val="00263014"/>
    <w:rsid w:val="00264517"/>
    <w:rsid w:val="00265C81"/>
    <w:rsid w:val="00267458"/>
    <w:rsid w:val="00270714"/>
    <w:rsid w:val="0027395A"/>
    <w:rsid w:val="002752C5"/>
    <w:rsid w:val="00276BCA"/>
    <w:rsid w:val="00277E97"/>
    <w:rsid w:val="002810A6"/>
    <w:rsid w:val="00282605"/>
    <w:rsid w:val="00285FBB"/>
    <w:rsid w:val="00286BDF"/>
    <w:rsid w:val="0029006A"/>
    <w:rsid w:val="00291E71"/>
    <w:rsid w:val="002922F6"/>
    <w:rsid w:val="00293056"/>
    <w:rsid w:val="002962C3"/>
    <w:rsid w:val="0029790A"/>
    <w:rsid w:val="002A0306"/>
    <w:rsid w:val="002A42F4"/>
    <w:rsid w:val="002A4662"/>
    <w:rsid w:val="002A70CC"/>
    <w:rsid w:val="002A730E"/>
    <w:rsid w:val="002A7AF8"/>
    <w:rsid w:val="002B1DC3"/>
    <w:rsid w:val="002B267A"/>
    <w:rsid w:val="002B3E3C"/>
    <w:rsid w:val="002B757C"/>
    <w:rsid w:val="002C2923"/>
    <w:rsid w:val="002C5ECD"/>
    <w:rsid w:val="002C6579"/>
    <w:rsid w:val="002C7A39"/>
    <w:rsid w:val="002D1ADD"/>
    <w:rsid w:val="002D1EEB"/>
    <w:rsid w:val="002D24C6"/>
    <w:rsid w:val="002D46C9"/>
    <w:rsid w:val="002D54C1"/>
    <w:rsid w:val="002D5D37"/>
    <w:rsid w:val="002E148E"/>
    <w:rsid w:val="002E1B27"/>
    <w:rsid w:val="002E408D"/>
    <w:rsid w:val="002E4477"/>
    <w:rsid w:val="002E59B0"/>
    <w:rsid w:val="002E604A"/>
    <w:rsid w:val="002E64CA"/>
    <w:rsid w:val="002E70F5"/>
    <w:rsid w:val="002E75C4"/>
    <w:rsid w:val="002F18F0"/>
    <w:rsid w:val="002F2129"/>
    <w:rsid w:val="002F353A"/>
    <w:rsid w:val="002F7ACF"/>
    <w:rsid w:val="00300DDE"/>
    <w:rsid w:val="00307676"/>
    <w:rsid w:val="00307924"/>
    <w:rsid w:val="00307B5B"/>
    <w:rsid w:val="003100C8"/>
    <w:rsid w:val="00310C09"/>
    <w:rsid w:val="00310CCC"/>
    <w:rsid w:val="00310CDD"/>
    <w:rsid w:val="00311098"/>
    <w:rsid w:val="003149B8"/>
    <w:rsid w:val="00317020"/>
    <w:rsid w:val="0031717B"/>
    <w:rsid w:val="003200A0"/>
    <w:rsid w:val="0032100B"/>
    <w:rsid w:val="00321DEA"/>
    <w:rsid w:val="00322BC5"/>
    <w:rsid w:val="00325CA3"/>
    <w:rsid w:val="00331160"/>
    <w:rsid w:val="003328E7"/>
    <w:rsid w:val="00334AD8"/>
    <w:rsid w:val="003405AA"/>
    <w:rsid w:val="003414C7"/>
    <w:rsid w:val="00343377"/>
    <w:rsid w:val="00344028"/>
    <w:rsid w:val="00346690"/>
    <w:rsid w:val="00347C3C"/>
    <w:rsid w:val="00347D32"/>
    <w:rsid w:val="00350FC4"/>
    <w:rsid w:val="003523CC"/>
    <w:rsid w:val="00352FC0"/>
    <w:rsid w:val="0035560A"/>
    <w:rsid w:val="00355CD0"/>
    <w:rsid w:val="0036278D"/>
    <w:rsid w:val="0036412B"/>
    <w:rsid w:val="003642E8"/>
    <w:rsid w:val="00366A43"/>
    <w:rsid w:val="0036727F"/>
    <w:rsid w:val="0036768B"/>
    <w:rsid w:val="003714BE"/>
    <w:rsid w:val="00371DB4"/>
    <w:rsid w:val="003756ED"/>
    <w:rsid w:val="00376732"/>
    <w:rsid w:val="00377050"/>
    <w:rsid w:val="00377406"/>
    <w:rsid w:val="0038038B"/>
    <w:rsid w:val="00380D23"/>
    <w:rsid w:val="003820EA"/>
    <w:rsid w:val="00383D77"/>
    <w:rsid w:val="00383FD0"/>
    <w:rsid w:val="00384131"/>
    <w:rsid w:val="0038598C"/>
    <w:rsid w:val="00387C0E"/>
    <w:rsid w:val="00390276"/>
    <w:rsid w:val="003916F6"/>
    <w:rsid w:val="00393FA8"/>
    <w:rsid w:val="0039463A"/>
    <w:rsid w:val="00395204"/>
    <w:rsid w:val="00395433"/>
    <w:rsid w:val="0039730A"/>
    <w:rsid w:val="003A2AF3"/>
    <w:rsid w:val="003A2DF2"/>
    <w:rsid w:val="003A38BF"/>
    <w:rsid w:val="003A4AFF"/>
    <w:rsid w:val="003A4BEF"/>
    <w:rsid w:val="003A52C3"/>
    <w:rsid w:val="003A735F"/>
    <w:rsid w:val="003B0C91"/>
    <w:rsid w:val="003B10EE"/>
    <w:rsid w:val="003B6E34"/>
    <w:rsid w:val="003B74AE"/>
    <w:rsid w:val="003C2635"/>
    <w:rsid w:val="003C33C7"/>
    <w:rsid w:val="003C44CD"/>
    <w:rsid w:val="003D014C"/>
    <w:rsid w:val="003D252F"/>
    <w:rsid w:val="003D2BD9"/>
    <w:rsid w:val="003D3D4A"/>
    <w:rsid w:val="003D574C"/>
    <w:rsid w:val="003D63CA"/>
    <w:rsid w:val="003D6B16"/>
    <w:rsid w:val="003D7B25"/>
    <w:rsid w:val="003D7EBE"/>
    <w:rsid w:val="003E02F8"/>
    <w:rsid w:val="003E050E"/>
    <w:rsid w:val="003E1205"/>
    <w:rsid w:val="003E2490"/>
    <w:rsid w:val="003E3510"/>
    <w:rsid w:val="003E36F0"/>
    <w:rsid w:val="003E3B70"/>
    <w:rsid w:val="003E4521"/>
    <w:rsid w:val="003E5AFC"/>
    <w:rsid w:val="003E5B13"/>
    <w:rsid w:val="003E7132"/>
    <w:rsid w:val="003F1E8C"/>
    <w:rsid w:val="003F4918"/>
    <w:rsid w:val="003F710A"/>
    <w:rsid w:val="0040228A"/>
    <w:rsid w:val="00403C6E"/>
    <w:rsid w:val="00405055"/>
    <w:rsid w:val="00407416"/>
    <w:rsid w:val="00407FB3"/>
    <w:rsid w:val="004139AA"/>
    <w:rsid w:val="00413B60"/>
    <w:rsid w:val="004140DB"/>
    <w:rsid w:val="004144AC"/>
    <w:rsid w:val="0041755D"/>
    <w:rsid w:val="004179DB"/>
    <w:rsid w:val="00422B46"/>
    <w:rsid w:val="00422C3B"/>
    <w:rsid w:val="004249BF"/>
    <w:rsid w:val="00424ACD"/>
    <w:rsid w:val="00424DE5"/>
    <w:rsid w:val="00425C62"/>
    <w:rsid w:val="0043049B"/>
    <w:rsid w:val="00430AFD"/>
    <w:rsid w:val="00430B2B"/>
    <w:rsid w:val="004322D7"/>
    <w:rsid w:val="00432FF2"/>
    <w:rsid w:val="00433CA3"/>
    <w:rsid w:val="004348E9"/>
    <w:rsid w:val="0044070D"/>
    <w:rsid w:val="004408BF"/>
    <w:rsid w:val="00441A3B"/>
    <w:rsid w:val="00441B03"/>
    <w:rsid w:val="0044451B"/>
    <w:rsid w:val="00444994"/>
    <w:rsid w:val="00446D59"/>
    <w:rsid w:val="004534D0"/>
    <w:rsid w:val="00454F17"/>
    <w:rsid w:val="00455C41"/>
    <w:rsid w:val="004563A6"/>
    <w:rsid w:val="00457001"/>
    <w:rsid w:val="0046066C"/>
    <w:rsid w:val="0046105F"/>
    <w:rsid w:val="00462604"/>
    <w:rsid w:val="0046299F"/>
    <w:rsid w:val="00464B31"/>
    <w:rsid w:val="00466666"/>
    <w:rsid w:val="00466840"/>
    <w:rsid w:val="004756FB"/>
    <w:rsid w:val="0048077B"/>
    <w:rsid w:val="00484024"/>
    <w:rsid w:val="004853EB"/>
    <w:rsid w:val="00485CA7"/>
    <w:rsid w:val="00486708"/>
    <w:rsid w:val="004904E8"/>
    <w:rsid w:val="004915CC"/>
    <w:rsid w:val="00491649"/>
    <w:rsid w:val="00491DE7"/>
    <w:rsid w:val="00495A58"/>
    <w:rsid w:val="00497143"/>
    <w:rsid w:val="004978DD"/>
    <w:rsid w:val="00497C7D"/>
    <w:rsid w:val="004A05F6"/>
    <w:rsid w:val="004A1E40"/>
    <w:rsid w:val="004A4C72"/>
    <w:rsid w:val="004A6940"/>
    <w:rsid w:val="004B034C"/>
    <w:rsid w:val="004B0391"/>
    <w:rsid w:val="004B162D"/>
    <w:rsid w:val="004B30CD"/>
    <w:rsid w:val="004B30ED"/>
    <w:rsid w:val="004B3351"/>
    <w:rsid w:val="004B3C44"/>
    <w:rsid w:val="004B3E3E"/>
    <w:rsid w:val="004B6E4E"/>
    <w:rsid w:val="004B7CE5"/>
    <w:rsid w:val="004B7F76"/>
    <w:rsid w:val="004C146E"/>
    <w:rsid w:val="004C2AE2"/>
    <w:rsid w:val="004C356F"/>
    <w:rsid w:val="004C36BE"/>
    <w:rsid w:val="004C4369"/>
    <w:rsid w:val="004C50A3"/>
    <w:rsid w:val="004C7147"/>
    <w:rsid w:val="004C76BB"/>
    <w:rsid w:val="004D0DD6"/>
    <w:rsid w:val="004D2B14"/>
    <w:rsid w:val="004D3211"/>
    <w:rsid w:val="004D382A"/>
    <w:rsid w:val="004D459E"/>
    <w:rsid w:val="004D491D"/>
    <w:rsid w:val="004D5C64"/>
    <w:rsid w:val="004D6BA4"/>
    <w:rsid w:val="004D7A4C"/>
    <w:rsid w:val="004D7DF6"/>
    <w:rsid w:val="004E06AD"/>
    <w:rsid w:val="004E0B6A"/>
    <w:rsid w:val="004E34F6"/>
    <w:rsid w:val="004F17D3"/>
    <w:rsid w:val="004F1BEA"/>
    <w:rsid w:val="004F26C6"/>
    <w:rsid w:val="004F2F4C"/>
    <w:rsid w:val="004F34F0"/>
    <w:rsid w:val="004F55A6"/>
    <w:rsid w:val="005005C3"/>
    <w:rsid w:val="00501C60"/>
    <w:rsid w:val="005029EB"/>
    <w:rsid w:val="00502BA5"/>
    <w:rsid w:val="00503534"/>
    <w:rsid w:val="00504117"/>
    <w:rsid w:val="00504822"/>
    <w:rsid w:val="0050725D"/>
    <w:rsid w:val="0050757F"/>
    <w:rsid w:val="0051254F"/>
    <w:rsid w:val="00512731"/>
    <w:rsid w:val="00513047"/>
    <w:rsid w:val="0051378C"/>
    <w:rsid w:val="00516859"/>
    <w:rsid w:val="0052178C"/>
    <w:rsid w:val="00522F7F"/>
    <w:rsid w:val="0052457A"/>
    <w:rsid w:val="005251EA"/>
    <w:rsid w:val="00525C98"/>
    <w:rsid w:val="00527515"/>
    <w:rsid w:val="0052787B"/>
    <w:rsid w:val="0053099E"/>
    <w:rsid w:val="0053111C"/>
    <w:rsid w:val="0053202B"/>
    <w:rsid w:val="00532273"/>
    <w:rsid w:val="005344D7"/>
    <w:rsid w:val="005356BD"/>
    <w:rsid w:val="00536205"/>
    <w:rsid w:val="00536803"/>
    <w:rsid w:val="00536D7C"/>
    <w:rsid w:val="00541C3B"/>
    <w:rsid w:val="00545E02"/>
    <w:rsid w:val="005469AF"/>
    <w:rsid w:val="00550052"/>
    <w:rsid w:val="00550125"/>
    <w:rsid w:val="00552F12"/>
    <w:rsid w:val="005538B2"/>
    <w:rsid w:val="005540B0"/>
    <w:rsid w:val="00555759"/>
    <w:rsid w:val="00556289"/>
    <w:rsid w:val="0056299B"/>
    <w:rsid w:val="00562BFE"/>
    <w:rsid w:val="00565455"/>
    <w:rsid w:val="0057058E"/>
    <w:rsid w:val="00571139"/>
    <w:rsid w:val="00571274"/>
    <w:rsid w:val="00571BAF"/>
    <w:rsid w:val="005724EE"/>
    <w:rsid w:val="00573410"/>
    <w:rsid w:val="005734C1"/>
    <w:rsid w:val="0057494E"/>
    <w:rsid w:val="00575038"/>
    <w:rsid w:val="0057621B"/>
    <w:rsid w:val="00576D53"/>
    <w:rsid w:val="00580752"/>
    <w:rsid w:val="0058144F"/>
    <w:rsid w:val="005823A6"/>
    <w:rsid w:val="0058651F"/>
    <w:rsid w:val="00590068"/>
    <w:rsid w:val="0059168C"/>
    <w:rsid w:val="00592D2F"/>
    <w:rsid w:val="00592F1A"/>
    <w:rsid w:val="00593467"/>
    <w:rsid w:val="00593B07"/>
    <w:rsid w:val="00594045"/>
    <w:rsid w:val="00594509"/>
    <w:rsid w:val="00595411"/>
    <w:rsid w:val="00596558"/>
    <w:rsid w:val="005970D7"/>
    <w:rsid w:val="00597A60"/>
    <w:rsid w:val="005A5409"/>
    <w:rsid w:val="005A72DC"/>
    <w:rsid w:val="005B574C"/>
    <w:rsid w:val="005B72F9"/>
    <w:rsid w:val="005C0307"/>
    <w:rsid w:val="005C1AB1"/>
    <w:rsid w:val="005C30B7"/>
    <w:rsid w:val="005C4405"/>
    <w:rsid w:val="005C67BC"/>
    <w:rsid w:val="005C7A43"/>
    <w:rsid w:val="005D187A"/>
    <w:rsid w:val="005D2A6B"/>
    <w:rsid w:val="005D56E8"/>
    <w:rsid w:val="005D5705"/>
    <w:rsid w:val="005E0C50"/>
    <w:rsid w:val="005E10F4"/>
    <w:rsid w:val="005E26A2"/>
    <w:rsid w:val="005E2F21"/>
    <w:rsid w:val="005E3FDB"/>
    <w:rsid w:val="005E76F7"/>
    <w:rsid w:val="005E7EF4"/>
    <w:rsid w:val="005F008F"/>
    <w:rsid w:val="005F034C"/>
    <w:rsid w:val="005F1E73"/>
    <w:rsid w:val="005F20D1"/>
    <w:rsid w:val="005F2AF4"/>
    <w:rsid w:val="005F2BED"/>
    <w:rsid w:val="005F37F0"/>
    <w:rsid w:val="005F397E"/>
    <w:rsid w:val="005F4BB4"/>
    <w:rsid w:val="005F5408"/>
    <w:rsid w:val="005F6C9E"/>
    <w:rsid w:val="005F731A"/>
    <w:rsid w:val="00605C81"/>
    <w:rsid w:val="00605F2E"/>
    <w:rsid w:val="00606249"/>
    <w:rsid w:val="00606B13"/>
    <w:rsid w:val="00610360"/>
    <w:rsid w:val="00613F5C"/>
    <w:rsid w:val="006147C9"/>
    <w:rsid w:val="00614952"/>
    <w:rsid w:val="00615378"/>
    <w:rsid w:val="00616925"/>
    <w:rsid w:val="00616CE5"/>
    <w:rsid w:val="0062041F"/>
    <w:rsid w:val="00620EF3"/>
    <w:rsid w:val="006223EC"/>
    <w:rsid w:val="00626EF0"/>
    <w:rsid w:val="00631786"/>
    <w:rsid w:val="00632AD0"/>
    <w:rsid w:val="00632ED3"/>
    <w:rsid w:val="006342A0"/>
    <w:rsid w:val="006346A9"/>
    <w:rsid w:val="00634754"/>
    <w:rsid w:val="00634FD0"/>
    <w:rsid w:val="00635BEA"/>
    <w:rsid w:val="006415AE"/>
    <w:rsid w:val="00642BE2"/>
    <w:rsid w:val="00643801"/>
    <w:rsid w:val="00644A2C"/>
    <w:rsid w:val="00644D28"/>
    <w:rsid w:val="00647E62"/>
    <w:rsid w:val="006500B3"/>
    <w:rsid w:val="0065332A"/>
    <w:rsid w:val="00653653"/>
    <w:rsid w:val="00657856"/>
    <w:rsid w:val="006610A7"/>
    <w:rsid w:val="006618CD"/>
    <w:rsid w:val="00663DBA"/>
    <w:rsid w:val="00663E68"/>
    <w:rsid w:val="00666763"/>
    <w:rsid w:val="00667461"/>
    <w:rsid w:val="0066776D"/>
    <w:rsid w:val="00674C46"/>
    <w:rsid w:val="006764D8"/>
    <w:rsid w:val="00676767"/>
    <w:rsid w:val="00682AC8"/>
    <w:rsid w:val="00682CB7"/>
    <w:rsid w:val="006836E2"/>
    <w:rsid w:val="00686E0B"/>
    <w:rsid w:val="0068750A"/>
    <w:rsid w:val="006877F0"/>
    <w:rsid w:val="00690601"/>
    <w:rsid w:val="00690998"/>
    <w:rsid w:val="00691859"/>
    <w:rsid w:val="006A2069"/>
    <w:rsid w:val="006A3639"/>
    <w:rsid w:val="006A4196"/>
    <w:rsid w:val="006A746C"/>
    <w:rsid w:val="006B13C5"/>
    <w:rsid w:val="006B2174"/>
    <w:rsid w:val="006B3C87"/>
    <w:rsid w:val="006B57C5"/>
    <w:rsid w:val="006C1131"/>
    <w:rsid w:val="006C1712"/>
    <w:rsid w:val="006C493C"/>
    <w:rsid w:val="006C50E9"/>
    <w:rsid w:val="006C5501"/>
    <w:rsid w:val="006C6CC7"/>
    <w:rsid w:val="006C7F2D"/>
    <w:rsid w:val="006D1C2A"/>
    <w:rsid w:val="006D24D1"/>
    <w:rsid w:val="006D3509"/>
    <w:rsid w:val="006D3C55"/>
    <w:rsid w:val="006D417B"/>
    <w:rsid w:val="006D483A"/>
    <w:rsid w:val="006D6651"/>
    <w:rsid w:val="006D69CA"/>
    <w:rsid w:val="006D71E6"/>
    <w:rsid w:val="006D7AAA"/>
    <w:rsid w:val="006E1018"/>
    <w:rsid w:val="006E1CFF"/>
    <w:rsid w:val="006E276B"/>
    <w:rsid w:val="006E55C1"/>
    <w:rsid w:val="006E6DD1"/>
    <w:rsid w:val="006E792A"/>
    <w:rsid w:val="006E7D53"/>
    <w:rsid w:val="006F33A7"/>
    <w:rsid w:val="006F3712"/>
    <w:rsid w:val="006F3A3E"/>
    <w:rsid w:val="006F3A76"/>
    <w:rsid w:val="006F5048"/>
    <w:rsid w:val="006F6BFD"/>
    <w:rsid w:val="006F7B79"/>
    <w:rsid w:val="0070111F"/>
    <w:rsid w:val="007015A3"/>
    <w:rsid w:val="007022D5"/>
    <w:rsid w:val="00705959"/>
    <w:rsid w:val="00705BFC"/>
    <w:rsid w:val="00706FDC"/>
    <w:rsid w:val="0070798B"/>
    <w:rsid w:val="0071010E"/>
    <w:rsid w:val="00710B8A"/>
    <w:rsid w:val="00714793"/>
    <w:rsid w:val="00716F03"/>
    <w:rsid w:val="007178F3"/>
    <w:rsid w:val="00721622"/>
    <w:rsid w:val="007233A8"/>
    <w:rsid w:val="00724801"/>
    <w:rsid w:val="00725D27"/>
    <w:rsid w:val="007320F7"/>
    <w:rsid w:val="00734AA8"/>
    <w:rsid w:val="00734D04"/>
    <w:rsid w:val="00741414"/>
    <w:rsid w:val="00741B98"/>
    <w:rsid w:val="0074281E"/>
    <w:rsid w:val="00744083"/>
    <w:rsid w:val="007476C1"/>
    <w:rsid w:val="0075061B"/>
    <w:rsid w:val="007537FD"/>
    <w:rsid w:val="00753807"/>
    <w:rsid w:val="00753C05"/>
    <w:rsid w:val="00757697"/>
    <w:rsid w:val="00757AA7"/>
    <w:rsid w:val="00760323"/>
    <w:rsid w:val="00761B91"/>
    <w:rsid w:val="00763396"/>
    <w:rsid w:val="00763C47"/>
    <w:rsid w:val="00765317"/>
    <w:rsid w:val="0076566E"/>
    <w:rsid w:val="007675BD"/>
    <w:rsid w:val="00767FB4"/>
    <w:rsid w:val="0077094E"/>
    <w:rsid w:val="00771AA0"/>
    <w:rsid w:val="00773E95"/>
    <w:rsid w:val="007750C5"/>
    <w:rsid w:val="0077518A"/>
    <w:rsid w:val="0077550C"/>
    <w:rsid w:val="0077594A"/>
    <w:rsid w:val="00782281"/>
    <w:rsid w:val="00784161"/>
    <w:rsid w:val="007850FC"/>
    <w:rsid w:val="00785BE0"/>
    <w:rsid w:val="007860E9"/>
    <w:rsid w:val="007870BB"/>
    <w:rsid w:val="00790071"/>
    <w:rsid w:val="0079245A"/>
    <w:rsid w:val="0079513A"/>
    <w:rsid w:val="00795D09"/>
    <w:rsid w:val="00796D2C"/>
    <w:rsid w:val="0079745B"/>
    <w:rsid w:val="007A05B2"/>
    <w:rsid w:val="007A09D9"/>
    <w:rsid w:val="007A3BAE"/>
    <w:rsid w:val="007A6287"/>
    <w:rsid w:val="007A71C1"/>
    <w:rsid w:val="007B0D9B"/>
    <w:rsid w:val="007B1433"/>
    <w:rsid w:val="007B2E8E"/>
    <w:rsid w:val="007B4F37"/>
    <w:rsid w:val="007B7E85"/>
    <w:rsid w:val="007C244F"/>
    <w:rsid w:val="007C4B2A"/>
    <w:rsid w:val="007C78CD"/>
    <w:rsid w:val="007C7B5A"/>
    <w:rsid w:val="007D1F22"/>
    <w:rsid w:val="007D276D"/>
    <w:rsid w:val="007D2A11"/>
    <w:rsid w:val="007D2B7F"/>
    <w:rsid w:val="007D54D4"/>
    <w:rsid w:val="007D7683"/>
    <w:rsid w:val="007D7D3E"/>
    <w:rsid w:val="007E0130"/>
    <w:rsid w:val="007E21CF"/>
    <w:rsid w:val="007E3444"/>
    <w:rsid w:val="007E5464"/>
    <w:rsid w:val="007E5E55"/>
    <w:rsid w:val="007E6C3A"/>
    <w:rsid w:val="007E73BF"/>
    <w:rsid w:val="007F0DB4"/>
    <w:rsid w:val="007F1332"/>
    <w:rsid w:val="007F1A7F"/>
    <w:rsid w:val="007F30B8"/>
    <w:rsid w:val="007F5657"/>
    <w:rsid w:val="007F62D7"/>
    <w:rsid w:val="007F688D"/>
    <w:rsid w:val="00802EB8"/>
    <w:rsid w:val="008037F0"/>
    <w:rsid w:val="00804082"/>
    <w:rsid w:val="00804A5F"/>
    <w:rsid w:val="0080539A"/>
    <w:rsid w:val="008053C2"/>
    <w:rsid w:val="008053FB"/>
    <w:rsid w:val="0080686A"/>
    <w:rsid w:val="00806C97"/>
    <w:rsid w:val="00807667"/>
    <w:rsid w:val="008109C3"/>
    <w:rsid w:val="0081241B"/>
    <w:rsid w:val="00814D89"/>
    <w:rsid w:val="00815F0A"/>
    <w:rsid w:val="00817C23"/>
    <w:rsid w:val="00820B7C"/>
    <w:rsid w:val="0082142C"/>
    <w:rsid w:val="00822EF1"/>
    <w:rsid w:val="00824E14"/>
    <w:rsid w:val="00827278"/>
    <w:rsid w:val="00827E78"/>
    <w:rsid w:val="00827F78"/>
    <w:rsid w:val="00834855"/>
    <w:rsid w:val="00835DAB"/>
    <w:rsid w:val="00835FFF"/>
    <w:rsid w:val="00836C32"/>
    <w:rsid w:val="008404A8"/>
    <w:rsid w:val="008438E6"/>
    <w:rsid w:val="00844D89"/>
    <w:rsid w:val="0085003D"/>
    <w:rsid w:val="00851E02"/>
    <w:rsid w:val="008559FF"/>
    <w:rsid w:val="00855BA3"/>
    <w:rsid w:val="00855E6D"/>
    <w:rsid w:val="00856DEA"/>
    <w:rsid w:val="00862639"/>
    <w:rsid w:val="0086506B"/>
    <w:rsid w:val="00871369"/>
    <w:rsid w:val="008716CE"/>
    <w:rsid w:val="00872B47"/>
    <w:rsid w:val="008732D2"/>
    <w:rsid w:val="00873ED5"/>
    <w:rsid w:val="008749EF"/>
    <w:rsid w:val="008753F9"/>
    <w:rsid w:val="0087552D"/>
    <w:rsid w:val="008768E1"/>
    <w:rsid w:val="008807F4"/>
    <w:rsid w:val="0088204B"/>
    <w:rsid w:val="00882689"/>
    <w:rsid w:val="00882996"/>
    <w:rsid w:val="00882F53"/>
    <w:rsid w:val="00883D25"/>
    <w:rsid w:val="00884EE8"/>
    <w:rsid w:val="0088566D"/>
    <w:rsid w:val="008867D8"/>
    <w:rsid w:val="00891390"/>
    <w:rsid w:val="0089251F"/>
    <w:rsid w:val="00892A94"/>
    <w:rsid w:val="00894B12"/>
    <w:rsid w:val="008A0CD4"/>
    <w:rsid w:val="008A1518"/>
    <w:rsid w:val="008A170C"/>
    <w:rsid w:val="008A295A"/>
    <w:rsid w:val="008A3CE1"/>
    <w:rsid w:val="008A4336"/>
    <w:rsid w:val="008A443F"/>
    <w:rsid w:val="008A6C5E"/>
    <w:rsid w:val="008A7E29"/>
    <w:rsid w:val="008B23EF"/>
    <w:rsid w:val="008B242C"/>
    <w:rsid w:val="008B2D00"/>
    <w:rsid w:val="008B311C"/>
    <w:rsid w:val="008B3AC7"/>
    <w:rsid w:val="008B615E"/>
    <w:rsid w:val="008B7283"/>
    <w:rsid w:val="008C00FB"/>
    <w:rsid w:val="008C236E"/>
    <w:rsid w:val="008C2502"/>
    <w:rsid w:val="008C28D6"/>
    <w:rsid w:val="008C2901"/>
    <w:rsid w:val="008C4514"/>
    <w:rsid w:val="008C6225"/>
    <w:rsid w:val="008D0DDC"/>
    <w:rsid w:val="008D3B16"/>
    <w:rsid w:val="008E00D7"/>
    <w:rsid w:val="008E0858"/>
    <w:rsid w:val="008E23BC"/>
    <w:rsid w:val="008E5F85"/>
    <w:rsid w:val="008E6686"/>
    <w:rsid w:val="008E6CF6"/>
    <w:rsid w:val="008F1C8E"/>
    <w:rsid w:val="008F1FA4"/>
    <w:rsid w:val="008F2C84"/>
    <w:rsid w:val="008F2F5C"/>
    <w:rsid w:val="008F3FA1"/>
    <w:rsid w:val="008F4030"/>
    <w:rsid w:val="008F58E1"/>
    <w:rsid w:val="008F69A6"/>
    <w:rsid w:val="008F6AA0"/>
    <w:rsid w:val="008F6C8A"/>
    <w:rsid w:val="008F7BEF"/>
    <w:rsid w:val="0090024D"/>
    <w:rsid w:val="00900953"/>
    <w:rsid w:val="00902EA9"/>
    <w:rsid w:val="00903A4A"/>
    <w:rsid w:val="009061B7"/>
    <w:rsid w:val="00910AE6"/>
    <w:rsid w:val="00910E25"/>
    <w:rsid w:val="00911214"/>
    <w:rsid w:val="009129D7"/>
    <w:rsid w:val="00916197"/>
    <w:rsid w:val="00916601"/>
    <w:rsid w:val="0091776D"/>
    <w:rsid w:val="0092127D"/>
    <w:rsid w:val="00924FCC"/>
    <w:rsid w:val="00925607"/>
    <w:rsid w:val="00925D31"/>
    <w:rsid w:val="009273AC"/>
    <w:rsid w:val="00927C26"/>
    <w:rsid w:val="00931079"/>
    <w:rsid w:val="00932412"/>
    <w:rsid w:val="00933361"/>
    <w:rsid w:val="00933E02"/>
    <w:rsid w:val="0093478B"/>
    <w:rsid w:val="00934D19"/>
    <w:rsid w:val="00941041"/>
    <w:rsid w:val="009417F3"/>
    <w:rsid w:val="009444FA"/>
    <w:rsid w:val="00944799"/>
    <w:rsid w:val="00945053"/>
    <w:rsid w:val="00945FD6"/>
    <w:rsid w:val="00946A90"/>
    <w:rsid w:val="00946F3B"/>
    <w:rsid w:val="00950D7B"/>
    <w:rsid w:val="00951100"/>
    <w:rsid w:val="00952831"/>
    <w:rsid w:val="00953489"/>
    <w:rsid w:val="00953B87"/>
    <w:rsid w:val="00954865"/>
    <w:rsid w:val="009549F3"/>
    <w:rsid w:val="0095622E"/>
    <w:rsid w:val="009569D7"/>
    <w:rsid w:val="00961096"/>
    <w:rsid w:val="00961ADB"/>
    <w:rsid w:val="00963ECE"/>
    <w:rsid w:val="00965E0D"/>
    <w:rsid w:val="0097012E"/>
    <w:rsid w:val="009705F7"/>
    <w:rsid w:val="00971A67"/>
    <w:rsid w:val="00972438"/>
    <w:rsid w:val="00972E8E"/>
    <w:rsid w:val="009742BA"/>
    <w:rsid w:val="00974CB3"/>
    <w:rsid w:val="009766CB"/>
    <w:rsid w:val="00980439"/>
    <w:rsid w:val="009807F6"/>
    <w:rsid w:val="009812C7"/>
    <w:rsid w:val="0098300E"/>
    <w:rsid w:val="00984BB8"/>
    <w:rsid w:val="00984E63"/>
    <w:rsid w:val="009867D6"/>
    <w:rsid w:val="00986E57"/>
    <w:rsid w:val="00987E98"/>
    <w:rsid w:val="00991B99"/>
    <w:rsid w:val="009941BC"/>
    <w:rsid w:val="00995E37"/>
    <w:rsid w:val="00996DD5"/>
    <w:rsid w:val="009A2340"/>
    <w:rsid w:val="009A5710"/>
    <w:rsid w:val="009A577A"/>
    <w:rsid w:val="009B0738"/>
    <w:rsid w:val="009B2384"/>
    <w:rsid w:val="009B386F"/>
    <w:rsid w:val="009B456A"/>
    <w:rsid w:val="009B52B6"/>
    <w:rsid w:val="009B60DE"/>
    <w:rsid w:val="009B7BDB"/>
    <w:rsid w:val="009C13E7"/>
    <w:rsid w:val="009C5D61"/>
    <w:rsid w:val="009C6083"/>
    <w:rsid w:val="009D245A"/>
    <w:rsid w:val="009D3219"/>
    <w:rsid w:val="009D329F"/>
    <w:rsid w:val="009D4143"/>
    <w:rsid w:val="009D5749"/>
    <w:rsid w:val="009D7F09"/>
    <w:rsid w:val="009E3A55"/>
    <w:rsid w:val="009E4733"/>
    <w:rsid w:val="009E5CC4"/>
    <w:rsid w:val="009E6635"/>
    <w:rsid w:val="009E66B4"/>
    <w:rsid w:val="009E6BAB"/>
    <w:rsid w:val="009F0CA6"/>
    <w:rsid w:val="009F2920"/>
    <w:rsid w:val="009F2DA9"/>
    <w:rsid w:val="009F3739"/>
    <w:rsid w:val="009F44F7"/>
    <w:rsid w:val="009F475F"/>
    <w:rsid w:val="00A00CF4"/>
    <w:rsid w:val="00A03BEC"/>
    <w:rsid w:val="00A03BF4"/>
    <w:rsid w:val="00A03BFC"/>
    <w:rsid w:val="00A05BAD"/>
    <w:rsid w:val="00A06665"/>
    <w:rsid w:val="00A073B2"/>
    <w:rsid w:val="00A11669"/>
    <w:rsid w:val="00A12840"/>
    <w:rsid w:val="00A12DFE"/>
    <w:rsid w:val="00A14BAF"/>
    <w:rsid w:val="00A17199"/>
    <w:rsid w:val="00A20868"/>
    <w:rsid w:val="00A20BD6"/>
    <w:rsid w:val="00A21485"/>
    <w:rsid w:val="00A224D5"/>
    <w:rsid w:val="00A233D7"/>
    <w:rsid w:val="00A2637C"/>
    <w:rsid w:val="00A265B4"/>
    <w:rsid w:val="00A26C8A"/>
    <w:rsid w:val="00A3220F"/>
    <w:rsid w:val="00A3288D"/>
    <w:rsid w:val="00A361E1"/>
    <w:rsid w:val="00A4066B"/>
    <w:rsid w:val="00A42D23"/>
    <w:rsid w:val="00A43573"/>
    <w:rsid w:val="00A47802"/>
    <w:rsid w:val="00A50F80"/>
    <w:rsid w:val="00A5332C"/>
    <w:rsid w:val="00A55AD2"/>
    <w:rsid w:val="00A563CB"/>
    <w:rsid w:val="00A60479"/>
    <w:rsid w:val="00A6252A"/>
    <w:rsid w:val="00A64BA7"/>
    <w:rsid w:val="00A64CC8"/>
    <w:rsid w:val="00A64FC7"/>
    <w:rsid w:val="00A70BA3"/>
    <w:rsid w:val="00A7161C"/>
    <w:rsid w:val="00A73D2A"/>
    <w:rsid w:val="00A74540"/>
    <w:rsid w:val="00A74E23"/>
    <w:rsid w:val="00A766F3"/>
    <w:rsid w:val="00A8232E"/>
    <w:rsid w:val="00A852B1"/>
    <w:rsid w:val="00A86FE0"/>
    <w:rsid w:val="00A9185D"/>
    <w:rsid w:val="00A92A46"/>
    <w:rsid w:val="00A93516"/>
    <w:rsid w:val="00A95DC3"/>
    <w:rsid w:val="00AA0434"/>
    <w:rsid w:val="00AA15EE"/>
    <w:rsid w:val="00AA2FAF"/>
    <w:rsid w:val="00AA304B"/>
    <w:rsid w:val="00AA3786"/>
    <w:rsid w:val="00AA453E"/>
    <w:rsid w:val="00AA49BA"/>
    <w:rsid w:val="00AB5AE4"/>
    <w:rsid w:val="00AB5E42"/>
    <w:rsid w:val="00AB7A79"/>
    <w:rsid w:val="00AB7D2E"/>
    <w:rsid w:val="00AC009F"/>
    <w:rsid w:val="00AC011F"/>
    <w:rsid w:val="00AC0204"/>
    <w:rsid w:val="00AC17DC"/>
    <w:rsid w:val="00AC2D62"/>
    <w:rsid w:val="00AD292D"/>
    <w:rsid w:val="00AD32EA"/>
    <w:rsid w:val="00AD723E"/>
    <w:rsid w:val="00AE0FD1"/>
    <w:rsid w:val="00AE12EE"/>
    <w:rsid w:val="00AE25A5"/>
    <w:rsid w:val="00AE5EBC"/>
    <w:rsid w:val="00AE61DE"/>
    <w:rsid w:val="00AE6211"/>
    <w:rsid w:val="00AE6E27"/>
    <w:rsid w:val="00AF234C"/>
    <w:rsid w:val="00AF4D24"/>
    <w:rsid w:val="00AF538D"/>
    <w:rsid w:val="00AF6368"/>
    <w:rsid w:val="00B024D4"/>
    <w:rsid w:val="00B02C45"/>
    <w:rsid w:val="00B03290"/>
    <w:rsid w:val="00B03B06"/>
    <w:rsid w:val="00B044ED"/>
    <w:rsid w:val="00B05A83"/>
    <w:rsid w:val="00B05BF6"/>
    <w:rsid w:val="00B10617"/>
    <w:rsid w:val="00B10F59"/>
    <w:rsid w:val="00B13B01"/>
    <w:rsid w:val="00B1432C"/>
    <w:rsid w:val="00B15CB0"/>
    <w:rsid w:val="00B21A61"/>
    <w:rsid w:val="00B226BA"/>
    <w:rsid w:val="00B23180"/>
    <w:rsid w:val="00B23244"/>
    <w:rsid w:val="00B24AFB"/>
    <w:rsid w:val="00B24E90"/>
    <w:rsid w:val="00B2775F"/>
    <w:rsid w:val="00B27942"/>
    <w:rsid w:val="00B310CE"/>
    <w:rsid w:val="00B31B6A"/>
    <w:rsid w:val="00B324E1"/>
    <w:rsid w:val="00B3289F"/>
    <w:rsid w:val="00B3455E"/>
    <w:rsid w:val="00B35C8A"/>
    <w:rsid w:val="00B3617B"/>
    <w:rsid w:val="00B361DB"/>
    <w:rsid w:val="00B36464"/>
    <w:rsid w:val="00B36C5F"/>
    <w:rsid w:val="00B40584"/>
    <w:rsid w:val="00B407E4"/>
    <w:rsid w:val="00B41343"/>
    <w:rsid w:val="00B41B60"/>
    <w:rsid w:val="00B43F05"/>
    <w:rsid w:val="00B4522A"/>
    <w:rsid w:val="00B45F25"/>
    <w:rsid w:val="00B47207"/>
    <w:rsid w:val="00B527C6"/>
    <w:rsid w:val="00B5341D"/>
    <w:rsid w:val="00B55252"/>
    <w:rsid w:val="00B557E2"/>
    <w:rsid w:val="00B55B9E"/>
    <w:rsid w:val="00B57B73"/>
    <w:rsid w:val="00B57DD3"/>
    <w:rsid w:val="00B60747"/>
    <w:rsid w:val="00B64364"/>
    <w:rsid w:val="00B64573"/>
    <w:rsid w:val="00B64E72"/>
    <w:rsid w:val="00B65111"/>
    <w:rsid w:val="00B6599F"/>
    <w:rsid w:val="00B66CE9"/>
    <w:rsid w:val="00B6766E"/>
    <w:rsid w:val="00B70245"/>
    <w:rsid w:val="00B70346"/>
    <w:rsid w:val="00B72366"/>
    <w:rsid w:val="00B72D93"/>
    <w:rsid w:val="00B72EC1"/>
    <w:rsid w:val="00B74978"/>
    <w:rsid w:val="00B75CED"/>
    <w:rsid w:val="00B76F9D"/>
    <w:rsid w:val="00B76FF5"/>
    <w:rsid w:val="00B80248"/>
    <w:rsid w:val="00B8106A"/>
    <w:rsid w:val="00B81942"/>
    <w:rsid w:val="00B8372F"/>
    <w:rsid w:val="00B84107"/>
    <w:rsid w:val="00B842D7"/>
    <w:rsid w:val="00B846F0"/>
    <w:rsid w:val="00B84D2C"/>
    <w:rsid w:val="00B87459"/>
    <w:rsid w:val="00B907EF"/>
    <w:rsid w:val="00B91772"/>
    <w:rsid w:val="00B92020"/>
    <w:rsid w:val="00B93B50"/>
    <w:rsid w:val="00B93C03"/>
    <w:rsid w:val="00B940A5"/>
    <w:rsid w:val="00B940BA"/>
    <w:rsid w:val="00B94D6E"/>
    <w:rsid w:val="00B94F67"/>
    <w:rsid w:val="00B958AE"/>
    <w:rsid w:val="00BA43C9"/>
    <w:rsid w:val="00BA51CF"/>
    <w:rsid w:val="00BA5AF8"/>
    <w:rsid w:val="00BA74B3"/>
    <w:rsid w:val="00BB0FDB"/>
    <w:rsid w:val="00BB130D"/>
    <w:rsid w:val="00BB1327"/>
    <w:rsid w:val="00BB1862"/>
    <w:rsid w:val="00BB2AE7"/>
    <w:rsid w:val="00BB466F"/>
    <w:rsid w:val="00BB67D0"/>
    <w:rsid w:val="00BB6A1C"/>
    <w:rsid w:val="00BC0470"/>
    <w:rsid w:val="00BC1FFE"/>
    <w:rsid w:val="00BD0F93"/>
    <w:rsid w:val="00BD301C"/>
    <w:rsid w:val="00BD43AE"/>
    <w:rsid w:val="00BD52E0"/>
    <w:rsid w:val="00BD644D"/>
    <w:rsid w:val="00BE0F90"/>
    <w:rsid w:val="00BE18D4"/>
    <w:rsid w:val="00BE222F"/>
    <w:rsid w:val="00BE38D7"/>
    <w:rsid w:val="00BE46B2"/>
    <w:rsid w:val="00BE48A6"/>
    <w:rsid w:val="00BE4D9B"/>
    <w:rsid w:val="00BE607C"/>
    <w:rsid w:val="00BE705A"/>
    <w:rsid w:val="00BE76BD"/>
    <w:rsid w:val="00BF004D"/>
    <w:rsid w:val="00BF1CA3"/>
    <w:rsid w:val="00BF2FA0"/>
    <w:rsid w:val="00BF4C1F"/>
    <w:rsid w:val="00BF4CF7"/>
    <w:rsid w:val="00BF580F"/>
    <w:rsid w:val="00BF6C70"/>
    <w:rsid w:val="00BF72A5"/>
    <w:rsid w:val="00BF78CF"/>
    <w:rsid w:val="00C0143E"/>
    <w:rsid w:val="00C01EE2"/>
    <w:rsid w:val="00C03E24"/>
    <w:rsid w:val="00C04DD6"/>
    <w:rsid w:val="00C0629A"/>
    <w:rsid w:val="00C14E58"/>
    <w:rsid w:val="00C14FBB"/>
    <w:rsid w:val="00C16365"/>
    <w:rsid w:val="00C16C6C"/>
    <w:rsid w:val="00C20DCE"/>
    <w:rsid w:val="00C21FFE"/>
    <w:rsid w:val="00C22995"/>
    <w:rsid w:val="00C23260"/>
    <w:rsid w:val="00C2461E"/>
    <w:rsid w:val="00C25DCF"/>
    <w:rsid w:val="00C32D81"/>
    <w:rsid w:val="00C340E1"/>
    <w:rsid w:val="00C35017"/>
    <w:rsid w:val="00C37E86"/>
    <w:rsid w:val="00C426DE"/>
    <w:rsid w:val="00C42716"/>
    <w:rsid w:val="00C45419"/>
    <w:rsid w:val="00C5034B"/>
    <w:rsid w:val="00C50468"/>
    <w:rsid w:val="00C5066F"/>
    <w:rsid w:val="00C53020"/>
    <w:rsid w:val="00C53EC8"/>
    <w:rsid w:val="00C5488C"/>
    <w:rsid w:val="00C57C82"/>
    <w:rsid w:val="00C6055C"/>
    <w:rsid w:val="00C613BF"/>
    <w:rsid w:val="00C61B80"/>
    <w:rsid w:val="00C64511"/>
    <w:rsid w:val="00C6493C"/>
    <w:rsid w:val="00C66AD0"/>
    <w:rsid w:val="00C70691"/>
    <w:rsid w:val="00C71897"/>
    <w:rsid w:val="00C71D50"/>
    <w:rsid w:val="00C7250A"/>
    <w:rsid w:val="00C72871"/>
    <w:rsid w:val="00C74631"/>
    <w:rsid w:val="00C74CEE"/>
    <w:rsid w:val="00C74E8D"/>
    <w:rsid w:val="00C753EB"/>
    <w:rsid w:val="00C765A5"/>
    <w:rsid w:val="00C76755"/>
    <w:rsid w:val="00C80762"/>
    <w:rsid w:val="00C809C0"/>
    <w:rsid w:val="00C83314"/>
    <w:rsid w:val="00C834A8"/>
    <w:rsid w:val="00C83E6F"/>
    <w:rsid w:val="00C8457E"/>
    <w:rsid w:val="00C845DC"/>
    <w:rsid w:val="00C90908"/>
    <w:rsid w:val="00C90A71"/>
    <w:rsid w:val="00C9197E"/>
    <w:rsid w:val="00C9353C"/>
    <w:rsid w:val="00C9479F"/>
    <w:rsid w:val="00C96579"/>
    <w:rsid w:val="00C97B6C"/>
    <w:rsid w:val="00CA0396"/>
    <w:rsid w:val="00CA22C0"/>
    <w:rsid w:val="00CA366D"/>
    <w:rsid w:val="00CA4FA4"/>
    <w:rsid w:val="00CA5FA0"/>
    <w:rsid w:val="00CA7AAC"/>
    <w:rsid w:val="00CA7ED6"/>
    <w:rsid w:val="00CB1660"/>
    <w:rsid w:val="00CB24C0"/>
    <w:rsid w:val="00CB2925"/>
    <w:rsid w:val="00CB3148"/>
    <w:rsid w:val="00CB3235"/>
    <w:rsid w:val="00CB54CF"/>
    <w:rsid w:val="00CB5579"/>
    <w:rsid w:val="00CB5FF1"/>
    <w:rsid w:val="00CB782E"/>
    <w:rsid w:val="00CC1BCF"/>
    <w:rsid w:val="00CC32E1"/>
    <w:rsid w:val="00CC6575"/>
    <w:rsid w:val="00CD2063"/>
    <w:rsid w:val="00CD2BEA"/>
    <w:rsid w:val="00CD32F0"/>
    <w:rsid w:val="00CD641A"/>
    <w:rsid w:val="00CE081E"/>
    <w:rsid w:val="00CE0AAE"/>
    <w:rsid w:val="00CE12E1"/>
    <w:rsid w:val="00CE2802"/>
    <w:rsid w:val="00CE79B9"/>
    <w:rsid w:val="00CF0F62"/>
    <w:rsid w:val="00CF11EA"/>
    <w:rsid w:val="00CF1522"/>
    <w:rsid w:val="00CF203A"/>
    <w:rsid w:val="00CF2135"/>
    <w:rsid w:val="00CF22CA"/>
    <w:rsid w:val="00CF34A4"/>
    <w:rsid w:val="00CF6FC1"/>
    <w:rsid w:val="00CF7005"/>
    <w:rsid w:val="00CF70F1"/>
    <w:rsid w:val="00CF7164"/>
    <w:rsid w:val="00CF7E95"/>
    <w:rsid w:val="00D016AF"/>
    <w:rsid w:val="00D019B9"/>
    <w:rsid w:val="00D0482E"/>
    <w:rsid w:val="00D05EB6"/>
    <w:rsid w:val="00D12D9A"/>
    <w:rsid w:val="00D16172"/>
    <w:rsid w:val="00D167D4"/>
    <w:rsid w:val="00D16F65"/>
    <w:rsid w:val="00D22469"/>
    <w:rsid w:val="00D24DD5"/>
    <w:rsid w:val="00D26CA5"/>
    <w:rsid w:val="00D26F84"/>
    <w:rsid w:val="00D31A49"/>
    <w:rsid w:val="00D32203"/>
    <w:rsid w:val="00D3253A"/>
    <w:rsid w:val="00D3522D"/>
    <w:rsid w:val="00D36414"/>
    <w:rsid w:val="00D37DA2"/>
    <w:rsid w:val="00D42A96"/>
    <w:rsid w:val="00D473CD"/>
    <w:rsid w:val="00D47800"/>
    <w:rsid w:val="00D50A51"/>
    <w:rsid w:val="00D539EA"/>
    <w:rsid w:val="00D54442"/>
    <w:rsid w:val="00D55882"/>
    <w:rsid w:val="00D55C2C"/>
    <w:rsid w:val="00D572A6"/>
    <w:rsid w:val="00D60030"/>
    <w:rsid w:val="00D615F2"/>
    <w:rsid w:val="00D7315A"/>
    <w:rsid w:val="00D74AD1"/>
    <w:rsid w:val="00D75E69"/>
    <w:rsid w:val="00D76645"/>
    <w:rsid w:val="00D76AF2"/>
    <w:rsid w:val="00D80B31"/>
    <w:rsid w:val="00D80EB9"/>
    <w:rsid w:val="00D8456F"/>
    <w:rsid w:val="00D84D02"/>
    <w:rsid w:val="00D8659D"/>
    <w:rsid w:val="00D86CB8"/>
    <w:rsid w:val="00D87E8C"/>
    <w:rsid w:val="00D905A3"/>
    <w:rsid w:val="00D91A4A"/>
    <w:rsid w:val="00D921AD"/>
    <w:rsid w:val="00D933A0"/>
    <w:rsid w:val="00D938A1"/>
    <w:rsid w:val="00D93EC9"/>
    <w:rsid w:val="00D9663C"/>
    <w:rsid w:val="00D973E1"/>
    <w:rsid w:val="00D97700"/>
    <w:rsid w:val="00D97AB4"/>
    <w:rsid w:val="00D97B2B"/>
    <w:rsid w:val="00DA2DA8"/>
    <w:rsid w:val="00DA39C4"/>
    <w:rsid w:val="00DA3D4D"/>
    <w:rsid w:val="00DA5068"/>
    <w:rsid w:val="00DA6130"/>
    <w:rsid w:val="00DA618E"/>
    <w:rsid w:val="00DB0DC3"/>
    <w:rsid w:val="00DB279F"/>
    <w:rsid w:val="00DB40C9"/>
    <w:rsid w:val="00DB5688"/>
    <w:rsid w:val="00DB5C9D"/>
    <w:rsid w:val="00DB6094"/>
    <w:rsid w:val="00DC0262"/>
    <w:rsid w:val="00DC1111"/>
    <w:rsid w:val="00DC2F12"/>
    <w:rsid w:val="00DC394A"/>
    <w:rsid w:val="00DC404E"/>
    <w:rsid w:val="00DC4360"/>
    <w:rsid w:val="00DC466B"/>
    <w:rsid w:val="00DC4ADB"/>
    <w:rsid w:val="00DC7955"/>
    <w:rsid w:val="00DC7CDC"/>
    <w:rsid w:val="00DD1083"/>
    <w:rsid w:val="00DD192D"/>
    <w:rsid w:val="00DD1AC7"/>
    <w:rsid w:val="00DD2501"/>
    <w:rsid w:val="00DD361A"/>
    <w:rsid w:val="00DD3B53"/>
    <w:rsid w:val="00DD4219"/>
    <w:rsid w:val="00DD5191"/>
    <w:rsid w:val="00DD5DB6"/>
    <w:rsid w:val="00DD6F74"/>
    <w:rsid w:val="00DE00A8"/>
    <w:rsid w:val="00DE310F"/>
    <w:rsid w:val="00DE3ED2"/>
    <w:rsid w:val="00DE575D"/>
    <w:rsid w:val="00DF0CA7"/>
    <w:rsid w:val="00DF1D6D"/>
    <w:rsid w:val="00DF3621"/>
    <w:rsid w:val="00DF5CB8"/>
    <w:rsid w:val="00DF78E6"/>
    <w:rsid w:val="00E01895"/>
    <w:rsid w:val="00E01FBB"/>
    <w:rsid w:val="00E03CFB"/>
    <w:rsid w:val="00E03D3C"/>
    <w:rsid w:val="00E06305"/>
    <w:rsid w:val="00E07748"/>
    <w:rsid w:val="00E1050C"/>
    <w:rsid w:val="00E11309"/>
    <w:rsid w:val="00E12D1F"/>
    <w:rsid w:val="00E15A07"/>
    <w:rsid w:val="00E216E7"/>
    <w:rsid w:val="00E249CC"/>
    <w:rsid w:val="00E26543"/>
    <w:rsid w:val="00E31E55"/>
    <w:rsid w:val="00E32017"/>
    <w:rsid w:val="00E3220D"/>
    <w:rsid w:val="00E32689"/>
    <w:rsid w:val="00E3285F"/>
    <w:rsid w:val="00E3459A"/>
    <w:rsid w:val="00E34785"/>
    <w:rsid w:val="00E350CE"/>
    <w:rsid w:val="00E35DAE"/>
    <w:rsid w:val="00E413D9"/>
    <w:rsid w:val="00E4181D"/>
    <w:rsid w:val="00E42892"/>
    <w:rsid w:val="00E42E00"/>
    <w:rsid w:val="00E4390B"/>
    <w:rsid w:val="00E43B9E"/>
    <w:rsid w:val="00E4621B"/>
    <w:rsid w:val="00E4783F"/>
    <w:rsid w:val="00E5472D"/>
    <w:rsid w:val="00E5473F"/>
    <w:rsid w:val="00E55D3B"/>
    <w:rsid w:val="00E573FD"/>
    <w:rsid w:val="00E6096B"/>
    <w:rsid w:val="00E624FB"/>
    <w:rsid w:val="00E66F85"/>
    <w:rsid w:val="00E70A2C"/>
    <w:rsid w:val="00E7125D"/>
    <w:rsid w:val="00E71934"/>
    <w:rsid w:val="00E72F9F"/>
    <w:rsid w:val="00E734B0"/>
    <w:rsid w:val="00E84D22"/>
    <w:rsid w:val="00E858B2"/>
    <w:rsid w:val="00E913CE"/>
    <w:rsid w:val="00E91F53"/>
    <w:rsid w:val="00E922E9"/>
    <w:rsid w:val="00E92DA8"/>
    <w:rsid w:val="00E92FDA"/>
    <w:rsid w:val="00E93784"/>
    <w:rsid w:val="00E9551B"/>
    <w:rsid w:val="00E95797"/>
    <w:rsid w:val="00E969C8"/>
    <w:rsid w:val="00E96AF7"/>
    <w:rsid w:val="00EA0C0C"/>
    <w:rsid w:val="00EA31E0"/>
    <w:rsid w:val="00EA43CA"/>
    <w:rsid w:val="00EA4771"/>
    <w:rsid w:val="00EA50F8"/>
    <w:rsid w:val="00EA5147"/>
    <w:rsid w:val="00EA5A9B"/>
    <w:rsid w:val="00EA7963"/>
    <w:rsid w:val="00EB00F0"/>
    <w:rsid w:val="00EB19D3"/>
    <w:rsid w:val="00EB3AB2"/>
    <w:rsid w:val="00EB3DA3"/>
    <w:rsid w:val="00EB41AD"/>
    <w:rsid w:val="00EB578B"/>
    <w:rsid w:val="00EB5EBD"/>
    <w:rsid w:val="00EB76D9"/>
    <w:rsid w:val="00EB7B8C"/>
    <w:rsid w:val="00EC05D1"/>
    <w:rsid w:val="00EC35DD"/>
    <w:rsid w:val="00EC36AC"/>
    <w:rsid w:val="00EC47D8"/>
    <w:rsid w:val="00EC56C3"/>
    <w:rsid w:val="00ED1BD0"/>
    <w:rsid w:val="00ED2350"/>
    <w:rsid w:val="00ED23CF"/>
    <w:rsid w:val="00EE010B"/>
    <w:rsid w:val="00EE5FD3"/>
    <w:rsid w:val="00EE7534"/>
    <w:rsid w:val="00EF043E"/>
    <w:rsid w:val="00EF1538"/>
    <w:rsid w:val="00EF28B1"/>
    <w:rsid w:val="00EF3762"/>
    <w:rsid w:val="00EF385B"/>
    <w:rsid w:val="00EF4A6D"/>
    <w:rsid w:val="00F022A5"/>
    <w:rsid w:val="00F02764"/>
    <w:rsid w:val="00F0410E"/>
    <w:rsid w:val="00F0571B"/>
    <w:rsid w:val="00F0603F"/>
    <w:rsid w:val="00F0645C"/>
    <w:rsid w:val="00F073B9"/>
    <w:rsid w:val="00F10EC9"/>
    <w:rsid w:val="00F13BAE"/>
    <w:rsid w:val="00F20A8F"/>
    <w:rsid w:val="00F27BCB"/>
    <w:rsid w:val="00F30C03"/>
    <w:rsid w:val="00F30CAC"/>
    <w:rsid w:val="00F32AAC"/>
    <w:rsid w:val="00F32FF8"/>
    <w:rsid w:val="00F34B9A"/>
    <w:rsid w:val="00F34F0B"/>
    <w:rsid w:val="00F37585"/>
    <w:rsid w:val="00F4182F"/>
    <w:rsid w:val="00F429E5"/>
    <w:rsid w:val="00F456A3"/>
    <w:rsid w:val="00F47764"/>
    <w:rsid w:val="00F507E1"/>
    <w:rsid w:val="00F543DA"/>
    <w:rsid w:val="00F54632"/>
    <w:rsid w:val="00F57EB4"/>
    <w:rsid w:val="00F6249C"/>
    <w:rsid w:val="00F65DEC"/>
    <w:rsid w:val="00F661F7"/>
    <w:rsid w:val="00F673CE"/>
    <w:rsid w:val="00F70F73"/>
    <w:rsid w:val="00F71B7C"/>
    <w:rsid w:val="00F73DC4"/>
    <w:rsid w:val="00F7581E"/>
    <w:rsid w:val="00F81574"/>
    <w:rsid w:val="00F819D0"/>
    <w:rsid w:val="00F82355"/>
    <w:rsid w:val="00F85044"/>
    <w:rsid w:val="00F85B6F"/>
    <w:rsid w:val="00F86B74"/>
    <w:rsid w:val="00F86BC6"/>
    <w:rsid w:val="00F87676"/>
    <w:rsid w:val="00F8798E"/>
    <w:rsid w:val="00F911EA"/>
    <w:rsid w:val="00F92C28"/>
    <w:rsid w:val="00F97445"/>
    <w:rsid w:val="00FA3B46"/>
    <w:rsid w:val="00FA3D45"/>
    <w:rsid w:val="00FA4824"/>
    <w:rsid w:val="00FA497C"/>
    <w:rsid w:val="00FA6870"/>
    <w:rsid w:val="00FA7753"/>
    <w:rsid w:val="00FB154E"/>
    <w:rsid w:val="00FB1DCE"/>
    <w:rsid w:val="00FB6684"/>
    <w:rsid w:val="00FB7886"/>
    <w:rsid w:val="00FB7975"/>
    <w:rsid w:val="00FC0190"/>
    <w:rsid w:val="00FC152F"/>
    <w:rsid w:val="00FC18CB"/>
    <w:rsid w:val="00FC237A"/>
    <w:rsid w:val="00FC4EFE"/>
    <w:rsid w:val="00FC61F0"/>
    <w:rsid w:val="00FC62CF"/>
    <w:rsid w:val="00FC66AC"/>
    <w:rsid w:val="00FD10D7"/>
    <w:rsid w:val="00FD1280"/>
    <w:rsid w:val="00FD1C87"/>
    <w:rsid w:val="00FD280A"/>
    <w:rsid w:val="00FD438D"/>
    <w:rsid w:val="00FD4950"/>
    <w:rsid w:val="00FD6270"/>
    <w:rsid w:val="00FD62F9"/>
    <w:rsid w:val="00FD78C6"/>
    <w:rsid w:val="00FE1EFA"/>
    <w:rsid w:val="00FE263B"/>
    <w:rsid w:val="00FE2AD4"/>
    <w:rsid w:val="00FE2F28"/>
    <w:rsid w:val="00FE352A"/>
    <w:rsid w:val="00FE3B18"/>
    <w:rsid w:val="00FE5CFA"/>
    <w:rsid w:val="00FE6128"/>
    <w:rsid w:val="00FE792A"/>
    <w:rsid w:val="00FF0202"/>
    <w:rsid w:val="00FF1EF8"/>
    <w:rsid w:val="00FF3FE8"/>
    <w:rsid w:val="00FF55EC"/>
    <w:rsid w:val="00FF685E"/>
    <w:rsid w:val="00FF6A97"/>
    <w:rsid w:val="00FF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0F8"/>
    <w:rPr>
      <w:sz w:val="24"/>
      <w:szCs w:val="24"/>
      <w:lang w:eastAsia="ja-JP"/>
    </w:rPr>
  </w:style>
  <w:style w:type="paragraph" w:styleId="Heading1">
    <w:name w:val="heading 1"/>
    <w:basedOn w:val="Normal"/>
    <w:next w:val="Normal"/>
    <w:link w:val="Heading1Char"/>
    <w:qFormat/>
    <w:rsid w:val="00B64E72"/>
    <w:pPr>
      <w:keepNext/>
      <w:pBdr>
        <w:top w:val="single" w:sz="4" w:space="1" w:color="auto"/>
        <w:left w:val="single" w:sz="4" w:space="1" w:color="auto"/>
        <w:bottom w:val="single" w:sz="4" w:space="1" w:color="auto"/>
        <w:right w:val="single" w:sz="4" w:space="1" w:color="auto"/>
        <w:between w:val="single" w:sz="4" w:space="1" w:color="auto"/>
        <w:bar w:val="single" w:sz="4" w:color="auto"/>
      </w:pBdr>
      <w:outlineLvl w:val="0"/>
    </w:pPr>
    <w:rPr>
      <w:rFonts w:eastAsia="Times New Roman"/>
      <w:b/>
      <w:bCs/>
      <w:sz w:val="22"/>
      <w:szCs w:val="22"/>
      <w:lang w:eastAsia="en-US"/>
    </w:rPr>
  </w:style>
  <w:style w:type="paragraph" w:styleId="Heading2">
    <w:name w:val="heading 2"/>
    <w:basedOn w:val="Normal"/>
    <w:next w:val="Normal"/>
    <w:link w:val="Heading2Char"/>
    <w:unhideWhenUsed/>
    <w:qFormat/>
    <w:rsid w:val="006F33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F33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4E72"/>
    <w:pPr>
      <w:spacing w:before="240" w:after="60"/>
      <w:jc w:val="center"/>
      <w:outlineLvl w:val="0"/>
    </w:pPr>
    <w:rPr>
      <w:rFonts w:ascii="Arial" w:eastAsia="Times New Roman" w:hAnsi="Arial" w:cs="Arial"/>
      <w:b/>
      <w:bCs/>
      <w:kern w:val="28"/>
      <w:sz w:val="32"/>
      <w:szCs w:val="32"/>
      <w:lang w:eastAsia="en-US"/>
    </w:rPr>
  </w:style>
  <w:style w:type="paragraph" w:styleId="Subtitle">
    <w:name w:val="Subtitle"/>
    <w:basedOn w:val="Normal"/>
    <w:qFormat/>
    <w:rsid w:val="00B64E72"/>
    <w:pPr>
      <w:spacing w:after="60"/>
      <w:jc w:val="center"/>
      <w:outlineLvl w:val="1"/>
    </w:pPr>
    <w:rPr>
      <w:rFonts w:ascii="Arial" w:eastAsia="Times New Roman" w:hAnsi="Arial" w:cs="Arial"/>
      <w:lang w:eastAsia="en-US"/>
    </w:rPr>
  </w:style>
  <w:style w:type="paragraph" w:styleId="BodyText">
    <w:name w:val="Body Text"/>
    <w:basedOn w:val="Normal"/>
    <w:rsid w:val="00B64E72"/>
    <w:pPr>
      <w:spacing w:after="120"/>
    </w:pPr>
    <w:rPr>
      <w:rFonts w:eastAsia="Times New Roman"/>
      <w:lang w:eastAsia="en-US"/>
    </w:rPr>
  </w:style>
  <w:style w:type="character" w:styleId="Hyperlink">
    <w:name w:val="Hyperlink"/>
    <w:basedOn w:val="DefaultParagraphFont"/>
    <w:uiPriority w:val="99"/>
    <w:rsid w:val="00B64E72"/>
    <w:rPr>
      <w:color w:val="0000FF"/>
      <w:u w:val="single"/>
    </w:rPr>
  </w:style>
  <w:style w:type="table" w:styleId="TableGrid">
    <w:name w:val="Table Grid"/>
    <w:basedOn w:val="TableNormal"/>
    <w:rsid w:val="00B24E9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B3E3C"/>
    <w:pPr>
      <w:tabs>
        <w:tab w:val="center" w:pos="4320"/>
        <w:tab w:val="right" w:pos="8640"/>
      </w:tabs>
    </w:pPr>
  </w:style>
  <w:style w:type="paragraph" w:styleId="Footer">
    <w:name w:val="footer"/>
    <w:basedOn w:val="Normal"/>
    <w:link w:val="FooterChar"/>
    <w:uiPriority w:val="99"/>
    <w:rsid w:val="002B3E3C"/>
    <w:pPr>
      <w:tabs>
        <w:tab w:val="center" w:pos="4320"/>
        <w:tab w:val="right" w:pos="8640"/>
      </w:tabs>
    </w:pPr>
  </w:style>
  <w:style w:type="paragraph" w:styleId="ListParagraph">
    <w:name w:val="List Paragraph"/>
    <w:basedOn w:val="Normal"/>
    <w:uiPriority w:val="34"/>
    <w:qFormat/>
    <w:rsid w:val="00BA5AF8"/>
    <w:pPr>
      <w:ind w:left="720"/>
    </w:pPr>
  </w:style>
  <w:style w:type="numbering" w:customStyle="1" w:styleId="NoList1">
    <w:name w:val="No List1"/>
    <w:next w:val="NoList"/>
    <w:semiHidden/>
    <w:rsid w:val="006C493C"/>
  </w:style>
  <w:style w:type="paragraph" w:customStyle="1" w:styleId="HeadingTitle">
    <w:name w:val="Heading Title"/>
    <w:qFormat/>
    <w:rsid w:val="006C493C"/>
    <w:pPr>
      <w:spacing w:before="240" w:after="160" w:line="276" w:lineRule="auto"/>
      <w:ind w:left="504" w:hanging="504"/>
    </w:pPr>
    <w:rPr>
      <w:rFonts w:eastAsia="Calibri"/>
      <w:b/>
      <w:sz w:val="24"/>
      <w:szCs w:val="22"/>
    </w:rPr>
  </w:style>
  <w:style w:type="paragraph" w:customStyle="1" w:styleId="BodyCopyheadingtitle">
    <w:name w:val="Body Copy (heading title)"/>
    <w:qFormat/>
    <w:rsid w:val="006C493C"/>
    <w:pPr>
      <w:spacing w:after="120"/>
      <w:jc w:val="both"/>
    </w:pPr>
    <w:rPr>
      <w:rFonts w:eastAsia="Calibri"/>
      <w:szCs w:val="22"/>
    </w:rPr>
  </w:style>
  <w:style w:type="paragraph" w:customStyle="1" w:styleId="CodeCopy">
    <w:name w:val="Code Copy"/>
    <w:next w:val="Normal"/>
    <w:qFormat/>
    <w:rsid w:val="006C493C"/>
    <w:pPr>
      <w:spacing w:after="120"/>
      <w:ind w:left="504"/>
      <w:jc w:val="both"/>
    </w:pPr>
    <w:rPr>
      <w:rFonts w:eastAsia="Calibri"/>
      <w:szCs w:val="22"/>
    </w:rPr>
  </w:style>
  <w:style w:type="character" w:customStyle="1" w:styleId="HeaderChar">
    <w:name w:val="Header Char"/>
    <w:link w:val="Header"/>
    <w:rsid w:val="006C493C"/>
    <w:rPr>
      <w:sz w:val="24"/>
      <w:szCs w:val="24"/>
      <w:lang w:eastAsia="ja-JP"/>
    </w:rPr>
  </w:style>
  <w:style w:type="character" w:customStyle="1" w:styleId="FooterChar">
    <w:name w:val="Footer Char"/>
    <w:link w:val="Footer"/>
    <w:uiPriority w:val="99"/>
    <w:rsid w:val="006C493C"/>
    <w:rPr>
      <w:sz w:val="24"/>
      <w:szCs w:val="24"/>
      <w:lang w:eastAsia="ja-JP"/>
    </w:rPr>
  </w:style>
  <w:style w:type="paragraph" w:styleId="TOC1">
    <w:name w:val="toc 1"/>
    <w:basedOn w:val="Normal"/>
    <w:next w:val="Normal"/>
    <w:autoRedefine/>
    <w:unhideWhenUsed/>
    <w:qFormat/>
    <w:rsid w:val="006C493C"/>
    <w:pPr>
      <w:tabs>
        <w:tab w:val="right" w:leader="dot" w:pos="10440"/>
      </w:tabs>
      <w:spacing w:after="100" w:line="276" w:lineRule="auto"/>
      <w:ind w:left="450" w:right="360" w:hanging="450"/>
      <w:jc w:val="both"/>
    </w:pPr>
    <w:rPr>
      <w:rFonts w:eastAsia="Calibri"/>
      <w:noProof/>
      <w:sz w:val="20"/>
      <w:szCs w:val="22"/>
      <w:lang w:eastAsia="en-US"/>
    </w:rPr>
  </w:style>
  <w:style w:type="paragraph" w:customStyle="1" w:styleId="2s">
    <w:name w:val="2 #s"/>
    <w:qFormat/>
    <w:rsid w:val="006C493C"/>
    <w:pPr>
      <w:numPr>
        <w:ilvl w:val="5"/>
        <w:numId w:val="2"/>
      </w:numPr>
      <w:spacing w:before="40" w:after="40"/>
      <w:jc w:val="both"/>
    </w:pPr>
    <w:rPr>
      <w:rFonts w:eastAsia="Times New Roman"/>
      <w:iCs/>
      <w:szCs w:val="24"/>
    </w:rPr>
  </w:style>
  <w:style w:type="paragraph" w:customStyle="1" w:styleId="3s">
    <w:name w:val="3 #s"/>
    <w:qFormat/>
    <w:rsid w:val="006C493C"/>
    <w:pPr>
      <w:numPr>
        <w:ilvl w:val="6"/>
        <w:numId w:val="2"/>
      </w:numPr>
      <w:tabs>
        <w:tab w:val="left" w:pos="-108"/>
      </w:tabs>
      <w:spacing w:before="40" w:after="40"/>
      <w:jc w:val="both"/>
    </w:pPr>
    <w:rPr>
      <w:rFonts w:eastAsia="Times New Roman"/>
      <w:iCs/>
      <w:szCs w:val="24"/>
    </w:rPr>
  </w:style>
  <w:style w:type="paragraph" w:customStyle="1" w:styleId="HeadingLettersgroup1">
    <w:name w:val="Heading Letters (group 1)"/>
    <w:qFormat/>
    <w:rsid w:val="006C493C"/>
    <w:pPr>
      <w:numPr>
        <w:numId w:val="2"/>
      </w:numPr>
      <w:spacing w:before="240" w:after="160" w:line="276" w:lineRule="auto"/>
      <w:jc w:val="both"/>
    </w:pPr>
    <w:rPr>
      <w:rFonts w:eastAsia="Calibri"/>
      <w:b/>
      <w:sz w:val="24"/>
      <w:szCs w:val="22"/>
    </w:rPr>
  </w:style>
  <w:style w:type="paragraph" w:customStyle="1" w:styleId="HeadingLettersgroup2">
    <w:name w:val="Heading Letters (group 2)"/>
    <w:qFormat/>
    <w:rsid w:val="006C493C"/>
    <w:pPr>
      <w:numPr>
        <w:ilvl w:val="1"/>
        <w:numId w:val="2"/>
      </w:numPr>
      <w:spacing w:before="240" w:after="160" w:line="276" w:lineRule="auto"/>
      <w:jc w:val="both"/>
    </w:pPr>
    <w:rPr>
      <w:rFonts w:eastAsia="Calibri"/>
      <w:b/>
      <w:sz w:val="24"/>
      <w:szCs w:val="22"/>
    </w:rPr>
  </w:style>
  <w:style w:type="paragraph" w:customStyle="1" w:styleId="TermsBodyCopy">
    <w:name w:val="Terms Body Copy"/>
    <w:qFormat/>
    <w:rsid w:val="006C493C"/>
    <w:pPr>
      <w:spacing w:after="120"/>
      <w:ind w:left="504"/>
      <w:jc w:val="both"/>
    </w:pPr>
    <w:rPr>
      <w:rFonts w:eastAsia="Calibri"/>
      <w:szCs w:val="22"/>
    </w:rPr>
  </w:style>
  <w:style w:type="paragraph" w:customStyle="1" w:styleId="Termsbold">
    <w:name w:val="Terms (bold)"/>
    <w:basedOn w:val="TermsBodyCopy"/>
    <w:qFormat/>
    <w:rsid w:val="006C493C"/>
    <w:pPr>
      <w:spacing w:before="240" w:after="60"/>
    </w:pPr>
    <w:rPr>
      <w:b/>
    </w:rPr>
  </w:style>
  <w:style w:type="paragraph" w:customStyle="1" w:styleId="HeadingNumbersgroup1">
    <w:name w:val="Heading Numbers (group 1)"/>
    <w:qFormat/>
    <w:rsid w:val="006C493C"/>
    <w:pPr>
      <w:spacing w:before="240" w:after="160" w:line="276" w:lineRule="auto"/>
      <w:jc w:val="both"/>
    </w:pPr>
    <w:rPr>
      <w:rFonts w:eastAsia="Calibri"/>
      <w:b/>
      <w:sz w:val="24"/>
      <w:szCs w:val="22"/>
    </w:rPr>
  </w:style>
  <w:style w:type="paragraph" w:customStyle="1" w:styleId="Numberscodereference">
    <w:name w:val="#Numbers (code reference)"/>
    <w:qFormat/>
    <w:rsid w:val="006C493C"/>
    <w:pPr>
      <w:numPr>
        <w:ilvl w:val="3"/>
        <w:numId w:val="2"/>
      </w:numPr>
      <w:spacing w:after="60"/>
      <w:jc w:val="both"/>
    </w:pPr>
    <w:rPr>
      <w:rFonts w:eastAsia="Calibri"/>
      <w:szCs w:val="22"/>
    </w:rPr>
  </w:style>
  <w:style w:type="paragraph" w:customStyle="1" w:styleId="Letterscodereference">
    <w:name w:val="Letters (code reference)"/>
    <w:qFormat/>
    <w:rsid w:val="006C493C"/>
    <w:pPr>
      <w:numPr>
        <w:ilvl w:val="4"/>
        <w:numId w:val="2"/>
      </w:numPr>
      <w:spacing w:after="60"/>
      <w:jc w:val="both"/>
    </w:pPr>
    <w:rPr>
      <w:rFonts w:eastAsia="Calibri"/>
      <w:szCs w:val="22"/>
    </w:rPr>
  </w:style>
  <w:style w:type="paragraph" w:customStyle="1" w:styleId="4s">
    <w:name w:val="4 #s"/>
    <w:qFormat/>
    <w:rsid w:val="006C493C"/>
    <w:pPr>
      <w:numPr>
        <w:ilvl w:val="7"/>
        <w:numId w:val="2"/>
      </w:numPr>
      <w:spacing w:before="40" w:after="40"/>
      <w:jc w:val="both"/>
    </w:pPr>
    <w:rPr>
      <w:rFonts w:eastAsia="Times New Roman"/>
      <w:iCs/>
      <w:szCs w:val="24"/>
    </w:rPr>
  </w:style>
  <w:style w:type="paragraph" w:customStyle="1" w:styleId="Bullets">
    <w:name w:val="Bullets"/>
    <w:qFormat/>
    <w:rsid w:val="006C493C"/>
    <w:pPr>
      <w:numPr>
        <w:numId w:val="1"/>
      </w:numPr>
      <w:spacing w:after="40"/>
      <w:ind w:left="792" w:hanging="288"/>
      <w:jc w:val="both"/>
    </w:pPr>
    <w:rPr>
      <w:rFonts w:eastAsia="Calibri"/>
      <w:szCs w:val="22"/>
    </w:rPr>
  </w:style>
  <w:style w:type="paragraph" w:customStyle="1" w:styleId="NumberandLetters">
    <w:name w:val="#Number and Letters"/>
    <w:basedOn w:val="Numberscodereference"/>
    <w:qFormat/>
    <w:rsid w:val="006C493C"/>
    <w:pPr>
      <w:numPr>
        <w:ilvl w:val="8"/>
      </w:numPr>
    </w:pPr>
  </w:style>
  <w:style w:type="paragraph" w:customStyle="1" w:styleId="Notes">
    <w:name w:val="Notes"/>
    <w:qFormat/>
    <w:rsid w:val="006C493C"/>
    <w:pPr>
      <w:spacing w:after="120"/>
      <w:ind w:left="504"/>
      <w:jc w:val="both"/>
    </w:pPr>
    <w:rPr>
      <w:rFonts w:eastAsia="Calibri"/>
      <w:i/>
      <w:szCs w:val="22"/>
    </w:rPr>
  </w:style>
  <w:style w:type="paragraph" w:customStyle="1" w:styleId="CodeReferencebold">
    <w:name w:val="Code Reference (bold)"/>
    <w:qFormat/>
    <w:rsid w:val="006C493C"/>
    <w:pPr>
      <w:spacing w:before="240" w:line="276" w:lineRule="auto"/>
      <w:ind w:left="504"/>
      <w:jc w:val="both"/>
    </w:pPr>
    <w:rPr>
      <w:rFonts w:eastAsia="Calibri"/>
      <w:b/>
      <w:szCs w:val="22"/>
    </w:rPr>
  </w:style>
  <w:style w:type="paragraph" w:customStyle="1" w:styleId="CheckBoxes">
    <w:name w:val="Check Boxes"/>
    <w:basedOn w:val="Normal"/>
    <w:qFormat/>
    <w:rsid w:val="006C493C"/>
    <w:pPr>
      <w:spacing w:before="40" w:after="40"/>
      <w:jc w:val="right"/>
    </w:pPr>
    <w:rPr>
      <w:rFonts w:eastAsia="Calibri"/>
      <w:sz w:val="20"/>
      <w:szCs w:val="22"/>
      <w:lang w:eastAsia="en-US"/>
    </w:rPr>
  </w:style>
  <w:style w:type="paragraph" w:customStyle="1" w:styleId="2scopy">
    <w:name w:val="2 #s copy"/>
    <w:autoRedefine/>
    <w:qFormat/>
    <w:rsid w:val="006C493C"/>
    <w:pPr>
      <w:spacing w:before="40" w:after="40"/>
      <w:ind w:left="540" w:right="2347"/>
      <w:jc w:val="both"/>
    </w:pPr>
    <w:rPr>
      <w:rFonts w:eastAsia="Times New Roman"/>
      <w:iCs/>
      <w:szCs w:val="24"/>
    </w:rPr>
  </w:style>
  <w:style w:type="paragraph" w:customStyle="1" w:styleId="3scopy">
    <w:name w:val="3 #s copy"/>
    <w:autoRedefine/>
    <w:qFormat/>
    <w:rsid w:val="006C493C"/>
    <w:pPr>
      <w:spacing w:before="40" w:after="40"/>
      <w:ind w:left="1872" w:right="2347"/>
      <w:jc w:val="both"/>
    </w:pPr>
    <w:rPr>
      <w:rFonts w:eastAsia="Times New Roman"/>
      <w:iCs/>
      <w:szCs w:val="24"/>
    </w:rPr>
  </w:style>
  <w:style w:type="paragraph" w:customStyle="1" w:styleId="Email">
    <w:name w:val="Email"/>
    <w:basedOn w:val="Normal"/>
    <w:link w:val="EmailChar"/>
    <w:autoRedefine/>
    <w:qFormat/>
    <w:rsid w:val="006C493C"/>
    <w:pPr>
      <w:pBdr>
        <w:top w:val="single" w:sz="4" w:space="1" w:color="auto"/>
        <w:left w:val="single" w:sz="4" w:space="4" w:color="auto"/>
        <w:bottom w:val="single" w:sz="4" w:space="1" w:color="auto"/>
        <w:right w:val="single" w:sz="4" w:space="3" w:color="auto"/>
      </w:pBdr>
      <w:spacing w:line="240" w:lineRule="exact"/>
      <w:ind w:left="90"/>
    </w:pPr>
    <w:rPr>
      <w:rFonts w:eastAsia="Calibri"/>
      <w:color w:val="0000FF"/>
      <w:sz w:val="20"/>
      <w:szCs w:val="22"/>
      <w:u w:val="single"/>
      <w:lang w:eastAsia="en-US"/>
    </w:rPr>
  </w:style>
  <w:style w:type="character" w:customStyle="1" w:styleId="EmailChar">
    <w:name w:val="Email Char"/>
    <w:link w:val="Email"/>
    <w:rsid w:val="006C493C"/>
    <w:rPr>
      <w:rFonts w:eastAsia="Calibri"/>
      <w:color w:val="0000FF"/>
      <w:szCs w:val="22"/>
      <w:u w:val="single"/>
    </w:rPr>
  </w:style>
  <w:style w:type="paragraph" w:customStyle="1" w:styleId="4scopy">
    <w:name w:val="4 #s copy"/>
    <w:qFormat/>
    <w:rsid w:val="006C493C"/>
    <w:pPr>
      <w:spacing w:before="40" w:after="40"/>
      <w:ind w:left="2808"/>
      <w:jc w:val="both"/>
    </w:pPr>
    <w:rPr>
      <w:rFonts w:eastAsia="Times New Roman"/>
      <w:iCs/>
      <w:szCs w:val="24"/>
    </w:rPr>
  </w:style>
  <w:style w:type="character" w:styleId="PageNumber">
    <w:name w:val="page number"/>
    <w:basedOn w:val="DefaultParagraphFont"/>
    <w:rsid w:val="006C493C"/>
  </w:style>
  <w:style w:type="paragraph" w:styleId="BodyTextIndent">
    <w:name w:val="Body Text Indent"/>
    <w:basedOn w:val="Normal"/>
    <w:link w:val="BodyTextIndentChar"/>
    <w:rsid w:val="006C493C"/>
    <w:pPr>
      <w:spacing w:after="120" w:line="276" w:lineRule="auto"/>
      <w:ind w:left="360"/>
      <w:jc w:val="both"/>
    </w:pPr>
    <w:rPr>
      <w:rFonts w:eastAsia="Calibri"/>
      <w:sz w:val="20"/>
      <w:szCs w:val="22"/>
      <w:lang w:eastAsia="en-US"/>
    </w:rPr>
  </w:style>
  <w:style w:type="character" w:customStyle="1" w:styleId="BodyTextIndentChar">
    <w:name w:val="Body Text Indent Char"/>
    <w:basedOn w:val="DefaultParagraphFont"/>
    <w:link w:val="BodyTextIndent"/>
    <w:rsid w:val="006C493C"/>
    <w:rPr>
      <w:rFonts w:eastAsia="Calibri"/>
      <w:szCs w:val="22"/>
    </w:rPr>
  </w:style>
  <w:style w:type="character" w:styleId="CommentReference">
    <w:name w:val="annotation reference"/>
    <w:uiPriority w:val="99"/>
    <w:unhideWhenUsed/>
    <w:rsid w:val="006C493C"/>
    <w:rPr>
      <w:sz w:val="16"/>
      <w:szCs w:val="16"/>
    </w:rPr>
  </w:style>
  <w:style w:type="paragraph" w:styleId="CommentText">
    <w:name w:val="annotation text"/>
    <w:basedOn w:val="Normal"/>
    <w:link w:val="CommentTextChar"/>
    <w:uiPriority w:val="99"/>
    <w:unhideWhenUsed/>
    <w:rsid w:val="006C493C"/>
    <w:pPr>
      <w:spacing w:after="120" w:line="276" w:lineRule="auto"/>
      <w:ind w:left="1008"/>
      <w:jc w:val="both"/>
    </w:pPr>
    <w:rPr>
      <w:rFonts w:eastAsia="Calibri"/>
      <w:sz w:val="20"/>
      <w:szCs w:val="20"/>
      <w:lang w:eastAsia="en-US"/>
    </w:rPr>
  </w:style>
  <w:style w:type="character" w:customStyle="1" w:styleId="CommentTextChar">
    <w:name w:val="Comment Text Char"/>
    <w:basedOn w:val="DefaultParagraphFont"/>
    <w:link w:val="CommentText"/>
    <w:uiPriority w:val="99"/>
    <w:rsid w:val="006C493C"/>
    <w:rPr>
      <w:rFonts w:eastAsia="Calibri"/>
    </w:rPr>
  </w:style>
  <w:style w:type="paragraph" w:styleId="CommentSubject">
    <w:name w:val="annotation subject"/>
    <w:basedOn w:val="CommentText"/>
    <w:next w:val="CommentText"/>
    <w:link w:val="CommentSubjectChar"/>
    <w:uiPriority w:val="99"/>
    <w:unhideWhenUsed/>
    <w:rsid w:val="006C493C"/>
    <w:rPr>
      <w:b/>
      <w:bCs/>
    </w:rPr>
  </w:style>
  <w:style w:type="character" w:customStyle="1" w:styleId="CommentSubjectChar">
    <w:name w:val="Comment Subject Char"/>
    <w:basedOn w:val="CommentTextChar"/>
    <w:link w:val="CommentSubject"/>
    <w:uiPriority w:val="99"/>
    <w:rsid w:val="006C493C"/>
    <w:rPr>
      <w:rFonts w:eastAsia="Calibri"/>
      <w:b/>
      <w:bCs/>
    </w:rPr>
  </w:style>
  <w:style w:type="paragraph" w:styleId="BalloonText">
    <w:name w:val="Balloon Text"/>
    <w:basedOn w:val="Normal"/>
    <w:link w:val="BalloonTextChar"/>
    <w:uiPriority w:val="99"/>
    <w:unhideWhenUsed/>
    <w:rsid w:val="006C493C"/>
    <w:pPr>
      <w:ind w:left="1008"/>
      <w:jc w:val="both"/>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6C493C"/>
    <w:rPr>
      <w:rFonts w:ascii="Tahoma" w:eastAsia="Calibri" w:hAnsi="Tahoma" w:cs="Tahoma"/>
      <w:sz w:val="16"/>
      <w:szCs w:val="16"/>
    </w:rPr>
  </w:style>
  <w:style w:type="character" w:styleId="FollowedHyperlink">
    <w:name w:val="FollowedHyperlink"/>
    <w:basedOn w:val="DefaultParagraphFont"/>
    <w:rsid w:val="00DB5C9D"/>
    <w:rPr>
      <w:color w:val="800080" w:themeColor="followedHyperlink"/>
      <w:u w:val="single"/>
    </w:rPr>
  </w:style>
  <w:style w:type="character" w:customStyle="1" w:styleId="Heading1Char">
    <w:name w:val="Heading 1 Char"/>
    <w:link w:val="Heading1"/>
    <w:rsid w:val="00620EF3"/>
    <w:rPr>
      <w:rFonts w:eastAsia="Times New Roman"/>
      <w:b/>
      <w:bCs/>
      <w:sz w:val="22"/>
      <w:szCs w:val="22"/>
    </w:rPr>
  </w:style>
  <w:style w:type="paragraph" w:styleId="TOCHeading">
    <w:name w:val="TOC Heading"/>
    <w:basedOn w:val="Heading1"/>
    <w:next w:val="Normal"/>
    <w:uiPriority w:val="39"/>
    <w:semiHidden/>
    <w:unhideWhenUsed/>
    <w:qFormat/>
    <w:rsid w:val="006F33A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rsid w:val="006F33A7"/>
    <w:pPr>
      <w:spacing w:after="100"/>
      <w:ind w:left="240"/>
    </w:pPr>
  </w:style>
  <w:style w:type="character" w:customStyle="1" w:styleId="Heading2Char">
    <w:name w:val="Heading 2 Char"/>
    <w:basedOn w:val="DefaultParagraphFont"/>
    <w:link w:val="Heading2"/>
    <w:rsid w:val="006F33A7"/>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rsid w:val="006F33A7"/>
    <w:rPr>
      <w:rFonts w:asciiTheme="majorHAnsi" w:eastAsiaTheme="majorEastAsia" w:hAnsiTheme="majorHAnsi" w:cstheme="majorBidi"/>
      <w:b/>
      <w:bCs/>
      <w:color w:val="4F81BD" w:themeColor="accent1"/>
      <w:sz w:val="24"/>
      <w:szCs w:val="24"/>
      <w:lang w:eastAsia="ja-JP"/>
    </w:rPr>
  </w:style>
  <w:style w:type="paragraph" w:styleId="TOC3">
    <w:name w:val="toc 3"/>
    <w:basedOn w:val="Normal"/>
    <w:next w:val="Normal"/>
    <w:autoRedefine/>
    <w:uiPriority w:val="39"/>
    <w:rsid w:val="006F33A7"/>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0F8"/>
    <w:rPr>
      <w:sz w:val="24"/>
      <w:szCs w:val="24"/>
      <w:lang w:eastAsia="ja-JP"/>
    </w:rPr>
  </w:style>
  <w:style w:type="paragraph" w:styleId="Heading1">
    <w:name w:val="heading 1"/>
    <w:basedOn w:val="Normal"/>
    <w:next w:val="Normal"/>
    <w:link w:val="Heading1Char"/>
    <w:qFormat/>
    <w:rsid w:val="00B64E72"/>
    <w:pPr>
      <w:keepNext/>
      <w:pBdr>
        <w:top w:val="single" w:sz="4" w:space="1" w:color="auto"/>
        <w:left w:val="single" w:sz="4" w:space="1" w:color="auto"/>
        <w:bottom w:val="single" w:sz="4" w:space="1" w:color="auto"/>
        <w:right w:val="single" w:sz="4" w:space="1" w:color="auto"/>
        <w:between w:val="single" w:sz="4" w:space="1" w:color="auto"/>
        <w:bar w:val="single" w:sz="4" w:color="auto"/>
      </w:pBdr>
      <w:outlineLvl w:val="0"/>
    </w:pPr>
    <w:rPr>
      <w:rFonts w:eastAsia="Times New Roman"/>
      <w:b/>
      <w:bCs/>
      <w:sz w:val="22"/>
      <w:szCs w:val="22"/>
      <w:lang w:eastAsia="en-US"/>
    </w:rPr>
  </w:style>
  <w:style w:type="paragraph" w:styleId="Heading2">
    <w:name w:val="heading 2"/>
    <w:basedOn w:val="Normal"/>
    <w:next w:val="Normal"/>
    <w:link w:val="Heading2Char"/>
    <w:unhideWhenUsed/>
    <w:qFormat/>
    <w:rsid w:val="006F33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F33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4E72"/>
    <w:pPr>
      <w:spacing w:before="240" w:after="60"/>
      <w:jc w:val="center"/>
      <w:outlineLvl w:val="0"/>
    </w:pPr>
    <w:rPr>
      <w:rFonts w:ascii="Arial" w:eastAsia="Times New Roman" w:hAnsi="Arial" w:cs="Arial"/>
      <w:b/>
      <w:bCs/>
      <w:kern w:val="28"/>
      <w:sz w:val="32"/>
      <w:szCs w:val="32"/>
      <w:lang w:eastAsia="en-US"/>
    </w:rPr>
  </w:style>
  <w:style w:type="paragraph" w:styleId="Subtitle">
    <w:name w:val="Subtitle"/>
    <w:basedOn w:val="Normal"/>
    <w:qFormat/>
    <w:rsid w:val="00B64E72"/>
    <w:pPr>
      <w:spacing w:after="60"/>
      <w:jc w:val="center"/>
      <w:outlineLvl w:val="1"/>
    </w:pPr>
    <w:rPr>
      <w:rFonts w:ascii="Arial" w:eastAsia="Times New Roman" w:hAnsi="Arial" w:cs="Arial"/>
      <w:lang w:eastAsia="en-US"/>
    </w:rPr>
  </w:style>
  <w:style w:type="paragraph" w:styleId="BodyText">
    <w:name w:val="Body Text"/>
    <w:basedOn w:val="Normal"/>
    <w:rsid w:val="00B64E72"/>
    <w:pPr>
      <w:spacing w:after="120"/>
    </w:pPr>
    <w:rPr>
      <w:rFonts w:eastAsia="Times New Roman"/>
      <w:lang w:eastAsia="en-US"/>
    </w:rPr>
  </w:style>
  <w:style w:type="character" w:styleId="Hyperlink">
    <w:name w:val="Hyperlink"/>
    <w:basedOn w:val="DefaultParagraphFont"/>
    <w:uiPriority w:val="99"/>
    <w:rsid w:val="00B64E72"/>
    <w:rPr>
      <w:color w:val="0000FF"/>
      <w:u w:val="single"/>
    </w:rPr>
  </w:style>
  <w:style w:type="table" w:styleId="TableGrid">
    <w:name w:val="Table Grid"/>
    <w:basedOn w:val="TableNormal"/>
    <w:rsid w:val="00B24E9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B3E3C"/>
    <w:pPr>
      <w:tabs>
        <w:tab w:val="center" w:pos="4320"/>
        <w:tab w:val="right" w:pos="8640"/>
      </w:tabs>
    </w:pPr>
  </w:style>
  <w:style w:type="paragraph" w:styleId="Footer">
    <w:name w:val="footer"/>
    <w:basedOn w:val="Normal"/>
    <w:link w:val="FooterChar"/>
    <w:uiPriority w:val="99"/>
    <w:rsid w:val="002B3E3C"/>
    <w:pPr>
      <w:tabs>
        <w:tab w:val="center" w:pos="4320"/>
        <w:tab w:val="right" w:pos="8640"/>
      </w:tabs>
    </w:pPr>
  </w:style>
  <w:style w:type="paragraph" w:styleId="ListParagraph">
    <w:name w:val="List Paragraph"/>
    <w:basedOn w:val="Normal"/>
    <w:uiPriority w:val="34"/>
    <w:qFormat/>
    <w:rsid w:val="00BA5AF8"/>
    <w:pPr>
      <w:ind w:left="720"/>
    </w:pPr>
  </w:style>
  <w:style w:type="numbering" w:customStyle="1" w:styleId="NoList1">
    <w:name w:val="No List1"/>
    <w:next w:val="NoList"/>
    <w:semiHidden/>
    <w:rsid w:val="006C493C"/>
  </w:style>
  <w:style w:type="paragraph" w:customStyle="1" w:styleId="HeadingTitle">
    <w:name w:val="Heading Title"/>
    <w:qFormat/>
    <w:rsid w:val="006C493C"/>
    <w:pPr>
      <w:spacing w:before="240" w:after="160" w:line="276" w:lineRule="auto"/>
      <w:ind w:left="504" w:hanging="504"/>
    </w:pPr>
    <w:rPr>
      <w:rFonts w:eastAsia="Calibri"/>
      <w:b/>
      <w:sz w:val="24"/>
      <w:szCs w:val="22"/>
    </w:rPr>
  </w:style>
  <w:style w:type="paragraph" w:customStyle="1" w:styleId="BodyCopyheadingtitle">
    <w:name w:val="Body Copy (heading title)"/>
    <w:qFormat/>
    <w:rsid w:val="006C493C"/>
    <w:pPr>
      <w:spacing w:after="120"/>
      <w:jc w:val="both"/>
    </w:pPr>
    <w:rPr>
      <w:rFonts w:eastAsia="Calibri"/>
      <w:szCs w:val="22"/>
    </w:rPr>
  </w:style>
  <w:style w:type="paragraph" w:customStyle="1" w:styleId="CodeCopy">
    <w:name w:val="Code Copy"/>
    <w:next w:val="Normal"/>
    <w:qFormat/>
    <w:rsid w:val="006C493C"/>
    <w:pPr>
      <w:spacing w:after="120"/>
      <w:ind w:left="504"/>
      <w:jc w:val="both"/>
    </w:pPr>
    <w:rPr>
      <w:rFonts w:eastAsia="Calibri"/>
      <w:szCs w:val="22"/>
    </w:rPr>
  </w:style>
  <w:style w:type="character" w:customStyle="1" w:styleId="HeaderChar">
    <w:name w:val="Header Char"/>
    <w:link w:val="Header"/>
    <w:rsid w:val="006C493C"/>
    <w:rPr>
      <w:sz w:val="24"/>
      <w:szCs w:val="24"/>
      <w:lang w:eastAsia="ja-JP"/>
    </w:rPr>
  </w:style>
  <w:style w:type="character" w:customStyle="1" w:styleId="FooterChar">
    <w:name w:val="Footer Char"/>
    <w:link w:val="Footer"/>
    <w:uiPriority w:val="99"/>
    <w:rsid w:val="006C493C"/>
    <w:rPr>
      <w:sz w:val="24"/>
      <w:szCs w:val="24"/>
      <w:lang w:eastAsia="ja-JP"/>
    </w:rPr>
  </w:style>
  <w:style w:type="paragraph" w:styleId="TOC1">
    <w:name w:val="toc 1"/>
    <w:basedOn w:val="Normal"/>
    <w:next w:val="Normal"/>
    <w:autoRedefine/>
    <w:unhideWhenUsed/>
    <w:qFormat/>
    <w:rsid w:val="006C493C"/>
    <w:pPr>
      <w:tabs>
        <w:tab w:val="right" w:leader="dot" w:pos="10440"/>
      </w:tabs>
      <w:spacing w:after="100" w:line="276" w:lineRule="auto"/>
      <w:ind w:left="450" w:right="360" w:hanging="450"/>
      <w:jc w:val="both"/>
    </w:pPr>
    <w:rPr>
      <w:rFonts w:eastAsia="Calibri"/>
      <w:noProof/>
      <w:sz w:val="20"/>
      <w:szCs w:val="22"/>
      <w:lang w:eastAsia="en-US"/>
    </w:rPr>
  </w:style>
  <w:style w:type="paragraph" w:customStyle="1" w:styleId="2s">
    <w:name w:val="2 #s"/>
    <w:qFormat/>
    <w:rsid w:val="006C493C"/>
    <w:pPr>
      <w:numPr>
        <w:ilvl w:val="5"/>
        <w:numId w:val="2"/>
      </w:numPr>
      <w:spacing w:before="40" w:after="40"/>
      <w:jc w:val="both"/>
    </w:pPr>
    <w:rPr>
      <w:rFonts w:eastAsia="Times New Roman"/>
      <w:iCs/>
      <w:szCs w:val="24"/>
    </w:rPr>
  </w:style>
  <w:style w:type="paragraph" w:customStyle="1" w:styleId="3s">
    <w:name w:val="3 #s"/>
    <w:qFormat/>
    <w:rsid w:val="006C493C"/>
    <w:pPr>
      <w:numPr>
        <w:ilvl w:val="6"/>
        <w:numId w:val="2"/>
      </w:numPr>
      <w:tabs>
        <w:tab w:val="left" w:pos="-108"/>
      </w:tabs>
      <w:spacing w:before="40" w:after="40"/>
      <w:jc w:val="both"/>
    </w:pPr>
    <w:rPr>
      <w:rFonts w:eastAsia="Times New Roman"/>
      <w:iCs/>
      <w:szCs w:val="24"/>
    </w:rPr>
  </w:style>
  <w:style w:type="paragraph" w:customStyle="1" w:styleId="HeadingLettersgroup1">
    <w:name w:val="Heading Letters (group 1)"/>
    <w:qFormat/>
    <w:rsid w:val="006C493C"/>
    <w:pPr>
      <w:numPr>
        <w:numId w:val="2"/>
      </w:numPr>
      <w:spacing w:before="240" w:after="160" w:line="276" w:lineRule="auto"/>
      <w:jc w:val="both"/>
    </w:pPr>
    <w:rPr>
      <w:rFonts w:eastAsia="Calibri"/>
      <w:b/>
      <w:sz w:val="24"/>
      <w:szCs w:val="22"/>
    </w:rPr>
  </w:style>
  <w:style w:type="paragraph" w:customStyle="1" w:styleId="HeadingLettersgroup2">
    <w:name w:val="Heading Letters (group 2)"/>
    <w:qFormat/>
    <w:rsid w:val="006C493C"/>
    <w:pPr>
      <w:numPr>
        <w:ilvl w:val="1"/>
        <w:numId w:val="2"/>
      </w:numPr>
      <w:spacing w:before="240" w:after="160" w:line="276" w:lineRule="auto"/>
      <w:jc w:val="both"/>
    </w:pPr>
    <w:rPr>
      <w:rFonts w:eastAsia="Calibri"/>
      <w:b/>
      <w:sz w:val="24"/>
      <w:szCs w:val="22"/>
    </w:rPr>
  </w:style>
  <w:style w:type="paragraph" w:customStyle="1" w:styleId="TermsBodyCopy">
    <w:name w:val="Terms Body Copy"/>
    <w:qFormat/>
    <w:rsid w:val="006C493C"/>
    <w:pPr>
      <w:spacing w:after="120"/>
      <w:ind w:left="504"/>
      <w:jc w:val="both"/>
    </w:pPr>
    <w:rPr>
      <w:rFonts w:eastAsia="Calibri"/>
      <w:szCs w:val="22"/>
    </w:rPr>
  </w:style>
  <w:style w:type="paragraph" w:customStyle="1" w:styleId="Termsbold">
    <w:name w:val="Terms (bold)"/>
    <w:basedOn w:val="TermsBodyCopy"/>
    <w:qFormat/>
    <w:rsid w:val="006C493C"/>
    <w:pPr>
      <w:spacing w:before="240" w:after="60"/>
    </w:pPr>
    <w:rPr>
      <w:b/>
    </w:rPr>
  </w:style>
  <w:style w:type="paragraph" w:customStyle="1" w:styleId="HeadingNumbersgroup1">
    <w:name w:val="Heading Numbers (group 1)"/>
    <w:qFormat/>
    <w:rsid w:val="006C493C"/>
    <w:pPr>
      <w:spacing w:before="240" w:after="160" w:line="276" w:lineRule="auto"/>
      <w:jc w:val="both"/>
    </w:pPr>
    <w:rPr>
      <w:rFonts w:eastAsia="Calibri"/>
      <w:b/>
      <w:sz w:val="24"/>
      <w:szCs w:val="22"/>
    </w:rPr>
  </w:style>
  <w:style w:type="paragraph" w:customStyle="1" w:styleId="Numberscodereference">
    <w:name w:val="#Numbers (code reference)"/>
    <w:qFormat/>
    <w:rsid w:val="006C493C"/>
    <w:pPr>
      <w:numPr>
        <w:ilvl w:val="3"/>
        <w:numId w:val="2"/>
      </w:numPr>
      <w:spacing w:after="60"/>
      <w:jc w:val="both"/>
    </w:pPr>
    <w:rPr>
      <w:rFonts w:eastAsia="Calibri"/>
      <w:szCs w:val="22"/>
    </w:rPr>
  </w:style>
  <w:style w:type="paragraph" w:customStyle="1" w:styleId="Letterscodereference">
    <w:name w:val="Letters (code reference)"/>
    <w:qFormat/>
    <w:rsid w:val="006C493C"/>
    <w:pPr>
      <w:numPr>
        <w:ilvl w:val="4"/>
        <w:numId w:val="2"/>
      </w:numPr>
      <w:spacing w:after="60"/>
      <w:jc w:val="both"/>
    </w:pPr>
    <w:rPr>
      <w:rFonts w:eastAsia="Calibri"/>
      <w:szCs w:val="22"/>
    </w:rPr>
  </w:style>
  <w:style w:type="paragraph" w:customStyle="1" w:styleId="4s">
    <w:name w:val="4 #s"/>
    <w:qFormat/>
    <w:rsid w:val="006C493C"/>
    <w:pPr>
      <w:numPr>
        <w:ilvl w:val="7"/>
        <w:numId w:val="2"/>
      </w:numPr>
      <w:spacing w:before="40" w:after="40"/>
      <w:jc w:val="both"/>
    </w:pPr>
    <w:rPr>
      <w:rFonts w:eastAsia="Times New Roman"/>
      <w:iCs/>
      <w:szCs w:val="24"/>
    </w:rPr>
  </w:style>
  <w:style w:type="paragraph" w:customStyle="1" w:styleId="Bullets">
    <w:name w:val="Bullets"/>
    <w:qFormat/>
    <w:rsid w:val="006C493C"/>
    <w:pPr>
      <w:numPr>
        <w:numId w:val="1"/>
      </w:numPr>
      <w:spacing w:after="40"/>
      <w:ind w:left="792" w:hanging="288"/>
      <w:jc w:val="both"/>
    </w:pPr>
    <w:rPr>
      <w:rFonts w:eastAsia="Calibri"/>
      <w:szCs w:val="22"/>
    </w:rPr>
  </w:style>
  <w:style w:type="paragraph" w:customStyle="1" w:styleId="NumberandLetters">
    <w:name w:val="#Number and Letters"/>
    <w:basedOn w:val="Numberscodereference"/>
    <w:qFormat/>
    <w:rsid w:val="006C493C"/>
    <w:pPr>
      <w:numPr>
        <w:ilvl w:val="8"/>
      </w:numPr>
    </w:pPr>
  </w:style>
  <w:style w:type="paragraph" w:customStyle="1" w:styleId="Notes">
    <w:name w:val="Notes"/>
    <w:qFormat/>
    <w:rsid w:val="006C493C"/>
    <w:pPr>
      <w:spacing w:after="120"/>
      <w:ind w:left="504"/>
      <w:jc w:val="both"/>
    </w:pPr>
    <w:rPr>
      <w:rFonts w:eastAsia="Calibri"/>
      <w:i/>
      <w:szCs w:val="22"/>
    </w:rPr>
  </w:style>
  <w:style w:type="paragraph" w:customStyle="1" w:styleId="CodeReferencebold">
    <w:name w:val="Code Reference (bold)"/>
    <w:qFormat/>
    <w:rsid w:val="006C493C"/>
    <w:pPr>
      <w:spacing w:before="240" w:line="276" w:lineRule="auto"/>
      <w:ind w:left="504"/>
      <w:jc w:val="both"/>
    </w:pPr>
    <w:rPr>
      <w:rFonts w:eastAsia="Calibri"/>
      <w:b/>
      <w:szCs w:val="22"/>
    </w:rPr>
  </w:style>
  <w:style w:type="paragraph" w:customStyle="1" w:styleId="CheckBoxes">
    <w:name w:val="Check Boxes"/>
    <w:basedOn w:val="Normal"/>
    <w:qFormat/>
    <w:rsid w:val="006C493C"/>
    <w:pPr>
      <w:spacing w:before="40" w:after="40"/>
      <w:jc w:val="right"/>
    </w:pPr>
    <w:rPr>
      <w:rFonts w:eastAsia="Calibri"/>
      <w:sz w:val="20"/>
      <w:szCs w:val="22"/>
      <w:lang w:eastAsia="en-US"/>
    </w:rPr>
  </w:style>
  <w:style w:type="paragraph" w:customStyle="1" w:styleId="2scopy">
    <w:name w:val="2 #s copy"/>
    <w:autoRedefine/>
    <w:qFormat/>
    <w:rsid w:val="006C493C"/>
    <w:pPr>
      <w:spacing w:before="40" w:after="40"/>
      <w:ind w:left="540" w:right="2347"/>
      <w:jc w:val="both"/>
    </w:pPr>
    <w:rPr>
      <w:rFonts w:eastAsia="Times New Roman"/>
      <w:iCs/>
      <w:szCs w:val="24"/>
    </w:rPr>
  </w:style>
  <w:style w:type="paragraph" w:customStyle="1" w:styleId="3scopy">
    <w:name w:val="3 #s copy"/>
    <w:autoRedefine/>
    <w:qFormat/>
    <w:rsid w:val="006C493C"/>
    <w:pPr>
      <w:spacing w:before="40" w:after="40"/>
      <w:ind w:left="1872" w:right="2347"/>
      <w:jc w:val="both"/>
    </w:pPr>
    <w:rPr>
      <w:rFonts w:eastAsia="Times New Roman"/>
      <w:iCs/>
      <w:szCs w:val="24"/>
    </w:rPr>
  </w:style>
  <w:style w:type="paragraph" w:customStyle="1" w:styleId="Email">
    <w:name w:val="Email"/>
    <w:basedOn w:val="Normal"/>
    <w:link w:val="EmailChar"/>
    <w:autoRedefine/>
    <w:qFormat/>
    <w:rsid w:val="006C493C"/>
    <w:pPr>
      <w:pBdr>
        <w:top w:val="single" w:sz="4" w:space="1" w:color="auto"/>
        <w:left w:val="single" w:sz="4" w:space="4" w:color="auto"/>
        <w:bottom w:val="single" w:sz="4" w:space="1" w:color="auto"/>
        <w:right w:val="single" w:sz="4" w:space="3" w:color="auto"/>
      </w:pBdr>
      <w:spacing w:line="240" w:lineRule="exact"/>
      <w:ind w:left="90"/>
    </w:pPr>
    <w:rPr>
      <w:rFonts w:eastAsia="Calibri"/>
      <w:color w:val="0000FF"/>
      <w:sz w:val="20"/>
      <w:szCs w:val="22"/>
      <w:u w:val="single"/>
      <w:lang w:eastAsia="en-US"/>
    </w:rPr>
  </w:style>
  <w:style w:type="character" w:customStyle="1" w:styleId="EmailChar">
    <w:name w:val="Email Char"/>
    <w:link w:val="Email"/>
    <w:rsid w:val="006C493C"/>
    <w:rPr>
      <w:rFonts w:eastAsia="Calibri"/>
      <w:color w:val="0000FF"/>
      <w:szCs w:val="22"/>
      <w:u w:val="single"/>
    </w:rPr>
  </w:style>
  <w:style w:type="paragraph" w:customStyle="1" w:styleId="4scopy">
    <w:name w:val="4 #s copy"/>
    <w:qFormat/>
    <w:rsid w:val="006C493C"/>
    <w:pPr>
      <w:spacing w:before="40" w:after="40"/>
      <w:ind w:left="2808"/>
      <w:jc w:val="both"/>
    </w:pPr>
    <w:rPr>
      <w:rFonts w:eastAsia="Times New Roman"/>
      <w:iCs/>
      <w:szCs w:val="24"/>
    </w:rPr>
  </w:style>
  <w:style w:type="character" w:styleId="PageNumber">
    <w:name w:val="page number"/>
    <w:basedOn w:val="DefaultParagraphFont"/>
    <w:rsid w:val="006C493C"/>
  </w:style>
  <w:style w:type="paragraph" w:styleId="BodyTextIndent">
    <w:name w:val="Body Text Indent"/>
    <w:basedOn w:val="Normal"/>
    <w:link w:val="BodyTextIndentChar"/>
    <w:rsid w:val="006C493C"/>
    <w:pPr>
      <w:spacing w:after="120" w:line="276" w:lineRule="auto"/>
      <w:ind w:left="360"/>
      <w:jc w:val="both"/>
    </w:pPr>
    <w:rPr>
      <w:rFonts w:eastAsia="Calibri"/>
      <w:sz w:val="20"/>
      <w:szCs w:val="22"/>
      <w:lang w:eastAsia="en-US"/>
    </w:rPr>
  </w:style>
  <w:style w:type="character" w:customStyle="1" w:styleId="BodyTextIndentChar">
    <w:name w:val="Body Text Indent Char"/>
    <w:basedOn w:val="DefaultParagraphFont"/>
    <w:link w:val="BodyTextIndent"/>
    <w:rsid w:val="006C493C"/>
    <w:rPr>
      <w:rFonts w:eastAsia="Calibri"/>
      <w:szCs w:val="22"/>
    </w:rPr>
  </w:style>
  <w:style w:type="character" w:styleId="CommentReference">
    <w:name w:val="annotation reference"/>
    <w:uiPriority w:val="99"/>
    <w:unhideWhenUsed/>
    <w:rsid w:val="006C493C"/>
    <w:rPr>
      <w:sz w:val="16"/>
      <w:szCs w:val="16"/>
    </w:rPr>
  </w:style>
  <w:style w:type="paragraph" w:styleId="CommentText">
    <w:name w:val="annotation text"/>
    <w:basedOn w:val="Normal"/>
    <w:link w:val="CommentTextChar"/>
    <w:uiPriority w:val="99"/>
    <w:unhideWhenUsed/>
    <w:rsid w:val="006C493C"/>
    <w:pPr>
      <w:spacing w:after="120" w:line="276" w:lineRule="auto"/>
      <w:ind w:left="1008"/>
      <w:jc w:val="both"/>
    </w:pPr>
    <w:rPr>
      <w:rFonts w:eastAsia="Calibri"/>
      <w:sz w:val="20"/>
      <w:szCs w:val="20"/>
      <w:lang w:eastAsia="en-US"/>
    </w:rPr>
  </w:style>
  <w:style w:type="character" w:customStyle="1" w:styleId="CommentTextChar">
    <w:name w:val="Comment Text Char"/>
    <w:basedOn w:val="DefaultParagraphFont"/>
    <w:link w:val="CommentText"/>
    <w:uiPriority w:val="99"/>
    <w:rsid w:val="006C493C"/>
    <w:rPr>
      <w:rFonts w:eastAsia="Calibri"/>
    </w:rPr>
  </w:style>
  <w:style w:type="paragraph" w:styleId="CommentSubject">
    <w:name w:val="annotation subject"/>
    <w:basedOn w:val="CommentText"/>
    <w:next w:val="CommentText"/>
    <w:link w:val="CommentSubjectChar"/>
    <w:uiPriority w:val="99"/>
    <w:unhideWhenUsed/>
    <w:rsid w:val="006C493C"/>
    <w:rPr>
      <w:b/>
      <w:bCs/>
    </w:rPr>
  </w:style>
  <w:style w:type="character" w:customStyle="1" w:styleId="CommentSubjectChar">
    <w:name w:val="Comment Subject Char"/>
    <w:basedOn w:val="CommentTextChar"/>
    <w:link w:val="CommentSubject"/>
    <w:uiPriority w:val="99"/>
    <w:rsid w:val="006C493C"/>
    <w:rPr>
      <w:rFonts w:eastAsia="Calibri"/>
      <w:b/>
      <w:bCs/>
    </w:rPr>
  </w:style>
  <w:style w:type="paragraph" w:styleId="BalloonText">
    <w:name w:val="Balloon Text"/>
    <w:basedOn w:val="Normal"/>
    <w:link w:val="BalloonTextChar"/>
    <w:uiPriority w:val="99"/>
    <w:unhideWhenUsed/>
    <w:rsid w:val="006C493C"/>
    <w:pPr>
      <w:ind w:left="1008"/>
      <w:jc w:val="both"/>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6C493C"/>
    <w:rPr>
      <w:rFonts w:ascii="Tahoma" w:eastAsia="Calibri" w:hAnsi="Tahoma" w:cs="Tahoma"/>
      <w:sz w:val="16"/>
      <w:szCs w:val="16"/>
    </w:rPr>
  </w:style>
  <w:style w:type="character" w:styleId="FollowedHyperlink">
    <w:name w:val="FollowedHyperlink"/>
    <w:basedOn w:val="DefaultParagraphFont"/>
    <w:rsid w:val="00DB5C9D"/>
    <w:rPr>
      <w:color w:val="800080" w:themeColor="followedHyperlink"/>
      <w:u w:val="single"/>
    </w:rPr>
  </w:style>
  <w:style w:type="character" w:customStyle="1" w:styleId="Heading1Char">
    <w:name w:val="Heading 1 Char"/>
    <w:link w:val="Heading1"/>
    <w:rsid w:val="00620EF3"/>
    <w:rPr>
      <w:rFonts w:eastAsia="Times New Roman"/>
      <w:b/>
      <w:bCs/>
      <w:sz w:val="22"/>
      <w:szCs w:val="22"/>
    </w:rPr>
  </w:style>
  <w:style w:type="paragraph" w:styleId="TOCHeading">
    <w:name w:val="TOC Heading"/>
    <w:basedOn w:val="Heading1"/>
    <w:next w:val="Normal"/>
    <w:uiPriority w:val="39"/>
    <w:semiHidden/>
    <w:unhideWhenUsed/>
    <w:qFormat/>
    <w:rsid w:val="006F33A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rsid w:val="006F33A7"/>
    <w:pPr>
      <w:spacing w:after="100"/>
      <w:ind w:left="240"/>
    </w:pPr>
  </w:style>
  <w:style w:type="character" w:customStyle="1" w:styleId="Heading2Char">
    <w:name w:val="Heading 2 Char"/>
    <w:basedOn w:val="DefaultParagraphFont"/>
    <w:link w:val="Heading2"/>
    <w:rsid w:val="006F33A7"/>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rsid w:val="006F33A7"/>
    <w:rPr>
      <w:rFonts w:asciiTheme="majorHAnsi" w:eastAsiaTheme="majorEastAsia" w:hAnsiTheme="majorHAnsi" w:cstheme="majorBidi"/>
      <w:b/>
      <w:bCs/>
      <w:color w:val="4F81BD" w:themeColor="accent1"/>
      <w:sz w:val="24"/>
      <w:szCs w:val="24"/>
      <w:lang w:eastAsia="ja-JP"/>
    </w:rPr>
  </w:style>
  <w:style w:type="paragraph" w:styleId="TOC3">
    <w:name w:val="toc 3"/>
    <w:basedOn w:val="Normal"/>
    <w:next w:val="Normal"/>
    <w:autoRedefine/>
    <w:uiPriority w:val="39"/>
    <w:rsid w:val="006F33A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54">
      <w:bodyDiv w:val="1"/>
      <w:marLeft w:val="0"/>
      <w:marRight w:val="0"/>
      <w:marTop w:val="0"/>
      <w:marBottom w:val="0"/>
      <w:divBdr>
        <w:top w:val="none" w:sz="0" w:space="0" w:color="auto"/>
        <w:left w:val="none" w:sz="0" w:space="0" w:color="auto"/>
        <w:bottom w:val="none" w:sz="0" w:space="0" w:color="auto"/>
        <w:right w:val="none" w:sz="0" w:space="0" w:color="auto"/>
      </w:divBdr>
    </w:div>
    <w:div w:id="341594145">
      <w:bodyDiv w:val="1"/>
      <w:marLeft w:val="0"/>
      <w:marRight w:val="0"/>
      <w:marTop w:val="0"/>
      <w:marBottom w:val="0"/>
      <w:divBdr>
        <w:top w:val="none" w:sz="0" w:space="0" w:color="auto"/>
        <w:left w:val="none" w:sz="0" w:space="0" w:color="auto"/>
        <w:bottom w:val="none" w:sz="0" w:space="0" w:color="auto"/>
        <w:right w:val="none" w:sz="0" w:space="0" w:color="auto"/>
      </w:divBdr>
    </w:div>
    <w:div w:id="701247184">
      <w:bodyDiv w:val="1"/>
      <w:marLeft w:val="0"/>
      <w:marRight w:val="0"/>
      <w:marTop w:val="0"/>
      <w:marBottom w:val="0"/>
      <w:divBdr>
        <w:top w:val="none" w:sz="0" w:space="0" w:color="auto"/>
        <w:left w:val="none" w:sz="0" w:space="0" w:color="auto"/>
        <w:bottom w:val="none" w:sz="0" w:space="0" w:color="auto"/>
        <w:right w:val="none" w:sz="0" w:space="0" w:color="auto"/>
      </w:divBdr>
    </w:div>
    <w:div w:id="1168446663">
      <w:bodyDiv w:val="1"/>
      <w:marLeft w:val="0"/>
      <w:marRight w:val="0"/>
      <w:marTop w:val="0"/>
      <w:marBottom w:val="0"/>
      <w:divBdr>
        <w:top w:val="none" w:sz="0" w:space="0" w:color="auto"/>
        <w:left w:val="none" w:sz="0" w:space="0" w:color="auto"/>
        <w:bottom w:val="none" w:sz="0" w:space="0" w:color="auto"/>
        <w:right w:val="none" w:sz="0" w:space="0" w:color="auto"/>
      </w:divBdr>
    </w:div>
    <w:div w:id="1292981037">
      <w:bodyDiv w:val="1"/>
      <w:marLeft w:val="0"/>
      <w:marRight w:val="0"/>
      <w:marTop w:val="0"/>
      <w:marBottom w:val="0"/>
      <w:divBdr>
        <w:top w:val="none" w:sz="0" w:space="0" w:color="auto"/>
        <w:left w:val="none" w:sz="0" w:space="0" w:color="auto"/>
        <w:bottom w:val="none" w:sz="0" w:space="0" w:color="auto"/>
        <w:right w:val="none" w:sz="0" w:space="0" w:color="auto"/>
      </w:divBdr>
    </w:div>
    <w:div w:id="1485512804">
      <w:bodyDiv w:val="1"/>
      <w:marLeft w:val="0"/>
      <w:marRight w:val="0"/>
      <w:marTop w:val="0"/>
      <w:marBottom w:val="0"/>
      <w:divBdr>
        <w:top w:val="none" w:sz="0" w:space="0" w:color="auto"/>
        <w:left w:val="none" w:sz="0" w:space="0" w:color="auto"/>
        <w:bottom w:val="none" w:sz="0" w:space="0" w:color="auto"/>
        <w:right w:val="none" w:sz="0" w:space="0" w:color="auto"/>
      </w:divBdr>
    </w:div>
    <w:div w:id="1490562908">
      <w:bodyDiv w:val="1"/>
      <w:marLeft w:val="0"/>
      <w:marRight w:val="0"/>
      <w:marTop w:val="0"/>
      <w:marBottom w:val="0"/>
      <w:divBdr>
        <w:top w:val="none" w:sz="0" w:space="0" w:color="auto"/>
        <w:left w:val="none" w:sz="0" w:space="0" w:color="auto"/>
        <w:bottom w:val="none" w:sz="0" w:space="0" w:color="auto"/>
        <w:right w:val="none" w:sz="0" w:space="0" w:color="auto"/>
      </w:divBdr>
    </w:div>
    <w:div w:id="1851220466">
      <w:bodyDiv w:val="1"/>
      <w:marLeft w:val="0"/>
      <w:marRight w:val="0"/>
      <w:marTop w:val="0"/>
      <w:marBottom w:val="0"/>
      <w:divBdr>
        <w:top w:val="none" w:sz="0" w:space="0" w:color="auto"/>
        <w:left w:val="none" w:sz="0" w:space="0" w:color="auto"/>
        <w:bottom w:val="none" w:sz="0" w:space="0" w:color="auto"/>
        <w:right w:val="none" w:sz="0" w:space="0" w:color="auto"/>
      </w:divBdr>
    </w:div>
    <w:div w:id="191948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ist.gov/pml/wmd/usnwgevf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1518E-B2EA-43C1-BAA9-E639F197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3863</Words>
  <Characters>21361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U</vt:lpstr>
    </vt:vector>
  </TitlesOfParts>
  <Company>NIST</Company>
  <LinksUpToDate>false</LinksUpToDate>
  <CharactersWithSpaces>25174</CharactersWithSpaces>
  <SharedDoc>false</SharedDoc>
  <HLinks>
    <vt:vector size="6" baseType="variant">
      <vt:variant>
        <vt:i4>2752616</vt:i4>
      </vt:variant>
      <vt:variant>
        <vt:i4>0</vt:i4>
      </vt:variant>
      <vt:variant>
        <vt:i4>0</vt:i4>
      </vt:variant>
      <vt:variant>
        <vt:i4>5</vt:i4>
      </vt:variant>
      <vt:variant>
        <vt:lpwstr>http://nist.na6.acrobat.com/hydrogen-usnwg/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jwilli</dc:creator>
  <cp:lastModifiedBy>Buttler, Marc</cp:lastModifiedBy>
  <cp:revision>3</cp:revision>
  <cp:lastPrinted>2013-06-10T20:44:00Z</cp:lastPrinted>
  <dcterms:created xsi:type="dcterms:W3CDTF">2013-06-25T13:15:00Z</dcterms:created>
  <dcterms:modified xsi:type="dcterms:W3CDTF">2013-06-25T13:15:00Z</dcterms:modified>
</cp:coreProperties>
</file>